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9D762">
      <w:pPr>
        <w:spacing w:before="59" w:line="222" w:lineRule="auto"/>
        <w:ind w:leftChars="-208" w:hanging="437" w:hangingChars="145"/>
        <w:jc w:val="both"/>
        <w:rPr>
          <w:rFonts w:hint="eastAsia" w:ascii="宋体" w:hAnsi="宋体" w:eastAsia="宋体" w:cs="宋体"/>
          <w:b/>
          <w:bCs/>
          <w:color w:val="auto"/>
          <w:sz w:val="30"/>
          <w:szCs w:val="30"/>
          <w:lang w:eastAsia="zh-CN"/>
        </w:rPr>
      </w:pPr>
      <w:r>
        <w:rPr>
          <w:rFonts w:hint="eastAsia" w:ascii="宋体" w:hAnsi="宋体" w:eastAsia="宋体" w:cs="宋体"/>
          <w:b/>
          <w:bCs/>
          <w:snapToGrid/>
          <w:color w:val="auto"/>
          <w:sz w:val="30"/>
          <w:szCs w:val="30"/>
          <w:lang w:eastAsia="zh-CN"/>
        </w:rPr>
        <w:drawing>
          <wp:inline distT="0" distB="0" distL="0" distR="0">
            <wp:extent cx="5667375" cy="7980680"/>
            <wp:effectExtent l="0" t="0" r="9525" b="1270"/>
            <wp:docPr id="168402758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27583" name="图片 22"/>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5667375" cy="7980680"/>
                    </a:xfrm>
                    <a:prstGeom prst="rect">
                      <a:avLst/>
                    </a:prstGeom>
                  </pic:spPr>
                </pic:pic>
              </a:graphicData>
            </a:graphic>
          </wp:inline>
        </w:drawing>
      </w:r>
    </w:p>
    <w:p w14:paraId="519436B8">
      <w:pPr>
        <w:spacing w:before="59" w:line="222" w:lineRule="auto"/>
        <w:ind w:left="3698"/>
        <w:rPr>
          <w:rFonts w:hint="eastAsia" w:ascii="宋体" w:hAnsi="宋体" w:eastAsia="宋体" w:cs="宋体"/>
          <w:b/>
          <w:bCs/>
          <w:color w:val="auto"/>
          <w:sz w:val="30"/>
          <w:szCs w:val="30"/>
          <w:lang w:eastAsia="zh-CN"/>
        </w:rPr>
      </w:pPr>
    </w:p>
    <w:p w14:paraId="3C7C68D9">
      <w:pPr>
        <w:spacing w:before="59" w:line="222" w:lineRule="auto"/>
        <w:ind w:left="3698"/>
        <w:rPr>
          <w:rFonts w:hint="eastAsia" w:ascii="宋体" w:hAnsi="宋体" w:eastAsia="宋体" w:cs="宋体"/>
          <w:b/>
          <w:bCs/>
          <w:color w:val="auto"/>
          <w:sz w:val="30"/>
          <w:szCs w:val="30"/>
          <w:lang w:eastAsia="zh-CN"/>
        </w:rPr>
      </w:pPr>
    </w:p>
    <w:p w14:paraId="6E88188C">
      <w:pPr>
        <w:spacing w:before="59" w:line="222" w:lineRule="auto"/>
        <w:ind w:left="3698"/>
        <w:rPr>
          <w:rFonts w:hint="eastAsia" w:ascii="宋体" w:hAnsi="宋体" w:eastAsia="宋体" w:cs="宋体"/>
          <w:b/>
          <w:bCs/>
          <w:color w:val="auto"/>
          <w:sz w:val="30"/>
          <w:szCs w:val="30"/>
          <w:lang w:eastAsia="zh-CN"/>
        </w:rPr>
        <w:sectPr>
          <w:footerReference r:id="rId3" w:type="default"/>
          <w:pgSz w:w="11907" w:h="16841"/>
          <w:pgMar w:top="1429" w:right="1358" w:bottom="1253" w:left="1624" w:header="0" w:footer="850" w:gutter="0"/>
          <w:pgNumType w:fmt="upperRoman"/>
          <w:cols w:space="0" w:num="1"/>
        </w:sectPr>
      </w:pPr>
    </w:p>
    <w:p w14:paraId="7622B6CE">
      <w:pPr>
        <w:spacing w:before="59" w:line="222" w:lineRule="auto"/>
        <w:ind w:left="3698"/>
        <w:rPr>
          <w:rFonts w:hint="eastAsia" w:ascii="宋体" w:hAnsi="宋体" w:eastAsia="宋体" w:cs="宋体"/>
          <w:color w:val="auto"/>
          <w:sz w:val="30"/>
          <w:szCs w:val="30"/>
        </w:rPr>
      </w:pPr>
      <w:r>
        <w:rPr>
          <w:rFonts w:ascii="宋体" w:hAnsi="宋体" w:eastAsia="宋体" w:cs="宋体"/>
          <w:b/>
          <w:bCs/>
          <w:color w:val="auto"/>
          <w:sz w:val="30"/>
          <w:szCs w:val="30"/>
        </w:rPr>
        <w:t>目</w:t>
      </w:r>
      <w:r>
        <w:rPr>
          <w:rFonts w:hint="eastAsia" w:ascii="宋体" w:hAnsi="宋体" w:eastAsia="宋体" w:cs="宋体"/>
          <w:color w:val="auto"/>
          <w:sz w:val="30"/>
          <w:szCs w:val="30"/>
          <w:lang w:eastAsia="zh-CN"/>
        </w:rPr>
        <w:t>　　　</w:t>
      </w:r>
      <w:r>
        <w:rPr>
          <w:rFonts w:ascii="宋体" w:hAnsi="宋体" w:eastAsia="宋体" w:cs="宋体"/>
          <w:b/>
          <w:bCs/>
          <w:color w:val="auto"/>
          <w:sz w:val="30"/>
          <w:szCs w:val="30"/>
        </w:rPr>
        <w:t>录</w:t>
      </w:r>
    </w:p>
    <w:p w14:paraId="2CCBF818">
      <w:pPr>
        <w:pStyle w:val="8"/>
        <w:spacing w:line="252" w:lineRule="auto"/>
        <w:rPr>
          <w:color w:val="auto"/>
        </w:rPr>
      </w:pPr>
    </w:p>
    <w:sdt>
      <w:sdtPr>
        <w:rPr>
          <w:rFonts w:ascii="宋体" w:hAnsi="宋体" w:eastAsia="宋体"/>
          <w:color w:val="auto"/>
        </w:rPr>
        <w:id w:val="147460320"/>
        <w:docPartObj>
          <w:docPartGallery w:val="Table of Contents"/>
          <w:docPartUnique/>
        </w:docPartObj>
      </w:sdtPr>
      <w:sdtEndPr>
        <w:rPr>
          <w:rFonts w:ascii="Arial" w:hAnsi="Arial" w:eastAsia="Arial"/>
          <w:color w:val="auto"/>
        </w:rPr>
      </w:sdtEndPr>
      <w:sdtContent>
        <w:p w14:paraId="27F982EB">
          <w:pPr>
            <w:jc w:val="center"/>
            <w:rPr>
              <w:color w:val="auto"/>
            </w:rPr>
          </w:pPr>
        </w:p>
        <w:p w14:paraId="2A202ED0">
          <w:pPr>
            <w:pStyle w:val="17"/>
            <w:tabs>
              <w:tab w:val="right" w:leader="dot" w:pos="8925"/>
            </w:tabs>
            <w:rPr>
              <w:color w:val="auto"/>
            </w:rPr>
          </w:pPr>
          <w:r>
            <w:rPr>
              <w:color w:val="auto"/>
            </w:rPr>
            <w:fldChar w:fldCharType="begin"/>
          </w:r>
          <w:r>
            <w:rPr>
              <w:color w:val="auto"/>
            </w:rPr>
            <w:instrText xml:space="preserve">TOC \o "1-3" \h \u </w:instrText>
          </w:r>
          <w:r>
            <w:rPr>
              <w:color w:val="auto"/>
            </w:rPr>
            <w:fldChar w:fldCharType="separate"/>
          </w:r>
          <w:r>
            <w:fldChar w:fldCharType="begin"/>
          </w:r>
          <w:r>
            <w:instrText xml:space="preserve"> HYPERLINK \l "_Toc28180" </w:instrText>
          </w:r>
          <w:r>
            <w:fldChar w:fldCharType="separate"/>
          </w:r>
          <w:r>
            <w:rPr>
              <w:rFonts w:ascii="黑体" w:hAnsi="黑体" w:eastAsia="黑体" w:cs="黑体"/>
              <w:bCs/>
              <w:color w:val="auto"/>
              <w:szCs w:val="48"/>
              <w:lang w:eastAsia="zh-CN"/>
            </w:rPr>
            <w:t>第一卷</w:t>
          </w:r>
          <w:r>
            <w:rPr>
              <w:color w:val="auto"/>
            </w:rPr>
            <w:tab/>
          </w:r>
          <w:r>
            <w:rPr>
              <w:color w:val="auto"/>
            </w:rPr>
            <w:fldChar w:fldCharType="begin"/>
          </w:r>
          <w:r>
            <w:rPr>
              <w:color w:val="auto"/>
            </w:rPr>
            <w:instrText xml:space="preserve"> PAGEREF _Toc28180 \h </w:instrText>
          </w:r>
          <w:r>
            <w:rPr>
              <w:color w:val="auto"/>
            </w:rPr>
            <w:fldChar w:fldCharType="separate"/>
          </w:r>
          <w:r>
            <w:rPr>
              <w:color w:val="auto"/>
            </w:rPr>
            <w:t>- 1 -</w:t>
          </w:r>
          <w:r>
            <w:rPr>
              <w:color w:val="auto"/>
            </w:rPr>
            <w:fldChar w:fldCharType="end"/>
          </w:r>
          <w:r>
            <w:rPr>
              <w:color w:val="auto"/>
            </w:rPr>
            <w:fldChar w:fldCharType="end"/>
          </w:r>
        </w:p>
        <w:p w14:paraId="2FB0B94E">
          <w:pPr>
            <w:pStyle w:val="17"/>
            <w:tabs>
              <w:tab w:val="right" w:leader="dot" w:pos="8925"/>
            </w:tabs>
            <w:rPr>
              <w:color w:val="auto"/>
            </w:rPr>
          </w:pPr>
          <w:r>
            <w:fldChar w:fldCharType="begin"/>
          </w:r>
          <w:r>
            <w:instrText xml:space="preserve"> HYPERLINK \l "_Toc27625" </w:instrText>
          </w:r>
          <w:r>
            <w:fldChar w:fldCharType="separate"/>
          </w:r>
          <w:r>
            <w:rPr>
              <w:rFonts w:ascii="宋体" w:hAnsi="宋体" w:eastAsia="宋体" w:cs="宋体"/>
              <w:bCs/>
              <w:color w:val="auto"/>
              <w:szCs w:val="36"/>
              <w:lang w:eastAsia="zh-CN"/>
            </w:rPr>
            <w:t>第一章</w:t>
          </w:r>
          <w:r>
            <w:rPr>
              <w:rFonts w:hint="eastAsia" w:ascii="宋体" w:hAnsi="宋体" w:eastAsia="宋体" w:cs="宋体"/>
              <w:bCs/>
              <w:color w:val="auto"/>
              <w:szCs w:val="36"/>
              <w:lang w:eastAsia="zh-CN"/>
            </w:rPr>
            <w:t>　</w:t>
          </w:r>
          <w:r>
            <w:rPr>
              <w:rFonts w:ascii="宋体" w:hAnsi="宋体" w:eastAsia="宋体" w:cs="宋体"/>
              <w:bCs/>
              <w:color w:val="auto"/>
              <w:szCs w:val="36"/>
              <w:lang w:eastAsia="zh-CN"/>
            </w:rPr>
            <w:t>招标公告（适用于资格后审招标）</w:t>
          </w:r>
          <w:r>
            <w:rPr>
              <w:color w:val="auto"/>
            </w:rPr>
            <w:tab/>
          </w:r>
          <w:r>
            <w:rPr>
              <w:color w:val="auto"/>
            </w:rPr>
            <w:fldChar w:fldCharType="begin"/>
          </w:r>
          <w:r>
            <w:rPr>
              <w:color w:val="auto"/>
            </w:rPr>
            <w:instrText xml:space="preserve"> PAGEREF _Toc27625 \h </w:instrText>
          </w:r>
          <w:r>
            <w:rPr>
              <w:color w:val="auto"/>
            </w:rPr>
            <w:fldChar w:fldCharType="separate"/>
          </w:r>
          <w:r>
            <w:rPr>
              <w:color w:val="auto"/>
            </w:rPr>
            <w:t>- 2 -</w:t>
          </w:r>
          <w:r>
            <w:rPr>
              <w:color w:val="auto"/>
            </w:rPr>
            <w:fldChar w:fldCharType="end"/>
          </w:r>
          <w:r>
            <w:rPr>
              <w:color w:val="auto"/>
            </w:rPr>
            <w:fldChar w:fldCharType="end"/>
          </w:r>
        </w:p>
        <w:p w14:paraId="29C1B3B6">
          <w:pPr>
            <w:pStyle w:val="18"/>
            <w:tabs>
              <w:tab w:val="right" w:leader="dot" w:pos="8925"/>
            </w:tabs>
            <w:rPr>
              <w:color w:val="auto"/>
            </w:rPr>
          </w:pPr>
          <w:r>
            <w:fldChar w:fldCharType="begin"/>
          </w:r>
          <w:r>
            <w:instrText xml:space="preserve"> HYPERLINK \l "_Toc11202" </w:instrText>
          </w:r>
          <w:r>
            <w:fldChar w:fldCharType="separate"/>
          </w:r>
          <w:r>
            <w:rPr>
              <w:rFonts w:ascii="Times New Roman" w:hAnsi="Times New Roman" w:eastAsia="Times New Roman" w:cs="Times New Roman"/>
              <w:bCs/>
              <w:color w:val="auto"/>
              <w:szCs w:val="28"/>
              <w:lang w:eastAsia="zh-CN"/>
            </w:rPr>
            <w:t>1</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招标条件</w:t>
          </w:r>
          <w:r>
            <w:rPr>
              <w:color w:val="auto"/>
            </w:rPr>
            <w:tab/>
          </w:r>
          <w:r>
            <w:rPr>
              <w:color w:val="auto"/>
            </w:rPr>
            <w:fldChar w:fldCharType="begin"/>
          </w:r>
          <w:r>
            <w:rPr>
              <w:color w:val="auto"/>
            </w:rPr>
            <w:instrText xml:space="preserve"> PAGEREF _Toc11202 \h </w:instrText>
          </w:r>
          <w:r>
            <w:rPr>
              <w:color w:val="auto"/>
            </w:rPr>
            <w:fldChar w:fldCharType="separate"/>
          </w:r>
          <w:r>
            <w:rPr>
              <w:color w:val="auto"/>
            </w:rPr>
            <w:t>- 2 -</w:t>
          </w:r>
          <w:r>
            <w:rPr>
              <w:color w:val="auto"/>
            </w:rPr>
            <w:fldChar w:fldCharType="end"/>
          </w:r>
          <w:r>
            <w:rPr>
              <w:color w:val="auto"/>
            </w:rPr>
            <w:fldChar w:fldCharType="end"/>
          </w:r>
        </w:p>
        <w:p w14:paraId="071826CF">
          <w:pPr>
            <w:pStyle w:val="18"/>
            <w:tabs>
              <w:tab w:val="right" w:leader="dot" w:pos="8925"/>
            </w:tabs>
            <w:rPr>
              <w:color w:val="auto"/>
            </w:rPr>
          </w:pPr>
          <w:r>
            <w:fldChar w:fldCharType="begin"/>
          </w:r>
          <w:r>
            <w:instrText xml:space="preserve"> HYPERLINK \l "_Toc24285" </w:instrText>
          </w:r>
          <w:r>
            <w:fldChar w:fldCharType="separate"/>
          </w:r>
          <w:r>
            <w:rPr>
              <w:rFonts w:ascii="Times New Roman" w:hAnsi="Times New Roman" w:eastAsia="Times New Roman" w:cs="Times New Roman"/>
              <w:bCs/>
              <w:color w:val="auto"/>
              <w:szCs w:val="28"/>
              <w:lang w:eastAsia="zh-CN"/>
            </w:rPr>
            <w:t>2</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项目概况与招标范围</w:t>
          </w:r>
          <w:r>
            <w:rPr>
              <w:color w:val="auto"/>
            </w:rPr>
            <w:tab/>
          </w:r>
          <w:r>
            <w:rPr>
              <w:color w:val="auto"/>
            </w:rPr>
            <w:fldChar w:fldCharType="begin"/>
          </w:r>
          <w:r>
            <w:rPr>
              <w:color w:val="auto"/>
            </w:rPr>
            <w:instrText xml:space="preserve"> PAGEREF _Toc24285 \h </w:instrText>
          </w:r>
          <w:r>
            <w:rPr>
              <w:color w:val="auto"/>
            </w:rPr>
            <w:fldChar w:fldCharType="separate"/>
          </w:r>
          <w:r>
            <w:rPr>
              <w:color w:val="auto"/>
            </w:rPr>
            <w:t>- 2 -</w:t>
          </w:r>
          <w:r>
            <w:rPr>
              <w:color w:val="auto"/>
            </w:rPr>
            <w:fldChar w:fldCharType="end"/>
          </w:r>
          <w:r>
            <w:rPr>
              <w:color w:val="auto"/>
            </w:rPr>
            <w:fldChar w:fldCharType="end"/>
          </w:r>
        </w:p>
        <w:p w14:paraId="449596EF">
          <w:pPr>
            <w:pStyle w:val="18"/>
            <w:tabs>
              <w:tab w:val="right" w:leader="dot" w:pos="8925"/>
            </w:tabs>
            <w:rPr>
              <w:color w:val="auto"/>
            </w:rPr>
          </w:pPr>
          <w:r>
            <w:fldChar w:fldCharType="begin"/>
          </w:r>
          <w:r>
            <w:instrText xml:space="preserve"> HYPERLINK \l "_Toc20867" </w:instrText>
          </w:r>
          <w:r>
            <w:fldChar w:fldCharType="separate"/>
          </w:r>
          <w:r>
            <w:rPr>
              <w:rFonts w:ascii="Times New Roman" w:hAnsi="Times New Roman" w:eastAsia="Times New Roman" w:cs="Times New Roman"/>
              <w:bCs/>
              <w:color w:val="auto"/>
              <w:szCs w:val="28"/>
              <w:lang w:eastAsia="zh-CN"/>
            </w:rPr>
            <w:t>3</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投标人资格要求</w:t>
          </w:r>
          <w:r>
            <w:rPr>
              <w:color w:val="auto"/>
            </w:rPr>
            <w:tab/>
          </w:r>
          <w:r>
            <w:rPr>
              <w:color w:val="auto"/>
            </w:rPr>
            <w:fldChar w:fldCharType="begin"/>
          </w:r>
          <w:r>
            <w:rPr>
              <w:color w:val="auto"/>
            </w:rPr>
            <w:instrText xml:space="preserve"> PAGEREF _Toc20867 \h </w:instrText>
          </w:r>
          <w:r>
            <w:rPr>
              <w:color w:val="auto"/>
            </w:rPr>
            <w:fldChar w:fldCharType="separate"/>
          </w:r>
          <w:r>
            <w:rPr>
              <w:color w:val="auto"/>
            </w:rPr>
            <w:t>- 3 -</w:t>
          </w:r>
          <w:r>
            <w:rPr>
              <w:color w:val="auto"/>
            </w:rPr>
            <w:fldChar w:fldCharType="end"/>
          </w:r>
          <w:r>
            <w:rPr>
              <w:color w:val="auto"/>
            </w:rPr>
            <w:fldChar w:fldCharType="end"/>
          </w:r>
        </w:p>
        <w:p w14:paraId="39CC3075">
          <w:pPr>
            <w:pStyle w:val="18"/>
            <w:tabs>
              <w:tab w:val="right" w:leader="dot" w:pos="8925"/>
            </w:tabs>
            <w:rPr>
              <w:color w:val="auto"/>
            </w:rPr>
          </w:pPr>
          <w:r>
            <w:fldChar w:fldCharType="begin"/>
          </w:r>
          <w:r>
            <w:instrText xml:space="preserve"> HYPERLINK \l "_Toc27100" </w:instrText>
          </w:r>
          <w:r>
            <w:fldChar w:fldCharType="separate"/>
          </w:r>
          <w:r>
            <w:rPr>
              <w:rFonts w:ascii="Times New Roman" w:hAnsi="Times New Roman" w:eastAsia="Times New Roman" w:cs="Times New Roman"/>
              <w:bCs/>
              <w:color w:val="auto"/>
              <w:szCs w:val="28"/>
              <w:lang w:eastAsia="zh-CN"/>
            </w:rPr>
            <w:t>4</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招标文件的获取</w:t>
          </w:r>
          <w:r>
            <w:rPr>
              <w:color w:val="auto"/>
            </w:rPr>
            <w:tab/>
          </w:r>
          <w:r>
            <w:rPr>
              <w:color w:val="auto"/>
            </w:rPr>
            <w:fldChar w:fldCharType="begin"/>
          </w:r>
          <w:r>
            <w:rPr>
              <w:color w:val="auto"/>
            </w:rPr>
            <w:instrText xml:space="preserve"> PAGEREF _Toc27100 \h </w:instrText>
          </w:r>
          <w:r>
            <w:rPr>
              <w:color w:val="auto"/>
            </w:rPr>
            <w:fldChar w:fldCharType="separate"/>
          </w:r>
          <w:r>
            <w:rPr>
              <w:color w:val="auto"/>
            </w:rPr>
            <w:t>- 3 -</w:t>
          </w:r>
          <w:r>
            <w:rPr>
              <w:color w:val="auto"/>
            </w:rPr>
            <w:fldChar w:fldCharType="end"/>
          </w:r>
          <w:r>
            <w:rPr>
              <w:color w:val="auto"/>
            </w:rPr>
            <w:fldChar w:fldCharType="end"/>
          </w:r>
        </w:p>
        <w:p w14:paraId="696BC5FA">
          <w:pPr>
            <w:pStyle w:val="18"/>
            <w:tabs>
              <w:tab w:val="right" w:leader="dot" w:pos="8925"/>
            </w:tabs>
            <w:rPr>
              <w:color w:val="auto"/>
            </w:rPr>
          </w:pPr>
          <w:r>
            <w:fldChar w:fldCharType="begin"/>
          </w:r>
          <w:r>
            <w:instrText xml:space="preserve"> HYPERLINK \l "_Toc21348" </w:instrText>
          </w:r>
          <w:r>
            <w:fldChar w:fldCharType="separate"/>
          </w:r>
          <w:r>
            <w:rPr>
              <w:rFonts w:ascii="Times New Roman" w:hAnsi="Times New Roman" w:eastAsia="Times New Roman" w:cs="Times New Roman"/>
              <w:bCs/>
              <w:color w:val="auto"/>
              <w:szCs w:val="28"/>
              <w:lang w:eastAsia="zh-CN"/>
            </w:rPr>
            <w:t>5</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投标文件的递交</w:t>
          </w:r>
          <w:r>
            <w:rPr>
              <w:color w:val="auto"/>
            </w:rPr>
            <w:tab/>
          </w:r>
          <w:r>
            <w:rPr>
              <w:color w:val="auto"/>
            </w:rPr>
            <w:fldChar w:fldCharType="begin"/>
          </w:r>
          <w:r>
            <w:rPr>
              <w:color w:val="auto"/>
            </w:rPr>
            <w:instrText xml:space="preserve"> PAGEREF _Toc21348 \h </w:instrText>
          </w:r>
          <w:r>
            <w:rPr>
              <w:color w:val="auto"/>
            </w:rPr>
            <w:fldChar w:fldCharType="separate"/>
          </w:r>
          <w:r>
            <w:rPr>
              <w:color w:val="auto"/>
            </w:rPr>
            <w:t>- 3 -</w:t>
          </w:r>
          <w:r>
            <w:rPr>
              <w:color w:val="auto"/>
            </w:rPr>
            <w:fldChar w:fldCharType="end"/>
          </w:r>
          <w:r>
            <w:rPr>
              <w:color w:val="auto"/>
            </w:rPr>
            <w:fldChar w:fldCharType="end"/>
          </w:r>
        </w:p>
        <w:p w14:paraId="669700FA">
          <w:pPr>
            <w:pStyle w:val="18"/>
            <w:tabs>
              <w:tab w:val="right" w:leader="dot" w:pos="8925"/>
            </w:tabs>
            <w:rPr>
              <w:color w:val="auto"/>
            </w:rPr>
          </w:pPr>
          <w:r>
            <w:fldChar w:fldCharType="begin"/>
          </w:r>
          <w:r>
            <w:instrText xml:space="preserve"> HYPERLINK \l "_Toc13509" </w:instrText>
          </w:r>
          <w:r>
            <w:fldChar w:fldCharType="separate"/>
          </w:r>
          <w:r>
            <w:rPr>
              <w:rFonts w:ascii="Times New Roman" w:hAnsi="Times New Roman" w:eastAsia="Times New Roman" w:cs="Times New Roman"/>
              <w:bCs/>
              <w:color w:val="auto"/>
              <w:szCs w:val="28"/>
              <w:lang w:eastAsia="zh-CN"/>
            </w:rPr>
            <w:t>6</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发布公告的媒介</w:t>
          </w:r>
          <w:r>
            <w:rPr>
              <w:color w:val="auto"/>
            </w:rPr>
            <w:tab/>
          </w:r>
          <w:r>
            <w:rPr>
              <w:color w:val="auto"/>
            </w:rPr>
            <w:fldChar w:fldCharType="begin"/>
          </w:r>
          <w:r>
            <w:rPr>
              <w:color w:val="auto"/>
            </w:rPr>
            <w:instrText xml:space="preserve"> PAGEREF _Toc13509 \h </w:instrText>
          </w:r>
          <w:r>
            <w:rPr>
              <w:color w:val="auto"/>
            </w:rPr>
            <w:fldChar w:fldCharType="separate"/>
          </w:r>
          <w:r>
            <w:rPr>
              <w:color w:val="auto"/>
            </w:rPr>
            <w:t>- 3 -</w:t>
          </w:r>
          <w:r>
            <w:rPr>
              <w:color w:val="auto"/>
            </w:rPr>
            <w:fldChar w:fldCharType="end"/>
          </w:r>
          <w:r>
            <w:rPr>
              <w:color w:val="auto"/>
            </w:rPr>
            <w:fldChar w:fldCharType="end"/>
          </w:r>
        </w:p>
        <w:p w14:paraId="4A0D6C02">
          <w:pPr>
            <w:pStyle w:val="18"/>
            <w:tabs>
              <w:tab w:val="right" w:leader="dot" w:pos="8925"/>
            </w:tabs>
            <w:rPr>
              <w:color w:val="auto"/>
            </w:rPr>
          </w:pPr>
          <w:r>
            <w:fldChar w:fldCharType="begin"/>
          </w:r>
          <w:r>
            <w:instrText xml:space="preserve"> HYPERLINK \l "_Toc21923" </w:instrText>
          </w:r>
          <w:r>
            <w:fldChar w:fldCharType="separate"/>
          </w:r>
          <w:r>
            <w:rPr>
              <w:rFonts w:ascii="Times New Roman" w:hAnsi="Times New Roman" w:eastAsia="Times New Roman" w:cs="Times New Roman"/>
              <w:bCs/>
              <w:color w:val="auto"/>
              <w:szCs w:val="28"/>
              <w:lang w:eastAsia="zh-CN"/>
            </w:rPr>
            <w:t>7</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行政监督部门</w:t>
          </w:r>
          <w:r>
            <w:rPr>
              <w:color w:val="auto"/>
            </w:rPr>
            <w:tab/>
          </w:r>
          <w:r>
            <w:rPr>
              <w:color w:val="auto"/>
            </w:rPr>
            <w:fldChar w:fldCharType="begin"/>
          </w:r>
          <w:r>
            <w:rPr>
              <w:color w:val="auto"/>
            </w:rPr>
            <w:instrText xml:space="preserve"> PAGEREF _Toc21923 \h </w:instrText>
          </w:r>
          <w:r>
            <w:rPr>
              <w:color w:val="auto"/>
            </w:rPr>
            <w:fldChar w:fldCharType="separate"/>
          </w:r>
          <w:r>
            <w:rPr>
              <w:color w:val="auto"/>
            </w:rPr>
            <w:t>- 4 -</w:t>
          </w:r>
          <w:r>
            <w:rPr>
              <w:color w:val="auto"/>
            </w:rPr>
            <w:fldChar w:fldCharType="end"/>
          </w:r>
          <w:r>
            <w:rPr>
              <w:color w:val="auto"/>
            </w:rPr>
            <w:fldChar w:fldCharType="end"/>
          </w:r>
        </w:p>
        <w:p w14:paraId="7FF565DC">
          <w:pPr>
            <w:pStyle w:val="18"/>
            <w:tabs>
              <w:tab w:val="right" w:leader="dot" w:pos="8925"/>
            </w:tabs>
            <w:rPr>
              <w:color w:val="auto"/>
            </w:rPr>
          </w:pPr>
          <w:r>
            <w:fldChar w:fldCharType="begin"/>
          </w:r>
          <w:r>
            <w:instrText xml:space="preserve"> HYPERLINK \l "_Toc1851" </w:instrText>
          </w:r>
          <w:r>
            <w:fldChar w:fldCharType="separate"/>
          </w:r>
          <w:r>
            <w:rPr>
              <w:rFonts w:ascii="Times New Roman" w:hAnsi="Times New Roman" w:eastAsia="Times New Roman" w:cs="Times New Roman"/>
              <w:bCs/>
              <w:color w:val="auto"/>
              <w:szCs w:val="28"/>
            </w:rPr>
            <w:t>8</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rPr>
            <w:t>联系方式</w:t>
          </w:r>
          <w:r>
            <w:rPr>
              <w:color w:val="auto"/>
            </w:rPr>
            <w:tab/>
          </w:r>
          <w:r>
            <w:rPr>
              <w:color w:val="auto"/>
            </w:rPr>
            <w:fldChar w:fldCharType="begin"/>
          </w:r>
          <w:r>
            <w:rPr>
              <w:color w:val="auto"/>
            </w:rPr>
            <w:instrText xml:space="preserve"> PAGEREF _Toc1851 \h </w:instrText>
          </w:r>
          <w:r>
            <w:rPr>
              <w:color w:val="auto"/>
            </w:rPr>
            <w:fldChar w:fldCharType="separate"/>
          </w:r>
          <w:r>
            <w:rPr>
              <w:color w:val="auto"/>
            </w:rPr>
            <w:t>- 4 -</w:t>
          </w:r>
          <w:r>
            <w:rPr>
              <w:color w:val="auto"/>
            </w:rPr>
            <w:fldChar w:fldCharType="end"/>
          </w:r>
          <w:r>
            <w:rPr>
              <w:color w:val="auto"/>
            </w:rPr>
            <w:fldChar w:fldCharType="end"/>
          </w:r>
        </w:p>
        <w:p w14:paraId="0451A0A9">
          <w:pPr>
            <w:pStyle w:val="18"/>
            <w:tabs>
              <w:tab w:val="right" w:leader="dot" w:pos="8925"/>
            </w:tabs>
            <w:rPr>
              <w:color w:val="auto"/>
            </w:rPr>
          </w:pPr>
          <w:r>
            <w:fldChar w:fldCharType="begin"/>
          </w:r>
          <w:r>
            <w:instrText xml:space="preserve"> HYPERLINK \l "_Toc19531" </w:instrText>
          </w:r>
          <w:r>
            <w:fldChar w:fldCharType="separate"/>
          </w:r>
          <w:r>
            <w:rPr>
              <w:rFonts w:ascii="黑体" w:hAnsi="黑体" w:eastAsia="黑体" w:cs="黑体"/>
              <w:bCs/>
              <w:color w:val="auto"/>
              <w:szCs w:val="28"/>
              <w:lang w:eastAsia="zh-CN"/>
            </w:rPr>
            <w:t>投标人资格条件要求附表</w:t>
          </w:r>
          <w:r>
            <w:rPr>
              <w:color w:val="auto"/>
            </w:rPr>
            <w:tab/>
          </w:r>
          <w:r>
            <w:rPr>
              <w:color w:val="auto"/>
            </w:rPr>
            <w:fldChar w:fldCharType="begin"/>
          </w:r>
          <w:r>
            <w:rPr>
              <w:color w:val="auto"/>
            </w:rPr>
            <w:instrText xml:space="preserve"> PAGEREF _Toc19531 \h </w:instrText>
          </w:r>
          <w:r>
            <w:rPr>
              <w:color w:val="auto"/>
            </w:rPr>
            <w:fldChar w:fldCharType="separate"/>
          </w:r>
          <w:r>
            <w:rPr>
              <w:color w:val="auto"/>
            </w:rPr>
            <w:t>- 5 -</w:t>
          </w:r>
          <w:r>
            <w:rPr>
              <w:color w:val="auto"/>
            </w:rPr>
            <w:fldChar w:fldCharType="end"/>
          </w:r>
          <w:r>
            <w:rPr>
              <w:color w:val="auto"/>
            </w:rPr>
            <w:fldChar w:fldCharType="end"/>
          </w:r>
        </w:p>
        <w:p w14:paraId="4A8D310F">
          <w:pPr>
            <w:pStyle w:val="17"/>
            <w:tabs>
              <w:tab w:val="right" w:leader="dot" w:pos="8925"/>
            </w:tabs>
            <w:rPr>
              <w:color w:val="auto"/>
            </w:rPr>
          </w:pPr>
          <w:r>
            <w:fldChar w:fldCharType="begin"/>
          </w:r>
          <w:r>
            <w:instrText xml:space="preserve"> HYPERLINK \l "_Toc27717" </w:instrText>
          </w:r>
          <w:r>
            <w:fldChar w:fldCharType="separate"/>
          </w:r>
          <w:r>
            <w:rPr>
              <w:rFonts w:ascii="宋体" w:hAnsi="宋体" w:eastAsia="宋体" w:cs="宋体"/>
              <w:bCs/>
              <w:color w:val="auto"/>
              <w:szCs w:val="36"/>
              <w:lang w:eastAsia="zh-CN"/>
            </w:rPr>
            <w:t>第二章</w:t>
          </w:r>
          <w:r>
            <w:rPr>
              <w:rFonts w:hint="eastAsia" w:ascii="宋体" w:hAnsi="宋体" w:eastAsia="宋体" w:cs="宋体"/>
              <w:bCs/>
              <w:color w:val="auto"/>
              <w:szCs w:val="36"/>
              <w:lang w:eastAsia="zh-CN"/>
            </w:rPr>
            <w:t>　</w:t>
          </w:r>
          <w:r>
            <w:rPr>
              <w:rFonts w:ascii="宋体" w:hAnsi="宋体" w:eastAsia="宋体" w:cs="宋体"/>
              <w:bCs/>
              <w:color w:val="auto"/>
              <w:szCs w:val="36"/>
              <w:lang w:eastAsia="zh-CN"/>
            </w:rPr>
            <w:t>投标人须知</w:t>
          </w:r>
          <w:r>
            <w:rPr>
              <w:color w:val="auto"/>
            </w:rPr>
            <w:tab/>
          </w:r>
          <w:r>
            <w:rPr>
              <w:color w:val="auto"/>
            </w:rPr>
            <w:fldChar w:fldCharType="begin"/>
          </w:r>
          <w:r>
            <w:rPr>
              <w:color w:val="auto"/>
            </w:rPr>
            <w:instrText xml:space="preserve"> PAGEREF _Toc27717 \h </w:instrText>
          </w:r>
          <w:r>
            <w:rPr>
              <w:color w:val="auto"/>
            </w:rPr>
            <w:fldChar w:fldCharType="separate"/>
          </w:r>
          <w:r>
            <w:rPr>
              <w:color w:val="auto"/>
            </w:rPr>
            <w:t>- 8 -</w:t>
          </w:r>
          <w:r>
            <w:rPr>
              <w:color w:val="auto"/>
            </w:rPr>
            <w:fldChar w:fldCharType="end"/>
          </w:r>
          <w:r>
            <w:rPr>
              <w:color w:val="auto"/>
            </w:rPr>
            <w:fldChar w:fldCharType="end"/>
          </w:r>
        </w:p>
        <w:p w14:paraId="259FF919">
          <w:pPr>
            <w:pStyle w:val="18"/>
            <w:tabs>
              <w:tab w:val="right" w:leader="dot" w:pos="8925"/>
            </w:tabs>
            <w:rPr>
              <w:color w:val="auto"/>
            </w:rPr>
          </w:pPr>
          <w:r>
            <w:fldChar w:fldCharType="begin"/>
          </w:r>
          <w:r>
            <w:instrText xml:space="preserve"> HYPERLINK \l "_Toc2250" </w:instrText>
          </w:r>
          <w:r>
            <w:fldChar w:fldCharType="separate"/>
          </w:r>
          <w:r>
            <w:rPr>
              <w:rFonts w:ascii="宋体" w:hAnsi="宋体" w:eastAsia="宋体" w:cs="宋体"/>
              <w:bCs/>
              <w:color w:val="auto"/>
              <w:szCs w:val="28"/>
              <w:lang w:eastAsia="zh-CN"/>
            </w:rPr>
            <w:t>投标人须知前附表</w:t>
          </w:r>
          <w:r>
            <w:rPr>
              <w:color w:val="auto"/>
            </w:rPr>
            <w:tab/>
          </w:r>
          <w:r>
            <w:rPr>
              <w:color w:val="auto"/>
            </w:rPr>
            <w:fldChar w:fldCharType="begin"/>
          </w:r>
          <w:r>
            <w:rPr>
              <w:color w:val="auto"/>
            </w:rPr>
            <w:instrText xml:space="preserve"> PAGEREF _Toc2250 \h </w:instrText>
          </w:r>
          <w:r>
            <w:rPr>
              <w:color w:val="auto"/>
            </w:rPr>
            <w:fldChar w:fldCharType="separate"/>
          </w:r>
          <w:r>
            <w:rPr>
              <w:color w:val="auto"/>
            </w:rPr>
            <w:t>- 8 -</w:t>
          </w:r>
          <w:r>
            <w:rPr>
              <w:color w:val="auto"/>
            </w:rPr>
            <w:fldChar w:fldCharType="end"/>
          </w:r>
          <w:r>
            <w:rPr>
              <w:color w:val="auto"/>
            </w:rPr>
            <w:fldChar w:fldCharType="end"/>
          </w:r>
        </w:p>
        <w:p w14:paraId="0523F619">
          <w:pPr>
            <w:pStyle w:val="18"/>
            <w:tabs>
              <w:tab w:val="right" w:leader="dot" w:pos="8925"/>
            </w:tabs>
            <w:rPr>
              <w:color w:val="auto"/>
            </w:rPr>
          </w:pPr>
          <w:r>
            <w:fldChar w:fldCharType="begin"/>
          </w:r>
          <w:r>
            <w:instrText xml:space="preserve"> HYPERLINK \l "_Toc8211" </w:instrText>
          </w:r>
          <w:r>
            <w:fldChar w:fldCharType="separate"/>
          </w:r>
          <w:r>
            <w:rPr>
              <w:rFonts w:hint="eastAsia" w:ascii="宋体" w:hAnsi="宋体" w:eastAsia="宋体" w:cs="宋体"/>
              <w:bCs/>
              <w:color w:val="auto"/>
              <w:szCs w:val="28"/>
              <w:lang w:eastAsia="zh-CN"/>
            </w:rPr>
            <w:t>1　总则</w:t>
          </w:r>
          <w:r>
            <w:rPr>
              <w:color w:val="auto"/>
            </w:rPr>
            <w:tab/>
          </w:r>
          <w:r>
            <w:rPr>
              <w:color w:val="auto"/>
            </w:rPr>
            <w:fldChar w:fldCharType="begin"/>
          </w:r>
          <w:r>
            <w:rPr>
              <w:color w:val="auto"/>
            </w:rPr>
            <w:instrText xml:space="preserve"> PAGEREF _Toc8211 \h </w:instrText>
          </w:r>
          <w:r>
            <w:rPr>
              <w:color w:val="auto"/>
            </w:rPr>
            <w:fldChar w:fldCharType="separate"/>
          </w:r>
          <w:r>
            <w:rPr>
              <w:color w:val="auto"/>
            </w:rPr>
            <w:t>- 20 -</w:t>
          </w:r>
          <w:r>
            <w:rPr>
              <w:color w:val="auto"/>
            </w:rPr>
            <w:fldChar w:fldCharType="end"/>
          </w:r>
          <w:r>
            <w:rPr>
              <w:color w:val="auto"/>
            </w:rPr>
            <w:fldChar w:fldCharType="end"/>
          </w:r>
        </w:p>
        <w:p w14:paraId="4FA4D188">
          <w:pPr>
            <w:pStyle w:val="19"/>
            <w:tabs>
              <w:tab w:val="right" w:leader="dot" w:pos="8925"/>
            </w:tabs>
            <w:rPr>
              <w:color w:val="auto"/>
            </w:rPr>
          </w:pPr>
          <w:r>
            <w:fldChar w:fldCharType="begin"/>
          </w:r>
          <w:r>
            <w:instrText xml:space="preserve"> HYPERLINK \l "_Toc11552" </w:instrText>
          </w:r>
          <w:r>
            <w:fldChar w:fldCharType="separate"/>
          </w:r>
          <w:r>
            <w:rPr>
              <w:rFonts w:hint="eastAsia" w:ascii="宋体" w:hAnsi="宋体" w:eastAsia="宋体" w:cs="宋体"/>
              <w:bCs/>
              <w:color w:val="auto"/>
              <w:szCs w:val="24"/>
              <w:lang w:eastAsia="zh-CN"/>
            </w:rPr>
            <w:t>1.1　项目概况</w:t>
          </w:r>
          <w:r>
            <w:rPr>
              <w:color w:val="auto"/>
            </w:rPr>
            <w:tab/>
          </w:r>
          <w:r>
            <w:rPr>
              <w:color w:val="auto"/>
            </w:rPr>
            <w:fldChar w:fldCharType="begin"/>
          </w:r>
          <w:r>
            <w:rPr>
              <w:color w:val="auto"/>
            </w:rPr>
            <w:instrText xml:space="preserve"> PAGEREF _Toc11552 \h </w:instrText>
          </w:r>
          <w:r>
            <w:rPr>
              <w:color w:val="auto"/>
            </w:rPr>
            <w:fldChar w:fldCharType="separate"/>
          </w:r>
          <w:r>
            <w:rPr>
              <w:color w:val="auto"/>
            </w:rPr>
            <w:t>- 20 -</w:t>
          </w:r>
          <w:r>
            <w:rPr>
              <w:color w:val="auto"/>
            </w:rPr>
            <w:fldChar w:fldCharType="end"/>
          </w:r>
          <w:r>
            <w:rPr>
              <w:color w:val="auto"/>
            </w:rPr>
            <w:fldChar w:fldCharType="end"/>
          </w:r>
        </w:p>
        <w:p w14:paraId="01072DF2">
          <w:pPr>
            <w:pStyle w:val="19"/>
            <w:tabs>
              <w:tab w:val="right" w:leader="dot" w:pos="8925"/>
            </w:tabs>
            <w:rPr>
              <w:color w:val="auto"/>
            </w:rPr>
          </w:pPr>
          <w:r>
            <w:fldChar w:fldCharType="begin"/>
          </w:r>
          <w:r>
            <w:instrText xml:space="preserve"> HYPERLINK \l "_Toc238" </w:instrText>
          </w:r>
          <w:r>
            <w:fldChar w:fldCharType="separate"/>
          </w:r>
          <w:r>
            <w:rPr>
              <w:rFonts w:hint="eastAsia" w:ascii="宋体" w:hAnsi="宋体" w:eastAsia="宋体" w:cs="宋体"/>
              <w:bCs/>
              <w:color w:val="auto"/>
              <w:szCs w:val="24"/>
              <w:lang w:eastAsia="zh-CN"/>
            </w:rPr>
            <w:t>1.2　资金来源和落实情况</w:t>
          </w:r>
          <w:r>
            <w:rPr>
              <w:color w:val="auto"/>
            </w:rPr>
            <w:tab/>
          </w:r>
          <w:r>
            <w:rPr>
              <w:color w:val="auto"/>
            </w:rPr>
            <w:fldChar w:fldCharType="begin"/>
          </w:r>
          <w:r>
            <w:rPr>
              <w:color w:val="auto"/>
            </w:rPr>
            <w:instrText xml:space="preserve"> PAGEREF _Toc238 \h </w:instrText>
          </w:r>
          <w:r>
            <w:rPr>
              <w:color w:val="auto"/>
            </w:rPr>
            <w:fldChar w:fldCharType="separate"/>
          </w:r>
          <w:r>
            <w:rPr>
              <w:color w:val="auto"/>
            </w:rPr>
            <w:t>- 20 -</w:t>
          </w:r>
          <w:r>
            <w:rPr>
              <w:color w:val="auto"/>
            </w:rPr>
            <w:fldChar w:fldCharType="end"/>
          </w:r>
          <w:r>
            <w:rPr>
              <w:color w:val="auto"/>
            </w:rPr>
            <w:fldChar w:fldCharType="end"/>
          </w:r>
        </w:p>
        <w:p w14:paraId="0B7A40BC">
          <w:pPr>
            <w:pStyle w:val="19"/>
            <w:tabs>
              <w:tab w:val="right" w:leader="dot" w:pos="8925"/>
            </w:tabs>
            <w:rPr>
              <w:color w:val="auto"/>
            </w:rPr>
          </w:pPr>
          <w:r>
            <w:fldChar w:fldCharType="begin"/>
          </w:r>
          <w:r>
            <w:instrText xml:space="preserve"> HYPERLINK \l "_Toc31127" </w:instrText>
          </w:r>
          <w:r>
            <w:fldChar w:fldCharType="separate"/>
          </w:r>
          <w:r>
            <w:rPr>
              <w:rFonts w:hint="eastAsia" w:ascii="宋体" w:hAnsi="宋体" w:eastAsia="宋体" w:cs="宋体"/>
              <w:bCs/>
              <w:color w:val="auto"/>
              <w:szCs w:val="24"/>
              <w:lang w:eastAsia="zh-CN"/>
            </w:rPr>
            <w:t>1.3　招标范围、计划工期和质量要求</w:t>
          </w:r>
          <w:r>
            <w:rPr>
              <w:color w:val="auto"/>
            </w:rPr>
            <w:tab/>
          </w:r>
          <w:r>
            <w:rPr>
              <w:color w:val="auto"/>
            </w:rPr>
            <w:fldChar w:fldCharType="begin"/>
          </w:r>
          <w:r>
            <w:rPr>
              <w:color w:val="auto"/>
            </w:rPr>
            <w:instrText xml:space="preserve"> PAGEREF _Toc31127 \h </w:instrText>
          </w:r>
          <w:r>
            <w:rPr>
              <w:color w:val="auto"/>
            </w:rPr>
            <w:fldChar w:fldCharType="separate"/>
          </w:r>
          <w:r>
            <w:rPr>
              <w:color w:val="auto"/>
            </w:rPr>
            <w:t>- 20 -</w:t>
          </w:r>
          <w:r>
            <w:rPr>
              <w:color w:val="auto"/>
            </w:rPr>
            <w:fldChar w:fldCharType="end"/>
          </w:r>
          <w:r>
            <w:rPr>
              <w:color w:val="auto"/>
            </w:rPr>
            <w:fldChar w:fldCharType="end"/>
          </w:r>
        </w:p>
        <w:p w14:paraId="6C121907">
          <w:pPr>
            <w:pStyle w:val="19"/>
            <w:tabs>
              <w:tab w:val="right" w:leader="dot" w:pos="8925"/>
            </w:tabs>
            <w:rPr>
              <w:color w:val="auto"/>
            </w:rPr>
          </w:pPr>
          <w:r>
            <w:fldChar w:fldCharType="begin"/>
          </w:r>
          <w:r>
            <w:instrText xml:space="preserve"> HYPERLINK \l "_Toc17557" </w:instrText>
          </w:r>
          <w:r>
            <w:fldChar w:fldCharType="separate"/>
          </w:r>
          <w:r>
            <w:rPr>
              <w:rFonts w:hint="eastAsia" w:ascii="宋体" w:hAnsi="宋体" w:eastAsia="宋体" w:cs="宋体"/>
              <w:bCs/>
              <w:color w:val="auto"/>
              <w:szCs w:val="24"/>
              <w:lang w:eastAsia="zh-CN"/>
            </w:rPr>
            <w:t>1.4　投标人资格要求（适用于已进行资格预审的）</w:t>
          </w:r>
          <w:r>
            <w:rPr>
              <w:color w:val="auto"/>
            </w:rPr>
            <w:tab/>
          </w:r>
          <w:r>
            <w:rPr>
              <w:color w:val="auto"/>
            </w:rPr>
            <w:fldChar w:fldCharType="begin"/>
          </w:r>
          <w:r>
            <w:rPr>
              <w:color w:val="auto"/>
            </w:rPr>
            <w:instrText xml:space="preserve"> PAGEREF _Toc17557 \h </w:instrText>
          </w:r>
          <w:r>
            <w:rPr>
              <w:color w:val="auto"/>
            </w:rPr>
            <w:fldChar w:fldCharType="separate"/>
          </w:r>
          <w:r>
            <w:rPr>
              <w:color w:val="auto"/>
            </w:rPr>
            <w:t>- 20 -</w:t>
          </w:r>
          <w:r>
            <w:rPr>
              <w:color w:val="auto"/>
            </w:rPr>
            <w:fldChar w:fldCharType="end"/>
          </w:r>
          <w:r>
            <w:rPr>
              <w:color w:val="auto"/>
            </w:rPr>
            <w:fldChar w:fldCharType="end"/>
          </w:r>
        </w:p>
        <w:p w14:paraId="0D5717BF">
          <w:pPr>
            <w:pStyle w:val="19"/>
            <w:tabs>
              <w:tab w:val="right" w:leader="dot" w:pos="8925"/>
            </w:tabs>
            <w:rPr>
              <w:color w:val="auto"/>
            </w:rPr>
          </w:pPr>
          <w:r>
            <w:fldChar w:fldCharType="begin"/>
          </w:r>
          <w:r>
            <w:instrText xml:space="preserve"> HYPERLINK \l "_Toc20769" </w:instrText>
          </w:r>
          <w:r>
            <w:fldChar w:fldCharType="separate"/>
          </w:r>
          <w:r>
            <w:rPr>
              <w:rFonts w:hint="eastAsia" w:ascii="宋体" w:hAnsi="宋体" w:eastAsia="宋体" w:cs="宋体"/>
              <w:bCs/>
              <w:color w:val="auto"/>
              <w:szCs w:val="24"/>
              <w:lang w:eastAsia="zh-CN"/>
            </w:rPr>
            <w:t>1.4　投标人资格要求（适用于未进行资格预审的）</w:t>
          </w:r>
          <w:r>
            <w:rPr>
              <w:color w:val="auto"/>
            </w:rPr>
            <w:tab/>
          </w:r>
          <w:r>
            <w:rPr>
              <w:color w:val="auto"/>
            </w:rPr>
            <w:fldChar w:fldCharType="begin"/>
          </w:r>
          <w:r>
            <w:rPr>
              <w:color w:val="auto"/>
            </w:rPr>
            <w:instrText xml:space="preserve"> PAGEREF _Toc20769 \h </w:instrText>
          </w:r>
          <w:r>
            <w:rPr>
              <w:color w:val="auto"/>
            </w:rPr>
            <w:fldChar w:fldCharType="separate"/>
          </w:r>
          <w:r>
            <w:rPr>
              <w:color w:val="auto"/>
            </w:rPr>
            <w:t>- 20 -</w:t>
          </w:r>
          <w:r>
            <w:rPr>
              <w:color w:val="auto"/>
            </w:rPr>
            <w:fldChar w:fldCharType="end"/>
          </w:r>
          <w:r>
            <w:rPr>
              <w:color w:val="auto"/>
            </w:rPr>
            <w:fldChar w:fldCharType="end"/>
          </w:r>
        </w:p>
        <w:p w14:paraId="6136AF5C">
          <w:pPr>
            <w:pStyle w:val="19"/>
            <w:tabs>
              <w:tab w:val="right" w:leader="dot" w:pos="8925"/>
            </w:tabs>
            <w:rPr>
              <w:color w:val="auto"/>
            </w:rPr>
          </w:pPr>
          <w:r>
            <w:fldChar w:fldCharType="begin"/>
          </w:r>
          <w:r>
            <w:instrText xml:space="preserve"> HYPERLINK \l "_Toc32150" </w:instrText>
          </w:r>
          <w:r>
            <w:fldChar w:fldCharType="separate"/>
          </w:r>
          <w:r>
            <w:rPr>
              <w:rFonts w:hint="eastAsia" w:ascii="宋体" w:hAnsi="宋体" w:eastAsia="宋体" w:cs="宋体"/>
              <w:bCs/>
              <w:color w:val="auto"/>
              <w:szCs w:val="24"/>
              <w:lang w:eastAsia="zh-CN"/>
            </w:rPr>
            <w:t>1.5　费用承担</w:t>
          </w:r>
          <w:r>
            <w:rPr>
              <w:color w:val="auto"/>
            </w:rPr>
            <w:tab/>
          </w:r>
          <w:r>
            <w:rPr>
              <w:color w:val="auto"/>
            </w:rPr>
            <w:fldChar w:fldCharType="begin"/>
          </w:r>
          <w:r>
            <w:rPr>
              <w:color w:val="auto"/>
            </w:rPr>
            <w:instrText xml:space="preserve"> PAGEREF _Toc32150 \h </w:instrText>
          </w:r>
          <w:r>
            <w:rPr>
              <w:color w:val="auto"/>
            </w:rPr>
            <w:fldChar w:fldCharType="separate"/>
          </w:r>
          <w:r>
            <w:rPr>
              <w:color w:val="auto"/>
            </w:rPr>
            <w:t>- 21 -</w:t>
          </w:r>
          <w:r>
            <w:rPr>
              <w:color w:val="auto"/>
            </w:rPr>
            <w:fldChar w:fldCharType="end"/>
          </w:r>
          <w:r>
            <w:rPr>
              <w:color w:val="auto"/>
            </w:rPr>
            <w:fldChar w:fldCharType="end"/>
          </w:r>
        </w:p>
        <w:p w14:paraId="09F24660">
          <w:pPr>
            <w:pStyle w:val="19"/>
            <w:tabs>
              <w:tab w:val="right" w:leader="dot" w:pos="8925"/>
            </w:tabs>
            <w:rPr>
              <w:color w:val="auto"/>
            </w:rPr>
          </w:pPr>
          <w:r>
            <w:fldChar w:fldCharType="begin"/>
          </w:r>
          <w:r>
            <w:instrText xml:space="preserve"> HYPERLINK \l "_Toc29143" </w:instrText>
          </w:r>
          <w:r>
            <w:fldChar w:fldCharType="separate"/>
          </w:r>
          <w:r>
            <w:rPr>
              <w:rFonts w:hint="eastAsia" w:ascii="宋体" w:hAnsi="宋体" w:eastAsia="宋体" w:cs="宋体"/>
              <w:bCs/>
              <w:color w:val="auto"/>
              <w:szCs w:val="24"/>
              <w:lang w:eastAsia="zh-CN"/>
            </w:rPr>
            <w:t>1.6　保密</w:t>
          </w:r>
          <w:r>
            <w:rPr>
              <w:color w:val="auto"/>
            </w:rPr>
            <w:tab/>
          </w:r>
          <w:r>
            <w:rPr>
              <w:color w:val="auto"/>
            </w:rPr>
            <w:fldChar w:fldCharType="begin"/>
          </w:r>
          <w:r>
            <w:rPr>
              <w:color w:val="auto"/>
            </w:rPr>
            <w:instrText xml:space="preserve"> PAGEREF _Toc29143 \h </w:instrText>
          </w:r>
          <w:r>
            <w:rPr>
              <w:color w:val="auto"/>
            </w:rPr>
            <w:fldChar w:fldCharType="separate"/>
          </w:r>
          <w:r>
            <w:rPr>
              <w:color w:val="auto"/>
            </w:rPr>
            <w:t>- 21 -</w:t>
          </w:r>
          <w:r>
            <w:rPr>
              <w:color w:val="auto"/>
            </w:rPr>
            <w:fldChar w:fldCharType="end"/>
          </w:r>
          <w:r>
            <w:rPr>
              <w:color w:val="auto"/>
            </w:rPr>
            <w:fldChar w:fldCharType="end"/>
          </w:r>
        </w:p>
        <w:p w14:paraId="2E827E35">
          <w:pPr>
            <w:pStyle w:val="19"/>
            <w:tabs>
              <w:tab w:val="right" w:leader="dot" w:pos="8925"/>
            </w:tabs>
            <w:rPr>
              <w:color w:val="auto"/>
            </w:rPr>
          </w:pPr>
          <w:r>
            <w:fldChar w:fldCharType="begin"/>
          </w:r>
          <w:r>
            <w:instrText xml:space="preserve"> HYPERLINK \l "_Toc2597" </w:instrText>
          </w:r>
          <w:r>
            <w:fldChar w:fldCharType="separate"/>
          </w:r>
          <w:r>
            <w:rPr>
              <w:rFonts w:hint="eastAsia" w:ascii="宋体" w:hAnsi="宋体" w:eastAsia="宋体" w:cs="宋体"/>
              <w:bCs/>
              <w:color w:val="auto"/>
              <w:szCs w:val="24"/>
              <w:lang w:eastAsia="zh-CN"/>
            </w:rPr>
            <w:t>1.7　语言文字</w:t>
          </w:r>
          <w:r>
            <w:rPr>
              <w:color w:val="auto"/>
            </w:rPr>
            <w:tab/>
          </w:r>
          <w:r>
            <w:rPr>
              <w:color w:val="auto"/>
            </w:rPr>
            <w:fldChar w:fldCharType="begin"/>
          </w:r>
          <w:r>
            <w:rPr>
              <w:color w:val="auto"/>
            </w:rPr>
            <w:instrText xml:space="preserve"> PAGEREF _Toc2597 \h </w:instrText>
          </w:r>
          <w:r>
            <w:rPr>
              <w:color w:val="auto"/>
            </w:rPr>
            <w:fldChar w:fldCharType="separate"/>
          </w:r>
          <w:r>
            <w:rPr>
              <w:color w:val="auto"/>
            </w:rPr>
            <w:t>- 21 -</w:t>
          </w:r>
          <w:r>
            <w:rPr>
              <w:color w:val="auto"/>
            </w:rPr>
            <w:fldChar w:fldCharType="end"/>
          </w:r>
          <w:r>
            <w:rPr>
              <w:color w:val="auto"/>
            </w:rPr>
            <w:fldChar w:fldCharType="end"/>
          </w:r>
        </w:p>
        <w:p w14:paraId="5F308CF8">
          <w:pPr>
            <w:pStyle w:val="19"/>
            <w:tabs>
              <w:tab w:val="right" w:leader="dot" w:pos="8925"/>
            </w:tabs>
            <w:rPr>
              <w:color w:val="auto"/>
            </w:rPr>
          </w:pPr>
          <w:r>
            <w:fldChar w:fldCharType="begin"/>
          </w:r>
          <w:r>
            <w:instrText xml:space="preserve"> HYPERLINK \l "_Toc30286" </w:instrText>
          </w:r>
          <w:r>
            <w:fldChar w:fldCharType="separate"/>
          </w:r>
          <w:r>
            <w:rPr>
              <w:rFonts w:hint="eastAsia" w:ascii="宋体" w:hAnsi="宋体" w:eastAsia="宋体" w:cs="宋体"/>
              <w:bCs/>
              <w:color w:val="auto"/>
              <w:szCs w:val="24"/>
              <w:lang w:eastAsia="zh-CN"/>
            </w:rPr>
            <w:t>1.8　计量单位</w:t>
          </w:r>
          <w:r>
            <w:rPr>
              <w:color w:val="auto"/>
            </w:rPr>
            <w:tab/>
          </w:r>
          <w:r>
            <w:rPr>
              <w:color w:val="auto"/>
            </w:rPr>
            <w:fldChar w:fldCharType="begin"/>
          </w:r>
          <w:r>
            <w:rPr>
              <w:color w:val="auto"/>
            </w:rPr>
            <w:instrText xml:space="preserve"> PAGEREF _Toc30286 \h </w:instrText>
          </w:r>
          <w:r>
            <w:rPr>
              <w:color w:val="auto"/>
            </w:rPr>
            <w:fldChar w:fldCharType="separate"/>
          </w:r>
          <w:r>
            <w:rPr>
              <w:color w:val="auto"/>
            </w:rPr>
            <w:t>- 22 -</w:t>
          </w:r>
          <w:r>
            <w:rPr>
              <w:color w:val="auto"/>
            </w:rPr>
            <w:fldChar w:fldCharType="end"/>
          </w:r>
          <w:r>
            <w:rPr>
              <w:color w:val="auto"/>
            </w:rPr>
            <w:fldChar w:fldCharType="end"/>
          </w:r>
        </w:p>
        <w:p w14:paraId="649CFE80">
          <w:pPr>
            <w:pStyle w:val="19"/>
            <w:tabs>
              <w:tab w:val="right" w:leader="dot" w:pos="8925"/>
            </w:tabs>
            <w:rPr>
              <w:color w:val="auto"/>
            </w:rPr>
          </w:pPr>
          <w:r>
            <w:fldChar w:fldCharType="begin"/>
          </w:r>
          <w:r>
            <w:instrText xml:space="preserve"> HYPERLINK \l "_Toc22697" </w:instrText>
          </w:r>
          <w:r>
            <w:fldChar w:fldCharType="separate"/>
          </w:r>
          <w:r>
            <w:rPr>
              <w:rFonts w:hint="eastAsia" w:ascii="宋体" w:hAnsi="宋体" w:eastAsia="宋体" w:cs="宋体"/>
              <w:bCs/>
              <w:color w:val="auto"/>
              <w:szCs w:val="24"/>
              <w:lang w:eastAsia="zh-CN"/>
            </w:rPr>
            <w:t>1.9　踏勘现场</w:t>
          </w:r>
          <w:r>
            <w:rPr>
              <w:color w:val="auto"/>
            </w:rPr>
            <w:tab/>
          </w:r>
          <w:r>
            <w:rPr>
              <w:color w:val="auto"/>
            </w:rPr>
            <w:fldChar w:fldCharType="begin"/>
          </w:r>
          <w:r>
            <w:rPr>
              <w:color w:val="auto"/>
            </w:rPr>
            <w:instrText xml:space="preserve"> PAGEREF _Toc22697 \h </w:instrText>
          </w:r>
          <w:r>
            <w:rPr>
              <w:color w:val="auto"/>
            </w:rPr>
            <w:fldChar w:fldCharType="separate"/>
          </w:r>
          <w:r>
            <w:rPr>
              <w:color w:val="auto"/>
            </w:rPr>
            <w:t>- 22 -</w:t>
          </w:r>
          <w:r>
            <w:rPr>
              <w:color w:val="auto"/>
            </w:rPr>
            <w:fldChar w:fldCharType="end"/>
          </w:r>
          <w:r>
            <w:rPr>
              <w:color w:val="auto"/>
            </w:rPr>
            <w:fldChar w:fldCharType="end"/>
          </w:r>
        </w:p>
        <w:p w14:paraId="75DC70BA">
          <w:pPr>
            <w:pStyle w:val="19"/>
            <w:tabs>
              <w:tab w:val="right" w:leader="dot" w:pos="8925"/>
            </w:tabs>
            <w:rPr>
              <w:color w:val="auto"/>
            </w:rPr>
          </w:pPr>
          <w:r>
            <w:fldChar w:fldCharType="begin"/>
          </w:r>
          <w:r>
            <w:instrText xml:space="preserve"> HYPERLINK \l "_Toc15428" </w:instrText>
          </w:r>
          <w:r>
            <w:fldChar w:fldCharType="separate"/>
          </w:r>
          <w:r>
            <w:rPr>
              <w:rFonts w:hint="eastAsia" w:ascii="宋体" w:hAnsi="宋体" w:eastAsia="宋体" w:cs="宋体"/>
              <w:bCs/>
              <w:color w:val="auto"/>
              <w:szCs w:val="24"/>
              <w:lang w:eastAsia="zh-CN"/>
            </w:rPr>
            <w:t>1.10　投标预备会</w:t>
          </w:r>
          <w:r>
            <w:rPr>
              <w:color w:val="auto"/>
            </w:rPr>
            <w:tab/>
          </w:r>
          <w:r>
            <w:rPr>
              <w:color w:val="auto"/>
            </w:rPr>
            <w:fldChar w:fldCharType="begin"/>
          </w:r>
          <w:r>
            <w:rPr>
              <w:color w:val="auto"/>
            </w:rPr>
            <w:instrText xml:space="preserve"> PAGEREF _Toc15428 \h </w:instrText>
          </w:r>
          <w:r>
            <w:rPr>
              <w:color w:val="auto"/>
            </w:rPr>
            <w:fldChar w:fldCharType="separate"/>
          </w:r>
          <w:r>
            <w:rPr>
              <w:color w:val="auto"/>
            </w:rPr>
            <w:t>- 22 -</w:t>
          </w:r>
          <w:r>
            <w:rPr>
              <w:color w:val="auto"/>
            </w:rPr>
            <w:fldChar w:fldCharType="end"/>
          </w:r>
          <w:r>
            <w:rPr>
              <w:color w:val="auto"/>
            </w:rPr>
            <w:fldChar w:fldCharType="end"/>
          </w:r>
        </w:p>
        <w:p w14:paraId="24DD95EB">
          <w:pPr>
            <w:pStyle w:val="19"/>
            <w:tabs>
              <w:tab w:val="right" w:leader="dot" w:pos="8925"/>
            </w:tabs>
            <w:rPr>
              <w:color w:val="auto"/>
            </w:rPr>
          </w:pPr>
          <w:r>
            <w:fldChar w:fldCharType="begin"/>
          </w:r>
          <w:r>
            <w:instrText xml:space="preserve"> HYPERLINK \l "_Toc13274" </w:instrText>
          </w:r>
          <w:r>
            <w:fldChar w:fldCharType="separate"/>
          </w:r>
          <w:r>
            <w:rPr>
              <w:rFonts w:hint="eastAsia" w:ascii="宋体" w:hAnsi="宋体" w:eastAsia="宋体" w:cs="宋体"/>
              <w:bCs/>
              <w:color w:val="auto"/>
              <w:szCs w:val="24"/>
              <w:lang w:eastAsia="zh-CN"/>
            </w:rPr>
            <w:t>1.11　分包</w:t>
          </w:r>
          <w:r>
            <w:rPr>
              <w:color w:val="auto"/>
            </w:rPr>
            <w:tab/>
          </w:r>
          <w:r>
            <w:rPr>
              <w:color w:val="auto"/>
            </w:rPr>
            <w:fldChar w:fldCharType="begin"/>
          </w:r>
          <w:r>
            <w:rPr>
              <w:color w:val="auto"/>
            </w:rPr>
            <w:instrText xml:space="preserve"> PAGEREF _Toc13274 \h </w:instrText>
          </w:r>
          <w:r>
            <w:rPr>
              <w:color w:val="auto"/>
            </w:rPr>
            <w:fldChar w:fldCharType="separate"/>
          </w:r>
          <w:r>
            <w:rPr>
              <w:color w:val="auto"/>
            </w:rPr>
            <w:t>- 22 -</w:t>
          </w:r>
          <w:r>
            <w:rPr>
              <w:color w:val="auto"/>
            </w:rPr>
            <w:fldChar w:fldCharType="end"/>
          </w:r>
          <w:r>
            <w:rPr>
              <w:color w:val="auto"/>
            </w:rPr>
            <w:fldChar w:fldCharType="end"/>
          </w:r>
        </w:p>
        <w:p w14:paraId="63CD2612">
          <w:pPr>
            <w:pStyle w:val="19"/>
            <w:tabs>
              <w:tab w:val="right" w:leader="dot" w:pos="8925"/>
            </w:tabs>
            <w:rPr>
              <w:color w:val="auto"/>
            </w:rPr>
          </w:pPr>
          <w:r>
            <w:fldChar w:fldCharType="begin"/>
          </w:r>
          <w:r>
            <w:instrText xml:space="preserve"> HYPERLINK \l "_Toc24212" </w:instrText>
          </w:r>
          <w:r>
            <w:fldChar w:fldCharType="separate"/>
          </w:r>
          <w:r>
            <w:rPr>
              <w:rFonts w:hint="eastAsia" w:ascii="宋体" w:hAnsi="宋体" w:eastAsia="宋体" w:cs="宋体"/>
              <w:bCs/>
              <w:color w:val="auto"/>
              <w:szCs w:val="24"/>
              <w:lang w:eastAsia="zh-CN"/>
            </w:rPr>
            <w:t>1.12　偏离</w:t>
          </w:r>
          <w:r>
            <w:rPr>
              <w:color w:val="auto"/>
            </w:rPr>
            <w:tab/>
          </w:r>
          <w:r>
            <w:rPr>
              <w:color w:val="auto"/>
            </w:rPr>
            <w:fldChar w:fldCharType="begin"/>
          </w:r>
          <w:r>
            <w:rPr>
              <w:color w:val="auto"/>
            </w:rPr>
            <w:instrText xml:space="preserve"> PAGEREF _Toc24212 \h </w:instrText>
          </w:r>
          <w:r>
            <w:rPr>
              <w:color w:val="auto"/>
            </w:rPr>
            <w:fldChar w:fldCharType="separate"/>
          </w:r>
          <w:r>
            <w:rPr>
              <w:color w:val="auto"/>
            </w:rPr>
            <w:t>- 22 -</w:t>
          </w:r>
          <w:r>
            <w:rPr>
              <w:color w:val="auto"/>
            </w:rPr>
            <w:fldChar w:fldCharType="end"/>
          </w:r>
          <w:r>
            <w:rPr>
              <w:color w:val="auto"/>
            </w:rPr>
            <w:fldChar w:fldCharType="end"/>
          </w:r>
        </w:p>
        <w:p w14:paraId="503A683D">
          <w:pPr>
            <w:pStyle w:val="18"/>
            <w:tabs>
              <w:tab w:val="right" w:leader="dot" w:pos="8925"/>
            </w:tabs>
            <w:rPr>
              <w:color w:val="auto"/>
            </w:rPr>
          </w:pPr>
          <w:r>
            <w:fldChar w:fldCharType="begin"/>
          </w:r>
          <w:r>
            <w:instrText xml:space="preserve"> HYPERLINK \l "_Toc32737" </w:instrText>
          </w:r>
          <w:r>
            <w:fldChar w:fldCharType="separate"/>
          </w:r>
          <w:r>
            <w:rPr>
              <w:rFonts w:hint="eastAsia" w:ascii="宋体" w:hAnsi="宋体" w:eastAsia="宋体" w:cs="宋体"/>
              <w:bCs/>
              <w:color w:val="auto"/>
              <w:szCs w:val="28"/>
              <w:lang w:eastAsia="zh-CN"/>
            </w:rPr>
            <w:t>2　招标文件</w:t>
          </w:r>
          <w:r>
            <w:rPr>
              <w:color w:val="auto"/>
            </w:rPr>
            <w:tab/>
          </w:r>
          <w:r>
            <w:rPr>
              <w:color w:val="auto"/>
            </w:rPr>
            <w:fldChar w:fldCharType="begin"/>
          </w:r>
          <w:r>
            <w:rPr>
              <w:color w:val="auto"/>
            </w:rPr>
            <w:instrText xml:space="preserve"> PAGEREF _Toc32737 \h </w:instrText>
          </w:r>
          <w:r>
            <w:rPr>
              <w:color w:val="auto"/>
            </w:rPr>
            <w:fldChar w:fldCharType="separate"/>
          </w:r>
          <w:r>
            <w:rPr>
              <w:color w:val="auto"/>
            </w:rPr>
            <w:t>- 23 -</w:t>
          </w:r>
          <w:r>
            <w:rPr>
              <w:color w:val="auto"/>
            </w:rPr>
            <w:fldChar w:fldCharType="end"/>
          </w:r>
          <w:r>
            <w:rPr>
              <w:color w:val="auto"/>
            </w:rPr>
            <w:fldChar w:fldCharType="end"/>
          </w:r>
        </w:p>
        <w:p w14:paraId="6BBDD4FC">
          <w:pPr>
            <w:pStyle w:val="19"/>
            <w:tabs>
              <w:tab w:val="right" w:leader="dot" w:pos="8925"/>
            </w:tabs>
            <w:rPr>
              <w:color w:val="auto"/>
            </w:rPr>
          </w:pPr>
          <w:r>
            <w:fldChar w:fldCharType="begin"/>
          </w:r>
          <w:r>
            <w:instrText xml:space="preserve"> HYPERLINK \l "_Toc30141" </w:instrText>
          </w:r>
          <w:r>
            <w:fldChar w:fldCharType="separate"/>
          </w:r>
          <w:r>
            <w:rPr>
              <w:rFonts w:hint="eastAsia" w:ascii="宋体" w:hAnsi="宋体" w:eastAsia="宋体" w:cs="宋体"/>
              <w:bCs/>
              <w:color w:val="auto"/>
              <w:szCs w:val="24"/>
              <w:lang w:eastAsia="zh-CN"/>
            </w:rPr>
            <w:t>2.1　招标文件的组成</w:t>
          </w:r>
          <w:r>
            <w:rPr>
              <w:color w:val="auto"/>
            </w:rPr>
            <w:tab/>
          </w:r>
          <w:r>
            <w:rPr>
              <w:color w:val="auto"/>
            </w:rPr>
            <w:fldChar w:fldCharType="begin"/>
          </w:r>
          <w:r>
            <w:rPr>
              <w:color w:val="auto"/>
            </w:rPr>
            <w:instrText xml:space="preserve"> PAGEREF _Toc30141 \h </w:instrText>
          </w:r>
          <w:r>
            <w:rPr>
              <w:color w:val="auto"/>
            </w:rPr>
            <w:fldChar w:fldCharType="separate"/>
          </w:r>
          <w:r>
            <w:rPr>
              <w:color w:val="auto"/>
            </w:rPr>
            <w:t>- 23 -</w:t>
          </w:r>
          <w:r>
            <w:rPr>
              <w:color w:val="auto"/>
            </w:rPr>
            <w:fldChar w:fldCharType="end"/>
          </w:r>
          <w:r>
            <w:rPr>
              <w:color w:val="auto"/>
            </w:rPr>
            <w:fldChar w:fldCharType="end"/>
          </w:r>
        </w:p>
        <w:p w14:paraId="6CA0A5CE">
          <w:pPr>
            <w:pStyle w:val="19"/>
            <w:tabs>
              <w:tab w:val="right" w:leader="dot" w:pos="8925"/>
            </w:tabs>
            <w:rPr>
              <w:color w:val="auto"/>
            </w:rPr>
          </w:pPr>
          <w:r>
            <w:fldChar w:fldCharType="begin"/>
          </w:r>
          <w:r>
            <w:instrText xml:space="preserve"> HYPERLINK \l "_Toc3154" </w:instrText>
          </w:r>
          <w:r>
            <w:fldChar w:fldCharType="separate"/>
          </w:r>
          <w:r>
            <w:rPr>
              <w:rFonts w:hint="eastAsia" w:ascii="宋体" w:hAnsi="宋体" w:eastAsia="宋体" w:cs="宋体"/>
              <w:bCs/>
              <w:color w:val="auto"/>
              <w:szCs w:val="24"/>
              <w:lang w:eastAsia="zh-CN"/>
            </w:rPr>
            <w:t>2.2　招标文件的澄清</w:t>
          </w:r>
          <w:r>
            <w:rPr>
              <w:color w:val="auto"/>
            </w:rPr>
            <w:tab/>
          </w:r>
          <w:r>
            <w:rPr>
              <w:color w:val="auto"/>
            </w:rPr>
            <w:fldChar w:fldCharType="begin"/>
          </w:r>
          <w:r>
            <w:rPr>
              <w:color w:val="auto"/>
            </w:rPr>
            <w:instrText xml:space="preserve"> PAGEREF _Toc3154 \h </w:instrText>
          </w:r>
          <w:r>
            <w:rPr>
              <w:color w:val="auto"/>
            </w:rPr>
            <w:fldChar w:fldCharType="separate"/>
          </w:r>
          <w:r>
            <w:rPr>
              <w:color w:val="auto"/>
            </w:rPr>
            <w:t>- 23 -</w:t>
          </w:r>
          <w:r>
            <w:rPr>
              <w:color w:val="auto"/>
            </w:rPr>
            <w:fldChar w:fldCharType="end"/>
          </w:r>
          <w:r>
            <w:rPr>
              <w:color w:val="auto"/>
            </w:rPr>
            <w:fldChar w:fldCharType="end"/>
          </w:r>
        </w:p>
        <w:p w14:paraId="6A05BD27">
          <w:pPr>
            <w:pStyle w:val="19"/>
            <w:tabs>
              <w:tab w:val="right" w:leader="dot" w:pos="8925"/>
            </w:tabs>
            <w:rPr>
              <w:color w:val="auto"/>
            </w:rPr>
          </w:pPr>
          <w:r>
            <w:fldChar w:fldCharType="begin"/>
          </w:r>
          <w:r>
            <w:instrText xml:space="preserve"> HYPERLINK \l "_Toc4042" </w:instrText>
          </w:r>
          <w:r>
            <w:fldChar w:fldCharType="separate"/>
          </w:r>
          <w:r>
            <w:rPr>
              <w:rFonts w:hint="eastAsia" w:ascii="宋体" w:hAnsi="宋体" w:eastAsia="宋体" w:cs="宋体"/>
              <w:bCs/>
              <w:color w:val="auto"/>
              <w:szCs w:val="24"/>
              <w:lang w:eastAsia="zh-CN"/>
            </w:rPr>
            <w:t>2.3　招标文件的修改</w:t>
          </w:r>
          <w:r>
            <w:rPr>
              <w:color w:val="auto"/>
            </w:rPr>
            <w:tab/>
          </w:r>
          <w:r>
            <w:rPr>
              <w:color w:val="auto"/>
            </w:rPr>
            <w:fldChar w:fldCharType="begin"/>
          </w:r>
          <w:r>
            <w:rPr>
              <w:color w:val="auto"/>
            </w:rPr>
            <w:instrText xml:space="preserve"> PAGEREF _Toc4042 \h </w:instrText>
          </w:r>
          <w:r>
            <w:rPr>
              <w:color w:val="auto"/>
            </w:rPr>
            <w:fldChar w:fldCharType="separate"/>
          </w:r>
          <w:r>
            <w:rPr>
              <w:color w:val="auto"/>
            </w:rPr>
            <w:t>- 23 -</w:t>
          </w:r>
          <w:r>
            <w:rPr>
              <w:color w:val="auto"/>
            </w:rPr>
            <w:fldChar w:fldCharType="end"/>
          </w:r>
          <w:r>
            <w:rPr>
              <w:color w:val="auto"/>
            </w:rPr>
            <w:fldChar w:fldCharType="end"/>
          </w:r>
        </w:p>
        <w:p w14:paraId="793681F7">
          <w:pPr>
            <w:pStyle w:val="18"/>
            <w:tabs>
              <w:tab w:val="right" w:leader="dot" w:pos="8925"/>
            </w:tabs>
            <w:rPr>
              <w:color w:val="auto"/>
            </w:rPr>
          </w:pPr>
          <w:r>
            <w:fldChar w:fldCharType="begin"/>
          </w:r>
          <w:r>
            <w:instrText xml:space="preserve"> HYPERLINK \l "_Toc24747" </w:instrText>
          </w:r>
          <w:r>
            <w:fldChar w:fldCharType="separate"/>
          </w:r>
          <w:r>
            <w:rPr>
              <w:rFonts w:hint="eastAsia" w:ascii="宋体" w:hAnsi="宋体" w:eastAsia="宋体" w:cs="宋体"/>
              <w:bCs/>
              <w:color w:val="auto"/>
              <w:szCs w:val="28"/>
              <w:lang w:eastAsia="zh-CN"/>
            </w:rPr>
            <w:t>3　投标文件</w:t>
          </w:r>
          <w:r>
            <w:rPr>
              <w:color w:val="auto"/>
            </w:rPr>
            <w:tab/>
          </w:r>
          <w:r>
            <w:rPr>
              <w:color w:val="auto"/>
            </w:rPr>
            <w:fldChar w:fldCharType="begin"/>
          </w:r>
          <w:r>
            <w:rPr>
              <w:color w:val="auto"/>
            </w:rPr>
            <w:instrText xml:space="preserve"> PAGEREF _Toc24747 \h </w:instrText>
          </w:r>
          <w:r>
            <w:rPr>
              <w:color w:val="auto"/>
            </w:rPr>
            <w:fldChar w:fldCharType="separate"/>
          </w:r>
          <w:r>
            <w:rPr>
              <w:color w:val="auto"/>
            </w:rPr>
            <w:t>- 24 -</w:t>
          </w:r>
          <w:r>
            <w:rPr>
              <w:color w:val="auto"/>
            </w:rPr>
            <w:fldChar w:fldCharType="end"/>
          </w:r>
          <w:r>
            <w:rPr>
              <w:color w:val="auto"/>
            </w:rPr>
            <w:fldChar w:fldCharType="end"/>
          </w:r>
        </w:p>
        <w:p w14:paraId="3B24EA26">
          <w:pPr>
            <w:pStyle w:val="19"/>
            <w:tabs>
              <w:tab w:val="right" w:leader="dot" w:pos="8925"/>
            </w:tabs>
            <w:rPr>
              <w:color w:val="auto"/>
            </w:rPr>
          </w:pPr>
          <w:r>
            <w:fldChar w:fldCharType="begin"/>
          </w:r>
          <w:r>
            <w:instrText xml:space="preserve"> HYPERLINK \l "_Toc2396" </w:instrText>
          </w:r>
          <w:r>
            <w:fldChar w:fldCharType="separate"/>
          </w:r>
          <w:r>
            <w:rPr>
              <w:rFonts w:hint="eastAsia" w:ascii="宋体" w:hAnsi="宋体" w:eastAsia="宋体" w:cs="宋体"/>
              <w:bCs/>
              <w:color w:val="auto"/>
              <w:szCs w:val="24"/>
              <w:lang w:eastAsia="zh-CN"/>
            </w:rPr>
            <w:t>3.1　投标文件的组成</w:t>
          </w:r>
          <w:r>
            <w:rPr>
              <w:color w:val="auto"/>
            </w:rPr>
            <w:tab/>
          </w:r>
          <w:r>
            <w:rPr>
              <w:color w:val="auto"/>
            </w:rPr>
            <w:fldChar w:fldCharType="begin"/>
          </w:r>
          <w:r>
            <w:rPr>
              <w:color w:val="auto"/>
            </w:rPr>
            <w:instrText xml:space="preserve"> PAGEREF _Toc2396 \h </w:instrText>
          </w:r>
          <w:r>
            <w:rPr>
              <w:color w:val="auto"/>
            </w:rPr>
            <w:fldChar w:fldCharType="separate"/>
          </w:r>
          <w:r>
            <w:rPr>
              <w:color w:val="auto"/>
            </w:rPr>
            <w:t>- 24 -</w:t>
          </w:r>
          <w:r>
            <w:rPr>
              <w:color w:val="auto"/>
            </w:rPr>
            <w:fldChar w:fldCharType="end"/>
          </w:r>
          <w:r>
            <w:rPr>
              <w:color w:val="auto"/>
            </w:rPr>
            <w:fldChar w:fldCharType="end"/>
          </w:r>
        </w:p>
        <w:p w14:paraId="123792BE">
          <w:pPr>
            <w:pStyle w:val="19"/>
            <w:tabs>
              <w:tab w:val="right" w:leader="dot" w:pos="8925"/>
            </w:tabs>
            <w:rPr>
              <w:color w:val="auto"/>
            </w:rPr>
          </w:pPr>
          <w:r>
            <w:fldChar w:fldCharType="begin"/>
          </w:r>
          <w:r>
            <w:instrText xml:space="preserve"> HYPERLINK \l "_Toc30142" </w:instrText>
          </w:r>
          <w:r>
            <w:fldChar w:fldCharType="separate"/>
          </w:r>
          <w:r>
            <w:rPr>
              <w:rFonts w:hint="eastAsia" w:ascii="宋体" w:hAnsi="宋体" w:eastAsia="宋体" w:cs="宋体"/>
              <w:bCs/>
              <w:color w:val="auto"/>
              <w:szCs w:val="24"/>
              <w:lang w:eastAsia="zh-CN"/>
            </w:rPr>
            <w:t>3.2　投标报价</w:t>
          </w:r>
          <w:r>
            <w:rPr>
              <w:color w:val="auto"/>
            </w:rPr>
            <w:tab/>
          </w:r>
          <w:r>
            <w:rPr>
              <w:color w:val="auto"/>
            </w:rPr>
            <w:fldChar w:fldCharType="begin"/>
          </w:r>
          <w:r>
            <w:rPr>
              <w:color w:val="auto"/>
            </w:rPr>
            <w:instrText xml:space="preserve"> PAGEREF _Toc30142 \h </w:instrText>
          </w:r>
          <w:r>
            <w:rPr>
              <w:color w:val="auto"/>
            </w:rPr>
            <w:fldChar w:fldCharType="separate"/>
          </w:r>
          <w:r>
            <w:rPr>
              <w:color w:val="auto"/>
            </w:rPr>
            <w:t>- 25 -</w:t>
          </w:r>
          <w:r>
            <w:rPr>
              <w:color w:val="auto"/>
            </w:rPr>
            <w:fldChar w:fldCharType="end"/>
          </w:r>
          <w:r>
            <w:rPr>
              <w:color w:val="auto"/>
            </w:rPr>
            <w:fldChar w:fldCharType="end"/>
          </w:r>
        </w:p>
        <w:p w14:paraId="79053BD1">
          <w:pPr>
            <w:pStyle w:val="19"/>
            <w:tabs>
              <w:tab w:val="right" w:leader="dot" w:pos="8925"/>
            </w:tabs>
            <w:rPr>
              <w:color w:val="auto"/>
            </w:rPr>
          </w:pPr>
          <w:r>
            <w:fldChar w:fldCharType="begin"/>
          </w:r>
          <w:r>
            <w:instrText xml:space="preserve"> HYPERLINK \l "_Toc5095" </w:instrText>
          </w:r>
          <w:r>
            <w:fldChar w:fldCharType="separate"/>
          </w:r>
          <w:r>
            <w:rPr>
              <w:rFonts w:hint="eastAsia" w:ascii="宋体" w:hAnsi="宋体" w:eastAsia="宋体" w:cs="宋体"/>
              <w:bCs/>
              <w:color w:val="auto"/>
              <w:szCs w:val="24"/>
              <w:lang w:eastAsia="zh-CN"/>
            </w:rPr>
            <w:t>3.3　投标有效期</w:t>
          </w:r>
          <w:r>
            <w:rPr>
              <w:color w:val="auto"/>
            </w:rPr>
            <w:tab/>
          </w:r>
          <w:r>
            <w:rPr>
              <w:color w:val="auto"/>
            </w:rPr>
            <w:fldChar w:fldCharType="begin"/>
          </w:r>
          <w:r>
            <w:rPr>
              <w:color w:val="auto"/>
            </w:rPr>
            <w:instrText xml:space="preserve"> PAGEREF _Toc5095 \h </w:instrText>
          </w:r>
          <w:r>
            <w:rPr>
              <w:color w:val="auto"/>
            </w:rPr>
            <w:fldChar w:fldCharType="separate"/>
          </w:r>
          <w:r>
            <w:rPr>
              <w:color w:val="auto"/>
            </w:rPr>
            <w:t>- 25 -</w:t>
          </w:r>
          <w:r>
            <w:rPr>
              <w:color w:val="auto"/>
            </w:rPr>
            <w:fldChar w:fldCharType="end"/>
          </w:r>
          <w:r>
            <w:rPr>
              <w:color w:val="auto"/>
            </w:rPr>
            <w:fldChar w:fldCharType="end"/>
          </w:r>
        </w:p>
        <w:p w14:paraId="58D4B4FD">
          <w:pPr>
            <w:pStyle w:val="19"/>
            <w:tabs>
              <w:tab w:val="right" w:leader="dot" w:pos="8925"/>
            </w:tabs>
            <w:rPr>
              <w:color w:val="auto"/>
            </w:rPr>
          </w:pPr>
          <w:r>
            <w:fldChar w:fldCharType="begin"/>
          </w:r>
          <w:r>
            <w:instrText xml:space="preserve"> HYPERLINK \l "_Toc2929" </w:instrText>
          </w:r>
          <w:r>
            <w:fldChar w:fldCharType="separate"/>
          </w:r>
          <w:r>
            <w:rPr>
              <w:rFonts w:hint="eastAsia" w:ascii="宋体" w:hAnsi="宋体" w:eastAsia="宋体" w:cs="宋体"/>
              <w:bCs/>
              <w:color w:val="auto"/>
              <w:szCs w:val="24"/>
              <w:lang w:eastAsia="zh-CN"/>
            </w:rPr>
            <w:t>3.4　投标保证金</w:t>
          </w:r>
          <w:r>
            <w:rPr>
              <w:color w:val="auto"/>
            </w:rPr>
            <w:tab/>
          </w:r>
          <w:r>
            <w:rPr>
              <w:color w:val="auto"/>
            </w:rPr>
            <w:fldChar w:fldCharType="begin"/>
          </w:r>
          <w:r>
            <w:rPr>
              <w:color w:val="auto"/>
            </w:rPr>
            <w:instrText xml:space="preserve"> PAGEREF _Toc2929 \h </w:instrText>
          </w:r>
          <w:r>
            <w:rPr>
              <w:color w:val="auto"/>
            </w:rPr>
            <w:fldChar w:fldCharType="separate"/>
          </w:r>
          <w:r>
            <w:rPr>
              <w:color w:val="auto"/>
            </w:rPr>
            <w:t>- 25 -</w:t>
          </w:r>
          <w:r>
            <w:rPr>
              <w:color w:val="auto"/>
            </w:rPr>
            <w:fldChar w:fldCharType="end"/>
          </w:r>
          <w:r>
            <w:rPr>
              <w:color w:val="auto"/>
            </w:rPr>
            <w:fldChar w:fldCharType="end"/>
          </w:r>
        </w:p>
        <w:p w14:paraId="733035AF">
          <w:pPr>
            <w:pStyle w:val="19"/>
            <w:tabs>
              <w:tab w:val="right" w:leader="dot" w:pos="8925"/>
            </w:tabs>
            <w:rPr>
              <w:color w:val="auto"/>
            </w:rPr>
          </w:pPr>
          <w:r>
            <w:fldChar w:fldCharType="begin"/>
          </w:r>
          <w:r>
            <w:instrText xml:space="preserve"> HYPERLINK \l "_Toc31476" </w:instrText>
          </w:r>
          <w:r>
            <w:fldChar w:fldCharType="separate"/>
          </w:r>
          <w:r>
            <w:rPr>
              <w:rFonts w:hint="eastAsia" w:ascii="宋体" w:hAnsi="宋体" w:eastAsia="宋体" w:cs="宋体"/>
              <w:bCs/>
              <w:strike/>
              <w:color w:val="auto"/>
              <w:szCs w:val="24"/>
              <w:lang w:eastAsia="zh-CN"/>
            </w:rPr>
            <w:t>3.5　资格审查资料（适用于已进行资格预审的）</w:t>
          </w:r>
          <w:r>
            <w:rPr>
              <w:color w:val="auto"/>
            </w:rPr>
            <w:tab/>
          </w:r>
          <w:r>
            <w:rPr>
              <w:color w:val="auto"/>
            </w:rPr>
            <w:fldChar w:fldCharType="begin"/>
          </w:r>
          <w:r>
            <w:rPr>
              <w:color w:val="auto"/>
            </w:rPr>
            <w:instrText xml:space="preserve"> PAGEREF _Toc31476 \h </w:instrText>
          </w:r>
          <w:r>
            <w:rPr>
              <w:color w:val="auto"/>
            </w:rPr>
            <w:fldChar w:fldCharType="separate"/>
          </w:r>
          <w:r>
            <w:rPr>
              <w:color w:val="auto"/>
            </w:rPr>
            <w:t>- 26 -</w:t>
          </w:r>
          <w:r>
            <w:rPr>
              <w:color w:val="auto"/>
            </w:rPr>
            <w:fldChar w:fldCharType="end"/>
          </w:r>
          <w:r>
            <w:rPr>
              <w:color w:val="auto"/>
            </w:rPr>
            <w:fldChar w:fldCharType="end"/>
          </w:r>
        </w:p>
        <w:p w14:paraId="1B886A5F">
          <w:pPr>
            <w:pStyle w:val="19"/>
            <w:tabs>
              <w:tab w:val="right" w:leader="dot" w:pos="8925"/>
            </w:tabs>
            <w:rPr>
              <w:color w:val="auto"/>
            </w:rPr>
          </w:pPr>
          <w:r>
            <w:fldChar w:fldCharType="begin"/>
          </w:r>
          <w:r>
            <w:instrText xml:space="preserve"> HYPERLINK \l "_Toc1401" </w:instrText>
          </w:r>
          <w:r>
            <w:fldChar w:fldCharType="separate"/>
          </w:r>
          <w:r>
            <w:rPr>
              <w:rFonts w:hint="eastAsia" w:ascii="宋体" w:hAnsi="宋体" w:eastAsia="宋体" w:cs="宋体"/>
              <w:bCs/>
              <w:color w:val="auto"/>
              <w:szCs w:val="24"/>
              <w:lang w:eastAsia="zh-CN"/>
            </w:rPr>
            <w:t>3.5　资格审查资料（适用于未进行资格预审的）</w:t>
          </w:r>
          <w:r>
            <w:rPr>
              <w:color w:val="auto"/>
            </w:rPr>
            <w:tab/>
          </w:r>
          <w:r>
            <w:rPr>
              <w:color w:val="auto"/>
            </w:rPr>
            <w:fldChar w:fldCharType="begin"/>
          </w:r>
          <w:r>
            <w:rPr>
              <w:color w:val="auto"/>
            </w:rPr>
            <w:instrText xml:space="preserve"> PAGEREF _Toc1401 \h </w:instrText>
          </w:r>
          <w:r>
            <w:rPr>
              <w:color w:val="auto"/>
            </w:rPr>
            <w:fldChar w:fldCharType="separate"/>
          </w:r>
          <w:r>
            <w:rPr>
              <w:color w:val="auto"/>
            </w:rPr>
            <w:t>- 26 -</w:t>
          </w:r>
          <w:r>
            <w:rPr>
              <w:color w:val="auto"/>
            </w:rPr>
            <w:fldChar w:fldCharType="end"/>
          </w:r>
          <w:r>
            <w:rPr>
              <w:color w:val="auto"/>
            </w:rPr>
            <w:fldChar w:fldCharType="end"/>
          </w:r>
        </w:p>
        <w:p w14:paraId="5B657249">
          <w:pPr>
            <w:pStyle w:val="19"/>
            <w:tabs>
              <w:tab w:val="right" w:leader="dot" w:pos="8925"/>
            </w:tabs>
            <w:rPr>
              <w:color w:val="auto"/>
            </w:rPr>
          </w:pPr>
          <w:r>
            <w:fldChar w:fldCharType="begin"/>
          </w:r>
          <w:r>
            <w:instrText xml:space="preserve"> HYPERLINK \l "_Toc2157" </w:instrText>
          </w:r>
          <w:r>
            <w:fldChar w:fldCharType="separate"/>
          </w:r>
          <w:r>
            <w:rPr>
              <w:rFonts w:hint="eastAsia" w:ascii="宋体" w:hAnsi="宋体" w:eastAsia="宋体" w:cs="宋体"/>
              <w:bCs/>
              <w:color w:val="auto"/>
              <w:szCs w:val="24"/>
              <w:lang w:eastAsia="zh-CN"/>
            </w:rPr>
            <w:t>3.6　备选投标方案</w:t>
          </w:r>
          <w:r>
            <w:rPr>
              <w:color w:val="auto"/>
            </w:rPr>
            <w:tab/>
          </w:r>
          <w:r>
            <w:rPr>
              <w:color w:val="auto"/>
            </w:rPr>
            <w:fldChar w:fldCharType="begin"/>
          </w:r>
          <w:r>
            <w:rPr>
              <w:color w:val="auto"/>
            </w:rPr>
            <w:instrText xml:space="preserve"> PAGEREF _Toc2157 \h </w:instrText>
          </w:r>
          <w:r>
            <w:rPr>
              <w:color w:val="auto"/>
            </w:rPr>
            <w:fldChar w:fldCharType="separate"/>
          </w:r>
          <w:r>
            <w:rPr>
              <w:color w:val="auto"/>
            </w:rPr>
            <w:t>- 26 -</w:t>
          </w:r>
          <w:r>
            <w:rPr>
              <w:color w:val="auto"/>
            </w:rPr>
            <w:fldChar w:fldCharType="end"/>
          </w:r>
          <w:r>
            <w:rPr>
              <w:color w:val="auto"/>
            </w:rPr>
            <w:fldChar w:fldCharType="end"/>
          </w:r>
        </w:p>
        <w:p w14:paraId="5DDE4810">
          <w:pPr>
            <w:pStyle w:val="19"/>
            <w:tabs>
              <w:tab w:val="right" w:leader="dot" w:pos="8925"/>
            </w:tabs>
            <w:rPr>
              <w:color w:val="auto"/>
            </w:rPr>
          </w:pPr>
          <w:r>
            <w:fldChar w:fldCharType="begin"/>
          </w:r>
          <w:r>
            <w:instrText xml:space="preserve"> HYPERLINK \l "_Toc20222" </w:instrText>
          </w:r>
          <w:r>
            <w:fldChar w:fldCharType="separate"/>
          </w:r>
          <w:r>
            <w:rPr>
              <w:rFonts w:hint="eastAsia" w:ascii="宋体" w:hAnsi="宋体" w:eastAsia="宋体" w:cs="宋体"/>
              <w:bCs/>
              <w:color w:val="auto"/>
              <w:szCs w:val="24"/>
              <w:lang w:eastAsia="zh-CN"/>
            </w:rPr>
            <w:t>3.7　投标文件的编制</w:t>
          </w:r>
          <w:r>
            <w:rPr>
              <w:color w:val="auto"/>
            </w:rPr>
            <w:tab/>
          </w:r>
          <w:r>
            <w:rPr>
              <w:color w:val="auto"/>
            </w:rPr>
            <w:fldChar w:fldCharType="begin"/>
          </w:r>
          <w:r>
            <w:rPr>
              <w:color w:val="auto"/>
            </w:rPr>
            <w:instrText xml:space="preserve"> PAGEREF _Toc20222 \h </w:instrText>
          </w:r>
          <w:r>
            <w:rPr>
              <w:color w:val="auto"/>
            </w:rPr>
            <w:fldChar w:fldCharType="separate"/>
          </w:r>
          <w:r>
            <w:rPr>
              <w:color w:val="auto"/>
            </w:rPr>
            <w:t>- 27 -</w:t>
          </w:r>
          <w:r>
            <w:rPr>
              <w:color w:val="auto"/>
            </w:rPr>
            <w:fldChar w:fldCharType="end"/>
          </w:r>
          <w:r>
            <w:rPr>
              <w:color w:val="auto"/>
            </w:rPr>
            <w:fldChar w:fldCharType="end"/>
          </w:r>
        </w:p>
        <w:p w14:paraId="337F7D15">
          <w:pPr>
            <w:pStyle w:val="18"/>
            <w:tabs>
              <w:tab w:val="right" w:leader="dot" w:pos="8925"/>
            </w:tabs>
            <w:rPr>
              <w:color w:val="auto"/>
            </w:rPr>
          </w:pPr>
          <w:r>
            <w:fldChar w:fldCharType="begin"/>
          </w:r>
          <w:r>
            <w:instrText xml:space="preserve"> HYPERLINK \l "_Toc10291" </w:instrText>
          </w:r>
          <w:r>
            <w:fldChar w:fldCharType="separate"/>
          </w:r>
          <w:r>
            <w:rPr>
              <w:rFonts w:hint="eastAsia" w:ascii="宋体" w:hAnsi="宋体" w:eastAsia="宋体" w:cs="宋体"/>
              <w:bCs/>
              <w:color w:val="auto"/>
              <w:szCs w:val="28"/>
              <w:lang w:eastAsia="zh-CN"/>
            </w:rPr>
            <w:t>4　投标</w:t>
          </w:r>
          <w:r>
            <w:rPr>
              <w:color w:val="auto"/>
            </w:rPr>
            <w:tab/>
          </w:r>
          <w:r>
            <w:rPr>
              <w:color w:val="auto"/>
            </w:rPr>
            <w:fldChar w:fldCharType="begin"/>
          </w:r>
          <w:r>
            <w:rPr>
              <w:color w:val="auto"/>
            </w:rPr>
            <w:instrText xml:space="preserve"> PAGEREF _Toc10291 \h </w:instrText>
          </w:r>
          <w:r>
            <w:rPr>
              <w:color w:val="auto"/>
            </w:rPr>
            <w:fldChar w:fldCharType="separate"/>
          </w:r>
          <w:r>
            <w:rPr>
              <w:color w:val="auto"/>
            </w:rPr>
            <w:t>- 27 -</w:t>
          </w:r>
          <w:r>
            <w:rPr>
              <w:color w:val="auto"/>
            </w:rPr>
            <w:fldChar w:fldCharType="end"/>
          </w:r>
          <w:r>
            <w:rPr>
              <w:color w:val="auto"/>
            </w:rPr>
            <w:fldChar w:fldCharType="end"/>
          </w:r>
        </w:p>
        <w:p w14:paraId="3CEE5E5A">
          <w:pPr>
            <w:pStyle w:val="19"/>
            <w:tabs>
              <w:tab w:val="right" w:leader="dot" w:pos="8925"/>
            </w:tabs>
            <w:rPr>
              <w:color w:val="auto"/>
            </w:rPr>
          </w:pPr>
          <w:r>
            <w:fldChar w:fldCharType="begin"/>
          </w:r>
          <w:r>
            <w:instrText xml:space="preserve"> HYPERLINK \l "_Toc1096" </w:instrText>
          </w:r>
          <w:r>
            <w:fldChar w:fldCharType="separate"/>
          </w:r>
          <w:r>
            <w:rPr>
              <w:rFonts w:hint="eastAsia" w:ascii="宋体" w:hAnsi="宋体" w:eastAsia="宋体" w:cs="宋体"/>
              <w:bCs/>
              <w:color w:val="auto"/>
              <w:szCs w:val="24"/>
              <w:lang w:eastAsia="zh-CN"/>
            </w:rPr>
            <w:t>4.1　投标文件的密封和标识</w:t>
          </w:r>
          <w:r>
            <w:rPr>
              <w:color w:val="auto"/>
            </w:rPr>
            <w:tab/>
          </w:r>
          <w:r>
            <w:rPr>
              <w:color w:val="auto"/>
            </w:rPr>
            <w:fldChar w:fldCharType="begin"/>
          </w:r>
          <w:r>
            <w:rPr>
              <w:color w:val="auto"/>
            </w:rPr>
            <w:instrText xml:space="preserve"> PAGEREF _Toc1096 \h </w:instrText>
          </w:r>
          <w:r>
            <w:rPr>
              <w:color w:val="auto"/>
            </w:rPr>
            <w:fldChar w:fldCharType="separate"/>
          </w:r>
          <w:r>
            <w:rPr>
              <w:color w:val="auto"/>
            </w:rPr>
            <w:t>- 27 -</w:t>
          </w:r>
          <w:r>
            <w:rPr>
              <w:color w:val="auto"/>
            </w:rPr>
            <w:fldChar w:fldCharType="end"/>
          </w:r>
          <w:r>
            <w:rPr>
              <w:color w:val="auto"/>
            </w:rPr>
            <w:fldChar w:fldCharType="end"/>
          </w:r>
        </w:p>
        <w:p w14:paraId="1FA686BA">
          <w:pPr>
            <w:pStyle w:val="19"/>
            <w:tabs>
              <w:tab w:val="right" w:leader="dot" w:pos="8925"/>
            </w:tabs>
            <w:rPr>
              <w:color w:val="auto"/>
            </w:rPr>
          </w:pPr>
          <w:r>
            <w:fldChar w:fldCharType="begin"/>
          </w:r>
          <w:r>
            <w:instrText xml:space="preserve"> HYPERLINK \l "_Toc11675" </w:instrText>
          </w:r>
          <w:r>
            <w:fldChar w:fldCharType="separate"/>
          </w:r>
          <w:r>
            <w:rPr>
              <w:rFonts w:hint="eastAsia" w:ascii="宋体" w:hAnsi="宋体" w:eastAsia="宋体" w:cs="宋体"/>
              <w:bCs/>
              <w:color w:val="auto"/>
              <w:szCs w:val="24"/>
              <w:lang w:eastAsia="zh-CN"/>
            </w:rPr>
            <w:t>4.2　投标文件的递交</w:t>
          </w:r>
          <w:r>
            <w:rPr>
              <w:color w:val="auto"/>
            </w:rPr>
            <w:tab/>
          </w:r>
          <w:r>
            <w:rPr>
              <w:color w:val="auto"/>
            </w:rPr>
            <w:fldChar w:fldCharType="begin"/>
          </w:r>
          <w:r>
            <w:rPr>
              <w:color w:val="auto"/>
            </w:rPr>
            <w:instrText xml:space="preserve"> PAGEREF _Toc11675 \h </w:instrText>
          </w:r>
          <w:r>
            <w:rPr>
              <w:color w:val="auto"/>
            </w:rPr>
            <w:fldChar w:fldCharType="separate"/>
          </w:r>
          <w:r>
            <w:rPr>
              <w:color w:val="auto"/>
            </w:rPr>
            <w:t>- 27 -</w:t>
          </w:r>
          <w:r>
            <w:rPr>
              <w:color w:val="auto"/>
            </w:rPr>
            <w:fldChar w:fldCharType="end"/>
          </w:r>
          <w:r>
            <w:rPr>
              <w:color w:val="auto"/>
            </w:rPr>
            <w:fldChar w:fldCharType="end"/>
          </w:r>
        </w:p>
        <w:p w14:paraId="528B53DA">
          <w:pPr>
            <w:pStyle w:val="19"/>
            <w:tabs>
              <w:tab w:val="right" w:leader="dot" w:pos="8925"/>
            </w:tabs>
            <w:rPr>
              <w:color w:val="auto"/>
            </w:rPr>
          </w:pPr>
          <w:r>
            <w:fldChar w:fldCharType="begin"/>
          </w:r>
          <w:r>
            <w:instrText xml:space="preserve"> HYPERLINK \l "_Toc23267" </w:instrText>
          </w:r>
          <w:r>
            <w:fldChar w:fldCharType="separate"/>
          </w:r>
          <w:r>
            <w:rPr>
              <w:rFonts w:hint="eastAsia" w:ascii="宋体" w:hAnsi="宋体" w:eastAsia="宋体" w:cs="宋体"/>
              <w:bCs/>
              <w:color w:val="auto"/>
              <w:szCs w:val="24"/>
              <w:lang w:eastAsia="zh-CN"/>
            </w:rPr>
            <w:t>4.3　投标文件的修改与撤回</w:t>
          </w:r>
          <w:r>
            <w:rPr>
              <w:color w:val="auto"/>
            </w:rPr>
            <w:tab/>
          </w:r>
          <w:r>
            <w:rPr>
              <w:color w:val="auto"/>
            </w:rPr>
            <w:fldChar w:fldCharType="begin"/>
          </w:r>
          <w:r>
            <w:rPr>
              <w:color w:val="auto"/>
            </w:rPr>
            <w:instrText xml:space="preserve"> PAGEREF _Toc23267 \h </w:instrText>
          </w:r>
          <w:r>
            <w:rPr>
              <w:color w:val="auto"/>
            </w:rPr>
            <w:fldChar w:fldCharType="separate"/>
          </w:r>
          <w:r>
            <w:rPr>
              <w:color w:val="auto"/>
            </w:rPr>
            <w:t>- 27 -</w:t>
          </w:r>
          <w:r>
            <w:rPr>
              <w:color w:val="auto"/>
            </w:rPr>
            <w:fldChar w:fldCharType="end"/>
          </w:r>
          <w:r>
            <w:rPr>
              <w:color w:val="auto"/>
            </w:rPr>
            <w:fldChar w:fldCharType="end"/>
          </w:r>
        </w:p>
        <w:p w14:paraId="461CBA92">
          <w:pPr>
            <w:pStyle w:val="18"/>
            <w:tabs>
              <w:tab w:val="right" w:leader="dot" w:pos="8925"/>
            </w:tabs>
            <w:rPr>
              <w:color w:val="auto"/>
            </w:rPr>
          </w:pPr>
          <w:r>
            <w:fldChar w:fldCharType="begin"/>
          </w:r>
          <w:r>
            <w:instrText xml:space="preserve"> HYPERLINK \l "_Toc29048" </w:instrText>
          </w:r>
          <w:r>
            <w:fldChar w:fldCharType="separate"/>
          </w:r>
          <w:r>
            <w:rPr>
              <w:rFonts w:hint="eastAsia" w:ascii="宋体" w:hAnsi="宋体" w:eastAsia="宋体" w:cs="宋体"/>
              <w:bCs/>
              <w:color w:val="auto"/>
              <w:szCs w:val="28"/>
              <w:lang w:eastAsia="zh-CN"/>
            </w:rPr>
            <w:t>5　开标</w:t>
          </w:r>
          <w:r>
            <w:rPr>
              <w:color w:val="auto"/>
            </w:rPr>
            <w:tab/>
          </w:r>
          <w:r>
            <w:rPr>
              <w:color w:val="auto"/>
            </w:rPr>
            <w:fldChar w:fldCharType="begin"/>
          </w:r>
          <w:r>
            <w:rPr>
              <w:color w:val="auto"/>
            </w:rPr>
            <w:instrText xml:space="preserve"> PAGEREF _Toc29048 \h </w:instrText>
          </w:r>
          <w:r>
            <w:rPr>
              <w:color w:val="auto"/>
            </w:rPr>
            <w:fldChar w:fldCharType="separate"/>
          </w:r>
          <w:r>
            <w:rPr>
              <w:color w:val="auto"/>
            </w:rPr>
            <w:t>- 28 -</w:t>
          </w:r>
          <w:r>
            <w:rPr>
              <w:color w:val="auto"/>
            </w:rPr>
            <w:fldChar w:fldCharType="end"/>
          </w:r>
          <w:r>
            <w:rPr>
              <w:color w:val="auto"/>
            </w:rPr>
            <w:fldChar w:fldCharType="end"/>
          </w:r>
        </w:p>
        <w:p w14:paraId="572E4DDA">
          <w:pPr>
            <w:pStyle w:val="19"/>
            <w:tabs>
              <w:tab w:val="right" w:leader="dot" w:pos="8925"/>
            </w:tabs>
            <w:rPr>
              <w:color w:val="auto"/>
            </w:rPr>
          </w:pPr>
          <w:r>
            <w:fldChar w:fldCharType="begin"/>
          </w:r>
          <w:r>
            <w:instrText xml:space="preserve"> HYPERLINK \l "_Toc17376" </w:instrText>
          </w:r>
          <w:r>
            <w:fldChar w:fldCharType="separate"/>
          </w:r>
          <w:r>
            <w:rPr>
              <w:rFonts w:hint="eastAsia" w:ascii="宋体" w:hAnsi="宋体" w:eastAsia="宋体" w:cs="宋体"/>
              <w:bCs/>
              <w:color w:val="auto"/>
              <w:szCs w:val="24"/>
              <w:lang w:eastAsia="zh-CN"/>
            </w:rPr>
            <w:t>5.1开标时间和地点</w:t>
          </w:r>
          <w:r>
            <w:rPr>
              <w:color w:val="auto"/>
            </w:rPr>
            <w:tab/>
          </w:r>
          <w:r>
            <w:rPr>
              <w:color w:val="auto"/>
            </w:rPr>
            <w:fldChar w:fldCharType="begin"/>
          </w:r>
          <w:r>
            <w:rPr>
              <w:color w:val="auto"/>
            </w:rPr>
            <w:instrText xml:space="preserve"> PAGEREF _Toc17376 \h </w:instrText>
          </w:r>
          <w:r>
            <w:rPr>
              <w:color w:val="auto"/>
            </w:rPr>
            <w:fldChar w:fldCharType="separate"/>
          </w:r>
          <w:r>
            <w:rPr>
              <w:color w:val="auto"/>
            </w:rPr>
            <w:t>- 28 -</w:t>
          </w:r>
          <w:r>
            <w:rPr>
              <w:color w:val="auto"/>
            </w:rPr>
            <w:fldChar w:fldCharType="end"/>
          </w:r>
          <w:r>
            <w:rPr>
              <w:color w:val="auto"/>
            </w:rPr>
            <w:fldChar w:fldCharType="end"/>
          </w:r>
        </w:p>
        <w:p w14:paraId="266D83BB">
          <w:pPr>
            <w:pStyle w:val="19"/>
            <w:tabs>
              <w:tab w:val="right" w:leader="dot" w:pos="8925"/>
            </w:tabs>
            <w:rPr>
              <w:color w:val="auto"/>
            </w:rPr>
          </w:pPr>
          <w:r>
            <w:fldChar w:fldCharType="begin"/>
          </w:r>
          <w:r>
            <w:instrText xml:space="preserve"> HYPERLINK \l "_Toc30179" </w:instrText>
          </w:r>
          <w:r>
            <w:fldChar w:fldCharType="separate"/>
          </w:r>
          <w:r>
            <w:rPr>
              <w:rFonts w:hint="eastAsia" w:ascii="宋体" w:hAnsi="宋体" w:eastAsia="宋体" w:cs="宋体"/>
              <w:bCs/>
              <w:color w:val="auto"/>
              <w:szCs w:val="24"/>
              <w:lang w:eastAsia="zh-CN"/>
            </w:rPr>
            <w:t>5.2　开标程序</w:t>
          </w:r>
          <w:r>
            <w:rPr>
              <w:color w:val="auto"/>
            </w:rPr>
            <w:tab/>
          </w:r>
          <w:r>
            <w:rPr>
              <w:color w:val="auto"/>
            </w:rPr>
            <w:fldChar w:fldCharType="begin"/>
          </w:r>
          <w:r>
            <w:rPr>
              <w:color w:val="auto"/>
            </w:rPr>
            <w:instrText xml:space="preserve"> PAGEREF _Toc30179 \h </w:instrText>
          </w:r>
          <w:r>
            <w:rPr>
              <w:color w:val="auto"/>
            </w:rPr>
            <w:fldChar w:fldCharType="separate"/>
          </w:r>
          <w:r>
            <w:rPr>
              <w:color w:val="auto"/>
            </w:rPr>
            <w:t>- 28 -</w:t>
          </w:r>
          <w:r>
            <w:rPr>
              <w:color w:val="auto"/>
            </w:rPr>
            <w:fldChar w:fldCharType="end"/>
          </w:r>
          <w:r>
            <w:rPr>
              <w:color w:val="auto"/>
            </w:rPr>
            <w:fldChar w:fldCharType="end"/>
          </w:r>
        </w:p>
        <w:p w14:paraId="5263671D">
          <w:pPr>
            <w:pStyle w:val="19"/>
            <w:tabs>
              <w:tab w:val="right" w:leader="dot" w:pos="8925"/>
            </w:tabs>
            <w:rPr>
              <w:color w:val="auto"/>
            </w:rPr>
          </w:pPr>
          <w:r>
            <w:fldChar w:fldCharType="begin"/>
          </w:r>
          <w:r>
            <w:instrText xml:space="preserve"> HYPERLINK \l "_Toc24857" </w:instrText>
          </w:r>
          <w:r>
            <w:fldChar w:fldCharType="separate"/>
          </w:r>
          <w:r>
            <w:rPr>
              <w:rFonts w:hint="eastAsia" w:ascii="宋体" w:hAnsi="宋体" w:eastAsia="宋体" w:cs="宋体"/>
              <w:bCs/>
              <w:color w:val="auto"/>
              <w:szCs w:val="24"/>
              <w:lang w:eastAsia="zh-CN"/>
            </w:rPr>
            <w:t>5.3　特殊情况处置</w:t>
          </w:r>
          <w:r>
            <w:rPr>
              <w:color w:val="auto"/>
            </w:rPr>
            <w:tab/>
          </w:r>
          <w:r>
            <w:rPr>
              <w:color w:val="auto"/>
            </w:rPr>
            <w:fldChar w:fldCharType="begin"/>
          </w:r>
          <w:r>
            <w:rPr>
              <w:color w:val="auto"/>
            </w:rPr>
            <w:instrText xml:space="preserve"> PAGEREF _Toc24857 \h </w:instrText>
          </w:r>
          <w:r>
            <w:rPr>
              <w:color w:val="auto"/>
            </w:rPr>
            <w:fldChar w:fldCharType="separate"/>
          </w:r>
          <w:r>
            <w:rPr>
              <w:color w:val="auto"/>
            </w:rPr>
            <w:t>- 28 -</w:t>
          </w:r>
          <w:r>
            <w:rPr>
              <w:color w:val="auto"/>
            </w:rPr>
            <w:fldChar w:fldCharType="end"/>
          </w:r>
          <w:r>
            <w:rPr>
              <w:color w:val="auto"/>
            </w:rPr>
            <w:fldChar w:fldCharType="end"/>
          </w:r>
        </w:p>
        <w:p w14:paraId="4A7796A1">
          <w:pPr>
            <w:pStyle w:val="19"/>
            <w:tabs>
              <w:tab w:val="right" w:leader="dot" w:pos="8925"/>
            </w:tabs>
            <w:rPr>
              <w:color w:val="auto"/>
            </w:rPr>
          </w:pPr>
          <w:r>
            <w:fldChar w:fldCharType="begin"/>
          </w:r>
          <w:r>
            <w:instrText xml:space="preserve"> HYPERLINK \l "_Toc25828" </w:instrText>
          </w:r>
          <w:r>
            <w:fldChar w:fldCharType="separate"/>
          </w:r>
          <w:r>
            <w:rPr>
              <w:rFonts w:hint="eastAsia" w:ascii="宋体" w:hAnsi="宋体" w:eastAsia="宋体" w:cs="宋体"/>
              <w:bCs/>
              <w:color w:val="auto"/>
              <w:szCs w:val="24"/>
              <w:lang w:eastAsia="zh-CN"/>
            </w:rPr>
            <w:t>5.4　开标异议</w:t>
          </w:r>
          <w:r>
            <w:rPr>
              <w:color w:val="auto"/>
            </w:rPr>
            <w:tab/>
          </w:r>
          <w:r>
            <w:rPr>
              <w:color w:val="auto"/>
            </w:rPr>
            <w:fldChar w:fldCharType="begin"/>
          </w:r>
          <w:r>
            <w:rPr>
              <w:color w:val="auto"/>
            </w:rPr>
            <w:instrText xml:space="preserve"> PAGEREF _Toc25828 \h </w:instrText>
          </w:r>
          <w:r>
            <w:rPr>
              <w:color w:val="auto"/>
            </w:rPr>
            <w:fldChar w:fldCharType="separate"/>
          </w:r>
          <w:r>
            <w:rPr>
              <w:color w:val="auto"/>
            </w:rPr>
            <w:t>- 28 -</w:t>
          </w:r>
          <w:r>
            <w:rPr>
              <w:color w:val="auto"/>
            </w:rPr>
            <w:fldChar w:fldCharType="end"/>
          </w:r>
          <w:r>
            <w:rPr>
              <w:color w:val="auto"/>
            </w:rPr>
            <w:fldChar w:fldCharType="end"/>
          </w:r>
        </w:p>
        <w:p w14:paraId="68DA892F">
          <w:pPr>
            <w:pStyle w:val="18"/>
            <w:tabs>
              <w:tab w:val="right" w:leader="dot" w:pos="8925"/>
            </w:tabs>
            <w:rPr>
              <w:color w:val="auto"/>
            </w:rPr>
          </w:pPr>
          <w:r>
            <w:fldChar w:fldCharType="begin"/>
          </w:r>
          <w:r>
            <w:instrText xml:space="preserve"> HYPERLINK \l "_Toc28072" </w:instrText>
          </w:r>
          <w:r>
            <w:fldChar w:fldCharType="separate"/>
          </w:r>
          <w:r>
            <w:rPr>
              <w:rFonts w:hint="eastAsia" w:ascii="宋体" w:hAnsi="宋体" w:eastAsia="宋体" w:cs="宋体"/>
              <w:bCs/>
              <w:color w:val="auto"/>
              <w:szCs w:val="28"/>
              <w:lang w:eastAsia="zh-CN"/>
            </w:rPr>
            <w:t>6　评标</w:t>
          </w:r>
          <w:r>
            <w:rPr>
              <w:color w:val="auto"/>
            </w:rPr>
            <w:tab/>
          </w:r>
          <w:r>
            <w:rPr>
              <w:color w:val="auto"/>
            </w:rPr>
            <w:fldChar w:fldCharType="begin"/>
          </w:r>
          <w:r>
            <w:rPr>
              <w:color w:val="auto"/>
            </w:rPr>
            <w:instrText xml:space="preserve"> PAGEREF _Toc28072 \h </w:instrText>
          </w:r>
          <w:r>
            <w:rPr>
              <w:color w:val="auto"/>
            </w:rPr>
            <w:fldChar w:fldCharType="separate"/>
          </w:r>
          <w:r>
            <w:rPr>
              <w:color w:val="auto"/>
            </w:rPr>
            <w:t>- 28 -</w:t>
          </w:r>
          <w:r>
            <w:rPr>
              <w:color w:val="auto"/>
            </w:rPr>
            <w:fldChar w:fldCharType="end"/>
          </w:r>
          <w:r>
            <w:rPr>
              <w:color w:val="auto"/>
            </w:rPr>
            <w:fldChar w:fldCharType="end"/>
          </w:r>
        </w:p>
        <w:p w14:paraId="22CDC317">
          <w:pPr>
            <w:pStyle w:val="19"/>
            <w:tabs>
              <w:tab w:val="right" w:leader="dot" w:pos="8925"/>
            </w:tabs>
            <w:rPr>
              <w:color w:val="auto"/>
            </w:rPr>
          </w:pPr>
          <w:r>
            <w:fldChar w:fldCharType="begin"/>
          </w:r>
          <w:r>
            <w:instrText xml:space="preserve"> HYPERLINK \l "_Toc10654" </w:instrText>
          </w:r>
          <w:r>
            <w:fldChar w:fldCharType="separate"/>
          </w:r>
          <w:r>
            <w:rPr>
              <w:rFonts w:hint="eastAsia" w:ascii="宋体" w:hAnsi="宋体" w:eastAsia="宋体" w:cs="宋体"/>
              <w:bCs/>
              <w:color w:val="auto"/>
              <w:szCs w:val="24"/>
              <w:lang w:eastAsia="zh-CN"/>
            </w:rPr>
            <w:t>6.1　评标委员会</w:t>
          </w:r>
          <w:r>
            <w:rPr>
              <w:color w:val="auto"/>
            </w:rPr>
            <w:tab/>
          </w:r>
          <w:r>
            <w:rPr>
              <w:color w:val="auto"/>
            </w:rPr>
            <w:fldChar w:fldCharType="begin"/>
          </w:r>
          <w:r>
            <w:rPr>
              <w:color w:val="auto"/>
            </w:rPr>
            <w:instrText xml:space="preserve"> PAGEREF _Toc10654 \h </w:instrText>
          </w:r>
          <w:r>
            <w:rPr>
              <w:color w:val="auto"/>
            </w:rPr>
            <w:fldChar w:fldCharType="separate"/>
          </w:r>
          <w:r>
            <w:rPr>
              <w:color w:val="auto"/>
            </w:rPr>
            <w:t>- 28 -</w:t>
          </w:r>
          <w:r>
            <w:rPr>
              <w:color w:val="auto"/>
            </w:rPr>
            <w:fldChar w:fldCharType="end"/>
          </w:r>
          <w:r>
            <w:rPr>
              <w:color w:val="auto"/>
            </w:rPr>
            <w:fldChar w:fldCharType="end"/>
          </w:r>
        </w:p>
        <w:p w14:paraId="4AC21C3A">
          <w:pPr>
            <w:pStyle w:val="19"/>
            <w:tabs>
              <w:tab w:val="right" w:leader="dot" w:pos="8925"/>
            </w:tabs>
            <w:rPr>
              <w:color w:val="auto"/>
            </w:rPr>
          </w:pPr>
          <w:r>
            <w:fldChar w:fldCharType="begin"/>
          </w:r>
          <w:r>
            <w:instrText xml:space="preserve"> HYPERLINK \l "_Toc31465" </w:instrText>
          </w:r>
          <w:r>
            <w:fldChar w:fldCharType="separate"/>
          </w:r>
          <w:r>
            <w:rPr>
              <w:rFonts w:hint="eastAsia" w:ascii="宋体" w:hAnsi="宋体" w:eastAsia="宋体" w:cs="宋体"/>
              <w:bCs/>
              <w:color w:val="auto"/>
              <w:szCs w:val="24"/>
              <w:lang w:eastAsia="zh-CN"/>
            </w:rPr>
            <w:t>6.2　评标原则</w:t>
          </w:r>
          <w:r>
            <w:rPr>
              <w:color w:val="auto"/>
            </w:rPr>
            <w:tab/>
          </w:r>
          <w:r>
            <w:rPr>
              <w:color w:val="auto"/>
            </w:rPr>
            <w:fldChar w:fldCharType="begin"/>
          </w:r>
          <w:r>
            <w:rPr>
              <w:color w:val="auto"/>
            </w:rPr>
            <w:instrText xml:space="preserve"> PAGEREF _Toc31465 \h </w:instrText>
          </w:r>
          <w:r>
            <w:rPr>
              <w:color w:val="auto"/>
            </w:rPr>
            <w:fldChar w:fldCharType="separate"/>
          </w:r>
          <w:r>
            <w:rPr>
              <w:color w:val="auto"/>
            </w:rPr>
            <w:t>- 29 -</w:t>
          </w:r>
          <w:r>
            <w:rPr>
              <w:color w:val="auto"/>
            </w:rPr>
            <w:fldChar w:fldCharType="end"/>
          </w:r>
          <w:r>
            <w:rPr>
              <w:color w:val="auto"/>
            </w:rPr>
            <w:fldChar w:fldCharType="end"/>
          </w:r>
        </w:p>
        <w:p w14:paraId="13C1B2DE">
          <w:pPr>
            <w:pStyle w:val="19"/>
            <w:tabs>
              <w:tab w:val="right" w:leader="dot" w:pos="8925"/>
            </w:tabs>
            <w:rPr>
              <w:color w:val="auto"/>
            </w:rPr>
          </w:pPr>
          <w:r>
            <w:fldChar w:fldCharType="begin"/>
          </w:r>
          <w:r>
            <w:instrText xml:space="preserve"> HYPERLINK \l "_Toc8116" </w:instrText>
          </w:r>
          <w:r>
            <w:fldChar w:fldCharType="separate"/>
          </w:r>
          <w:r>
            <w:rPr>
              <w:rFonts w:hint="eastAsia" w:ascii="宋体" w:hAnsi="宋体" w:eastAsia="宋体" w:cs="宋体"/>
              <w:bCs/>
              <w:color w:val="auto"/>
              <w:szCs w:val="24"/>
              <w:lang w:eastAsia="zh-CN"/>
            </w:rPr>
            <w:t>6.3　评标办法与中标候选人推荐</w:t>
          </w:r>
          <w:r>
            <w:rPr>
              <w:color w:val="auto"/>
            </w:rPr>
            <w:tab/>
          </w:r>
          <w:r>
            <w:rPr>
              <w:color w:val="auto"/>
            </w:rPr>
            <w:fldChar w:fldCharType="begin"/>
          </w:r>
          <w:r>
            <w:rPr>
              <w:color w:val="auto"/>
            </w:rPr>
            <w:instrText xml:space="preserve"> PAGEREF _Toc8116 \h </w:instrText>
          </w:r>
          <w:r>
            <w:rPr>
              <w:color w:val="auto"/>
            </w:rPr>
            <w:fldChar w:fldCharType="separate"/>
          </w:r>
          <w:r>
            <w:rPr>
              <w:color w:val="auto"/>
            </w:rPr>
            <w:t>- 29 -</w:t>
          </w:r>
          <w:r>
            <w:rPr>
              <w:color w:val="auto"/>
            </w:rPr>
            <w:fldChar w:fldCharType="end"/>
          </w:r>
          <w:r>
            <w:rPr>
              <w:color w:val="auto"/>
            </w:rPr>
            <w:fldChar w:fldCharType="end"/>
          </w:r>
        </w:p>
        <w:p w14:paraId="08F7A14E">
          <w:pPr>
            <w:pStyle w:val="19"/>
            <w:tabs>
              <w:tab w:val="right" w:leader="dot" w:pos="8925"/>
            </w:tabs>
            <w:rPr>
              <w:color w:val="auto"/>
            </w:rPr>
          </w:pPr>
          <w:r>
            <w:fldChar w:fldCharType="begin"/>
          </w:r>
          <w:r>
            <w:instrText xml:space="preserve"> HYPERLINK \l "_Toc11969" </w:instrText>
          </w:r>
          <w:r>
            <w:fldChar w:fldCharType="separate"/>
          </w:r>
          <w:r>
            <w:rPr>
              <w:rFonts w:hint="eastAsia" w:ascii="宋体" w:hAnsi="宋体" w:eastAsia="宋体" w:cs="宋体"/>
              <w:bCs/>
              <w:color w:val="auto"/>
              <w:szCs w:val="24"/>
              <w:lang w:eastAsia="zh-CN"/>
            </w:rPr>
            <w:t>6.4　中标候选人公示及媒介</w:t>
          </w:r>
          <w:r>
            <w:rPr>
              <w:color w:val="auto"/>
            </w:rPr>
            <w:tab/>
          </w:r>
          <w:r>
            <w:rPr>
              <w:color w:val="auto"/>
            </w:rPr>
            <w:fldChar w:fldCharType="begin"/>
          </w:r>
          <w:r>
            <w:rPr>
              <w:color w:val="auto"/>
            </w:rPr>
            <w:instrText xml:space="preserve"> PAGEREF _Toc11969 \h </w:instrText>
          </w:r>
          <w:r>
            <w:rPr>
              <w:color w:val="auto"/>
            </w:rPr>
            <w:fldChar w:fldCharType="separate"/>
          </w:r>
          <w:r>
            <w:rPr>
              <w:color w:val="auto"/>
            </w:rPr>
            <w:t>- 29 -</w:t>
          </w:r>
          <w:r>
            <w:rPr>
              <w:color w:val="auto"/>
            </w:rPr>
            <w:fldChar w:fldCharType="end"/>
          </w:r>
          <w:r>
            <w:rPr>
              <w:color w:val="auto"/>
            </w:rPr>
            <w:fldChar w:fldCharType="end"/>
          </w:r>
        </w:p>
        <w:p w14:paraId="1EF3D8B9">
          <w:pPr>
            <w:pStyle w:val="18"/>
            <w:tabs>
              <w:tab w:val="right" w:leader="dot" w:pos="8925"/>
            </w:tabs>
            <w:rPr>
              <w:color w:val="auto"/>
            </w:rPr>
          </w:pPr>
          <w:r>
            <w:fldChar w:fldCharType="begin"/>
          </w:r>
          <w:r>
            <w:instrText xml:space="preserve"> HYPERLINK \l "_Toc29439" </w:instrText>
          </w:r>
          <w:r>
            <w:fldChar w:fldCharType="separate"/>
          </w:r>
          <w:r>
            <w:rPr>
              <w:rFonts w:hint="eastAsia" w:ascii="宋体" w:hAnsi="宋体" w:eastAsia="宋体" w:cs="宋体"/>
              <w:bCs/>
              <w:color w:val="auto"/>
              <w:szCs w:val="28"/>
              <w:lang w:eastAsia="zh-CN"/>
            </w:rPr>
            <w:t>7　合同授予</w:t>
          </w:r>
          <w:r>
            <w:rPr>
              <w:color w:val="auto"/>
            </w:rPr>
            <w:tab/>
          </w:r>
          <w:r>
            <w:rPr>
              <w:color w:val="auto"/>
            </w:rPr>
            <w:fldChar w:fldCharType="begin"/>
          </w:r>
          <w:r>
            <w:rPr>
              <w:color w:val="auto"/>
            </w:rPr>
            <w:instrText xml:space="preserve"> PAGEREF _Toc29439 \h </w:instrText>
          </w:r>
          <w:r>
            <w:rPr>
              <w:color w:val="auto"/>
            </w:rPr>
            <w:fldChar w:fldCharType="separate"/>
          </w:r>
          <w:r>
            <w:rPr>
              <w:color w:val="auto"/>
            </w:rPr>
            <w:t>- 29 -</w:t>
          </w:r>
          <w:r>
            <w:rPr>
              <w:color w:val="auto"/>
            </w:rPr>
            <w:fldChar w:fldCharType="end"/>
          </w:r>
          <w:r>
            <w:rPr>
              <w:color w:val="auto"/>
            </w:rPr>
            <w:fldChar w:fldCharType="end"/>
          </w:r>
        </w:p>
        <w:p w14:paraId="0BCDEB34">
          <w:pPr>
            <w:pStyle w:val="19"/>
            <w:tabs>
              <w:tab w:val="right" w:leader="dot" w:pos="8925"/>
            </w:tabs>
            <w:rPr>
              <w:color w:val="auto"/>
            </w:rPr>
          </w:pPr>
          <w:r>
            <w:fldChar w:fldCharType="begin"/>
          </w:r>
          <w:r>
            <w:instrText xml:space="preserve"> HYPERLINK \l "_Toc21769" </w:instrText>
          </w:r>
          <w:r>
            <w:fldChar w:fldCharType="separate"/>
          </w:r>
          <w:r>
            <w:rPr>
              <w:rFonts w:hint="eastAsia" w:ascii="宋体" w:hAnsi="宋体" w:eastAsia="宋体" w:cs="宋体"/>
              <w:bCs/>
              <w:color w:val="auto"/>
              <w:szCs w:val="24"/>
              <w:lang w:eastAsia="zh-CN"/>
            </w:rPr>
            <w:t>7.1　定标方式</w:t>
          </w:r>
          <w:r>
            <w:rPr>
              <w:color w:val="auto"/>
            </w:rPr>
            <w:tab/>
          </w:r>
          <w:r>
            <w:rPr>
              <w:color w:val="auto"/>
            </w:rPr>
            <w:fldChar w:fldCharType="begin"/>
          </w:r>
          <w:r>
            <w:rPr>
              <w:color w:val="auto"/>
            </w:rPr>
            <w:instrText xml:space="preserve"> PAGEREF _Toc21769 \h </w:instrText>
          </w:r>
          <w:r>
            <w:rPr>
              <w:color w:val="auto"/>
            </w:rPr>
            <w:fldChar w:fldCharType="separate"/>
          </w:r>
          <w:r>
            <w:rPr>
              <w:color w:val="auto"/>
            </w:rPr>
            <w:t>- 29 -</w:t>
          </w:r>
          <w:r>
            <w:rPr>
              <w:color w:val="auto"/>
            </w:rPr>
            <w:fldChar w:fldCharType="end"/>
          </w:r>
          <w:r>
            <w:rPr>
              <w:color w:val="auto"/>
            </w:rPr>
            <w:fldChar w:fldCharType="end"/>
          </w:r>
        </w:p>
        <w:p w14:paraId="75C4F3FE">
          <w:pPr>
            <w:pStyle w:val="19"/>
            <w:tabs>
              <w:tab w:val="right" w:leader="dot" w:pos="8925"/>
            </w:tabs>
            <w:rPr>
              <w:color w:val="auto"/>
            </w:rPr>
          </w:pPr>
          <w:r>
            <w:fldChar w:fldCharType="begin"/>
          </w:r>
          <w:r>
            <w:instrText xml:space="preserve"> HYPERLINK \l "_Toc22990" </w:instrText>
          </w:r>
          <w:r>
            <w:fldChar w:fldCharType="separate"/>
          </w:r>
          <w:r>
            <w:rPr>
              <w:rFonts w:hint="eastAsia" w:ascii="宋体" w:hAnsi="宋体" w:eastAsia="宋体" w:cs="宋体"/>
              <w:bCs/>
              <w:color w:val="auto"/>
              <w:szCs w:val="24"/>
              <w:lang w:eastAsia="zh-CN"/>
            </w:rPr>
            <w:t>7.2　中标通知</w:t>
          </w:r>
          <w:r>
            <w:rPr>
              <w:color w:val="auto"/>
            </w:rPr>
            <w:tab/>
          </w:r>
          <w:r>
            <w:rPr>
              <w:color w:val="auto"/>
            </w:rPr>
            <w:fldChar w:fldCharType="begin"/>
          </w:r>
          <w:r>
            <w:rPr>
              <w:color w:val="auto"/>
            </w:rPr>
            <w:instrText xml:space="preserve"> PAGEREF _Toc22990 \h </w:instrText>
          </w:r>
          <w:r>
            <w:rPr>
              <w:color w:val="auto"/>
            </w:rPr>
            <w:fldChar w:fldCharType="separate"/>
          </w:r>
          <w:r>
            <w:rPr>
              <w:color w:val="auto"/>
            </w:rPr>
            <w:t>- 31 -</w:t>
          </w:r>
          <w:r>
            <w:rPr>
              <w:color w:val="auto"/>
            </w:rPr>
            <w:fldChar w:fldCharType="end"/>
          </w:r>
          <w:r>
            <w:rPr>
              <w:color w:val="auto"/>
            </w:rPr>
            <w:fldChar w:fldCharType="end"/>
          </w:r>
        </w:p>
        <w:p w14:paraId="1FD149C4">
          <w:pPr>
            <w:pStyle w:val="19"/>
            <w:tabs>
              <w:tab w:val="right" w:leader="dot" w:pos="8925"/>
            </w:tabs>
            <w:rPr>
              <w:color w:val="auto"/>
            </w:rPr>
          </w:pPr>
          <w:r>
            <w:fldChar w:fldCharType="begin"/>
          </w:r>
          <w:r>
            <w:instrText xml:space="preserve"> HYPERLINK \l "_Toc25924" </w:instrText>
          </w:r>
          <w:r>
            <w:fldChar w:fldCharType="separate"/>
          </w:r>
          <w:r>
            <w:rPr>
              <w:rFonts w:hint="eastAsia" w:ascii="宋体" w:hAnsi="宋体" w:eastAsia="宋体" w:cs="宋体"/>
              <w:bCs/>
              <w:color w:val="auto"/>
              <w:szCs w:val="24"/>
              <w:lang w:eastAsia="zh-CN"/>
            </w:rPr>
            <w:t>7.3　履约担保</w:t>
          </w:r>
          <w:r>
            <w:rPr>
              <w:color w:val="auto"/>
            </w:rPr>
            <w:tab/>
          </w:r>
          <w:r>
            <w:rPr>
              <w:color w:val="auto"/>
            </w:rPr>
            <w:fldChar w:fldCharType="begin"/>
          </w:r>
          <w:r>
            <w:rPr>
              <w:color w:val="auto"/>
            </w:rPr>
            <w:instrText xml:space="preserve"> PAGEREF _Toc25924 \h </w:instrText>
          </w:r>
          <w:r>
            <w:rPr>
              <w:color w:val="auto"/>
            </w:rPr>
            <w:fldChar w:fldCharType="separate"/>
          </w:r>
          <w:r>
            <w:rPr>
              <w:color w:val="auto"/>
            </w:rPr>
            <w:t>- 32 -</w:t>
          </w:r>
          <w:r>
            <w:rPr>
              <w:color w:val="auto"/>
            </w:rPr>
            <w:fldChar w:fldCharType="end"/>
          </w:r>
          <w:r>
            <w:rPr>
              <w:color w:val="auto"/>
            </w:rPr>
            <w:fldChar w:fldCharType="end"/>
          </w:r>
        </w:p>
        <w:p w14:paraId="3B07ACA9">
          <w:pPr>
            <w:pStyle w:val="19"/>
            <w:tabs>
              <w:tab w:val="right" w:leader="dot" w:pos="8925"/>
            </w:tabs>
            <w:rPr>
              <w:color w:val="auto"/>
            </w:rPr>
          </w:pPr>
          <w:r>
            <w:fldChar w:fldCharType="begin"/>
          </w:r>
          <w:r>
            <w:instrText xml:space="preserve"> HYPERLINK \l "_Toc26181" </w:instrText>
          </w:r>
          <w:r>
            <w:fldChar w:fldCharType="separate"/>
          </w:r>
          <w:r>
            <w:rPr>
              <w:rFonts w:hint="eastAsia" w:ascii="宋体" w:hAnsi="宋体" w:eastAsia="宋体" w:cs="宋体"/>
              <w:bCs/>
              <w:color w:val="auto"/>
              <w:szCs w:val="24"/>
              <w:lang w:eastAsia="zh-CN"/>
            </w:rPr>
            <w:t>7.4　签订合同</w:t>
          </w:r>
          <w:r>
            <w:rPr>
              <w:color w:val="auto"/>
            </w:rPr>
            <w:tab/>
          </w:r>
          <w:r>
            <w:rPr>
              <w:color w:val="auto"/>
            </w:rPr>
            <w:fldChar w:fldCharType="begin"/>
          </w:r>
          <w:r>
            <w:rPr>
              <w:color w:val="auto"/>
            </w:rPr>
            <w:instrText xml:space="preserve"> PAGEREF _Toc26181 \h </w:instrText>
          </w:r>
          <w:r>
            <w:rPr>
              <w:color w:val="auto"/>
            </w:rPr>
            <w:fldChar w:fldCharType="separate"/>
          </w:r>
          <w:r>
            <w:rPr>
              <w:color w:val="auto"/>
            </w:rPr>
            <w:t>- 32 -</w:t>
          </w:r>
          <w:r>
            <w:rPr>
              <w:color w:val="auto"/>
            </w:rPr>
            <w:fldChar w:fldCharType="end"/>
          </w:r>
          <w:r>
            <w:rPr>
              <w:color w:val="auto"/>
            </w:rPr>
            <w:fldChar w:fldCharType="end"/>
          </w:r>
        </w:p>
        <w:p w14:paraId="30779BAC">
          <w:pPr>
            <w:pStyle w:val="18"/>
            <w:tabs>
              <w:tab w:val="right" w:leader="dot" w:pos="8925"/>
            </w:tabs>
            <w:rPr>
              <w:color w:val="auto"/>
            </w:rPr>
          </w:pPr>
          <w:r>
            <w:fldChar w:fldCharType="begin"/>
          </w:r>
          <w:r>
            <w:instrText xml:space="preserve"> HYPERLINK \l "_Toc26376" </w:instrText>
          </w:r>
          <w:r>
            <w:fldChar w:fldCharType="separate"/>
          </w:r>
          <w:r>
            <w:rPr>
              <w:rFonts w:hint="eastAsia" w:ascii="宋体" w:hAnsi="宋体" w:eastAsia="宋体" w:cs="宋体"/>
              <w:bCs/>
              <w:color w:val="auto"/>
              <w:szCs w:val="28"/>
              <w:lang w:eastAsia="zh-CN"/>
            </w:rPr>
            <w:t>8　重新招标和不再招标</w:t>
          </w:r>
          <w:r>
            <w:rPr>
              <w:color w:val="auto"/>
            </w:rPr>
            <w:tab/>
          </w:r>
          <w:r>
            <w:rPr>
              <w:color w:val="auto"/>
            </w:rPr>
            <w:fldChar w:fldCharType="begin"/>
          </w:r>
          <w:r>
            <w:rPr>
              <w:color w:val="auto"/>
            </w:rPr>
            <w:instrText xml:space="preserve"> PAGEREF _Toc26376 \h </w:instrText>
          </w:r>
          <w:r>
            <w:rPr>
              <w:color w:val="auto"/>
            </w:rPr>
            <w:fldChar w:fldCharType="separate"/>
          </w:r>
          <w:r>
            <w:rPr>
              <w:color w:val="auto"/>
            </w:rPr>
            <w:t>- 32 -</w:t>
          </w:r>
          <w:r>
            <w:rPr>
              <w:color w:val="auto"/>
            </w:rPr>
            <w:fldChar w:fldCharType="end"/>
          </w:r>
          <w:r>
            <w:rPr>
              <w:color w:val="auto"/>
            </w:rPr>
            <w:fldChar w:fldCharType="end"/>
          </w:r>
        </w:p>
        <w:p w14:paraId="779BEBE0">
          <w:pPr>
            <w:pStyle w:val="19"/>
            <w:tabs>
              <w:tab w:val="right" w:leader="dot" w:pos="8925"/>
            </w:tabs>
            <w:rPr>
              <w:color w:val="auto"/>
            </w:rPr>
          </w:pPr>
          <w:r>
            <w:fldChar w:fldCharType="begin"/>
          </w:r>
          <w:r>
            <w:instrText xml:space="preserve"> HYPERLINK \l "_Toc20377" </w:instrText>
          </w:r>
          <w:r>
            <w:fldChar w:fldCharType="separate"/>
          </w:r>
          <w:r>
            <w:rPr>
              <w:rFonts w:hint="eastAsia" w:ascii="宋体" w:hAnsi="宋体" w:eastAsia="宋体" w:cs="宋体"/>
              <w:bCs/>
              <w:color w:val="auto"/>
              <w:szCs w:val="24"/>
              <w:lang w:eastAsia="zh-CN"/>
            </w:rPr>
            <w:t>8.1　重新招标</w:t>
          </w:r>
          <w:r>
            <w:rPr>
              <w:color w:val="auto"/>
            </w:rPr>
            <w:tab/>
          </w:r>
          <w:r>
            <w:rPr>
              <w:color w:val="auto"/>
            </w:rPr>
            <w:fldChar w:fldCharType="begin"/>
          </w:r>
          <w:r>
            <w:rPr>
              <w:color w:val="auto"/>
            </w:rPr>
            <w:instrText xml:space="preserve"> PAGEREF _Toc20377 \h </w:instrText>
          </w:r>
          <w:r>
            <w:rPr>
              <w:color w:val="auto"/>
            </w:rPr>
            <w:fldChar w:fldCharType="separate"/>
          </w:r>
          <w:r>
            <w:rPr>
              <w:color w:val="auto"/>
            </w:rPr>
            <w:t>- 32 -</w:t>
          </w:r>
          <w:r>
            <w:rPr>
              <w:color w:val="auto"/>
            </w:rPr>
            <w:fldChar w:fldCharType="end"/>
          </w:r>
          <w:r>
            <w:rPr>
              <w:color w:val="auto"/>
            </w:rPr>
            <w:fldChar w:fldCharType="end"/>
          </w:r>
        </w:p>
        <w:p w14:paraId="33B4DAC6">
          <w:pPr>
            <w:pStyle w:val="19"/>
            <w:tabs>
              <w:tab w:val="right" w:leader="dot" w:pos="8925"/>
            </w:tabs>
            <w:rPr>
              <w:color w:val="auto"/>
            </w:rPr>
          </w:pPr>
          <w:r>
            <w:fldChar w:fldCharType="begin"/>
          </w:r>
          <w:r>
            <w:instrText xml:space="preserve"> HYPERLINK \l "_Toc13002" </w:instrText>
          </w:r>
          <w:r>
            <w:fldChar w:fldCharType="separate"/>
          </w:r>
          <w:r>
            <w:rPr>
              <w:rFonts w:hint="eastAsia" w:ascii="宋体" w:hAnsi="宋体" w:eastAsia="宋体" w:cs="宋体"/>
              <w:bCs/>
              <w:color w:val="auto"/>
              <w:szCs w:val="24"/>
              <w:lang w:eastAsia="zh-CN"/>
            </w:rPr>
            <w:t>8.2　不再招标</w:t>
          </w:r>
          <w:r>
            <w:rPr>
              <w:color w:val="auto"/>
            </w:rPr>
            <w:tab/>
          </w:r>
          <w:r>
            <w:rPr>
              <w:color w:val="auto"/>
            </w:rPr>
            <w:fldChar w:fldCharType="begin"/>
          </w:r>
          <w:r>
            <w:rPr>
              <w:color w:val="auto"/>
            </w:rPr>
            <w:instrText xml:space="preserve"> PAGEREF _Toc13002 \h </w:instrText>
          </w:r>
          <w:r>
            <w:rPr>
              <w:color w:val="auto"/>
            </w:rPr>
            <w:fldChar w:fldCharType="separate"/>
          </w:r>
          <w:r>
            <w:rPr>
              <w:color w:val="auto"/>
            </w:rPr>
            <w:t>- 33 -</w:t>
          </w:r>
          <w:r>
            <w:rPr>
              <w:color w:val="auto"/>
            </w:rPr>
            <w:fldChar w:fldCharType="end"/>
          </w:r>
          <w:r>
            <w:rPr>
              <w:color w:val="auto"/>
            </w:rPr>
            <w:fldChar w:fldCharType="end"/>
          </w:r>
        </w:p>
        <w:p w14:paraId="3C39B512">
          <w:pPr>
            <w:pStyle w:val="18"/>
            <w:tabs>
              <w:tab w:val="right" w:leader="dot" w:pos="8925"/>
            </w:tabs>
            <w:rPr>
              <w:color w:val="auto"/>
            </w:rPr>
          </w:pPr>
          <w:r>
            <w:fldChar w:fldCharType="begin"/>
          </w:r>
          <w:r>
            <w:instrText xml:space="preserve"> HYPERLINK \l "_Toc23093" </w:instrText>
          </w:r>
          <w:r>
            <w:fldChar w:fldCharType="separate"/>
          </w:r>
          <w:r>
            <w:rPr>
              <w:rFonts w:hint="eastAsia" w:ascii="宋体" w:hAnsi="宋体" w:eastAsia="宋体" w:cs="宋体"/>
              <w:bCs/>
              <w:color w:val="auto"/>
              <w:szCs w:val="28"/>
              <w:lang w:eastAsia="zh-CN"/>
            </w:rPr>
            <w:t>9　纪律和监督</w:t>
          </w:r>
          <w:r>
            <w:rPr>
              <w:color w:val="auto"/>
            </w:rPr>
            <w:tab/>
          </w:r>
          <w:r>
            <w:rPr>
              <w:color w:val="auto"/>
            </w:rPr>
            <w:fldChar w:fldCharType="begin"/>
          </w:r>
          <w:r>
            <w:rPr>
              <w:color w:val="auto"/>
            </w:rPr>
            <w:instrText xml:space="preserve"> PAGEREF _Toc23093 \h </w:instrText>
          </w:r>
          <w:r>
            <w:rPr>
              <w:color w:val="auto"/>
            </w:rPr>
            <w:fldChar w:fldCharType="separate"/>
          </w:r>
          <w:r>
            <w:rPr>
              <w:color w:val="auto"/>
            </w:rPr>
            <w:t>- 33 -</w:t>
          </w:r>
          <w:r>
            <w:rPr>
              <w:color w:val="auto"/>
            </w:rPr>
            <w:fldChar w:fldCharType="end"/>
          </w:r>
          <w:r>
            <w:rPr>
              <w:color w:val="auto"/>
            </w:rPr>
            <w:fldChar w:fldCharType="end"/>
          </w:r>
        </w:p>
        <w:p w14:paraId="0CE456E6">
          <w:pPr>
            <w:pStyle w:val="19"/>
            <w:tabs>
              <w:tab w:val="right" w:leader="dot" w:pos="8925"/>
            </w:tabs>
            <w:rPr>
              <w:color w:val="auto"/>
            </w:rPr>
          </w:pPr>
          <w:r>
            <w:fldChar w:fldCharType="begin"/>
          </w:r>
          <w:r>
            <w:instrText xml:space="preserve"> HYPERLINK \l "_Toc14827" </w:instrText>
          </w:r>
          <w:r>
            <w:fldChar w:fldCharType="separate"/>
          </w:r>
          <w:r>
            <w:rPr>
              <w:rFonts w:hint="eastAsia" w:ascii="宋体" w:hAnsi="宋体" w:eastAsia="宋体" w:cs="宋体"/>
              <w:bCs/>
              <w:color w:val="auto"/>
              <w:szCs w:val="24"/>
              <w:lang w:eastAsia="zh-CN"/>
            </w:rPr>
            <w:t>9.1　对招标人的纪律要求</w:t>
          </w:r>
          <w:r>
            <w:rPr>
              <w:color w:val="auto"/>
            </w:rPr>
            <w:tab/>
          </w:r>
          <w:r>
            <w:rPr>
              <w:color w:val="auto"/>
            </w:rPr>
            <w:fldChar w:fldCharType="begin"/>
          </w:r>
          <w:r>
            <w:rPr>
              <w:color w:val="auto"/>
            </w:rPr>
            <w:instrText xml:space="preserve"> PAGEREF _Toc14827 \h </w:instrText>
          </w:r>
          <w:r>
            <w:rPr>
              <w:color w:val="auto"/>
            </w:rPr>
            <w:fldChar w:fldCharType="separate"/>
          </w:r>
          <w:r>
            <w:rPr>
              <w:color w:val="auto"/>
            </w:rPr>
            <w:t>- 33 -</w:t>
          </w:r>
          <w:r>
            <w:rPr>
              <w:color w:val="auto"/>
            </w:rPr>
            <w:fldChar w:fldCharType="end"/>
          </w:r>
          <w:r>
            <w:rPr>
              <w:color w:val="auto"/>
            </w:rPr>
            <w:fldChar w:fldCharType="end"/>
          </w:r>
        </w:p>
        <w:p w14:paraId="2EE6637D">
          <w:pPr>
            <w:pStyle w:val="19"/>
            <w:tabs>
              <w:tab w:val="right" w:leader="dot" w:pos="8925"/>
            </w:tabs>
            <w:rPr>
              <w:color w:val="auto"/>
            </w:rPr>
          </w:pPr>
          <w:r>
            <w:fldChar w:fldCharType="begin"/>
          </w:r>
          <w:r>
            <w:instrText xml:space="preserve"> HYPERLINK \l "_Toc32274" </w:instrText>
          </w:r>
          <w:r>
            <w:fldChar w:fldCharType="separate"/>
          </w:r>
          <w:r>
            <w:rPr>
              <w:rFonts w:hint="eastAsia" w:ascii="宋体" w:hAnsi="宋体" w:eastAsia="宋体" w:cs="宋体"/>
              <w:bCs/>
              <w:color w:val="auto"/>
              <w:szCs w:val="24"/>
              <w:lang w:eastAsia="zh-CN"/>
            </w:rPr>
            <w:t>9.2　对投标人的纪律要求</w:t>
          </w:r>
          <w:r>
            <w:rPr>
              <w:color w:val="auto"/>
            </w:rPr>
            <w:tab/>
          </w:r>
          <w:r>
            <w:rPr>
              <w:color w:val="auto"/>
            </w:rPr>
            <w:fldChar w:fldCharType="begin"/>
          </w:r>
          <w:r>
            <w:rPr>
              <w:color w:val="auto"/>
            </w:rPr>
            <w:instrText xml:space="preserve"> PAGEREF _Toc32274 \h </w:instrText>
          </w:r>
          <w:r>
            <w:rPr>
              <w:color w:val="auto"/>
            </w:rPr>
            <w:fldChar w:fldCharType="separate"/>
          </w:r>
          <w:r>
            <w:rPr>
              <w:color w:val="auto"/>
            </w:rPr>
            <w:t>- 33 -</w:t>
          </w:r>
          <w:r>
            <w:rPr>
              <w:color w:val="auto"/>
            </w:rPr>
            <w:fldChar w:fldCharType="end"/>
          </w:r>
          <w:r>
            <w:rPr>
              <w:color w:val="auto"/>
            </w:rPr>
            <w:fldChar w:fldCharType="end"/>
          </w:r>
        </w:p>
        <w:p w14:paraId="57837326">
          <w:pPr>
            <w:pStyle w:val="19"/>
            <w:tabs>
              <w:tab w:val="right" w:leader="dot" w:pos="8925"/>
            </w:tabs>
            <w:rPr>
              <w:color w:val="auto"/>
            </w:rPr>
          </w:pPr>
          <w:r>
            <w:fldChar w:fldCharType="begin"/>
          </w:r>
          <w:r>
            <w:instrText xml:space="preserve"> HYPERLINK \l "_Toc6194" </w:instrText>
          </w:r>
          <w:r>
            <w:fldChar w:fldCharType="separate"/>
          </w:r>
          <w:r>
            <w:rPr>
              <w:rFonts w:hint="eastAsia" w:ascii="宋体" w:hAnsi="宋体" w:eastAsia="宋体" w:cs="宋体"/>
              <w:bCs/>
              <w:color w:val="auto"/>
              <w:szCs w:val="24"/>
              <w:lang w:eastAsia="zh-CN"/>
            </w:rPr>
            <w:t>9.3　对评标委员会成员的纪律要求</w:t>
          </w:r>
          <w:r>
            <w:rPr>
              <w:color w:val="auto"/>
            </w:rPr>
            <w:tab/>
          </w:r>
          <w:r>
            <w:rPr>
              <w:color w:val="auto"/>
            </w:rPr>
            <w:fldChar w:fldCharType="begin"/>
          </w:r>
          <w:r>
            <w:rPr>
              <w:color w:val="auto"/>
            </w:rPr>
            <w:instrText xml:space="preserve"> PAGEREF _Toc6194 \h </w:instrText>
          </w:r>
          <w:r>
            <w:rPr>
              <w:color w:val="auto"/>
            </w:rPr>
            <w:fldChar w:fldCharType="separate"/>
          </w:r>
          <w:r>
            <w:rPr>
              <w:color w:val="auto"/>
            </w:rPr>
            <w:t>- 33 -</w:t>
          </w:r>
          <w:r>
            <w:rPr>
              <w:color w:val="auto"/>
            </w:rPr>
            <w:fldChar w:fldCharType="end"/>
          </w:r>
          <w:r>
            <w:rPr>
              <w:color w:val="auto"/>
            </w:rPr>
            <w:fldChar w:fldCharType="end"/>
          </w:r>
        </w:p>
        <w:p w14:paraId="68E5503E">
          <w:pPr>
            <w:pStyle w:val="19"/>
            <w:tabs>
              <w:tab w:val="right" w:leader="dot" w:pos="8925"/>
            </w:tabs>
            <w:rPr>
              <w:color w:val="auto"/>
            </w:rPr>
          </w:pPr>
          <w:r>
            <w:fldChar w:fldCharType="begin"/>
          </w:r>
          <w:r>
            <w:instrText xml:space="preserve"> HYPERLINK \l "_Toc9416" </w:instrText>
          </w:r>
          <w:r>
            <w:fldChar w:fldCharType="separate"/>
          </w:r>
          <w:r>
            <w:rPr>
              <w:rFonts w:hint="eastAsia" w:ascii="宋体" w:hAnsi="宋体" w:eastAsia="宋体" w:cs="宋体"/>
              <w:bCs/>
              <w:color w:val="auto"/>
              <w:szCs w:val="24"/>
              <w:lang w:eastAsia="zh-CN"/>
            </w:rPr>
            <w:t>9.4　对与评标活动有关的工作人员的纪律要求</w:t>
          </w:r>
          <w:r>
            <w:rPr>
              <w:color w:val="auto"/>
            </w:rPr>
            <w:tab/>
          </w:r>
          <w:r>
            <w:rPr>
              <w:color w:val="auto"/>
            </w:rPr>
            <w:fldChar w:fldCharType="begin"/>
          </w:r>
          <w:r>
            <w:rPr>
              <w:color w:val="auto"/>
            </w:rPr>
            <w:instrText xml:space="preserve"> PAGEREF _Toc9416 \h </w:instrText>
          </w:r>
          <w:r>
            <w:rPr>
              <w:color w:val="auto"/>
            </w:rPr>
            <w:fldChar w:fldCharType="separate"/>
          </w:r>
          <w:r>
            <w:rPr>
              <w:color w:val="auto"/>
            </w:rPr>
            <w:t>- 33 -</w:t>
          </w:r>
          <w:r>
            <w:rPr>
              <w:color w:val="auto"/>
            </w:rPr>
            <w:fldChar w:fldCharType="end"/>
          </w:r>
          <w:r>
            <w:rPr>
              <w:color w:val="auto"/>
            </w:rPr>
            <w:fldChar w:fldCharType="end"/>
          </w:r>
        </w:p>
        <w:p w14:paraId="404459C1">
          <w:pPr>
            <w:pStyle w:val="19"/>
            <w:tabs>
              <w:tab w:val="right" w:leader="dot" w:pos="8925"/>
            </w:tabs>
            <w:rPr>
              <w:color w:val="auto"/>
            </w:rPr>
          </w:pPr>
          <w:r>
            <w:fldChar w:fldCharType="begin"/>
          </w:r>
          <w:r>
            <w:instrText xml:space="preserve"> HYPERLINK \l "_Toc537" </w:instrText>
          </w:r>
          <w:r>
            <w:fldChar w:fldCharType="separate"/>
          </w:r>
          <w:r>
            <w:rPr>
              <w:rFonts w:hint="eastAsia" w:ascii="宋体" w:hAnsi="宋体" w:eastAsia="宋体" w:cs="宋体"/>
              <w:bCs/>
              <w:color w:val="auto"/>
              <w:szCs w:val="24"/>
              <w:lang w:eastAsia="zh-CN"/>
            </w:rPr>
            <w:t>9.5　异议与投诉</w:t>
          </w:r>
          <w:r>
            <w:rPr>
              <w:color w:val="auto"/>
            </w:rPr>
            <w:tab/>
          </w:r>
          <w:r>
            <w:rPr>
              <w:color w:val="auto"/>
            </w:rPr>
            <w:fldChar w:fldCharType="begin"/>
          </w:r>
          <w:r>
            <w:rPr>
              <w:color w:val="auto"/>
            </w:rPr>
            <w:instrText xml:space="preserve"> PAGEREF _Toc537 \h </w:instrText>
          </w:r>
          <w:r>
            <w:rPr>
              <w:color w:val="auto"/>
            </w:rPr>
            <w:fldChar w:fldCharType="separate"/>
          </w:r>
          <w:r>
            <w:rPr>
              <w:color w:val="auto"/>
            </w:rPr>
            <w:t>- 34 -</w:t>
          </w:r>
          <w:r>
            <w:rPr>
              <w:color w:val="auto"/>
            </w:rPr>
            <w:fldChar w:fldCharType="end"/>
          </w:r>
          <w:r>
            <w:rPr>
              <w:color w:val="auto"/>
            </w:rPr>
            <w:fldChar w:fldCharType="end"/>
          </w:r>
        </w:p>
        <w:p w14:paraId="193404ED">
          <w:pPr>
            <w:pStyle w:val="18"/>
            <w:tabs>
              <w:tab w:val="right" w:leader="dot" w:pos="8925"/>
            </w:tabs>
            <w:rPr>
              <w:color w:val="auto"/>
            </w:rPr>
          </w:pPr>
          <w:r>
            <w:fldChar w:fldCharType="begin"/>
          </w:r>
          <w:r>
            <w:instrText xml:space="preserve"> HYPERLINK \l "_Toc25885" </w:instrText>
          </w:r>
          <w:r>
            <w:fldChar w:fldCharType="separate"/>
          </w:r>
          <w:r>
            <w:rPr>
              <w:rFonts w:hint="eastAsia" w:ascii="宋体" w:hAnsi="宋体" w:eastAsia="宋体" w:cs="宋体"/>
              <w:bCs/>
              <w:color w:val="auto"/>
              <w:szCs w:val="28"/>
              <w:lang w:eastAsia="zh-CN"/>
            </w:rPr>
            <w:t>10　其他内容</w:t>
          </w:r>
          <w:r>
            <w:rPr>
              <w:color w:val="auto"/>
            </w:rPr>
            <w:tab/>
          </w:r>
          <w:r>
            <w:rPr>
              <w:color w:val="auto"/>
            </w:rPr>
            <w:fldChar w:fldCharType="begin"/>
          </w:r>
          <w:r>
            <w:rPr>
              <w:color w:val="auto"/>
            </w:rPr>
            <w:instrText xml:space="preserve"> PAGEREF _Toc25885 \h </w:instrText>
          </w:r>
          <w:r>
            <w:rPr>
              <w:color w:val="auto"/>
            </w:rPr>
            <w:fldChar w:fldCharType="separate"/>
          </w:r>
          <w:r>
            <w:rPr>
              <w:color w:val="auto"/>
            </w:rPr>
            <w:t>- 34 -</w:t>
          </w:r>
          <w:r>
            <w:rPr>
              <w:color w:val="auto"/>
            </w:rPr>
            <w:fldChar w:fldCharType="end"/>
          </w:r>
          <w:r>
            <w:rPr>
              <w:color w:val="auto"/>
            </w:rPr>
            <w:fldChar w:fldCharType="end"/>
          </w:r>
        </w:p>
        <w:p w14:paraId="7BADBA55">
          <w:pPr>
            <w:pStyle w:val="19"/>
            <w:tabs>
              <w:tab w:val="right" w:leader="dot" w:pos="8925"/>
            </w:tabs>
            <w:rPr>
              <w:color w:val="auto"/>
            </w:rPr>
          </w:pPr>
          <w:r>
            <w:fldChar w:fldCharType="begin"/>
          </w:r>
          <w:r>
            <w:instrText xml:space="preserve"> HYPERLINK \l "_Toc32414" </w:instrText>
          </w:r>
          <w:r>
            <w:fldChar w:fldCharType="separate"/>
          </w:r>
          <w:r>
            <w:rPr>
              <w:rFonts w:hint="eastAsia" w:ascii="宋体" w:hAnsi="宋体" w:eastAsia="宋体" w:cs="宋体"/>
              <w:bCs/>
              <w:color w:val="auto"/>
              <w:szCs w:val="24"/>
              <w:lang w:eastAsia="zh-CN"/>
            </w:rPr>
            <w:t>10.1　类似项目</w:t>
          </w:r>
          <w:r>
            <w:rPr>
              <w:color w:val="auto"/>
            </w:rPr>
            <w:tab/>
          </w:r>
          <w:r>
            <w:rPr>
              <w:color w:val="auto"/>
            </w:rPr>
            <w:fldChar w:fldCharType="begin"/>
          </w:r>
          <w:r>
            <w:rPr>
              <w:color w:val="auto"/>
            </w:rPr>
            <w:instrText xml:space="preserve"> PAGEREF _Toc32414 \h </w:instrText>
          </w:r>
          <w:r>
            <w:rPr>
              <w:color w:val="auto"/>
            </w:rPr>
            <w:fldChar w:fldCharType="separate"/>
          </w:r>
          <w:r>
            <w:rPr>
              <w:color w:val="auto"/>
            </w:rPr>
            <w:t>- 34 -</w:t>
          </w:r>
          <w:r>
            <w:rPr>
              <w:color w:val="auto"/>
            </w:rPr>
            <w:fldChar w:fldCharType="end"/>
          </w:r>
          <w:r>
            <w:rPr>
              <w:color w:val="auto"/>
            </w:rPr>
            <w:fldChar w:fldCharType="end"/>
          </w:r>
        </w:p>
        <w:p w14:paraId="52D23E99">
          <w:pPr>
            <w:pStyle w:val="19"/>
            <w:tabs>
              <w:tab w:val="right" w:leader="dot" w:pos="8925"/>
            </w:tabs>
            <w:rPr>
              <w:color w:val="auto"/>
            </w:rPr>
          </w:pPr>
          <w:r>
            <w:fldChar w:fldCharType="begin"/>
          </w:r>
          <w:r>
            <w:instrText xml:space="preserve"> HYPERLINK \l "_Toc4129" </w:instrText>
          </w:r>
          <w:r>
            <w:fldChar w:fldCharType="separate"/>
          </w:r>
          <w:r>
            <w:rPr>
              <w:rFonts w:hint="eastAsia" w:ascii="宋体" w:hAnsi="宋体" w:eastAsia="宋体" w:cs="宋体"/>
              <w:bCs/>
              <w:color w:val="auto"/>
              <w:szCs w:val="24"/>
              <w:lang w:eastAsia="zh-CN"/>
            </w:rPr>
            <w:t>10.2　投标文件的澄清、说明</w:t>
          </w:r>
          <w:r>
            <w:rPr>
              <w:color w:val="auto"/>
            </w:rPr>
            <w:tab/>
          </w:r>
          <w:r>
            <w:rPr>
              <w:color w:val="auto"/>
            </w:rPr>
            <w:fldChar w:fldCharType="begin"/>
          </w:r>
          <w:r>
            <w:rPr>
              <w:color w:val="auto"/>
            </w:rPr>
            <w:instrText xml:space="preserve"> PAGEREF _Toc4129 \h </w:instrText>
          </w:r>
          <w:r>
            <w:rPr>
              <w:color w:val="auto"/>
            </w:rPr>
            <w:fldChar w:fldCharType="separate"/>
          </w:r>
          <w:r>
            <w:rPr>
              <w:color w:val="auto"/>
            </w:rPr>
            <w:t>- 34 -</w:t>
          </w:r>
          <w:r>
            <w:rPr>
              <w:color w:val="auto"/>
            </w:rPr>
            <w:fldChar w:fldCharType="end"/>
          </w:r>
          <w:r>
            <w:rPr>
              <w:color w:val="auto"/>
            </w:rPr>
            <w:fldChar w:fldCharType="end"/>
          </w:r>
        </w:p>
        <w:p w14:paraId="66B846D3">
          <w:pPr>
            <w:pStyle w:val="19"/>
            <w:tabs>
              <w:tab w:val="right" w:leader="dot" w:pos="8925"/>
            </w:tabs>
            <w:rPr>
              <w:color w:val="auto"/>
            </w:rPr>
          </w:pPr>
          <w:r>
            <w:fldChar w:fldCharType="begin"/>
          </w:r>
          <w:r>
            <w:instrText xml:space="preserve"> HYPERLINK \l "_Toc4212" </w:instrText>
          </w:r>
          <w:r>
            <w:fldChar w:fldCharType="separate"/>
          </w:r>
          <w:r>
            <w:rPr>
              <w:rFonts w:hint="eastAsia" w:ascii="宋体" w:hAnsi="宋体" w:eastAsia="宋体" w:cs="宋体"/>
              <w:bCs/>
              <w:color w:val="auto"/>
              <w:szCs w:val="24"/>
              <w:lang w:eastAsia="zh-CN"/>
            </w:rPr>
            <w:t>10.3　实质性响应招标文件资料及评审打分资料</w:t>
          </w:r>
          <w:r>
            <w:rPr>
              <w:color w:val="auto"/>
            </w:rPr>
            <w:tab/>
          </w:r>
          <w:r>
            <w:rPr>
              <w:color w:val="auto"/>
            </w:rPr>
            <w:fldChar w:fldCharType="begin"/>
          </w:r>
          <w:r>
            <w:rPr>
              <w:color w:val="auto"/>
            </w:rPr>
            <w:instrText xml:space="preserve"> PAGEREF _Toc4212 \h </w:instrText>
          </w:r>
          <w:r>
            <w:rPr>
              <w:color w:val="auto"/>
            </w:rPr>
            <w:fldChar w:fldCharType="separate"/>
          </w:r>
          <w:r>
            <w:rPr>
              <w:color w:val="auto"/>
            </w:rPr>
            <w:t>- 34 -</w:t>
          </w:r>
          <w:r>
            <w:rPr>
              <w:color w:val="auto"/>
            </w:rPr>
            <w:fldChar w:fldCharType="end"/>
          </w:r>
          <w:r>
            <w:rPr>
              <w:color w:val="auto"/>
            </w:rPr>
            <w:fldChar w:fldCharType="end"/>
          </w:r>
        </w:p>
        <w:p w14:paraId="46820549">
          <w:pPr>
            <w:pStyle w:val="19"/>
            <w:tabs>
              <w:tab w:val="right" w:leader="dot" w:pos="8925"/>
            </w:tabs>
            <w:rPr>
              <w:color w:val="auto"/>
            </w:rPr>
          </w:pPr>
          <w:r>
            <w:fldChar w:fldCharType="begin"/>
          </w:r>
          <w:r>
            <w:instrText xml:space="preserve"> HYPERLINK \l "_Toc17432" </w:instrText>
          </w:r>
          <w:r>
            <w:fldChar w:fldCharType="separate"/>
          </w:r>
          <w:r>
            <w:rPr>
              <w:rFonts w:hint="eastAsia" w:ascii="宋体" w:hAnsi="宋体" w:eastAsia="宋体" w:cs="宋体"/>
              <w:bCs/>
              <w:color w:val="auto"/>
              <w:szCs w:val="24"/>
              <w:lang w:eastAsia="zh-CN"/>
            </w:rPr>
            <w:t>10.4　中标人的投标文件</w:t>
          </w:r>
          <w:r>
            <w:rPr>
              <w:color w:val="auto"/>
            </w:rPr>
            <w:tab/>
          </w:r>
          <w:r>
            <w:rPr>
              <w:color w:val="auto"/>
            </w:rPr>
            <w:fldChar w:fldCharType="begin"/>
          </w:r>
          <w:r>
            <w:rPr>
              <w:color w:val="auto"/>
            </w:rPr>
            <w:instrText xml:space="preserve"> PAGEREF _Toc17432 \h </w:instrText>
          </w:r>
          <w:r>
            <w:rPr>
              <w:color w:val="auto"/>
            </w:rPr>
            <w:fldChar w:fldCharType="separate"/>
          </w:r>
          <w:r>
            <w:rPr>
              <w:color w:val="auto"/>
            </w:rPr>
            <w:t>- 34 -</w:t>
          </w:r>
          <w:r>
            <w:rPr>
              <w:color w:val="auto"/>
            </w:rPr>
            <w:fldChar w:fldCharType="end"/>
          </w:r>
          <w:r>
            <w:rPr>
              <w:color w:val="auto"/>
            </w:rPr>
            <w:fldChar w:fldCharType="end"/>
          </w:r>
        </w:p>
        <w:p w14:paraId="0511AC4C">
          <w:pPr>
            <w:pStyle w:val="19"/>
            <w:tabs>
              <w:tab w:val="right" w:leader="dot" w:pos="8925"/>
            </w:tabs>
            <w:rPr>
              <w:color w:val="auto"/>
            </w:rPr>
          </w:pPr>
          <w:r>
            <w:fldChar w:fldCharType="begin"/>
          </w:r>
          <w:r>
            <w:instrText xml:space="preserve"> HYPERLINK \l "_Toc20927" </w:instrText>
          </w:r>
          <w:r>
            <w:fldChar w:fldCharType="separate"/>
          </w:r>
          <w:r>
            <w:rPr>
              <w:rFonts w:hint="eastAsia" w:ascii="宋体" w:hAnsi="宋体" w:eastAsia="宋体" w:cs="宋体"/>
              <w:bCs/>
              <w:color w:val="auto"/>
              <w:szCs w:val="24"/>
              <w:lang w:eastAsia="zh-CN"/>
            </w:rPr>
            <w:t>10.5　招标人最高投标限价或其计算方法</w:t>
          </w:r>
          <w:r>
            <w:rPr>
              <w:color w:val="auto"/>
            </w:rPr>
            <w:tab/>
          </w:r>
          <w:r>
            <w:rPr>
              <w:color w:val="auto"/>
            </w:rPr>
            <w:fldChar w:fldCharType="begin"/>
          </w:r>
          <w:r>
            <w:rPr>
              <w:color w:val="auto"/>
            </w:rPr>
            <w:instrText xml:space="preserve"> PAGEREF _Toc20927 \h </w:instrText>
          </w:r>
          <w:r>
            <w:rPr>
              <w:color w:val="auto"/>
            </w:rPr>
            <w:fldChar w:fldCharType="separate"/>
          </w:r>
          <w:r>
            <w:rPr>
              <w:color w:val="auto"/>
            </w:rPr>
            <w:t>- 34 -</w:t>
          </w:r>
          <w:r>
            <w:rPr>
              <w:color w:val="auto"/>
            </w:rPr>
            <w:fldChar w:fldCharType="end"/>
          </w:r>
          <w:r>
            <w:rPr>
              <w:color w:val="auto"/>
            </w:rPr>
            <w:fldChar w:fldCharType="end"/>
          </w:r>
        </w:p>
        <w:p w14:paraId="120B8CDF">
          <w:pPr>
            <w:pStyle w:val="19"/>
            <w:tabs>
              <w:tab w:val="right" w:leader="dot" w:pos="8925"/>
            </w:tabs>
            <w:rPr>
              <w:color w:val="auto"/>
            </w:rPr>
          </w:pPr>
          <w:r>
            <w:fldChar w:fldCharType="begin"/>
          </w:r>
          <w:r>
            <w:instrText xml:space="preserve"> HYPERLINK \l "_Toc7105" </w:instrText>
          </w:r>
          <w:r>
            <w:fldChar w:fldCharType="separate"/>
          </w:r>
          <w:r>
            <w:rPr>
              <w:rFonts w:hint="eastAsia" w:ascii="宋体" w:hAnsi="宋体" w:eastAsia="宋体" w:cs="宋体"/>
              <w:bCs/>
              <w:color w:val="auto"/>
              <w:szCs w:val="24"/>
              <w:lang w:eastAsia="zh-CN"/>
            </w:rPr>
            <w:t>10.6　在建合同工程的认定及变更证明</w:t>
          </w:r>
          <w:r>
            <w:rPr>
              <w:color w:val="auto"/>
            </w:rPr>
            <w:tab/>
          </w:r>
          <w:r>
            <w:rPr>
              <w:color w:val="auto"/>
            </w:rPr>
            <w:fldChar w:fldCharType="begin"/>
          </w:r>
          <w:r>
            <w:rPr>
              <w:color w:val="auto"/>
            </w:rPr>
            <w:instrText xml:space="preserve"> PAGEREF _Toc7105 \h </w:instrText>
          </w:r>
          <w:r>
            <w:rPr>
              <w:color w:val="auto"/>
            </w:rPr>
            <w:fldChar w:fldCharType="separate"/>
          </w:r>
          <w:r>
            <w:rPr>
              <w:color w:val="auto"/>
            </w:rPr>
            <w:t>- 34 -</w:t>
          </w:r>
          <w:r>
            <w:rPr>
              <w:color w:val="auto"/>
            </w:rPr>
            <w:fldChar w:fldCharType="end"/>
          </w:r>
          <w:r>
            <w:rPr>
              <w:color w:val="auto"/>
            </w:rPr>
            <w:fldChar w:fldCharType="end"/>
          </w:r>
        </w:p>
        <w:p w14:paraId="6027EF65">
          <w:pPr>
            <w:pStyle w:val="19"/>
            <w:tabs>
              <w:tab w:val="right" w:leader="dot" w:pos="8925"/>
            </w:tabs>
            <w:rPr>
              <w:color w:val="auto"/>
            </w:rPr>
          </w:pPr>
          <w:r>
            <w:fldChar w:fldCharType="begin"/>
          </w:r>
          <w:r>
            <w:instrText xml:space="preserve"> HYPERLINK \l "_Toc24265" </w:instrText>
          </w:r>
          <w:r>
            <w:fldChar w:fldCharType="separate"/>
          </w:r>
          <w:r>
            <w:rPr>
              <w:rFonts w:hint="eastAsia" w:ascii="宋体" w:hAnsi="宋体" w:eastAsia="宋体" w:cs="宋体"/>
              <w:bCs/>
              <w:color w:val="auto"/>
              <w:szCs w:val="24"/>
              <w:lang w:eastAsia="zh-CN"/>
            </w:rPr>
            <w:t>10.7　特别说明</w:t>
          </w:r>
          <w:r>
            <w:rPr>
              <w:color w:val="auto"/>
            </w:rPr>
            <w:tab/>
          </w:r>
          <w:r>
            <w:rPr>
              <w:color w:val="auto"/>
            </w:rPr>
            <w:fldChar w:fldCharType="begin"/>
          </w:r>
          <w:r>
            <w:rPr>
              <w:color w:val="auto"/>
            </w:rPr>
            <w:instrText xml:space="preserve"> PAGEREF _Toc24265 \h </w:instrText>
          </w:r>
          <w:r>
            <w:rPr>
              <w:color w:val="auto"/>
            </w:rPr>
            <w:fldChar w:fldCharType="separate"/>
          </w:r>
          <w:r>
            <w:rPr>
              <w:color w:val="auto"/>
            </w:rPr>
            <w:t>- 34 -</w:t>
          </w:r>
          <w:r>
            <w:rPr>
              <w:color w:val="auto"/>
            </w:rPr>
            <w:fldChar w:fldCharType="end"/>
          </w:r>
          <w:r>
            <w:rPr>
              <w:color w:val="auto"/>
            </w:rPr>
            <w:fldChar w:fldCharType="end"/>
          </w:r>
        </w:p>
        <w:p w14:paraId="7717F238">
          <w:pPr>
            <w:pStyle w:val="19"/>
            <w:tabs>
              <w:tab w:val="right" w:leader="dot" w:pos="8925"/>
            </w:tabs>
            <w:rPr>
              <w:color w:val="auto"/>
            </w:rPr>
          </w:pPr>
          <w:r>
            <w:fldChar w:fldCharType="begin"/>
          </w:r>
          <w:r>
            <w:instrText xml:space="preserve"> HYPERLINK \l "_Toc1206" </w:instrText>
          </w:r>
          <w:r>
            <w:fldChar w:fldCharType="separate"/>
          </w:r>
          <w:r>
            <w:rPr>
              <w:rFonts w:hint="eastAsia" w:ascii="宋体" w:hAnsi="宋体" w:eastAsia="宋体" w:cs="宋体"/>
              <w:bCs/>
              <w:color w:val="auto"/>
              <w:szCs w:val="24"/>
              <w:lang w:eastAsia="zh-CN"/>
            </w:rPr>
            <w:t>10.8　否决投标的情形</w:t>
          </w:r>
          <w:r>
            <w:rPr>
              <w:color w:val="auto"/>
            </w:rPr>
            <w:tab/>
          </w:r>
          <w:r>
            <w:rPr>
              <w:color w:val="auto"/>
            </w:rPr>
            <w:fldChar w:fldCharType="begin"/>
          </w:r>
          <w:r>
            <w:rPr>
              <w:color w:val="auto"/>
            </w:rPr>
            <w:instrText xml:space="preserve"> PAGEREF _Toc1206 \h </w:instrText>
          </w:r>
          <w:r>
            <w:rPr>
              <w:color w:val="auto"/>
            </w:rPr>
            <w:fldChar w:fldCharType="separate"/>
          </w:r>
          <w:r>
            <w:rPr>
              <w:color w:val="auto"/>
            </w:rPr>
            <w:t>- 34 -</w:t>
          </w:r>
          <w:r>
            <w:rPr>
              <w:color w:val="auto"/>
            </w:rPr>
            <w:fldChar w:fldCharType="end"/>
          </w:r>
          <w:r>
            <w:rPr>
              <w:color w:val="auto"/>
            </w:rPr>
            <w:fldChar w:fldCharType="end"/>
          </w:r>
        </w:p>
        <w:p w14:paraId="6CB44A33">
          <w:pPr>
            <w:pStyle w:val="18"/>
            <w:tabs>
              <w:tab w:val="right" w:leader="dot" w:pos="8925"/>
            </w:tabs>
            <w:rPr>
              <w:color w:val="auto"/>
            </w:rPr>
          </w:pPr>
          <w:r>
            <w:fldChar w:fldCharType="begin"/>
          </w:r>
          <w:r>
            <w:instrText xml:space="preserve"> HYPERLINK \l "_Toc3923" </w:instrText>
          </w:r>
          <w:r>
            <w:fldChar w:fldCharType="separate"/>
          </w:r>
          <w:r>
            <w:rPr>
              <w:rFonts w:hint="eastAsia" w:ascii="宋体" w:hAnsi="宋体" w:eastAsia="宋体" w:cs="宋体"/>
              <w:bCs/>
              <w:color w:val="auto"/>
              <w:szCs w:val="28"/>
              <w:lang w:eastAsia="zh-CN"/>
            </w:rPr>
            <w:t>11　需要补充的内容</w:t>
          </w:r>
          <w:r>
            <w:rPr>
              <w:color w:val="auto"/>
            </w:rPr>
            <w:tab/>
          </w:r>
          <w:r>
            <w:rPr>
              <w:color w:val="auto"/>
            </w:rPr>
            <w:fldChar w:fldCharType="begin"/>
          </w:r>
          <w:r>
            <w:rPr>
              <w:color w:val="auto"/>
            </w:rPr>
            <w:instrText xml:space="preserve"> PAGEREF _Toc3923 \h </w:instrText>
          </w:r>
          <w:r>
            <w:rPr>
              <w:color w:val="auto"/>
            </w:rPr>
            <w:fldChar w:fldCharType="separate"/>
          </w:r>
          <w:r>
            <w:rPr>
              <w:color w:val="auto"/>
            </w:rPr>
            <w:t>- 34 -</w:t>
          </w:r>
          <w:r>
            <w:rPr>
              <w:color w:val="auto"/>
            </w:rPr>
            <w:fldChar w:fldCharType="end"/>
          </w:r>
          <w:r>
            <w:rPr>
              <w:color w:val="auto"/>
            </w:rPr>
            <w:fldChar w:fldCharType="end"/>
          </w:r>
        </w:p>
        <w:p w14:paraId="5B8F6A1B">
          <w:pPr>
            <w:pStyle w:val="17"/>
            <w:tabs>
              <w:tab w:val="right" w:leader="dot" w:pos="8925"/>
            </w:tabs>
            <w:rPr>
              <w:color w:val="auto"/>
            </w:rPr>
          </w:pPr>
          <w:r>
            <w:fldChar w:fldCharType="begin"/>
          </w:r>
          <w:r>
            <w:instrText xml:space="preserve"> HYPERLINK \l "_Toc24062" </w:instrText>
          </w:r>
          <w:r>
            <w:fldChar w:fldCharType="separate"/>
          </w:r>
          <w:r>
            <w:rPr>
              <w:rFonts w:ascii="宋体" w:hAnsi="宋体" w:eastAsia="宋体" w:cs="宋体"/>
              <w:bCs/>
              <w:color w:val="auto"/>
              <w:szCs w:val="36"/>
              <w:lang w:eastAsia="zh-CN"/>
            </w:rPr>
            <w:t>第三章</w:t>
          </w:r>
          <w:r>
            <w:rPr>
              <w:rFonts w:hint="eastAsia" w:ascii="宋体" w:hAnsi="宋体" w:eastAsia="宋体" w:cs="宋体"/>
              <w:bCs/>
              <w:color w:val="auto"/>
              <w:szCs w:val="36"/>
              <w:lang w:eastAsia="zh-CN"/>
            </w:rPr>
            <w:t>　</w:t>
          </w:r>
          <w:r>
            <w:rPr>
              <w:rFonts w:ascii="宋体" w:hAnsi="宋体" w:eastAsia="宋体" w:cs="宋体"/>
              <w:bCs/>
              <w:color w:val="auto"/>
              <w:szCs w:val="36"/>
              <w:lang w:eastAsia="zh-CN"/>
            </w:rPr>
            <w:t>评标定标办法（综合评估法）</w:t>
          </w:r>
          <w:r>
            <w:rPr>
              <w:color w:val="auto"/>
            </w:rPr>
            <w:tab/>
          </w:r>
          <w:r>
            <w:rPr>
              <w:color w:val="auto"/>
            </w:rPr>
            <w:fldChar w:fldCharType="begin"/>
          </w:r>
          <w:r>
            <w:rPr>
              <w:color w:val="auto"/>
            </w:rPr>
            <w:instrText xml:space="preserve"> PAGEREF _Toc24062 \h </w:instrText>
          </w:r>
          <w:r>
            <w:rPr>
              <w:color w:val="auto"/>
            </w:rPr>
            <w:fldChar w:fldCharType="separate"/>
          </w:r>
          <w:r>
            <w:rPr>
              <w:color w:val="auto"/>
            </w:rPr>
            <w:t>- 41 -</w:t>
          </w:r>
          <w:r>
            <w:rPr>
              <w:color w:val="auto"/>
            </w:rPr>
            <w:fldChar w:fldCharType="end"/>
          </w:r>
          <w:r>
            <w:rPr>
              <w:color w:val="auto"/>
            </w:rPr>
            <w:fldChar w:fldCharType="end"/>
          </w:r>
        </w:p>
        <w:p w14:paraId="27E67716">
          <w:pPr>
            <w:pStyle w:val="18"/>
            <w:tabs>
              <w:tab w:val="right" w:leader="dot" w:pos="8925"/>
            </w:tabs>
            <w:rPr>
              <w:color w:val="auto"/>
            </w:rPr>
          </w:pPr>
          <w:r>
            <w:fldChar w:fldCharType="begin"/>
          </w:r>
          <w:r>
            <w:instrText xml:space="preserve"> HYPERLINK \l "_Toc15210" </w:instrText>
          </w:r>
          <w:r>
            <w:fldChar w:fldCharType="separate"/>
          </w:r>
          <w:r>
            <w:rPr>
              <w:rFonts w:ascii="宋体" w:hAnsi="宋体" w:eastAsia="宋体" w:cs="宋体"/>
              <w:bCs/>
              <w:color w:val="auto"/>
              <w:szCs w:val="31"/>
              <w:lang w:eastAsia="zh-CN"/>
            </w:rPr>
            <w:t>第</w:t>
          </w:r>
          <w:r>
            <w:rPr>
              <w:rFonts w:ascii="Times New Roman" w:hAnsi="Times New Roman" w:eastAsia="Times New Roman" w:cs="Times New Roman"/>
              <w:bCs/>
              <w:color w:val="auto"/>
              <w:szCs w:val="31"/>
              <w:lang w:eastAsia="zh-CN"/>
            </w:rPr>
            <w:t>1</w:t>
          </w:r>
          <w:r>
            <w:rPr>
              <w:rFonts w:ascii="宋体" w:hAnsi="宋体" w:eastAsia="宋体" w:cs="宋体"/>
              <w:bCs/>
              <w:color w:val="auto"/>
              <w:szCs w:val="31"/>
              <w:lang w:eastAsia="zh-CN"/>
            </w:rPr>
            <w:t>节</w:t>
          </w:r>
          <w:r>
            <w:rPr>
              <w:rFonts w:hint="eastAsia" w:ascii="宋体" w:hAnsi="宋体" w:eastAsia="宋体" w:cs="宋体"/>
              <w:bCs/>
              <w:color w:val="auto"/>
              <w:szCs w:val="31"/>
              <w:lang w:eastAsia="zh-CN"/>
            </w:rPr>
            <w:t>　</w:t>
          </w:r>
          <w:r>
            <w:rPr>
              <w:rFonts w:ascii="宋体" w:hAnsi="宋体" w:eastAsia="宋体" w:cs="宋体"/>
              <w:bCs/>
              <w:color w:val="auto"/>
              <w:szCs w:val="31"/>
              <w:lang w:eastAsia="zh-CN"/>
            </w:rPr>
            <w:t>评标办法</w:t>
          </w:r>
          <w:r>
            <w:rPr>
              <w:color w:val="auto"/>
            </w:rPr>
            <w:tab/>
          </w:r>
          <w:r>
            <w:rPr>
              <w:color w:val="auto"/>
            </w:rPr>
            <w:fldChar w:fldCharType="begin"/>
          </w:r>
          <w:r>
            <w:rPr>
              <w:color w:val="auto"/>
            </w:rPr>
            <w:instrText xml:space="preserve"> PAGEREF _Toc15210 \h </w:instrText>
          </w:r>
          <w:r>
            <w:rPr>
              <w:color w:val="auto"/>
            </w:rPr>
            <w:fldChar w:fldCharType="separate"/>
          </w:r>
          <w:r>
            <w:rPr>
              <w:color w:val="auto"/>
            </w:rPr>
            <w:t>- 41 -</w:t>
          </w:r>
          <w:r>
            <w:rPr>
              <w:color w:val="auto"/>
            </w:rPr>
            <w:fldChar w:fldCharType="end"/>
          </w:r>
          <w:r>
            <w:rPr>
              <w:color w:val="auto"/>
            </w:rPr>
            <w:fldChar w:fldCharType="end"/>
          </w:r>
        </w:p>
        <w:p w14:paraId="4F734256">
          <w:pPr>
            <w:pStyle w:val="18"/>
            <w:tabs>
              <w:tab w:val="right" w:leader="dot" w:pos="8925"/>
            </w:tabs>
            <w:rPr>
              <w:color w:val="auto"/>
            </w:rPr>
          </w:pPr>
          <w:r>
            <w:fldChar w:fldCharType="begin"/>
          </w:r>
          <w:r>
            <w:instrText xml:space="preserve"> HYPERLINK \l "_Toc18443" </w:instrText>
          </w:r>
          <w:r>
            <w:fldChar w:fldCharType="separate"/>
          </w:r>
          <w:r>
            <w:rPr>
              <w:rFonts w:ascii="宋体" w:hAnsi="宋体" w:eastAsia="宋体" w:cs="宋体"/>
              <w:bCs/>
              <w:color w:val="auto"/>
              <w:szCs w:val="28"/>
              <w:lang w:eastAsia="zh-CN"/>
            </w:rPr>
            <w:t>方法二：技术打分制的综合评估法</w:t>
          </w:r>
          <w:r>
            <w:rPr>
              <w:color w:val="auto"/>
            </w:rPr>
            <w:tab/>
          </w:r>
          <w:r>
            <w:rPr>
              <w:color w:val="auto"/>
            </w:rPr>
            <w:fldChar w:fldCharType="begin"/>
          </w:r>
          <w:r>
            <w:rPr>
              <w:color w:val="auto"/>
            </w:rPr>
            <w:instrText xml:space="preserve"> PAGEREF _Toc18443 \h </w:instrText>
          </w:r>
          <w:r>
            <w:rPr>
              <w:color w:val="auto"/>
            </w:rPr>
            <w:fldChar w:fldCharType="separate"/>
          </w:r>
          <w:r>
            <w:rPr>
              <w:color w:val="auto"/>
            </w:rPr>
            <w:t>- 41 -</w:t>
          </w:r>
          <w:r>
            <w:rPr>
              <w:color w:val="auto"/>
            </w:rPr>
            <w:fldChar w:fldCharType="end"/>
          </w:r>
          <w:r>
            <w:rPr>
              <w:color w:val="auto"/>
            </w:rPr>
            <w:fldChar w:fldCharType="end"/>
          </w:r>
        </w:p>
        <w:p w14:paraId="13C4B1B0">
          <w:pPr>
            <w:pStyle w:val="19"/>
            <w:tabs>
              <w:tab w:val="right" w:leader="dot" w:pos="8925"/>
            </w:tabs>
            <w:rPr>
              <w:color w:val="auto"/>
            </w:rPr>
          </w:pPr>
          <w:r>
            <w:fldChar w:fldCharType="begin"/>
          </w:r>
          <w:r>
            <w:instrText xml:space="preserve"> HYPERLINK \l "_Toc28651" </w:instrText>
          </w:r>
          <w:r>
            <w:fldChar w:fldCharType="separate"/>
          </w:r>
          <w:r>
            <w:rPr>
              <w:rFonts w:ascii="Times New Roman" w:hAnsi="Times New Roman" w:eastAsia="Times New Roman" w:cs="Times New Roman"/>
              <w:bCs/>
              <w:color w:val="auto"/>
              <w:szCs w:val="28"/>
              <w:lang w:eastAsia="zh-CN"/>
            </w:rPr>
            <w:t>1</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依据</w:t>
          </w:r>
          <w:r>
            <w:rPr>
              <w:color w:val="auto"/>
            </w:rPr>
            <w:tab/>
          </w:r>
          <w:r>
            <w:rPr>
              <w:color w:val="auto"/>
            </w:rPr>
            <w:fldChar w:fldCharType="begin"/>
          </w:r>
          <w:r>
            <w:rPr>
              <w:color w:val="auto"/>
            </w:rPr>
            <w:instrText xml:space="preserve"> PAGEREF _Toc28651 \h </w:instrText>
          </w:r>
          <w:r>
            <w:rPr>
              <w:color w:val="auto"/>
            </w:rPr>
            <w:fldChar w:fldCharType="separate"/>
          </w:r>
          <w:r>
            <w:rPr>
              <w:color w:val="auto"/>
            </w:rPr>
            <w:t>- 41 -</w:t>
          </w:r>
          <w:r>
            <w:rPr>
              <w:color w:val="auto"/>
            </w:rPr>
            <w:fldChar w:fldCharType="end"/>
          </w:r>
          <w:r>
            <w:rPr>
              <w:color w:val="auto"/>
            </w:rPr>
            <w:fldChar w:fldCharType="end"/>
          </w:r>
        </w:p>
        <w:p w14:paraId="7BE17B9C">
          <w:pPr>
            <w:pStyle w:val="19"/>
            <w:tabs>
              <w:tab w:val="right" w:leader="dot" w:pos="8925"/>
            </w:tabs>
            <w:rPr>
              <w:color w:val="auto"/>
            </w:rPr>
          </w:pPr>
          <w:r>
            <w:fldChar w:fldCharType="begin"/>
          </w:r>
          <w:r>
            <w:instrText xml:space="preserve"> HYPERLINK \l "_Toc6577" </w:instrText>
          </w:r>
          <w:r>
            <w:fldChar w:fldCharType="separate"/>
          </w:r>
          <w:r>
            <w:rPr>
              <w:rFonts w:ascii="Times New Roman" w:hAnsi="Times New Roman" w:eastAsia="Times New Roman" w:cs="Times New Roman"/>
              <w:bCs/>
              <w:color w:val="auto"/>
              <w:szCs w:val="28"/>
              <w:lang w:eastAsia="zh-CN"/>
            </w:rPr>
            <w:t>2</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评标原则</w:t>
          </w:r>
          <w:r>
            <w:rPr>
              <w:color w:val="auto"/>
            </w:rPr>
            <w:tab/>
          </w:r>
          <w:r>
            <w:rPr>
              <w:color w:val="auto"/>
            </w:rPr>
            <w:fldChar w:fldCharType="begin"/>
          </w:r>
          <w:r>
            <w:rPr>
              <w:color w:val="auto"/>
            </w:rPr>
            <w:instrText xml:space="preserve"> PAGEREF _Toc6577 \h </w:instrText>
          </w:r>
          <w:r>
            <w:rPr>
              <w:color w:val="auto"/>
            </w:rPr>
            <w:fldChar w:fldCharType="separate"/>
          </w:r>
          <w:r>
            <w:rPr>
              <w:color w:val="auto"/>
            </w:rPr>
            <w:t>- 41 -</w:t>
          </w:r>
          <w:r>
            <w:rPr>
              <w:color w:val="auto"/>
            </w:rPr>
            <w:fldChar w:fldCharType="end"/>
          </w:r>
          <w:r>
            <w:rPr>
              <w:color w:val="auto"/>
            </w:rPr>
            <w:fldChar w:fldCharType="end"/>
          </w:r>
        </w:p>
        <w:p w14:paraId="1450053D">
          <w:pPr>
            <w:pStyle w:val="19"/>
            <w:tabs>
              <w:tab w:val="right" w:leader="dot" w:pos="8925"/>
            </w:tabs>
            <w:rPr>
              <w:color w:val="auto"/>
            </w:rPr>
          </w:pPr>
          <w:r>
            <w:fldChar w:fldCharType="begin"/>
          </w:r>
          <w:r>
            <w:instrText xml:space="preserve"> HYPERLINK \l "_Toc22553" </w:instrText>
          </w:r>
          <w:r>
            <w:fldChar w:fldCharType="separate"/>
          </w:r>
          <w:r>
            <w:rPr>
              <w:rFonts w:ascii="Times New Roman" w:hAnsi="Times New Roman" w:eastAsia="Times New Roman" w:cs="Times New Roman"/>
              <w:bCs/>
              <w:color w:val="auto"/>
              <w:szCs w:val="28"/>
              <w:lang w:eastAsia="zh-CN"/>
            </w:rPr>
            <w:t>3</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评标组织</w:t>
          </w:r>
          <w:r>
            <w:rPr>
              <w:color w:val="auto"/>
            </w:rPr>
            <w:tab/>
          </w:r>
          <w:r>
            <w:rPr>
              <w:color w:val="auto"/>
            </w:rPr>
            <w:fldChar w:fldCharType="begin"/>
          </w:r>
          <w:r>
            <w:rPr>
              <w:color w:val="auto"/>
            </w:rPr>
            <w:instrText xml:space="preserve"> PAGEREF _Toc22553 \h </w:instrText>
          </w:r>
          <w:r>
            <w:rPr>
              <w:color w:val="auto"/>
            </w:rPr>
            <w:fldChar w:fldCharType="separate"/>
          </w:r>
          <w:r>
            <w:rPr>
              <w:color w:val="auto"/>
            </w:rPr>
            <w:t>- 41 -</w:t>
          </w:r>
          <w:r>
            <w:rPr>
              <w:color w:val="auto"/>
            </w:rPr>
            <w:fldChar w:fldCharType="end"/>
          </w:r>
          <w:r>
            <w:rPr>
              <w:color w:val="auto"/>
            </w:rPr>
            <w:fldChar w:fldCharType="end"/>
          </w:r>
        </w:p>
        <w:p w14:paraId="5CE5A87C">
          <w:pPr>
            <w:pStyle w:val="19"/>
            <w:tabs>
              <w:tab w:val="right" w:leader="dot" w:pos="8925"/>
            </w:tabs>
            <w:rPr>
              <w:color w:val="auto"/>
            </w:rPr>
          </w:pPr>
          <w:r>
            <w:fldChar w:fldCharType="begin"/>
          </w:r>
          <w:r>
            <w:instrText xml:space="preserve"> HYPERLINK \l "_Toc18915" </w:instrText>
          </w:r>
          <w:r>
            <w:fldChar w:fldCharType="separate"/>
          </w:r>
          <w:r>
            <w:rPr>
              <w:rFonts w:ascii="Times New Roman" w:hAnsi="Times New Roman" w:eastAsia="Times New Roman" w:cs="Times New Roman"/>
              <w:bCs/>
              <w:color w:val="auto"/>
              <w:szCs w:val="28"/>
              <w:lang w:eastAsia="zh-CN"/>
            </w:rPr>
            <w:t>4</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评标程序和内容</w:t>
          </w:r>
          <w:r>
            <w:rPr>
              <w:color w:val="auto"/>
            </w:rPr>
            <w:tab/>
          </w:r>
          <w:r>
            <w:rPr>
              <w:color w:val="auto"/>
            </w:rPr>
            <w:fldChar w:fldCharType="begin"/>
          </w:r>
          <w:r>
            <w:rPr>
              <w:color w:val="auto"/>
            </w:rPr>
            <w:instrText xml:space="preserve"> PAGEREF _Toc18915 \h </w:instrText>
          </w:r>
          <w:r>
            <w:rPr>
              <w:color w:val="auto"/>
            </w:rPr>
            <w:fldChar w:fldCharType="separate"/>
          </w:r>
          <w:r>
            <w:rPr>
              <w:color w:val="auto"/>
            </w:rPr>
            <w:t>- 41 -</w:t>
          </w:r>
          <w:r>
            <w:rPr>
              <w:color w:val="auto"/>
            </w:rPr>
            <w:fldChar w:fldCharType="end"/>
          </w:r>
          <w:r>
            <w:rPr>
              <w:color w:val="auto"/>
            </w:rPr>
            <w:fldChar w:fldCharType="end"/>
          </w:r>
        </w:p>
        <w:p w14:paraId="717D8725">
          <w:pPr>
            <w:pStyle w:val="17"/>
            <w:tabs>
              <w:tab w:val="right" w:leader="dot" w:pos="8925"/>
            </w:tabs>
            <w:rPr>
              <w:color w:val="auto"/>
            </w:rPr>
          </w:pPr>
          <w:r>
            <w:fldChar w:fldCharType="begin"/>
          </w:r>
          <w:r>
            <w:instrText xml:space="preserve"> HYPERLINK \l "_Toc3314" </w:instrText>
          </w:r>
          <w:r>
            <w:fldChar w:fldCharType="separate"/>
          </w:r>
          <w:r>
            <w:rPr>
              <w:rFonts w:ascii="宋体" w:hAnsi="宋体" w:eastAsia="宋体" w:cs="宋体"/>
              <w:bCs/>
              <w:color w:val="auto"/>
              <w:szCs w:val="36"/>
              <w:lang w:eastAsia="zh-CN"/>
            </w:rPr>
            <w:t>第四章</w:t>
          </w:r>
          <w:r>
            <w:rPr>
              <w:rFonts w:hint="eastAsia" w:ascii="宋体" w:hAnsi="宋体" w:eastAsia="宋体" w:cs="宋体"/>
              <w:bCs/>
              <w:color w:val="auto"/>
              <w:szCs w:val="36"/>
              <w:lang w:eastAsia="zh-CN"/>
            </w:rPr>
            <w:t>　</w:t>
          </w:r>
          <w:r>
            <w:rPr>
              <w:rFonts w:ascii="宋体" w:hAnsi="宋体" w:eastAsia="宋体" w:cs="宋体"/>
              <w:bCs/>
              <w:color w:val="auto"/>
              <w:szCs w:val="36"/>
              <w:lang w:eastAsia="zh-CN"/>
            </w:rPr>
            <w:t>合同条款及格式</w:t>
          </w:r>
          <w:r>
            <w:rPr>
              <w:color w:val="auto"/>
            </w:rPr>
            <w:tab/>
          </w:r>
          <w:r>
            <w:rPr>
              <w:color w:val="auto"/>
            </w:rPr>
            <w:fldChar w:fldCharType="begin"/>
          </w:r>
          <w:r>
            <w:rPr>
              <w:color w:val="auto"/>
            </w:rPr>
            <w:instrText xml:space="preserve"> PAGEREF _Toc3314 \h </w:instrText>
          </w:r>
          <w:r>
            <w:rPr>
              <w:color w:val="auto"/>
            </w:rPr>
            <w:fldChar w:fldCharType="separate"/>
          </w:r>
          <w:r>
            <w:rPr>
              <w:color w:val="auto"/>
            </w:rPr>
            <w:t>- 53 -</w:t>
          </w:r>
          <w:r>
            <w:rPr>
              <w:color w:val="auto"/>
            </w:rPr>
            <w:fldChar w:fldCharType="end"/>
          </w:r>
          <w:r>
            <w:rPr>
              <w:color w:val="auto"/>
            </w:rPr>
            <w:fldChar w:fldCharType="end"/>
          </w:r>
        </w:p>
        <w:p w14:paraId="77B67812">
          <w:pPr>
            <w:pStyle w:val="18"/>
            <w:tabs>
              <w:tab w:val="right" w:leader="dot" w:pos="8925"/>
            </w:tabs>
            <w:rPr>
              <w:color w:val="auto"/>
            </w:rPr>
          </w:pPr>
          <w:r>
            <w:fldChar w:fldCharType="begin"/>
          </w:r>
          <w:r>
            <w:instrText xml:space="preserve"> HYPERLINK \l "_Toc23600" </w:instrText>
          </w:r>
          <w:r>
            <w:fldChar w:fldCharType="separate"/>
          </w:r>
          <w:r>
            <w:rPr>
              <w:rFonts w:ascii="宋体" w:hAnsi="宋体" w:eastAsia="宋体" w:cs="宋体"/>
              <w:bCs/>
              <w:color w:val="auto"/>
              <w:szCs w:val="31"/>
              <w:lang w:eastAsia="zh-CN"/>
            </w:rPr>
            <w:t>第一节</w:t>
          </w:r>
          <w:r>
            <w:rPr>
              <w:rFonts w:hint="eastAsia" w:ascii="宋体" w:hAnsi="宋体" w:eastAsia="宋体" w:cs="宋体"/>
              <w:color w:val="auto"/>
              <w:szCs w:val="31"/>
              <w:lang w:eastAsia="zh-CN"/>
            </w:rPr>
            <w:t>　</w:t>
          </w:r>
          <w:r>
            <w:rPr>
              <w:rFonts w:ascii="宋体" w:hAnsi="宋体" w:eastAsia="宋体" w:cs="宋体"/>
              <w:bCs/>
              <w:color w:val="auto"/>
              <w:szCs w:val="31"/>
              <w:lang w:eastAsia="zh-CN"/>
            </w:rPr>
            <w:t>通用合同条款</w:t>
          </w:r>
          <w:r>
            <w:rPr>
              <w:color w:val="auto"/>
            </w:rPr>
            <w:tab/>
          </w:r>
          <w:r>
            <w:rPr>
              <w:color w:val="auto"/>
            </w:rPr>
            <w:fldChar w:fldCharType="begin"/>
          </w:r>
          <w:r>
            <w:rPr>
              <w:color w:val="auto"/>
            </w:rPr>
            <w:instrText xml:space="preserve"> PAGEREF _Toc23600 \h </w:instrText>
          </w:r>
          <w:r>
            <w:rPr>
              <w:color w:val="auto"/>
            </w:rPr>
            <w:fldChar w:fldCharType="separate"/>
          </w:r>
          <w:r>
            <w:rPr>
              <w:color w:val="auto"/>
            </w:rPr>
            <w:t>- 53 -</w:t>
          </w:r>
          <w:r>
            <w:rPr>
              <w:color w:val="auto"/>
            </w:rPr>
            <w:fldChar w:fldCharType="end"/>
          </w:r>
          <w:r>
            <w:rPr>
              <w:color w:val="auto"/>
            </w:rPr>
            <w:fldChar w:fldCharType="end"/>
          </w:r>
        </w:p>
        <w:p w14:paraId="2E293E74">
          <w:pPr>
            <w:pStyle w:val="19"/>
            <w:tabs>
              <w:tab w:val="right" w:leader="dot" w:pos="8925"/>
            </w:tabs>
            <w:rPr>
              <w:color w:val="auto"/>
            </w:rPr>
          </w:pPr>
          <w:r>
            <w:fldChar w:fldCharType="begin"/>
          </w:r>
          <w:r>
            <w:instrText xml:space="preserve"> HYPERLINK \l "_Toc16424" </w:instrText>
          </w:r>
          <w:r>
            <w:fldChar w:fldCharType="separate"/>
          </w:r>
          <w:r>
            <w:rPr>
              <w:rFonts w:hint="eastAsia" w:ascii="宋体" w:hAnsi="宋体" w:eastAsia="宋体" w:cs="宋体"/>
              <w:bCs/>
              <w:color w:val="auto"/>
              <w:szCs w:val="28"/>
              <w:lang w:eastAsia="zh-CN"/>
            </w:rPr>
            <w:t>1　一般约定</w:t>
          </w:r>
          <w:r>
            <w:rPr>
              <w:color w:val="auto"/>
            </w:rPr>
            <w:tab/>
          </w:r>
          <w:r>
            <w:rPr>
              <w:color w:val="auto"/>
            </w:rPr>
            <w:fldChar w:fldCharType="begin"/>
          </w:r>
          <w:r>
            <w:rPr>
              <w:color w:val="auto"/>
            </w:rPr>
            <w:instrText xml:space="preserve"> PAGEREF _Toc16424 \h </w:instrText>
          </w:r>
          <w:r>
            <w:rPr>
              <w:color w:val="auto"/>
            </w:rPr>
            <w:fldChar w:fldCharType="separate"/>
          </w:r>
          <w:r>
            <w:rPr>
              <w:color w:val="auto"/>
            </w:rPr>
            <w:t>- 53 -</w:t>
          </w:r>
          <w:r>
            <w:rPr>
              <w:color w:val="auto"/>
            </w:rPr>
            <w:fldChar w:fldCharType="end"/>
          </w:r>
          <w:r>
            <w:rPr>
              <w:color w:val="auto"/>
            </w:rPr>
            <w:fldChar w:fldCharType="end"/>
          </w:r>
        </w:p>
        <w:p w14:paraId="7F4DC1FA">
          <w:pPr>
            <w:pStyle w:val="19"/>
            <w:tabs>
              <w:tab w:val="right" w:leader="dot" w:pos="8925"/>
            </w:tabs>
            <w:rPr>
              <w:color w:val="auto"/>
            </w:rPr>
          </w:pPr>
          <w:r>
            <w:fldChar w:fldCharType="begin"/>
          </w:r>
          <w:r>
            <w:instrText xml:space="preserve"> HYPERLINK \l "_Toc3672" </w:instrText>
          </w:r>
          <w:r>
            <w:fldChar w:fldCharType="separate"/>
          </w:r>
          <w:r>
            <w:rPr>
              <w:rFonts w:hint="eastAsia" w:ascii="宋体" w:hAnsi="宋体" w:eastAsia="宋体" w:cs="宋体"/>
              <w:bCs/>
              <w:color w:val="auto"/>
              <w:szCs w:val="28"/>
              <w:lang w:eastAsia="zh-CN"/>
            </w:rPr>
            <w:t>2　发包人义务</w:t>
          </w:r>
          <w:r>
            <w:rPr>
              <w:color w:val="auto"/>
            </w:rPr>
            <w:tab/>
          </w:r>
          <w:r>
            <w:rPr>
              <w:color w:val="auto"/>
            </w:rPr>
            <w:fldChar w:fldCharType="begin"/>
          </w:r>
          <w:r>
            <w:rPr>
              <w:color w:val="auto"/>
            </w:rPr>
            <w:instrText xml:space="preserve"> PAGEREF _Toc3672 \h </w:instrText>
          </w:r>
          <w:r>
            <w:rPr>
              <w:color w:val="auto"/>
            </w:rPr>
            <w:fldChar w:fldCharType="separate"/>
          </w:r>
          <w:r>
            <w:rPr>
              <w:color w:val="auto"/>
            </w:rPr>
            <w:t>- 59 -</w:t>
          </w:r>
          <w:r>
            <w:rPr>
              <w:color w:val="auto"/>
            </w:rPr>
            <w:fldChar w:fldCharType="end"/>
          </w:r>
          <w:r>
            <w:rPr>
              <w:color w:val="auto"/>
            </w:rPr>
            <w:fldChar w:fldCharType="end"/>
          </w:r>
        </w:p>
        <w:p w14:paraId="65178BDA">
          <w:pPr>
            <w:pStyle w:val="19"/>
            <w:tabs>
              <w:tab w:val="right" w:leader="dot" w:pos="8925"/>
            </w:tabs>
            <w:rPr>
              <w:color w:val="auto"/>
            </w:rPr>
          </w:pPr>
          <w:r>
            <w:fldChar w:fldCharType="begin"/>
          </w:r>
          <w:r>
            <w:instrText xml:space="preserve"> HYPERLINK \l "_Toc10219" </w:instrText>
          </w:r>
          <w:r>
            <w:fldChar w:fldCharType="separate"/>
          </w:r>
          <w:r>
            <w:rPr>
              <w:rFonts w:hint="eastAsia" w:ascii="宋体" w:hAnsi="宋体" w:eastAsia="宋体" w:cs="宋体"/>
              <w:bCs/>
              <w:color w:val="auto"/>
              <w:szCs w:val="28"/>
              <w:lang w:eastAsia="zh-CN"/>
            </w:rPr>
            <w:t>3　监理人</w:t>
          </w:r>
          <w:r>
            <w:rPr>
              <w:color w:val="auto"/>
            </w:rPr>
            <w:tab/>
          </w:r>
          <w:r>
            <w:rPr>
              <w:color w:val="auto"/>
            </w:rPr>
            <w:fldChar w:fldCharType="begin"/>
          </w:r>
          <w:r>
            <w:rPr>
              <w:color w:val="auto"/>
            </w:rPr>
            <w:instrText xml:space="preserve"> PAGEREF _Toc10219 \h </w:instrText>
          </w:r>
          <w:r>
            <w:rPr>
              <w:color w:val="auto"/>
            </w:rPr>
            <w:fldChar w:fldCharType="separate"/>
          </w:r>
          <w:r>
            <w:rPr>
              <w:color w:val="auto"/>
            </w:rPr>
            <w:t>- 60 -</w:t>
          </w:r>
          <w:r>
            <w:rPr>
              <w:color w:val="auto"/>
            </w:rPr>
            <w:fldChar w:fldCharType="end"/>
          </w:r>
          <w:r>
            <w:rPr>
              <w:color w:val="auto"/>
            </w:rPr>
            <w:fldChar w:fldCharType="end"/>
          </w:r>
        </w:p>
        <w:p w14:paraId="535D2A19">
          <w:pPr>
            <w:pStyle w:val="19"/>
            <w:tabs>
              <w:tab w:val="right" w:leader="dot" w:pos="8925"/>
            </w:tabs>
            <w:rPr>
              <w:color w:val="auto"/>
            </w:rPr>
          </w:pPr>
          <w:r>
            <w:fldChar w:fldCharType="begin"/>
          </w:r>
          <w:r>
            <w:instrText xml:space="preserve"> HYPERLINK \l "_Toc14204" </w:instrText>
          </w:r>
          <w:r>
            <w:fldChar w:fldCharType="separate"/>
          </w:r>
          <w:r>
            <w:rPr>
              <w:rFonts w:hint="eastAsia" w:ascii="宋体" w:hAnsi="宋体" w:eastAsia="宋体" w:cs="宋体"/>
              <w:bCs/>
              <w:color w:val="auto"/>
              <w:szCs w:val="28"/>
              <w:lang w:eastAsia="zh-CN"/>
            </w:rPr>
            <w:t>4　承包人</w:t>
          </w:r>
          <w:r>
            <w:rPr>
              <w:color w:val="auto"/>
            </w:rPr>
            <w:tab/>
          </w:r>
          <w:r>
            <w:rPr>
              <w:color w:val="auto"/>
            </w:rPr>
            <w:fldChar w:fldCharType="begin"/>
          </w:r>
          <w:r>
            <w:rPr>
              <w:color w:val="auto"/>
            </w:rPr>
            <w:instrText xml:space="preserve"> PAGEREF _Toc14204 \h </w:instrText>
          </w:r>
          <w:r>
            <w:rPr>
              <w:color w:val="auto"/>
            </w:rPr>
            <w:fldChar w:fldCharType="separate"/>
          </w:r>
          <w:r>
            <w:rPr>
              <w:color w:val="auto"/>
            </w:rPr>
            <w:t>- 62 -</w:t>
          </w:r>
          <w:r>
            <w:rPr>
              <w:color w:val="auto"/>
            </w:rPr>
            <w:fldChar w:fldCharType="end"/>
          </w:r>
          <w:r>
            <w:rPr>
              <w:color w:val="auto"/>
            </w:rPr>
            <w:fldChar w:fldCharType="end"/>
          </w:r>
        </w:p>
        <w:p w14:paraId="3824DD3F">
          <w:pPr>
            <w:pStyle w:val="19"/>
            <w:tabs>
              <w:tab w:val="right" w:leader="dot" w:pos="8925"/>
            </w:tabs>
            <w:rPr>
              <w:color w:val="auto"/>
            </w:rPr>
          </w:pPr>
          <w:r>
            <w:fldChar w:fldCharType="begin"/>
          </w:r>
          <w:r>
            <w:instrText xml:space="preserve"> HYPERLINK \l "_Toc31199" </w:instrText>
          </w:r>
          <w:r>
            <w:fldChar w:fldCharType="separate"/>
          </w:r>
          <w:r>
            <w:rPr>
              <w:rFonts w:hint="eastAsia" w:ascii="宋体" w:hAnsi="宋体" w:eastAsia="宋体" w:cs="宋体"/>
              <w:bCs/>
              <w:color w:val="auto"/>
              <w:szCs w:val="28"/>
              <w:lang w:eastAsia="zh-CN"/>
            </w:rPr>
            <w:t>5　材料和工程设备</w:t>
          </w:r>
          <w:r>
            <w:rPr>
              <w:color w:val="auto"/>
            </w:rPr>
            <w:tab/>
          </w:r>
          <w:r>
            <w:rPr>
              <w:color w:val="auto"/>
            </w:rPr>
            <w:fldChar w:fldCharType="begin"/>
          </w:r>
          <w:r>
            <w:rPr>
              <w:color w:val="auto"/>
            </w:rPr>
            <w:instrText xml:space="preserve"> PAGEREF _Toc31199 \h </w:instrText>
          </w:r>
          <w:r>
            <w:rPr>
              <w:color w:val="auto"/>
            </w:rPr>
            <w:fldChar w:fldCharType="separate"/>
          </w:r>
          <w:r>
            <w:rPr>
              <w:color w:val="auto"/>
            </w:rPr>
            <w:t>- 67 -</w:t>
          </w:r>
          <w:r>
            <w:rPr>
              <w:color w:val="auto"/>
            </w:rPr>
            <w:fldChar w:fldCharType="end"/>
          </w:r>
          <w:r>
            <w:rPr>
              <w:color w:val="auto"/>
            </w:rPr>
            <w:fldChar w:fldCharType="end"/>
          </w:r>
        </w:p>
        <w:p w14:paraId="79487D65">
          <w:pPr>
            <w:pStyle w:val="19"/>
            <w:tabs>
              <w:tab w:val="right" w:leader="dot" w:pos="8925"/>
            </w:tabs>
            <w:rPr>
              <w:color w:val="auto"/>
            </w:rPr>
          </w:pPr>
          <w:r>
            <w:fldChar w:fldCharType="begin"/>
          </w:r>
          <w:r>
            <w:instrText xml:space="preserve"> HYPERLINK \l "_Toc3492" </w:instrText>
          </w:r>
          <w:r>
            <w:fldChar w:fldCharType="separate"/>
          </w:r>
          <w:r>
            <w:rPr>
              <w:rFonts w:hint="eastAsia" w:ascii="宋体" w:hAnsi="宋体" w:eastAsia="宋体" w:cs="宋体"/>
              <w:bCs/>
              <w:color w:val="auto"/>
              <w:szCs w:val="28"/>
              <w:lang w:eastAsia="zh-CN"/>
            </w:rPr>
            <w:t>6　施工设备和临时设施</w:t>
          </w:r>
          <w:r>
            <w:rPr>
              <w:color w:val="auto"/>
            </w:rPr>
            <w:tab/>
          </w:r>
          <w:r>
            <w:rPr>
              <w:color w:val="auto"/>
            </w:rPr>
            <w:fldChar w:fldCharType="begin"/>
          </w:r>
          <w:r>
            <w:rPr>
              <w:color w:val="auto"/>
            </w:rPr>
            <w:instrText xml:space="preserve"> PAGEREF _Toc3492 \h </w:instrText>
          </w:r>
          <w:r>
            <w:rPr>
              <w:color w:val="auto"/>
            </w:rPr>
            <w:fldChar w:fldCharType="separate"/>
          </w:r>
          <w:r>
            <w:rPr>
              <w:color w:val="auto"/>
            </w:rPr>
            <w:t>- 68 -</w:t>
          </w:r>
          <w:r>
            <w:rPr>
              <w:color w:val="auto"/>
            </w:rPr>
            <w:fldChar w:fldCharType="end"/>
          </w:r>
          <w:r>
            <w:rPr>
              <w:color w:val="auto"/>
            </w:rPr>
            <w:fldChar w:fldCharType="end"/>
          </w:r>
        </w:p>
        <w:p w14:paraId="6CFF7EC7">
          <w:pPr>
            <w:pStyle w:val="19"/>
            <w:tabs>
              <w:tab w:val="right" w:leader="dot" w:pos="8925"/>
            </w:tabs>
            <w:rPr>
              <w:color w:val="auto"/>
            </w:rPr>
          </w:pPr>
          <w:r>
            <w:fldChar w:fldCharType="begin"/>
          </w:r>
          <w:r>
            <w:instrText xml:space="preserve"> HYPERLINK \l "_Toc30458" </w:instrText>
          </w:r>
          <w:r>
            <w:fldChar w:fldCharType="separate"/>
          </w:r>
          <w:r>
            <w:rPr>
              <w:rFonts w:hint="eastAsia" w:ascii="宋体" w:hAnsi="宋体" w:eastAsia="宋体" w:cs="宋体"/>
              <w:bCs/>
              <w:color w:val="auto"/>
              <w:szCs w:val="28"/>
              <w:lang w:eastAsia="zh-CN"/>
            </w:rPr>
            <w:t>7　交通运输</w:t>
          </w:r>
          <w:r>
            <w:rPr>
              <w:color w:val="auto"/>
            </w:rPr>
            <w:tab/>
          </w:r>
          <w:r>
            <w:rPr>
              <w:color w:val="auto"/>
            </w:rPr>
            <w:fldChar w:fldCharType="begin"/>
          </w:r>
          <w:r>
            <w:rPr>
              <w:color w:val="auto"/>
            </w:rPr>
            <w:instrText xml:space="preserve"> PAGEREF _Toc30458 \h </w:instrText>
          </w:r>
          <w:r>
            <w:rPr>
              <w:color w:val="auto"/>
            </w:rPr>
            <w:fldChar w:fldCharType="separate"/>
          </w:r>
          <w:r>
            <w:rPr>
              <w:color w:val="auto"/>
            </w:rPr>
            <w:t>- 69 -</w:t>
          </w:r>
          <w:r>
            <w:rPr>
              <w:color w:val="auto"/>
            </w:rPr>
            <w:fldChar w:fldCharType="end"/>
          </w:r>
          <w:r>
            <w:rPr>
              <w:color w:val="auto"/>
            </w:rPr>
            <w:fldChar w:fldCharType="end"/>
          </w:r>
        </w:p>
        <w:p w14:paraId="20AF987F">
          <w:pPr>
            <w:pStyle w:val="19"/>
            <w:tabs>
              <w:tab w:val="right" w:leader="dot" w:pos="8925"/>
            </w:tabs>
            <w:rPr>
              <w:color w:val="auto"/>
            </w:rPr>
          </w:pPr>
          <w:r>
            <w:fldChar w:fldCharType="begin"/>
          </w:r>
          <w:r>
            <w:instrText xml:space="preserve"> HYPERLINK \l "_Toc27835" </w:instrText>
          </w:r>
          <w:r>
            <w:fldChar w:fldCharType="separate"/>
          </w:r>
          <w:r>
            <w:rPr>
              <w:rFonts w:hint="eastAsia" w:ascii="宋体" w:hAnsi="宋体" w:eastAsia="宋体" w:cs="宋体"/>
              <w:bCs/>
              <w:color w:val="auto"/>
              <w:szCs w:val="28"/>
              <w:lang w:eastAsia="zh-CN"/>
            </w:rPr>
            <w:t>8　测量放线</w:t>
          </w:r>
          <w:r>
            <w:rPr>
              <w:color w:val="auto"/>
            </w:rPr>
            <w:tab/>
          </w:r>
          <w:r>
            <w:rPr>
              <w:color w:val="auto"/>
            </w:rPr>
            <w:fldChar w:fldCharType="begin"/>
          </w:r>
          <w:r>
            <w:rPr>
              <w:color w:val="auto"/>
            </w:rPr>
            <w:instrText xml:space="preserve"> PAGEREF _Toc27835 \h </w:instrText>
          </w:r>
          <w:r>
            <w:rPr>
              <w:color w:val="auto"/>
            </w:rPr>
            <w:fldChar w:fldCharType="separate"/>
          </w:r>
          <w:r>
            <w:rPr>
              <w:color w:val="auto"/>
            </w:rPr>
            <w:t>- 70 -</w:t>
          </w:r>
          <w:r>
            <w:rPr>
              <w:color w:val="auto"/>
            </w:rPr>
            <w:fldChar w:fldCharType="end"/>
          </w:r>
          <w:r>
            <w:rPr>
              <w:color w:val="auto"/>
            </w:rPr>
            <w:fldChar w:fldCharType="end"/>
          </w:r>
        </w:p>
        <w:p w14:paraId="0B7A11E3">
          <w:pPr>
            <w:pStyle w:val="19"/>
            <w:tabs>
              <w:tab w:val="right" w:leader="dot" w:pos="8925"/>
            </w:tabs>
            <w:rPr>
              <w:color w:val="auto"/>
            </w:rPr>
          </w:pPr>
          <w:r>
            <w:fldChar w:fldCharType="begin"/>
          </w:r>
          <w:r>
            <w:instrText xml:space="preserve"> HYPERLINK \l "_Toc22302" </w:instrText>
          </w:r>
          <w:r>
            <w:fldChar w:fldCharType="separate"/>
          </w:r>
          <w:r>
            <w:rPr>
              <w:rFonts w:hint="eastAsia" w:ascii="宋体" w:hAnsi="宋体" w:eastAsia="宋体" w:cs="宋体"/>
              <w:bCs/>
              <w:color w:val="auto"/>
              <w:szCs w:val="28"/>
              <w:lang w:eastAsia="zh-CN"/>
            </w:rPr>
            <w:t>9　施工安全、治安保卫和环境保护</w:t>
          </w:r>
          <w:r>
            <w:rPr>
              <w:color w:val="auto"/>
            </w:rPr>
            <w:tab/>
          </w:r>
          <w:r>
            <w:rPr>
              <w:color w:val="auto"/>
            </w:rPr>
            <w:fldChar w:fldCharType="begin"/>
          </w:r>
          <w:r>
            <w:rPr>
              <w:color w:val="auto"/>
            </w:rPr>
            <w:instrText xml:space="preserve"> PAGEREF _Toc22302 \h </w:instrText>
          </w:r>
          <w:r>
            <w:rPr>
              <w:color w:val="auto"/>
            </w:rPr>
            <w:fldChar w:fldCharType="separate"/>
          </w:r>
          <w:r>
            <w:rPr>
              <w:color w:val="auto"/>
            </w:rPr>
            <w:t>- 71 -</w:t>
          </w:r>
          <w:r>
            <w:rPr>
              <w:color w:val="auto"/>
            </w:rPr>
            <w:fldChar w:fldCharType="end"/>
          </w:r>
          <w:r>
            <w:rPr>
              <w:color w:val="auto"/>
            </w:rPr>
            <w:fldChar w:fldCharType="end"/>
          </w:r>
        </w:p>
        <w:p w14:paraId="650CEB75">
          <w:pPr>
            <w:pStyle w:val="19"/>
            <w:tabs>
              <w:tab w:val="right" w:leader="dot" w:pos="8925"/>
            </w:tabs>
            <w:rPr>
              <w:color w:val="auto"/>
            </w:rPr>
          </w:pPr>
          <w:r>
            <w:fldChar w:fldCharType="begin"/>
          </w:r>
          <w:r>
            <w:instrText xml:space="preserve"> HYPERLINK \l "_Toc21043" </w:instrText>
          </w:r>
          <w:r>
            <w:fldChar w:fldCharType="separate"/>
          </w:r>
          <w:r>
            <w:rPr>
              <w:rFonts w:hint="eastAsia" w:ascii="宋体" w:hAnsi="宋体" w:eastAsia="宋体" w:cs="宋体"/>
              <w:bCs/>
              <w:color w:val="auto"/>
              <w:szCs w:val="28"/>
              <w:lang w:eastAsia="zh-CN"/>
            </w:rPr>
            <w:t>10　进度计划</w:t>
          </w:r>
          <w:r>
            <w:rPr>
              <w:color w:val="auto"/>
            </w:rPr>
            <w:tab/>
          </w:r>
          <w:r>
            <w:rPr>
              <w:color w:val="auto"/>
            </w:rPr>
            <w:fldChar w:fldCharType="begin"/>
          </w:r>
          <w:r>
            <w:rPr>
              <w:color w:val="auto"/>
            </w:rPr>
            <w:instrText xml:space="preserve"> PAGEREF _Toc21043 \h </w:instrText>
          </w:r>
          <w:r>
            <w:rPr>
              <w:color w:val="auto"/>
            </w:rPr>
            <w:fldChar w:fldCharType="separate"/>
          </w:r>
          <w:r>
            <w:rPr>
              <w:color w:val="auto"/>
            </w:rPr>
            <w:t>- 75 -</w:t>
          </w:r>
          <w:r>
            <w:rPr>
              <w:color w:val="auto"/>
            </w:rPr>
            <w:fldChar w:fldCharType="end"/>
          </w:r>
          <w:r>
            <w:rPr>
              <w:color w:val="auto"/>
            </w:rPr>
            <w:fldChar w:fldCharType="end"/>
          </w:r>
        </w:p>
        <w:p w14:paraId="3BB1D7F9">
          <w:pPr>
            <w:pStyle w:val="19"/>
            <w:tabs>
              <w:tab w:val="right" w:leader="dot" w:pos="8925"/>
            </w:tabs>
            <w:rPr>
              <w:color w:val="auto"/>
            </w:rPr>
          </w:pPr>
          <w:r>
            <w:fldChar w:fldCharType="begin"/>
          </w:r>
          <w:r>
            <w:instrText xml:space="preserve"> HYPERLINK \l "_Toc6822" </w:instrText>
          </w:r>
          <w:r>
            <w:fldChar w:fldCharType="separate"/>
          </w:r>
          <w:r>
            <w:rPr>
              <w:rFonts w:hint="eastAsia" w:ascii="宋体" w:hAnsi="宋体" w:eastAsia="宋体" w:cs="宋体"/>
              <w:bCs/>
              <w:color w:val="auto"/>
              <w:szCs w:val="28"/>
            </w:rPr>
            <w:t>11</w:t>
          </w:r>
          <w:r>
            <w:rPr>
              <w:rFonts w:hint="eastAsia" w:ascii="宋体" w:hAnsi="宋体" w:eastAsia="宋体" w:cs="宋体"/>
              <w:bCs/>
              <w:color w:val="auto"/>
              <w:szCs w:val="28"/>
              <w:lang w:eastAsia="zh-CN"/>
            </w:rPr>
            <w:t>　</w:t>
          </w:r>
          <w:r>
            <w:rPr>
              <w:rFonts w:hint="eastAsia" w:ascii="宋体" w:hAnsi="宋体" w:eastAsia="宋体" w:cs="宋体"/>
              <w:bCs/>
              <w:color w:val="auto"/>
              <w:szCs w:val="28"/>
            </w:rPr>
            <w:t>开工和完工</w:t>
          </w:r>
          <w:r>
            <w:rPr>
              <w:color w:val="auto"/>
            </w:rPr>
            <w:tab/>
          </w:r>
          <w:r>
            <w:rPr>
              <w:color w:val="auto"/>
            </w:rPr>
            <w:fldChar w:fldCharType="begin"/>
          </w:r>
          <w:r>
            <w:rPr>
              <w:color w:val="auto"/>
            </w:rPr>
            <w:instrText xml:space="preserve"> PAGEREF _Toc6822 \h </w:instrText>
          </w:r>
          <w:r>
            <w:rPr>
              <w:color w:val="auto"/>
            </w:rPr>
            <w:fldChar w:fldCharType="separate"/>
          </w:r>
          <w:r>
            <w:rPr>
              <w:color w:val="auto"/>
            </w:rPr>
            <w:t>- 76 -</w:t>
          </w:r>
          <w:r>
            <w:rPr>
              <w:color w:val="auto"/>
            </w:rPr>
            <w:fldChar w:fldCharType="end"/>
          </w:r>
          <w:r>
            <w:rPr>
              <w:color w:val="auto"/>
            </w:rPr>
            <w:fldChar w:fldCharType="end"/>
          </w:r>
        </w:p>
        <w:p w14:paraId="30B73796">
          <w:pPr>
            <w:pStyle w:val="19"/>
            <w:tabs>
              <w:tab w:val="right" w:leader="dot" w:pos="8925"/>
            </w:tabs>
            <w:rPr>
              <w:color w:val="auto"/>
            </w:rPr>
          </w:pPr>
          <w:r>
            <w:fldChar w:fldCharType="begin"/>
          </w:r>
          <w:r>
            <w:instrText xml:space="preserve"> HYPERLINK \l "_Toc6888" </w:instrText>
          </w:r>
          <w:r>
            <w:fldChar w:fldCharType="separate"/>
          </w:r>
          <w:r>
            <w:rPr>
              <w:rFonts w:hint="eastAsia" w:ascii="宋体" w:hAnsi="宋体" w:eastAsia="宋体" w:cs="宋体"/>
              <w:bCs/>
              <w:color w:val="auto"/>
              <w:szCs w:val="28"/>
              <w:lang w:eastAsia="zh-CN"/>
            </w:rPr>
            <w:t>12　暂停施工</w:t>
          </w:r>
          <w:r>
            <w:rPr>
              <w:color w:val="auto"/>
            </w:rPr>
            <w:tab/>
          </w:r>
          <w:r>
            <w:rPr>
              <w:color w:val="auto"/>
            </w:rPr>
            <w:fldChar w:fldCharType="begin"/>
          </w:r>
          <w:r>
            <w:rPr>
              <w:color w:val="auto"/>
            </w:rPr>
            <w:instrText xml:space="preserve"> PAGEREF _Toc6888 \h </w:instrText>
          </w:r>
          <w:r>
            <w:rPr>
              <w:color w:val="auto"/>
            </w:rPr>
            <w:fldChar w:fldCharType="separate"/>
          </w:r>
          <w:r>
            <w:rPr>
              <w:color w:val="auto"/>
            </w:rPr>
            <w:t>- 78 -</w:t>
          </w:r>
          <w:r>
            <w:rPr>
              <w:color w:val="auto"/>
            </w:rPr>
            <w:fldChar w:fldCharType="end"/>
          </w:r>
          <w:r>
            <w:rPr>
              <w:color w:val="auto"/>
            </w:rPr>
            <w:fldChar w:fldCharType="end"/>
          </w:r>
        </w:p>
        <w:p w14:paraId="7FDC3DF2">
          <w:pPr>
            <w:pStyle w:val="19"/>
            <w:tabs>
              <w:tab w:val="right" w:leader="dot" w:pos="8925"/>
            </w:tabs>
            <w:rPr>
              <w:color w:val="auto"/>
            </w:rPr>
          </w:pPr>
          <w:r>
            <w:fldChar w:fldCharType="begin"/>
          </w:r>
          <w:r>
            <w:instrText xml:space="preserve"> HYPERLINK \l "_Toc14659" </w:instrText>
          </w:r>
          <w:r>
            <w:fldChar w:fldCharType="separate"/>
          </w:r>
          <w:r>
            <w:rPr>
              <w:rFonts w:hint="eastAsia" w:ascii="宋体" w:hAnsi="宋体" w:eastAsia="宋体" w:cs="宋体"/>
              <w:bCs/>
              <w:color w:val="auto"/>
              <w:szCs w:val="28"/>
              <w:lang w:eastAsia="zh-CN"/>
            </w:rPr>
            <w:t>13　工程质量</w:t>
          </w:r>
          <w:r>
            <w:rPr>
              <w:color w:val="auto"/>
            </w:rPr>
            <w:tab/>
          </w:r>
          <w:r>
            <w:rPr>
              <w:color w:val="auto"/>
            </w:rPr>
            <w:fldChar w:fldCharType="begin"/>
          </w:r>
          <w:r>
            <w:rPr>
              <w:color w:val="auto"/>
            </w:rPr>
            <w:instrText xml:space="preserve"> PAGEREF _Toc14659 \h </w:instrText>
          </w:r>
          <w:r>
            <w:rPr>
              <w:color w:val="auto"/>
            </w:rPr>
            <w:fldChar w:fldCharType="separate"/>
          </w:r>
          <w:r>
            <w:rPr>
              <w:color w:val="auto"/>
            </w:rPr>
            <w:t>- 80 -</w:t>
          </w:r>
          <w:r>
            <w:rPr>
              <w:color w:val="auto"/>
            </w:rPr>
            <w:fldChar w:fldCharType="end"/>
          </w:r>
          <w:r>
            <w:rPr>
              <w:color w:val="auto"/>
            </w:rPr>
            <w:fldChar w:fldCharType="end"/>
          </w:r>
        </w:p>
        <w:p w14:paraId="3F415F8E">
          <w:pPr>
            <w:pStyle w:val="19"/>
            <w:tabs>
              <w:tab w:val="right" w:leader="dot" w:pos="8925"/>
            </w:tabs>
            <w:rPr>
              <w:color w:val="auto"/>
            </w:rPr>
          </w:pPr>
          <w:r>
            <w:fldChar w:fldCharType="begin"/>
          </w:r>
          <w:r>
            <w:instrText xml:space="preserve"> HYPERLINK \l "_Toc15613" </w:instrText>
          </w:r>
          <w:r>
            <w:fldChar w:fldCharType="separate"/>
          </w:r>
          <w:r>
            <w:rPr>
              <w:rFonts w:hint="eastAsia" w:ascii="宋体" w:hAnsi="宋体" w:eastAsia="宋体" w:cs="宋体"/>
              <w:bCs/>
              <w:color w:val="auto"/>
              <w:szCs w:val="28"/>
              <w:lang w:eastAsia="zh-CN"/>
            </w:rPr>
            <w:t>14　试验和检验</w:t>
          </w:r>
          <w:r>
            <w:rPr>
              <w:color w:val="auto"/>
            </w:rPr>
            <w:tab/>
          </w:r>
          <w:r>
            <w:rPr>
              <w:color w:val="auto"/>
            </w:rPr>
            <w:fldChar w:fldCharType="begin"/>
          </w:r>
          <w:r>
            <w:rPr>
              <w:color w:val="auto"/>
            </w:rPr>
            <w:instrText xml:space="preserve"> PAGEREF _Toc15613 \h </w:instrText>
          </w:r>
          <w:r>
            <w:rPr>
              <w:color w:val="auto"/>
            </w:rPr>
            <w:fldChar w:fldCharType="separate"/>
          </w:r>
          <w:r>
            <w:rPr>
              <w:color w:val="auto"/>
            </w:rPr>
            <w:t>- 83 -</w:t>
          </w:r>
          <w:r>
            <w:rPr>
              <w:color w:val="auto"/>
            </w:rPr>
            <w:fldChar w:fldCharType="end"/>
          </w:r>
          <w:r>
            <w:rPr>
              <w:color w:val="auto"/>
            </w:rPr>
            <w:fldChar w:fldCharType="end"/>
          </w:r>
        </w:p>
        <w:p w14:paraId="49FBA121">
          <w:pPr>
            <w:pStyle w:val="19"/>
            <w:tabs>
              <w:tab w:val="right" w:leader="dot" w:pos="8925"/>
            </w:tabs>
            <w:rPr>
              <w:color w:val="auto"/>
            </w:rPr>
          </w:pPr>
          <w:r>
            <w:fldChar w:fldCharType="begin"/>
          </w:r>
          <w:r>
            <w:instrText xml:space="preserve"> HYPERLINK \l "_Toc8413" </w:instrText>
          </w:r>
          <w:r>
            <w:fldChar w:fldCharType="separate"/>
          </w:r>
          <w:r>
            <w:rPr>
              <w:rFonts w:hint="eastAsia" w:ascii="宋体" w:hAnsi="宋体" w:eastAsia="宋体" w:cs="宋体"/>
              <w:bCs/>
              <w:color w:val="auto"/>
              <w:szCs w:val="28"/>
              <w:lang w:eastAsia="zh-CN"/>
            </w:rPr>
            <w:t>15　变更</w:t>
          </w:r>
          <w:r>
            <w:rPr>
              <w:color w:val="auto"/>
            </w:rPr>
            <w:tab/>
          </w:r>
          <w:r>
            <w:rPr>
              <w:color w:val="auto"/>
            </w:rPr>
            <w:fldChar w:fldCharType="begin"/>
          </w:r>
          <w:r>
            <w:rPr>
              <w:color w:val="auto"/>
            </w:rPr>
            <w:instrText xml:space="preserve"> PAGEREF _Toc8413 \h </w:instrText>
          </w:r>
          <w:r>
            <w:rPr>
              <w:color w:val="auto"/>
            </w:rPr>
            <w:fldChar w:fldCharType="separate"/>
          </w:r>
          <w:r>
            <w:rPr>
              <w:color w:val="auto"/>
            </w:rPr>
            <w:t>- 84 -</w:t>
          </w:r>
          <w:r>
            <w:rPr>
              <w:color w:val="auto"/>
            </w:rPr>
            <w:fldChar w:fldCharType="end"/>
          </w:r>
          <w:r>
            <w:rPr>
              <w:color w:val="auto"/>
            </w:rPr>
            <w:fldChar w:fldCharType="end"/>
          </w:r>
        </w:p>
        <w:p w14:paraId="556140F5">
          <w:pPr>
            <w:pStyle w:val="19"/>
            <w:tabs>
              <w:tab w:val="right" w:leader="dot" w:pos="8925"/>
            </w:tabs>
            <w:rPr>
              <w:color w:val="auto"/>
            </w:rPr>
          </w:pPr>
          <w:r>
            <w:fldChar w:fldCharType="begin"/>
          </w:r>
          <w:r>
            <w:instrText xml:space="preserve"> HYPERLINK \l "_Toc17865" </w:instrText>
          </w:r>
          <w:r>
            <w:fldChar w:fldCharType="separate"/>
          </w:r>
          <w:r>
            <w:rPr>
              <w:rFonts w:hint="eastAsia" w:ascii="宋体" w:hAnsi="宋体" w:eastAsia="宋体" w:cs="宋体"/>
              <w:bCs/>
              <w:color w:val="auto"/>
              <w:szCs w:val="28"/>
              <w:lang w:eastAsia="zh-CN"/>
            </w:rPr>
            <w:t>16　价格调整</w:t>
          </w:r>
          <w:r>
            <w:rPr>
              <w:color w:val="auto"/>
            </w:rPr>
            <w:tab/>
          </w:r>
          <w:r>
            <w:rPr>
              <w:color w:val="auto"/>
            </w:rPr>
            <w:fldChar w:fldCharType="begin"/>
          </w:r>
          <w:r>
            <w:rPr>
              <w:color w:val="auto"/>
            </w:rPr>
            <w:instrText xml:space="preserve"> PAGEREF _Toc17865 \h </w:instrText>
          </w:r>
          <w:r>
            <w:rPr>
              <w:color w:val="auto"/>
            </w:rPr>
            <w:fldChar w:fldCharType="separate"/>
          </w:r>
          <w:r>
            <w:rPr>
              <w:color w:val="auto"/>
            </w:rPr>
            <w:t>- 87 -</w:t>
          </w:r>
          <w:r>
            <w:rPr>
              <w:color w:val="auto"/>
            </w:rPr>
            <w:fldChar w:fldCharType="end"/>
          </w:r>
          <w:r>
            <w:rPr>
              <w:color w:val="auto"/>
            </w:rPr>
            <w:fldChar w:fldCharType="end"/>
          </w:r>
        </w:p>
        <w:p w14:paraId="0F05EC45">
          <w:pPr>
            <w:pStyle w:val="19"/>
            <w:tabs>
              <w:tab w:val="right" w:leader="dot" w:pos="8925"/>
            </w:tabs>
            <w:rPr>
              <w:color w:val="auto"/>
            </w:rPr>
          </w:pPr>
          <w:r>
            <w:fldChar w:fldCharType="begin"/>
          </w:r>
          <w:r>
            <w:instrText xml:space="preserve"> HYPERLINK \l "_Toc19534" </w:instrText>
          </w:r>
          <w:r>
            <w:fldChar w:fldCharType="separate"/>
          </w:r>
          <w:r>
            <w:rPr>
              <w:rFonts w:hint="eastAsia" w:ascii="宋体" w:hAnsi="宋体" w:eastAsia="宋体" w:cs="宋体"/>
              <w:bCs/>
              <w:color w:val="auto"/>
              <w:szCs w:val="28"/>
              <w:lang w:eastAsia="zh-CN"/>
            </w:rPr>
            <w:t>17　计量与支付</w:t>
          </w:r>
          <w:r>
            <w:rPr>
              <w:color w:val="auto"/>
            </w:rPr>
            <w:tab/>
          </w:r>
          <w:r>
            <w:rPr>
              <w:color w:val="auto"/>
            </w:rPr>
            <w:fldChar w:fldCharType="begin"/>
          </w:r>
          <w:r>
            <w:rPr>
              <w:color w:val="auto"/>
            </w:rPr>
            <w:instrText xml:space="preserve"> PAGEREF _Toc19534 \h </w:instrText>
          </w:r>
          <w:r>
            <w:rPr>
              <w:color w:val="auto"/>
            </w:rPr>
            <w:fldChar w:fldCharType="separate"/>
          </w:r>
          <w:r>
            <w:rPr>
              <w:color w:val="auto"/>
            </w:rPr>
            <w:t>- 89 -</w:t>
          </w:r>
          <w:r>
            <w:rPr>
              <w:color w:val="auto"/>
            </w:rPr>
            <w:fldChar w:fldCharType="end"/>
          </w:r>
          <w:r>
            <w:rPr>
              <w:color w:val="auto"/>
            </w:rPr>
            <w:fldChar w:fldCharType="end"/>
          </w:r>
        </w:p>
        <w:p w14:paraId="7145D0CE">
          <w:pPr>
            <w:pStyle w:val="19"/>
            <w:tabs>
              <w:tab w:val="right" w:leader="dot" w:pos="8925"/>
            </w:tabs>
            <w:rPr>
              <w:color w:val="auto"/>
            </w:rPr>
          </w:pPr>
          <w:r>
            <w:fldChar w:fldCharType="begin"/>
          </w:r>
          <w:r>
            <w:instrText xml:space="preserve"> HYPERLINK \l "_Toc25618" </w:instrText>
          </w:r>
          <w:r>
            <w:fldChar w:fldCharType="separate"/>
          </w:r>
          <w:r>
            <w:rPr>
              <w:rFonts w:hint="eastAsia" w:ascii="宋体" w:hAnsi="宋体" w:eastAsia="宋体" w:cs="宋体"/>
              <w:bCs/>
              <w:color w:val="auto"/>
              <w:szCs w:val="28"/>
              <w:lang w:eastAsia="zh-CN"/>
            </w:rPr>
            <w:t>18　工程验收</w:t>
          </w:r>
          <w:r>
            <w:rPr>
              <w:color w:val="auto"/>
            </w:rPr>
            <w:tab/>
          </w:r>
          <w:r>
            <w:rPr>
              <w:color w:val="auto"/>
            </w:rPr>
            <w:fldChar w:fldCharType="begin"/>
          </w:r>
          <w:r>
            <w:rPr>
              <w:color w:val="auto"/>
            </w:rPr>
            <w:instrText xml:space="preserve"> PAGEREF _Toc25618 \h </w:instrText>
          </w:r>
          <w:r>
            <w:rPr>
              <w:color w:val="auto"/>
            </w:rPr>
            <w:fldChar w:fldCharType="separate"/>
          </w:r>
          <w:r>
            <w:rPr>
              <w:color w:val="auto"/>
            </w:rPr>
            <w:t>- 95 -</w:t>
          </w:r>
          <w:r>
            <w:rPr>
              <w:color w:val="auto"/>
            </w:rPr>
            <w:fldChar w:fldCharType="end"/>
          </w:r>
          <w:r>
            <w:rPr>
              <w:color w:val="auto"/>
            </w:rPr>
            <w:fldChar w:fldCharType="end"/>
          </w:r>
        </w:p>
        <w:p w14:paraId="1E686274">
          <w:pPr>
            <w:pStyle w:val="19"/>
            <w:tabs>
              <w:tab w:val="right" w:leader="dot" w:pos="8925"/>
            </w:tabs>
            <w:rPr>
              <w:color w:val="auto"/>
            </w:rPr>
          </w:pPr>
          <w:r>
            <w:fldChar w:fldCharType="begin"/>
          </w:r>
          <w:r>
            <w:instrText xml:space="preserve"> HYPERLINK \l "_Toc14648" </w:instrText>
          </w:r>
          <w:r>
            <w:fldChar w:fldCharType="separate"/>
          </w:r>
          <w:r>
            <w:rPr>
              <w:rFonts w:hint="eastAsia" w:ascii="宋体" w:hAnsi="宋体" w:eastAsia="宋体" w:cs="宋体"/>
              <w:bCs/>
              <w:color w:val="auto"/>
              <w:szCs w:val="28"/>
              <w:lang w:eastAsia="zh-CN"/>
            </w:rPr>
            <w:t>19　缺陷责任与保修责任</w:t>
          </w:r>
          <w:r>
            <w:rPr>
              <w:color w:val="auto"/>
            </w:rPr>
            <w:tab/>
          </w:r>
          <w:r>
            <w:rPr>
              <w:color w:val="auto"/>
            </w:rPr>
            <w:fldChar w:fldCharType="begin"/>
          </w:r>
          <w:r>
            <w:rPr>
              <w:color w:val="auto"/>
            </w:rPr>
            <w:instrText xml:space="preserve"> PAGEREF _Toc14648 \h </w:instrText>
          </w:r>
          <w:r>
            <w:rPr>
              <w:color w:val="auto"/>
            </w:rPr>
            <w:fldChar w:fldCharType="separate"/>
          </w:r>
          <w:r>
            <w:rPr>
              <w:color w:val="auto"/>
            </w:rPr>
            <w:t>- 98 -</w:t>
          </w:r>
          <w:r>
            <w:rPr>
              <w:color w:val="auto"/>
            </w:rPr>
            <w:fldChar w:fldCharType="end"/>
          </w:r>
          <w:r>
            <w:rPr>
              <w:color w:val="auto"/>
            </w:rPr>
            <w:fldChar w:fldCharType="end"/>
          </w:r>
        </w:p>
        <w:p w14:paraId="2595BA1C">
          <w:pPr>
            <w:pStyle w:val="19"/>
            <w:tabs>
              <w:tab w:val="right" w:leader="dot" w:pos="8925"/>
            </w:tabs>
            <w:rPr>
              <w:color w:val="auto"/>
            </w:rPr>
          </w:pPr>
          <w:r>
            <w:fldChar w:fldCharType="begin"/>
          </w:r>
          <w:r>
            <w:instrText xml:space="preserve"> HYPERLINK \l "_Toc18721" </w:instrText>
          </w:r>
          <w:r>
            <w:fldChar w:fldCharType="separate"/>
          </w:r>
          <w:r>
            <w:rPr>
              <w:rFonts w:hint="eastAsia" w:ascii="宋体" w:hAnsi="宋体" w:eastAsia="宋体" w:cs="宋体"/>
              <w:bCs/>
              <w:color w:val="auto"/>
              <w:szCs w:val="28"/>
              <w:lang w:eastAsia="zh-CN"/>
            </w:rPr>
            <w:t>20　保险</w:t>
          </w:r>
          <w:r>
            <w:rPr>
              <w:color w:val="auto"/>
            </w:rPr>
            <w:tab/>
          </w:r>
          <w:r>
            <w:rPr>
              <w:color w:val="auto"/>
            </w:rPr>
            <w:fldChar w:fldCharType="begin"/>
          </w:r>
          <w:r>
            <w:rPr>
              <w:color w:val="auto"/>
            </w:rPr>
            <w:instrText xml:space="preserve"> PAGEREF _Toc18721 \h </w:instrText>
          </w:r>
          <w:r>
            <w:rPr>
              <w:color w:val="auto"/>
            </w:rPr>
            <w:fldChar w:fldCharType="separate"/>
          </w:r>
          <w:r>
            <w:rPr>
              <w:color w:val="auto"/>
            </w:rPr>
            <w:t>- 99 -</w:t>
          </w:r>
          <w:r>
            <w:rPr>
              <w:color w:val="auto"/>
            </w:rPr>
            <w:fldChar w:fldCharType="end"/>
          </w:r>
          <w:r>
            <w:rPr>
              <w:color w:val="auto"/>
            </w:rPr>
            <w:fldChar w:fldCharType="end"/>
          </w:r>
        </w:p>
        <w:p w14:paraId="7C117FF6">
          <w:pPr>
            <w:pStyle w:val="19"/>
            <w:tabs>
              <w:tab w:val="right" w:leader="dot" w:pos="8925"/>
            </w:tabs>
            <w:rPr>
              <w:color w:val="auto"/>
            </w:rPr>
          </w:pPr>
          <w:r>
            <w:fldChar w:fldCharType="begin"/>
          </w:r>
          <w:r>
            <w:instrText xml:space="preserve"> HYPERLINK \l "_Toc32068" </w:instrText>
          </w:r>
          <w:r>
            <w:fldChar w:fldCharType="separate"/>
          </w:r>
          <w:r>
            <w:rPr>
              <w:rFonts w:hint="eastAsia" w:ascii="宋体" w:hAnsi="宋体" w:eastAsia="宋体" w:cs="宋体"/>
              <w:bCs/>
              <w:color w:val="auto"/>
              <w:szCs w:val="28"/>
              <w:lang w:eastAsia="zh-CN"/>
            </w:rPr>
            <w:t>21　不可抗力</w:t>
          </w:r>
          <w:r>
            <w:rPr>
              <w:color w:val="auto"/>
            </w:rPr>
            <w:tab/>
          </w:r>
          <w:r>
            <w:rPr>
              <w:color w:val="auto"/>
            </w:rPr>
            <w:fldChar w:fldCharType="begin"/>
          </w:r>
          <w:r>
            <w:rPr>
              <w:color w:val="auto"/>
            </w:rPr>
            <w:instrText xml:space="preserve"> PAGEREF _Toc32068 \h </w:instrText>
          </w:r>
          <w:r>
            <w:rPr>
              <w:color w:val="auto"/>
            </w:rPr>
            <w:fldChar w:fldCharType="separate"/>
          </w:r>
          <w:r>
            <w:rPr>
              <w:color w:val="auto"/>
            </w:rPr>
            <w:t>- 101 -</w:t>
          </w:r>
          <w:r>
            <w:rPr>
              <w:color w:val="auto"/>
            </w:rPr>
            <w:fldChar w:fldCharType="end"/>
          </w:r>
          <w:r>
            <w:rPr>
              <w:color w:val="auto"/>
            </w:rPr>
            <w:fldChar w:fldCharType="end"/>
          </w:r>
        </w:p>
        <w:p w14:paraId="4666FE9F">
          <w:pPr>
            <w:pStyle w:val="19"/>
            <w:tabs>
              <w:tab w:val="right" w:leader="dot" w:pos="8925"/>
            </w:tabs>
            <w:rPr>
              <w:color w:val="auto"/>
            </w:rPr>
          </w:pPr>
          <w:r>
            <w:fldChar w:fldCharType="begin"/>
          </w:r>
          <w:r>
            <w:instrText xml:space="preserve"> HYPERLINK \l "_Toc32385" </w:instrText>
          </w:r>
          <w:r>
            <w:fldChar w:fldCharType="separate"/>
          </w:r>
          <w:r>
            <w:rPr>
              <w:rFonts w:hint="eastAsia" w:ascii="宋体" w:hAnsi="宋体" w:eastAsia="宋体" w:cs="宋体"/>
              <w:bCs/>
              <w:color w:val="auto"/>
              <w:szCs w:val="28"/>
              <w:lang w:eastAsia="zh-CN"/>
            </w:rPr>
            <w:t>22　违约</w:t>
          </w:r>
          <w:r>
            <w:rPr>
              <w:color w:val="auto"/>
            </w:rPr>
            <w:tab/>
          </w:r>
          <w:r>
            <w:rPr>
              <w:color w:val="auto"/>
            </w:rPr>
            <w:fldChar w:fldCharType="begin"/>
          </w:r>
          <w:r>
            <w:rPr>
              <w:color w:val="auto"/>
            </w:rPr>
            <w:instrText xml:space="preserve"> PAGEREF _Toc32385 \h </w:instrText>
          </w:r>
          <w:r>
            <w:rPr>
              <w:color w:val="auto"/>
            </w:rPr>
            <w:fldChar w:fldCharType="separate"/>
          </w:r>
          <w:r>
            <w:rPr>
              <w:color w:val="auto"/>
            </w:rPr>
            <w:t>- 102 -</w:t>
          </w:r>
          <w:r>
            <w:rPr>
              <w:color w:val="auto"/>
            </w:rPr>
            <w:fldChar w:fldCharType="end"/>
          </w:r>
          <w:r>
            <w:rPr>
              <w:color w:val="auto"/>
            </w:rPr>
            <w:fldChar w:fldCharType="end"/>
          </w:r>
        </w:p>
        <w:p w14:paraId="7842F625">
          <w:pPr>
            <w:pStyle w:val="19"/>
            <w:tabs>
              <w:tab w:val="right" w:leader="dot" w:pos="8925"/>
            </w:tabs>
            <w:rPr>
              <w:color w:val="auto"/>
            </w:rPr>
          </w:pPr>
          <w:r>
            <w:fldChar w:fldCharType="begin"/>
          </w:r>
          <w:r>
            <w:instrText xml:space="preserve"> HYPERLINK \l "_Toc3112" </w:instrText>
          </w:r>
          <w:r>
            <w:fldChar w:fldCharType="separate"/>
          </w:r>
          <w:r>
            <w:rPr>
              <w:rFonts w:hint="eastAsia" w:ascii="宋体" w:hAnsi="宋体" w:eastAsia="宋体" w:cs="宋体"/>
              <w:bCs/>
              <w:color w:val="auto"/>
              <w:szCs w:val="28"/>
              <w:lang w:eastAsia="zh-CN"/>
            </w:rPr>
            <w:t>23　索赔</w:t>
          </w:r>
          <w:r>
            <w:rPr>
              <w:color w:val="auto"/>
            </w:rPr>
            <w:tab/>
          </w:r>
          <w:r>
            <w:rPr>
              <w:color w:val="auto"/>
            </w:rPr>
            <w:fldChar w:fldCharType="begin"/>
          </w:r>
          <w:r>
            <w:rPr>
              <w:color w:val="auto"/>
            </w:rPr>
            <w:instrText xml:space="preserve"> PAGEREF _Toc3112 \h </w:instrText>
          </w:r>
          <w:r>
            <w:rPr>
              <w:color w:val="auto"/>
            </w:rPr>
            <w:fldChar w:fldCharType="separate"/>
          </w:r>
          <w:r>
            <w:rPr>
              <w:color w:val="auto"/>
            </w:rPr>
            <w:t>- 106 -</w:t>
          </w:r>
          <w:r>
            <w:rPr>
              <w:color w:val="auto"/>
            </w:rPr>
            <w:fldChar w:fldCharType="end"/>
          </w:r>
          <w:r>
            <w:rPr>
              <w:color w:val="auto"/>
            </w:rPr>
            <w:fldChar w:fldCharType="end"/>
          </w:r>
        </w:p>
        <w:p w14:paraId="3BE9E838">
          <w:pPr>
            <w:pStyle w:val="19"/>
            <w:tabs>
              <w:tab w:val="right" w:leader="dot" w:pos="8925"/>
            </w:tabs>
            <w:rPr>
              <w:color w:val="auto"/>
            </w:rPr>
          </w:pPr>
          <w:r>
            <w:fldChar w:fldCharType="begin"/>
          </w:r>
          <w:r>
            <w:instrText xml:space="preserve"> HYPERLINK \l "_Toc12241" </w:instrText>
          </w:r>
          <w:r>
            <w:fldChar w:fldCharType="separate"/>
          </w:r>
          <w:r>
            <w:rPr>
              <w:rFonts w:hint="eastAsia" w:ascii="宋体" w:hAnsi="宋体" w:eastAsia="宋体" w:cs="宋体"/>
              <w:bCs/>
              <w:color w:val="auto"/>
              <w:szCs w:val="28"/>
              <w:lang w:eastAsia="zh-CN"/>
            </w:rPr>
            <w:t>24　争议的解决</w:t>
          </w:r>
          <w:r>
            <w:rPr>
              <w:color w:val="auto"/>
            </w:rPr>
            <w:tab/>
          </w:r>
          <w:r>
            <w:rPr>
              <w:color w:val="auto"/>
            </w:rPr>
            <w:fldChar w:fldCharType="begin"/>
          </w:r>
          <w:r>
            <w:rPr>
              <w:color w:val="auto"/>
            </w:rPr>
            <w:instrText xml:space="preserve"> PAGEREF _Toc12241 \h </w:instrText>
          </w:r>
          <w:r>
            <w:rPr>
              <w:color w:val="auto"/>
            </w:rPr>
            <w:fldChar w:fldCharType="separate"/>
          </w:r>
          <w:r>
            <w:rPr>
              <w:color w:val="auto"/>
            </w:rPr>
            <w:t>- 107 -</w:t>
          </w:r>
          <w:r>
            <w:rPr>
              <w:color w:val="auto"/>
            </w:rPr>
            <w:fldChar w:fldCharType="end"/>
          </w:r>
          <w:r>
            <w:rPr>
              <w:color w:val="auto"/>
            </w:rPr>
            <w:fldChar w:fldCharType="end"/>
          </w:r>
        </w:p>
        <w:p w14:paraId="177E9313">
          <w:pPr>
            <w:pStyle w:val="18"/>
            <w:tabs>
              <w:tab w:val="right" w:leader="dot" w:pos="8925"/>
            </w:tabs>
            <w:rPr>
              <w:color w:val="auto"/>
            </w:rPr>
          </w:pPr>
          <w:r>
            <w:fldChar w:fldCharType="begin"/>
          </w:r>
          <w:r>
            <w:instrText xml:space="preserve"> HYPERLINK \l "_Toc6192" </w:instrText>
          </w:r>
          <w:r>
            <w:fldChar w:fldCharType="separate"/>
          </w:r>
          <w:r>
            <w:rPr>
              <w:rFonts w:ascii="宋体" w:hAnsi="宋体" w:eastAsia="宋体" w:cs="宋体"/>
              <w:bCs/>
              <w:color w:val="auto"/>
              <w:szCs w:val="31"/>
              <w:lang w:eastAsia="zh-CN"/>
            </w:rPr>
            <w:t>第二节</w:t>
          </w:r>
          <w:r>
            <w:rPr>
              <w:rFonts w:hint="eastAsia" w:ascii="宋体" w:hAnsi="宋体" w:eastAsia="宋体" w:cs="宋体"/>
              <w:color w:val="auto"/>
              <w:szCs w:val="31"/>
              <w:lang w:eastAsia="zh-CN"/>
            </w:rPr>
            <w:t>　</w:t>
          </w:r>
          <w:r>
            <w:rPr>
              <w:rFonts w:ascii="宋体" w:hAnsi="宋体" w:eastAsia="宋体" w:cs="宋体"/>
              <w:bCs/>
              <w:color w:val="auto"/>
              <w:szCs w:val="31"/>
              <w:lang w:eastAsia="zh-CN"/>
            </w:rPr>
            <w:t>专用合同条款</w:t>
          </w:r>
          <w:r>
            <w:rPr>
              <w:color w:val="auto"/>
            </w:rPr>
            <w:tab/>
          </w:r>
          <w:r>
            <w:rPr>
              <w:color w:val="auto"/>
            </w:rPr>
            <w:fldChar w:fldCharType="begin"/>
          </w:r>
          <w:r>
            <w:rPr>
              <w:color w:val="auto"/>
            </w:rPr>
            <w:instrText xml:space="preserve"> PAGEREF _Toc6192 \h </w:instrText>
          </w:r>
          <w:r>
            <w:rPr>
              <w:color w:val="auto"/>
            </w:rPr>
            <w:fldChar w:fldCharType="separate"/>
          </w:r>
          <w:r>
            <w:rPr>
              <w:color w:val="auto"/>
            </w:rPr>
            <w:t>- 109 -</w:t>
          </w:r>
          <w:r>
            <w:rPr>
              <w:color w:val="auto"/>
            </w:rPr>
            <w:fldChar w:fldCharType="end"/>
          </w:r>
          <w:r>
            <w:rPr>
              <w:color w:val="auto"/>
            </w:rPr>
            <w:fldChar w:fldCharType="end"/>
          </w:r>
        </w:p>
        <w:p w14:paraId="6DDCF480">
          <w:pPr>
            <w:pStyle w:val="19"/>
            <w:tabs>
              <w:tab w:val="right" w:leader="dot" w:pos="8925"/>
            </w:tabs>
            <w:rPr>
              <w:color w:val="auto"/>
            </w:rPr>
          </w:pPr>
          <w:r>
            <w:fldChar w:fldCharType="begin"/>
          </w:r>
          <w:r>
            <w:instrText xml:space="preserve"> HYPERLINK \l "_Toc31091" </w:instrText>
          </w:r>
          <w:r>
            <w:fldChar w:fldCharType="separate"/>
          </w:r>
          <w:r>
            <w:rPr>
              <w:rFonts w:hint="eastAsia" w:ascii="宋体" w:hAnsi="宋体" w:eastAsia="宋体" w:cs="宋体"/>
              <w:bCs/>
              <w:color w:val="auto"/>
              <w:szCs w:val="28"/>
              <w:lang w:eastAsia="zh-CN"/>
            </w:rPr>
            <w:t>1　一般约定</w:t>
          </w:r>
          <w:r>
            <w:rPr>
              <w:color w:val="auto"/>
            </w:rPr>
            <w:tab/>
          </w:r>
          <w:r>
            <w:rPr>
              <w:color w:val="auto"/>
            </w:rPr>
            <w:fldChar w:fldCharType="begin"/>
          </w:r>
          <w:r>
            <w:rPr>
              <w:color w:val="auto"/>
            </w:rPr>
            <w:instrText xml:space="preserve"> PAGEREF _Toc31091 \h </w:instrText>
          </w:r>
          <w:r>
            <w:rPr>
              <w:color w:val="auto"/>
            </w:rPr>
            <w:fldChar w:fldCharType="separate"/>
          </w:r>
          <w:r>
            <w:rPr>
              <w:color w:val="auto"/>
            </w:rPr>
            <w:t>- 109 -</w:t>
          </w:r>
          <w:r>
            <w:rPr>
              <w:color w:val="auto"/>
            </w:rPr>
            <w:fldChar w:fldCharType="end"/>
          </w:r>
          <w:r>
            <w:rPr>
              <w:color w:val="auto"/>
            </w:rPr>
            <w:fldChar w:fldCharType="end"/>
          </w:r>
        </w:p>
        <w:p w14:paraId="509CBFF8">
          <w:pPr>
            <w:pStyle w:val="19"/>
            <w:tabs>
              <w:tab w:val="right" w:leader="dot" w:pos="8925"/>
            </w:tabs>
            <w:rPr>
              <w:color w:val="auto"/>
            </w:rPr>
          </w:pPr>
          <w:r>
            <w:fldChar w:fldCharType="begin"/>
          </w:r>
          <w:r>
            <w:instrText xml:space="preserve"> HYPERLINK \l "_Toc2360" </w:instrText>
          </w:r>
          <w:r>
            <w:fldChar w:fldCharType="separate"/>
          </w:r>
          <w:r>
            <w:rPr>
              <w:rFonts w:hint="eastAsia" w:ascii="宋体" w:hAnsi="宋体" w:eastAsia="宋体" w:cs="宋体"/>
              <w:bCs/>
              <w:color w:val="auto"/>
              <w:szCs w:val="28"/>
              <w:lang w:eastAsia="zh-CN"/>
            </w:rPr>
            <w:t>2　发包人义务</w:t>
          </w:r>
          <w:r>
            <w:rPr>
              <w:color w:val="auto"/>
            </w:rPr>
            <w:tab/>
          </w:r>
          <w:r>
            <w:rPr>
              <w:color w:val="auto"/>
            </w:rPr>
            <w:fldChar w:fldCharType="begin"/>
          </w:r>
          <w:r>
            <w:rPr>
              <w:color w:val="auto"/>
            </w:rPr>
            <w:instrText xml:space="preserve"> PAGEREF _Toc2360 \h </w:instrText>
          </w:r>
          <w:r>
            <w:rPr>
              <w:color w:val="auto"/>
            </w:rPr>
            <w:fldChar w:fldCharType="separate"/>
          </w:r>
          <w:r>
            <w:rPr>
              <w:color w:val="auto"/>
            </w:rPr>
            <w:t>- 109 -</w:t>
          </w:r>
          <w:r>
            <w:rPr>
              <w:color w:val="auto"/>
            </w:rPr>
            <w:fldChar w:fldCharType="end"/>
          </w:r>
          <w:r>
            <w:rPr>
              <w:color w:val="auto"/>
            </w:rPr>
            <w:fldChar w:fldCharType="end"/>
          </w:r>
        </w:p>
        <w:p w14:paraId="287D7578">
          <w:pPr>
            <w:pStyle w:val="19"/>
            <w:tabs>
              <w:tab w:val="right" w:leader="dot" w:pos="8925"/>
            </w:tabs>
            <w:rPr>
              <w:color w:val="auto"/>
            </w:rPr>
          </w:pPr>
          <w:r>
            <w:fldChar w:fldCharType="begin"/>
          </w:r>
          <w:r>
            <w:instrText xml:space="preserve"> HYPERLINK \l "_Toc30512" </w:instrText>
          </w:r>
          <w:r>
            <w:fldChar w:fldCharType="separate"/>
          </w:r>
          <w:r>
            <w:rPr>
              <w:rFonts w:hint="eastAsia" w:ascii="宋体" w:hAnsi="宋体" w:eastAsia="宋体" w:cs="宋体"/>
              <w:bCs/>
              <w:color w:val="auto"/>
              <w:szCs w:val="28"/>
              <w:lang w:eastAsia="zh-CN"/>
            </w:rPr>
            <w:t>3　监理人</w:t>
          </w:r>
          <w:r>
            <w:rPr>
              <w:color w:val="auto"/>
            </w:rPr>
            <w:tab/>
          </w:r>
          <w:r>
            <w:rPr>
              <w:color w:val="auto"/>
            </w:rPr>
            <w:fldChar w:fldCharType="begin"/>
          </w:r>
          <w:r>
            <w:rPr>
              <w:color w:val="auto"/>
            </w:rPr>
            <w:instrText xml:space="preserve"> PAGEREF _Toc30512 \h </w:instrText>
          </w:r>
          <w:r>
            <w:rPr>
              <w:color w:val="auto"/>
            </w:rPr>
            <w:fldChar w:fldCharType="separate"/>
          </w:r>
          <w:r>
            <w:rPr>
              <w:color w:val="auto"/>
            </w:rPr>
            <w:t>- 110 -</w:t>
          </w:r>
          <w:r>
            <w:rPr>
              <w:color w:val="auto"/>
            </w:rPr>
            <w:fldChar w:fldCharType="end"/>
          </w:r>
          <w:r>
            <w:rPr>
              <w:color w:val="auto"/>
            </w:rPr>
            <w:fldChar w:fldCharType="end"/>
          </w:r>
        </w:p>
        <w:p w14:paraId="70105767">
          <w:pPr>
            <w:pStyle w:val="19"/>
            <w:tabs>
              <w:tab w:val="right" w:leader="dot" w:pos="8925"/>
            </w:tabs>
            <w:rPr>
              <w:color w:val="auto"/>
            </w:rPr>
          </w:pPr>
          <w:r>
            <w:fldChar w:fldCharType="begin"/>
          </w:r>
          <w:r>
            <w:instrText xml:space="preserve"> HYPERLINK \l "_Toc28062" </w:instrText>
          </w:r>
          <w:r>
            <w:fldChar w:fldCharType="separate"/>
          </w:r>
          <w:r>
            <w:rPr>
              <w:rFonts w:hint="eastAsia" w:ascii="宋体" w:hAnsi="宋体" w:eastAsia="宋体" w:cs="宋体"/>
              <w:bCs/>
              <w:color w:val="auto"/>
              <w:szCs w:val="28"/>
              <w:lang w:eastAsia="zh-CN"/>
            </w:rPr>
            <w:t>4　承包人</w:t>
          </w:r>
          <w:r>
            <w:rPr>
              <w:color w:val="auto"/>
            </w:rPr>
            <w:tab/>
          </w:r>
          <w:r>
            <w:rPr>
              <w:color w:val="auto"/>
            </w:rPr>
            <w:fldChar w:fldCharType="begin"/>
          </w:r>
          <w:r>
            <w:rPr>
              <w:color w:val="auto"/>
            </w:rPr>
            <w:instrText xml:space="preserve"> PAGEREF _Toc28062 \h </w:instrText>
          </w:r>
          <w:r>
            <w:rPr>
              <w:color w:val="auto"/>
            </w:rPr>
            <w:fldChar w:fldCharType="separate"/>
          </w:r>
          <w:r>
            <w:rPr>
              <w:color w:val="auto"/>
            </w:rPr>
            <w:t>- 110 -</w:t>
          </w:r>
          <w:r>
            <w:rPr>
              <w:color w:val="auto"/>
            </w:rPr>
            <w:fldChar w:fldCharType="end"/>
          </w:r>
          <w:r>
            <w:rPr>
              <w:color w:val="auto"/>
            </w:rPr>
            <w:fldChar w:fldCharType="end"/>
          </w:r>
        </w:p>
        <w:p w14:paraId="3DF61051">
          <w:pPr>
            <w:pStyle w:val="19"/>
            <w:tabs>
              <w:tab w:val="right" w:leader="dot" w:pos="8925"/>
            </w:tabs>
            <w:rPr>
              <w:color w:val="auto"/>
            </w:rPr>
          </w:pPr>
          <w:r>
            <w:fldChar w:fldCharType="begin"/>
          </w:r>
          <w:r>
            <w:instrText xml:space="preserve"> HYPERLINK \l "_Toc16576" </w:instrText>
          </w:r>
          <w:r>
            <w:fldChar w:fldCharType="separate"/>
          </w:r>
          <w:r>
            <w:rPr>
              <w:rFonts w:hint="eastAsia" w:ascii="宋体" w:hAnsi="宋体" w:eastAsia="宋体" w:cs="宋体"/>
              <w:bCs/>
              <w:color w:val="auto"/>
              <w:szCs w:val="28"/>
              <w:lang w:eastAsia="zh-CN"/>
            </w:rPr>
            <w:t>5　材料和工程设备</w:t>
          </w:r>
          <w:r>
            <w:rPr>
              <w:color w:val="auto"/>
            </w:rPr>
            <w:tab/>
          </w:r>
          <w:r>
            <w:rPr>
              <w:color w:val="auto"/>
            </w:rPr>
            <w:fldChar w:fldCharType="begin"/>
          </w:r>
          <w:r>
            <w:rPr>
              <w:color w:val="auto"/>
            </w:rPr>
            <w:instrText xml:space="preserve"> PAGEREF _Toc16576 \h </w:instrText>
          </w:r>
          <w:r>
            <w:rPr>
              <w:color w:val="auto"/>
            </w:rPr>
            <w:fldChar w:fldCharType="separate"/>
          </w:r>
          <w:r>
            <w:rPr>
              <w:color w:val="auto"/>
            </w:rPr>
            <w:t>- 118 -</w:t>
          </w:r>
          <w:r>
            <w:rPr>
              <w:color w:val="auto"/>
            </w:rPr>
            <w:fldChar w:fldCharType="end"/>
          </w:r>
          <w:r>
            <w:rPr>
              <w:color w:val="auto"/>
            </w:rPr>
            <w:fldChar w:fldCharType="end"/>
          </w:r>
        </w:p>
        <w:p w14:paraId="23DCBDAF">
          <w:pPr>
            <w:pStyle w:val="19"/>
            <w:tabs>
              <w:tab w:val="right" w:leader="dot" w:pos="8925"/>
            </w:tabs>
            <w:rPr>
              <w:color w:val="auto"/>
            </w:rPr>
          </w:pPr>
          <w:r>
            <w:fldChar w:fldCharType="begin"/>
          </w:r>
          <w:r>
            <w:instrText xml:space="preserve"> HYPERLINK \l "_Toc32201" </w:instrText>
          </w:r>
          <w:r>
            <w:fldChar w:fldCharType="separate"/>
          </w:r>
          <w:r>
            <w:rPr>
              <w:rFonts w:hint="eastAsia" w:ascii="宋体" w:hAnsi="宋体" w:eastAsia="宋体" w:cs="宋体"/>
              <w:bCs/>
              <w:color w:val="auto"/>
              <w:szCs w:val="28"/>
              <w:lang w:eastAsia="zh-CN"/>
            </w:rPr>
            <w:t>6　施工设备和临时设施</w:t>
          </w:r>
          <w:r>
            <w:rPr>
              <w:color w:val="auto"/>
            </w:rPr>
            <w:tab/>
          </w:r>
          <w:r>
            <w:rPr>
              <w:color w:val="auto"/>
            </w:rPr>
            <w:fldChar w:fldCharType="begin"/>
          </w:r>
          <w:r>
            <w:rPr>
              <w:color w:val="auto"/>
            </w:rPr>
            <w:instrText xml:space="preserve"> PAGEREF _Toc32201 \h </w:instrText>
          </w:r>
          <w:r>
            <w:rPr>
              <w:color w:val="auto"/>
            </w:rPr>
            <w:fldChar w:fldCharType="separate"/>
          </w:r>
          <w:r>
            <w:rPr>
              <w:color w:val="auto"/>
            </w:rPr>
            <w:t>- 118 -</w:t>
          </w:r>
          <w:r>
            <w:rPr>
              <w:color w:val="auto"/>
            </w:rPr>
            <w:fldChar w:fldCharType="end"/>
          </w:r>
          <w:r>
            <w:rPr>
              <w:color w:val="auto"/>
            </w:rPr>
            <w:fldChar w:fldCharType="end"/>
          </w:r>
        </w:p>
        <w:p w14:paraId="66659646">
          <w:pPr>
            <w:pStyle w:val="19"/>
            <w:tabs>
              <w:tab w:val="right" w:leader="dot" w:pos="8925"/>
            </w:tabs>
            <w:rPr>
              <w:color w:val="auto"/>
            </w:rPr>
          </w:pPr>
          <w:r>
            <w:fldChar w:fldCharType="begin"/>
          </w:r>
          <w:r>
            <w:instrText xml:space="preserve"> HYPERLINK \l "_Toc22096" </w:instrText>
          </w:r>
          <w:r>
            <w:fldChar w:fldCharType="separate"/>
          </w:r>
          <w:r>
            <w:rPr>
              <w:rFonts w:hint="eastAsia" w:ascii="宋体" w:hAnsi="宋体" w:eastAsia="宋体" w:cs="宋体"/>
              <w:bCs/>
              <w:color w:val="auto"/>
              <w:szCs w:val="28"/>
              <w:lang w:eastAsia="zh-CN"/>
            </w:rPr>
            <w:t>7　交通运输</w:t>
          </w:r>
          <w:r>
            <w:rPr>
              <w:color w:val="auto"/>
            </w:rPr>
            <w:tab/>
          </w:r>
          <w:r>
            <w:rPr>
              <w:color w:val="auto"/>
            </w:rPr>
            <w:fldChar w:fldCharType="begin"/>
          </w:r>
          <w:r>
            <w:rPr>
              <w:color w:val="auto"/>
            </w:rPr>
            <w:instrText xml:space="preserve"> PAGEREF _Toc22096 \h </w:instrText>
          </w:r>
          <w:r>
            <w:rPr>
              <w:color w:val="auto"/>
            </w:rPr>
            <w:fldChar w:fldCharType="separate"/>
          </w:r>
          <w:r>
            <w:rPr>
              <w:color w:val="auto"/>
            </w:rPr>
            <w:t>- 119 -</w:t>
          </w:r>
          <w:r>
            <w:rPr>
              <w:color w:val="auto"/>
            </w:rPr>
            <w:fldChar w:fldCharType="end"/>
          </w:r>
          <w:r>
            <w:rPr>
              <w:color w:val="auto"/>
            </w:rPr>
            <w:fldChar w:fldCharType="end"/>
          </w:r>
        </w:p>
        <w:p w14:paraId="6242E201">
          <w:pPr>
            <w:pStyle w:val="19"/>
            <w:tabs>
              <w:tab w:val="right" w:leader="dot" w:pos="8925"/>
            </w:tabs>
            <w:rPr>
              <w:color w:val="auto"/>
            </w:rPr>
          </w:pPr>
          <w:r>
            <w:fldChar w:fldCharType="begin"/>
          </w:r>
          <w:r>
            <w:instrText xml:space="preserve"> HYPERLINK \l "_Toc17675" </w:instrText>
          </w:r>
          <w:r>
            <w:fldChar w:fldCharType="separate"/>
          </w:r>
          <w:r>
            <w:rPr>
              <w:rFonts w:hint="eastAsia" w:ascii="宋体" w:hAnsi="宋体" w:eastAsia="宋体" w:cs="宋体"/>
              <w:bCs/>
              <w:color w:val="auto"/>
              <w:szCs w:val="28"/>
              <w:lang w:eastAsia="zh-CN"/>
            </w:rPr>
            <w:t>8　测量放线</w:t>
          </w:r>
          <w:r>
            <w:rPr>
              <w:color w:val="auto"/>
            </w:rPr>
            <w:tab/>
          </w:r>
          <w:r>
            <w:rPr>
              <w:color w:val="auto"/>
            </w:rPr>
            <w:fldChar w:fldCharType="begin"/>
          </w:r>
          <w:r>
            <w:rPr>
              <w:color w:val="auto"/>
            </w:rPr>
            <w:instrText xml:space="preserve"> PAGEREF _Toc17675 \h </w:instrText>
          </w:r>
          <w:r>
            <w:rPr>
              <w:color w:val="auto"/>
            </w:rPr>
            <w:fldChar w:fldCharType="separate"/>
          </w:r>
          <w:r>
            <w:rPr>
              <w:color w:val="auto"/>
            </w:rPr>
            <w:t>- 119 -</w:t>
          </w:r>
          <w:r>
            <w:rPr>
              <w:color w:val="auto"/>
            </w:rPr>
            <w:fldChar w:fldCharType="end"/>
          </w:r>
          <w:r>
            <w:rPr>
              <w:color w:val="auto"/>
            </w:rPr>
            <w:fldChar w:fldCharType="end"/>
          </w:r>
        </w:p>
        <w:p w14:paraId="3AE533C1">
          <w:pPr>
            <w:pStyle w:val="19"/>
            <w:tabs>
              <w:tab w:val="right" w:leader="dot" w:pos="8925"/>
            </w:tabs>
            <w:rPr>
              <w:color w:val="auto"/>
            </w:rPr>
          </w:pPr>
          <w:r>
            <w:fldChar w:fldCharType="begin"/>
          </w:r>
          <w:r>
            <w:instrText xml:space="preserve"> HYPERLINK \l "_Toc23129" </w:instrText>
          </w:r>
          <w:r>
            <w:fldChar w:fldCharType="separate"/>
          </w:r>
          <w:r>
            <w:rPr>
              <w:rFonts w:hint="eastAsia" w:ascii="宋体" w:hAnsi="宋体" w:eastAsia="宋体" w:cs="宋体"/>
              <w:bCs/>
              <w:color w:val="auto"/>
              <w:szCs w:val="28"/>
              <w:lang w:eastAsia="zh-CN"/>
            </w:rPr>
            <w:t>9　施工安全、治安保卫和环境保护</w:t>
          </w:r>
          <w:r>
            <w:rPr>
              <w:color w:val="auto"/>
            </w:rPr>
            <w:tab/>
          </w:r>
          <w:r>
            <w:rPr>
              <w:color w:val="auto"/>
            </w:rPr>
            <w:fldChar w:fldCharType="begin"/>
          </w:r>
          <w:r>
            <w:rPr>
              <w:color w:val="auto"/>
            </w:rPr>
            <w:instrText xml:space="preserve"> PAGEREF _Toc23129 \h </w:instrText>
          </w:r>
          <w:r>
            <w:rPr>
              <w:color w:val="auto"/>
            </w:rPr>
            <w:fldChar w:fldCharType="separate"/>
          </w:r>
          <w:r>
            <w:rPr>
              <w:color w:val="auto"/>
            </w:rPr>
            <w:t>- 119 -</w:t>
          </w:r>
          <w:r>
            <w:rPr>
              <w:color w:val="auto"/>
            </w:rPr>
            <w:fldChar w:fldCharType="end"/>
          </w:r>
          <w:r>
            <w:rPr>
              <w:color w:val="auto"/>
            </w:rPr>
            <w:fldChar w:fldCharType="end"/>
          </w:r>
        </w:p>
        <w:p w14:paraId="05FF4277">
          <w:pPr>
            <w:pStyle w:val="19"/>
            <w:tabs>
              <w:tab w:val="right" w:leader="dot" w:pos="8925"/>
            </w:tabs>
            <w:rPr>
              <w:color w:val="auto"/>
            </w:rPr>
          </w:pPr>
          <w:r>
            <w:fldChar w:fldCharType="begin"/>
          </w:r>
          <w:r>
            <w:instrText xml:space="preserve"> HYPERLINK \l "_Toc22175" </w:instrText>
          </w:r>
          <w:r>
            <w:fldChar w:fldCharType="separate"/>
          </w:r>
          <w:r>
            <w:rPr>
              <w:rFonts w:hint="eastAsia" w:ascii="宋体" w:hAnsi="宋体" w:eastAsia="宋体" w:cs="宋体"/>
              <w:bCs/>
              <w:color w:val="auto"/>
              <w:szCs w:val="28"/>
              <w:lang w:eastAsia="zh-CN"/>
            </w:rPr>
            <w:t>11　开工和完工</w:t>
          </w:r>
          <w:r>
            <w:rPr>
              <w:color w:val="auto"/>
            </w:rPr>
            <w:tab/>
          </w:r>
          <w:r>
            <w:rPr>
              <w:color w:val="auto"/>
            </w:rPr>
            <w:fldChar w:fldCharType="begin"/>
          </w:r>
          <w:r>
            <w:rPr>
              <w:color w:val="auto"/>
            </w:rPr>
            <w:instrText xml:space="preserve"> PAGEREF _Toc22175 \h </w:instrText>
          </w:r>
          <w:r>
            <w:rPr>
              <w:color w:val="auto"/>
            </w:rPr>
            <w:fldChar w:fldCharType="separate"/>
          </w:r>
          <w:r>
            <w:rPr>
              <w:color w:val="auto"/>
            </w:rPr>
            <w:t>- 120 -</w:t>
          </w:r>
          <w:r>
            <w:rPr>
              <w:color w:val="auto"/>
            </w:rPr>
            <w:fldChar w:fldCharType="end"/>
          </w:r>
          <w:r>
            <w:rPr>
              <w:color w:val="auto"/>
            </w:rPr>
            <w:fldChar w:fldCharType="end"/>
          </w:r>
        </w:p>
        <w:p w14:paraId="2CA5906B">
          <w:pPr>
            <w:pStyle w:val="19"/>
            <w:tabs>
              <w:tab w:val="right" w:leader="dot" w:pos="8925"/>
            </w:tabs>
            <w:rPr>
              <w:color w:val="auto"/>
            </w:rPr>
          </w:pPr>
          <w:r>
            <w:fldChar w:fldCharType="begin"/>
          </w:r>
          <w:r>
            <w:instrText xml:space="preserve"> HYPERLINK \l "_Toc19247" </w:instrText>
          </w:r>
          <w:r>
            <w:fldChar w:fldCharType="separate"/>
          </w:r>
          <w:r>
            <w:rPr>
              <w:rFonts w:hint="eastAsia" w:ascii="宋体" w:hAnsi="宋体" w:eastAsia="宋体" w:cs="宋体"/>
              <w:bCs/>
              <w:color w:val="auto"/>
              <w:szCs w:val="28"/>
              <w:lang w:eastAsia="zh-CN"/>
            </w:rPr>
            <w:t>12　暂停施工</w:t>
          </w:r>
          <w:r>
            <w:rPr>
              <w:color w:val="auto"/>
            </w:rPr>
            <w:tab/>
          </w:r>
          <w:r>
            <w:rPr>
              <w:color w:val="auto"/>
            </w:rPr>
            <w:fldChar w:fldCharType="begin"/>
          </w:r>
          <w:r>
            <w:rPr>
              <w:color w:val="auto"/>
            </w:rPr>
            <w:instrText xml:space="preserve"> PAGEREF _Toc19247 \h </w:instrText>
          </w:r>
          <w:r>
            <w:rPr>
              <w:color w:val="auto"/>
            </w:rPr>
            <w:fldChar w:fldCharType="separate"/>
          </w:r>
          <w:r>
            <w:rPr>
              <w:color w:val="auto"/>
            </w:rPr>
            <w:t>- 122 -</w:t>
          </w:r>
          <w:r>
            <w:rPr>
              <w:color w:val="auto"/>
            </w:rPr>
            <w:fldChar w:fldCharType="end"/>
          </w:r>
          <w:r>
            <w:rPr>
              <w:color w:val="auto"/>
            </w:rPr>
            <w:fldChar w:fldCharType="end"/>
          </w:r>
        </w:p>
        <w:p w14:paraId="66A233C2">
          <w:pPr>
            <w:pStyle w:val="19"/>
            <w:tabs>
              <w:tab w:val="right" w:leader="dot" w:pos="8925"/>
            </w:tabs>
            <w:rPr>
              <w:color w:val="auto"/>
            </w:rPr>
          </w:pPr>
          <w:r>
            <w:fldChar w:fldCharType="begin"/>
          </w:r>
          <w:r>
            <w:instrText xml:space="preserve"> HYPERLINK \l "_Toc6019" </w:instrText>
          </w:r>
          <w:r>
            <w:fldChar w:fldCharType="separate"/>
          </w:r>
          <w:r>
            <w:rPr>
              <w:rFonts w:hint="eastAsia" w:ascii="宋体" w:hAnsi="宋体" w:eastAsia="宋体" w:cs="宋体"/>
              <w:bCs/>
              <w:color w:val="auto"/>
              <w:szCs w:val="28"/>
              <w:lang w:eastAsia="zh-CN"/>
            </w:rPr>
            <w:t>13　工程质量</w:t>
          </w:r>
          <w:r>
            <w:rPr>
              <w:color w:val="auto"/>
            </w:rPr>
            <w:tab/>
          </w:r>
          <w:r>
            <w:rPr>
              <w:color w:val="auto"/>
            </w:rPr>
            <w:fldChar w:fldCharType="begin"/>
          </w:r>
          <w:r>
            <w:rPr>
              <w:color w:val="auto"/>
            </w:rPr>
            <w:instrText xml:space="preserve"> PAGEREF _Toc6019 \h </w:instrText>
          </w:r>
          <w:r>
            <w:rPr>
              <w:color w:val="auto"/>
            </w:rPr>
            <w:fldChar w:fldCharType="separate"/>
          </w:r>
          <w:r>
            <w:rPr>
              <w:color w:val="auto"/>
            </w:rPr>
            <w:t>- 122 -</w:t>
          </w:r>
          <w:r>
            <w:rPr>
              <w:color w:val="auto"/>
            </w:rPr>
            <w:fldChar w:fldCharType="end"/>
          </w:r>
          <w:r>
            <w:rPr>
              <w:color w:val="auto"/>
            </w:rPr>
            <w:fldChar w:fldCharType="end"/>
          </w:r>
        </w:p>
        <w:p w14:paraId="77A87FFA">
          <w:pPr>
            <w:pStyle w:val="19"/>
            <w:tabs>
              <w:tab w:val="right" w:leader="dot" w:pos="8925"/>
            </w:tabs>
            <w:rPr>
              <w:color w:val="auto"/>
            </w:rPr>
          </w:pPr>
          <w:r>
            <w:fldChar w:fldCharType="begin"/>
          </w:r>
          <w:r>
            <w:instrText xml:space="preserve"> HYPERLINK \l "_Toc16873" </w:instrText>
          </w:r>
          <w:r>
            <w:fldChar w:fldCharType="separate"/>
          </w:r>
          <w:r>
            <w:rPr>
              <w:rFonts w:hint="eastAsia" w:ascii="宋体" w:hAnsi="宋体" w:eastAsia="宋体" w:cs="宋体"/>
              <w:bCs/>
              <w:color w:val="auto"/>
              <w:szCs w:val="28"/>
              <w:lang w:eastAsia="zh-CN"/>
            </w:rPr>
            <w:t>14　试验和检验</w:t>
          </w:r>
          <w:r>
            <w:rPr>
              <w:color w:val="auto"/>
            </w:rPr>
            <w:tab/>
          </w:r>
          <w:r>
            <w:rPr>
              <w:color w:val="auto"/>
            </w:rPr>
            <w:fldChar w:fldCharType="begin"/>
          </w:r>
          <w:r>
            <w:rPr>
              <w:color w:val="auto"/>
            </w:rPr>
            <w:instrText xml:space="preserve"> PAGEREF _Toc16873 \h </w:instrText>
          </w:r>
          <w:r>
            <w:rPr>
              <w:color w:val="auto"/>
            </w:rPr>
            <w:fldChar w:fldCharType="separate"/>
          </w:r>
          <w:r>
            <w:rPr>
              <w:color w:val="auto"/>
            </w:rPr>
            <w:t>- 122 -</w:t>
          </w:r>
          <w:r>
            <w:rPr>
              <w:color w:val="auto"/>
            </w:rPr>
            <w:fldChar w:fldCharType="end"/>
          </w:r>
          <w:r>
            <w:rPr>
              <w:color w:val="auto"/>
            </w:rPr>
            <w:fldChar w:fldCharType="end"/>
          </w:r>
        </w:p>
        <w:p w14:paraId="1642863F">
          <w:pPr>
            <w:pStyle w:val="19"/>
            <w:tabs>
              <w:tab w:val="right" w:leader="dot" w:pos="8925"/>
            </w:tabs>
            <w:rPr>
              <w:color w:val="auto"/>
            </w:rPr>
          </w:pPr>
          <w:r>
            <w:fldChar w:fldCharType="begin"/>
          </w:r>
          <w:r>
            <w:instrText xml:space="preserve"> HYPERLINK \l "_Toc11330" </w:instrText>
          </w:r>
          <w:r>
            <w:fldChar w:fldCharType="separate"/>
          </w:r>
          <w:r>
            <w:rPr>
              <w:rFonts w:hint="eastAsia" w:ascii="宋体" w:hAnsi="宋体" w:eastAsia="宋体" w:cs="宋体"/>
              <w:bCs/>
              <w:color w:val="auto"/>
              <w:szCs w:val="28"/>
              <w:lang w:eastAsia="zh-CN"/>
            </w:rPr>
            <w:t>15　变更</w:t>
          </w:r>
          <w:r>
            <w:rPr>
              <w:color w:val="auto"/>
            </w:rPr>
            <w:tab/>
          </w:r>
          <w:r>
            <w:rPr>
              <w:color w:val="auto"/>
            </w:rPr>
            <w:fldChar w:fldCharType="begin"/>
          </w:r>
          <w:r>
            <w:rPr>
              <w:color w:val="auto"/>
            </w:rPr>
            <w:instrText xml:space="preserve"> PAGEREF _Toc11330 \h </w:instrText>
          </w:r>
          <w:r>
            <w:rPr>
              <w:color w:val="auto"/>
            </w:rPr>
            <w:fldChar w:fldCharType="separate"/>
          </w:r>
          <w:r>
            <w:rPr>
              <w:color w:val="auto"/>
            </w:rPr>
            <w:t>- 122 -</w:t>
          </w:r>
          <w:r>
            <w:rPr>
              <w:color w:val="auto"/>
            </w:rPr>
            <w:fldChar w:fldCharType="end"/>
          </w:r>
          <w:r>
            <w:rPr>
              <w:color w:val="auto"/>
            </w:rPr>
            <w:fldChar w:fldCharType="end"/>
          </w:r>
        </w:p>
        <w:p w14:paraId="1124CC12">
          <w:pPr>
            <w:pStyle w:val="19"/>
            <w:tabs>
              <w:tab w:val="right" w:leader="dot" w:pos="8925"/>
            </w:tabs>
            <w:rPr>
              <w:color w:val="auto"/>
            </w:rPr>
          </w:pPr>
          <w:r>
            <w:fldChar w:fldCharType="begin"/>
          </w:r>
          <w:r>
            <w:instrText xml:space="preserve"> HYPERLINK \l "_Toc10634" </w:instrText>
          </w:r>
          <w:r>
            <w:fldChar w:fldCharType="separate"/>
          </w:r>
          <w:r>
            <w:rPr>
              <w:rFonts w:hint="eastAsia" w:ascii="宋体" w:hAnsi="宋体" w:eastAsia="宋体" w:cs="宋体"/>
              <w:bCs/>
              <w:color w:val="auto"/>
              <w:szCs w:val="28"/>
              <w:lang w:eastAsia="zh-CN"/>
            </w:rPr>
            <w:t>16　价格调整</w:t>
          </w:r>
          <w:r>
            <w:rPr>
              <w:color w:val="auto"/>
            </w:rPr>
            <w:tab/>
          </w:r>
          <w:r>
            <w:rPr>
              <w:color w:val="auto"/>
            </w:rPr>
            <w:fldChar w:fldCharType="begin"/>
          </w:r>
          <w:r>
            <w:rPr>
              <w:color w:val="auto"/>
            </w:rPr>
            <w:instrText xml:space="preserve"> PAGEREF _Toc10634 \h </w:instrText>
          </w:r>
          <w:r>
            <w:rPr>
              <w:color w:val="auto"/>
            </w:rPr>
            <w:fldChar w:fldCharType="separate"/>
          </w:r>
          <w:r>
            <w:rPr>
              <w:color w:val="auto"/>
            </w:rPr>
            <w:t>- 124 -</w:t>
          </w:r>
          <w:r>
            <w:rPr>
              <w:color w:val="auto"/>
            </w:rPr>
            <w:fldChar w:fldCharType="end"/>
          </w:r>
          <w:r>
            <w:rPr>
              <w:color w:val="auto"/>
            </w:rPr>
            <w:fldChar w:fldCharType="end"/>
          </w:r>
        </w:p>
        <w:p w14:paraId="4BB59652">
          <w:pPr>
            <w:pStyle w:val="19"/>
            <w:tabs>
              <w:tab w:val="right" w:leader="dot" w:pos="8925"/>
            </w:tabs>
            <w:rPr>
              <w:color w:val="auto"/>
            </w:rPr>
          </w:pPr>
          <w:r>
            <w:fldChar w:fldCharType="begin"/>
          </w:r>
          <w:r>
            <w:instrText xml:space="preserve"> HYPERLINK \l "_Toc20966" </w:instrText>
          </w:r>
          <w:r>
            <w:fldChar w:fldCharType="separate"/>
          </w:r>
          <w:r>
            <w:rPr>
              <w:rFonts w:hint="eastAsia" w:ascii="宋体" w:hAnsi="宋体" w:eastAsia="宋体" w:cs="宋体"/>
              <w:bCs/>
              <w:color w:val="auto"/>
              <w:szCs w:val="28"/>
              <w:lang w:eastAsia="zh-CN"/>
            </w:rPr>
            <w:t>17　计量与支付</w:t>
          </w:r>
          <w:r>
            <w:rPr>
              <w:color w:val="auto"/>
            </w:rPr>
            <w:tab/>
          </w:r>
          <w:r>
            <w:rPr>
              <w:color w:val="auto"/>
            </w:rPr>
            <w:fldChar w:fldCharType="begin"/>
          </w:r>
          <w:r>
            <w:rPr>
              <w:color w:val="auto"/>
            </w:rPr>
            <w:instrText xml:space="preserve"> PAGEREF _Toc20966 \h </w:instrText>
          </w:r>
          <w:r>
            <w:rPr>
              <w:color w:val="auto"/>
            </w:rPr>
            <w:fldChar w:fldCharType="separate"/>
          </w:r>
          <w:r>
            <w:rPr>
              <w:color w:val="auto"/>
            </w:rPr>
            <w:t>- 125 -</w:t>
          </w:r>
          <w:r>
            <w:rPr>
              <w:color w:val="auto"/>
            </w:rPr>
            <w:fldChar w:fldCharType="end"/>
          </w:r>
          <w:r>
            <w:rPr>
              <w:color w:val="auto"/>
            </w:rPr>
            <w:fldChar w:fldCharType="end"/>
          </w:r>
        </w:p>
        <w:p w14:paraId="1054A215">
          <w:pPr>
            <w:pStyle w:val="19"/>
            <w:tabs>
              <w:tab w:val="right" w:leader="dot" w:pos="8925"/>
            </w:tabs>
            <w:rPr>
              <w:color w:val="auto"/>
            </w:rPr>
          </w:pPr>
          <w:r>
            <w:fldChar w:fldCharType="begin"/>
          </w:r>
          <w:r>
            <w:instrText xml:space="preserve"> HYPERLINK \l "_Toc14498" </w:instrText>
          </w:r>
          <w:r>
            <w:fldChar w:fldCharType="separate"/>
          </w:r>
          <w:r>
            <w:rPr>
              <w:rFonts w:hint="eastAsia" w:ascii="宋体" w:hAnsi="宋体" w:eastAsia="宋体" w:cs="宋体"/>
              <w:bCs/>
              <w:color w:val="auto"/>
              <w:szCs w:val="28"/>
              <w:lang w:eastAsia="zh-CN"/>
            </w:rPr>
            <w:t>18　工程验收</w:t>
          </w:r>
          <w:r>
            <w:rPr>
              <w:color w:val="auto"/>
            </w:rPr>
            <w:tab/>
          </w:r>
          <w:r>
            <w:rPr>
              <w:color w:val="auto"/>
            </w:rPr>
            <w:fldChar w:fldCharType="begin"/>
          </w:r>
          <w:r>
            <w:rPr>
              <w:color w:val="auto"/>
            </w:rPr>
            <w:instrText xml:space="preserve"> PAGEREF _Toc14498 \h </w:instrText>
          </w:r>
          <w:r>
            <w:rPr>
              <w:color w:val="auto"/>
            </w:rPr>
            <w:fldChar w:fldCharType="separate"/>
          </w:r>
          <w:r>
            <w:rPr>
              <w:color w:val="auto"/>
            </w:rPr>
            <w:t>- 127 -</w:t>
          </w:r>
          <w:r>
            <w:rPr>
              <w:color w:val="auto"/>
            </w:rPr>
            <w:fldChar w:fldCharType="end"/>
          </w:r>
          <w:r>
            <w:rPr>
              <w:color w:val="auto"/>
            </w:rPr>
            <w:fldChar w:fldCharType="end"/>
          </w:r>
        </w:p>
        <w:p w14:paraId="19DAAE63">
          <w:pPr>
            <w:pStyle w:val="19"/>
            <w:tabs>
              <w:tab w:val="right" w:leader="dot" w:pos="8925"/>
            </w:tabs>
            <w:rPr>
              <w:color w:val="auto"/>
            </w:rPr>
          </w:pPr>
          <w:r>
            <w:fldChar w:fldCharType="begin"/>
          </w:r>
          <w:r>
            <w:instrText xml:space="preserve"> HYPERLINK \l "_Toc25519" </w:instrText>
          </w:r>
          <w:r>
            <w:fldChar w:fldCharType="separate"/>
          </w:r>
          <w:r>
            <w:rPr>
              <w:rFonts w:hint="eastAsia" w:ascii="宋体" w:hAnsi="宋体" w:eastAsia="宋体" w:cs="宋体"/>
              <w:bCs/>
              <w:color w:val="auto"/>
              <w:szCs w:val="28"/>
              <w:lang w:eastAsia="zh-CN"/>
            </w:rPr>
            <w:t>19　缺陷责任与保修责任</w:t>
          </w:r>
          <w:r>
            <w:rPr>
              <w:color w:val="auto"/>
            </w:rPr>
            <w:tab/>
          </w:r>
          <w:r>
            <w:rPr>
              <w:color w:val="auto"/>
            </w:rPr>
            <w:fldChar w:fldCharType="begin"/>
          </w:r>
          <w:r>
            <w:rPr>
              <w:color w:val="auto"/>
            </w:rPr>
            <w:instrText xml:space="preserve"> PAGEREF _Toc25519 \h </w:instrText>
          </w:r>
          <w:r>
            <w:rPr>
              <w:color w:val="auto"/>
            </w:rPr>
            <w:fldChar w:fldCharType="separate"/>
          </w:r>
          <w:r>
            <w:rPr>
              <w:color w:val="auto"/>
            </w:rPr>
            <w:t>- 130 -</w:t>
          </w:r>
          <w:r>
            <w:rPr>
              <w:color w:val="auto"/>
            </w:rPr>
            <w:fldChar w:fldCharType="end"/>
          </w:r>
          <w:r>
            <w:rPr>
              <w:color w:val="auto"/>
            </w:rPr>
            <w:fldChar w:fldCharType="end"/>
          </w:r>
        </w:p>
        <w:p w14:paraId="7560CCA0">
          <w:pPr>
            <w:pStyle w:val="19"/>
            <w:tabs>
              <w:tab w:val="right" w:leader="dot" w:pos="8925"/>
            </w:tabs>
            <w:rPr>
              <w:color w:val="auto"/>
            </w:rPr>
          </w:pPr>
          <w:r>
            <w:fldChar w:fldCharType="begin"/>
          </w:r>
          <w:r>
            <w:instrText xml:space="preserve"> HYPERLINK \l "_Toc6972" </w:instrText>
          </w:r>
          <w:r>
            <w:fldChar w:fldCharType="separate"/>
          </w:r>
          <w:r>
            <w:rPr>
              <w:rFonts w:hint="eastAsia" w:ascii="宋体" w:hAnsi="宋体" w:eastAsia="宋体" w:cs="宋体"/>
              <w:bCs/>
              <w:color w:val="auto"/>
              <w:szCs w:val="28"/>
              <w:lang w:eastAsia="zh-CN"/>
            </w:rPr>
            <w:t>20　保险</w:t>
          </w:r>
          <w:r>
            <w:rPr>
              <w:color w:val="auto"/>
            </w:rPr>
            <w:tab/>
          </w:r>
          <w:r>
            <w:rPr>
              <w:color w:val="auto"/>
            </w:rPr>
            <w:fldChar w:fldCharType="begin"/>
          </w:r>
          <w:r>
            <w:rPr>
              <w:color w:val="auto"/>
            </w:rPr>
            <w:instrText xml:space="preserve"> PAGEREF _Toc6972 \h </w:instrText>
          </w:r>
          <w:r>
            <w:rPr>
              <w:color w:val="auto"/>
            </w:rPr>
            <w:fldChar w:fldCharType="separate"/>
          </w:r>
          <w:r>
            <w:rPr>
              <w:color w:val="auto"/>
            </w:rPr>
            <w:t>- 130 -</w:t>
          </w:r>
          <w:r>
            <w:rPr>
              <w:color w:val="auto"/>
            </w:rPr>
            <w:fldChar w:fldCharType="end"/>
          </w:r>
          <w:r>
            <w:rPr>
              <w:color w:val="auto"/>
            </w:rPr>
            <w:fldChar w:fldCharType="end"/>
          </w:r>
        </w:p>
        <w:p w14:paraId="1D970CF7">
          <w:pPr>
            <w:pStyle w:val="19"/>
            <w:tabs>
              <w:tab w:val="right" w:leader="dot" w:pos="8925"/>
            </w:tabs>
            <w:rPr>
              <w:color w:val="auto"/>
            </w:rPr>
          </w:pPr>
          <w:r>
            <w:fldChar w:fldCharType="begin"/>
          </w:r>
          <w:r>
            <w:instrText xml:space="preserve"> HYPERLINK \l "_Toc16957" </w:instrText>
          </w:r>
          <w:r>
            <w:fldChar w:fldCharType="separate"/>
          </w:r>
          <w:r>
            <w:rPr>
              <w:rFonts w:hint="eastAsia" w:ascii="宋体" w:hAnsi="宋体" w:eastAsia="宋体" w:cs="宋体"/>
              <w:bCs/>
              <w:color w:val="auto"/>
              <w:szCs w:val="28"/>
              <w:lang w:eastAsia="zh-CN"/>
            </w:rPr>
            <w:t>22　违约</w:t>
          </w:r>
          <w:r>
            <w:rPr>
              <w:color w:val="auto"/>
            </w:rPr>
            <w:tab/>
          </w:r>
          <w:r>
            <w:rPr>
              <w:color w:val="auto"/>
            </w:rPr>
            <w:fldChar w:fldCharType="begin"/>
          </w:r>
          <w:r>
            <w:rPr>
              <w:color w:val="auto"/>
            </w:rPr>
            <w:instrText xml:space="preserve"> PAGEREF _Toc16957 \h </w:instrText>
          </w:r>
          <w:r>
            <w:rPr>
              <w:color w:val="auto"/>
            </w:rPr>
            <w:fldChar w:fldCharType="separate"/>
          </w:r>
          <w:r>
            <w:rPr>
              <w:color w:val="auto"/>
            </w:rPr>
            <w:t>- 131 -</w:t>
          </w:r>
          <w:r>
            <w:rPr>
              <w:color w:val="auto"/>
            </w:rPr>
            <w:fldChar w:fldCharType="end"/>
          </w:r>
          <w:r>
            <w:rPr>
              <w:color w:val="auto"/>
            </w:rPr>
            <w:fldChar w:fldCharType="end"/>
          </w:r>
        </w:p>
        <w:p w14:paraId="46D91681">
          <w:pPr>
            <w:pStyle w:val="19"/>
            <w:tabs>
              <w:tab w:val="right" w:leader="dot" w:pos="8925"/>
            </w:tabs>
            <w:rPr>
              <w:color w:val="auto"/>
            </w:rPr>
          </w:pPr>
          <w:r>
            <w:fldChar w:fldCharType="begin"/>
          </w:r>
          <w:r>
            <w:instrText xml:space="preserve"> HYPERLINK \l "_Toc18253" </w:instrText>
          </w:r>
          <w:r>
            <w:fldChar w:fldCharType="separate"/>
          </w:r>
          <w:r>
            <w:rPr>
              <w:rFonts w:hint="eastAsia" w:ascii="宋体" w:hAnsi="宋体" w:eastAsia="宋体" w:cs="宋体"/>
              <w:bCs/>
              <w:color w:val="auto"/>
              <w:szCs w:val="28"/>
              <w:lang w:eastAsia="zh-CN"/>
            </w:rPr>
            <w:t>24　争议的解决</w:t>
          </w:r>
          <w:r>
            <w:rPr>
              <w:color w:val="auto"/>
            </w:rPr>
            <w:tab/>
          </w:r>
          <w:r>
            <w:rPr>
              <w:color w:val="auto"/>
            </w:rPr>
            <w:fldChar w:fldCharType="begin"/>
          </w:r>
          <w:r>
            <w:rPr>
              <w:color w:val="auto"/>
            </w:rPr>
            <w:instrText xml:space="preserve"> PAGEREF _Toc18253 \h </w:instrText>
          </w:r>
          <w:r>
            <w:rPr>
              <w:color w:val="auto"/>
            </w:rPr>
            <w:fldChar w:fldCharType="separate"/>
          </w:r>
          <w:r>
            <w:rPr>
              <w:color w:val="auto"/>
            </w:rPr>
            <w:t>- 132 -</w:t>
          </w:r>
          <w:r>
            <w:rPr>
              <w:color w:val="auto"/>
            </w:rPr>
            <w:fldChar w:fldCharType="end"/>
          </w:r>
          <w:r>
            <w:rPr>
              <w:color w:val="auto"/>
            </w:rPr>
            <w:fldChar w:fldCharType="end"/>
          </w:r>
        </w:p>
        <w:p w14:paraId="1141243D">
          <w:pPr>
            <w:pStyle w:val="18"/>
            <w:tabs>
              <w:tab w:val="right" w:leader="dot" w:pos="8925"/>
            </w:tabs>
            <w:rPr>
              <w:color w:val="auto"/>
            </w:rPr>
          </w:pPr>
          <w:r>
            <w:fldChar w:fldCharType="begin"/>
          </w:r>
          <w:r>
            <w:instrText xml:space="preserve"> HYPERLINK \l "_Toc18645" </w:instrText>
          </w:r>
          <w:r>
            <w:fldChar w:fldCharType="separate"/>
          </w:r>
          <w:r>
            <w:rPr>
              <w:rFonts w:ascii="宋体" w:hAnsi="宋体" w:eastAsia="宋体" w:cs="宋体"/>
              <w:bCs/>
              <w:color w:val="auto"/>
              <w:szCs w:val="31"/>
              <w:lang w:eastAsia="zh-CN"/>
            </w:rPr>
            <w:t>第三节</w:t>
          </w:r>
          <w:r>
            <w:rPr>
              <w:rFonts w:hint="eastAsia" w:ascii="宋体" w:hAnsi="宋体" w:eastAsia="宋体" w:cs="宋体"/>
              <w:color w:val="auto"/>
              <w:szCs w:val="31"/>
              <w:lang w:eastAsia="zh-CN"/>
            </w:rPr>
            <w:t>　</w:t>
          </w:r>
          <w:r>
            <w:rPr>
              <w:rFonts w:ascii="宋体" w:hAnsi="宋体" w:eastAsia="宋体" w:cs="宋体"/>
              <w:bCs/>
              <w:color w:val="auto"/>
              <w:szCs w:val="31"/>
              <w:lang w:eastAsia="zh-CN"/>
            </w:rPr>
            <w:t>合同附件格式</w:t>
          </w:r>
          <w:r>
            <w:rPr>
              <w:color w:val="auto"/>
            </w:rPr>
            <w:tab/>
          </w:r>
          <w:r>
            <w:rPr>
              <w:color w:val="auto"/>
            </w:rPr>
            <w:fldChar w:fldCharType="begin"/>
          </w:r>
          <w:r>
            <w:rPr>
              <w:color w:val="auto"/>
            </w:rPr>
            <w:instrText xml:space="preserve"> PAGEREF _Toc18645 \h </w:instrText>
          </w:r>
          <w:r>
            <w:rPr>
              <w:color w:val="auto"/>
            </w:rPr>
            <w:fldChar w:fldCharType="separate"/>
          </w:r>
          <w:r>
            <w:rPr>
              <w:color w:val="auto"/>
            </w:rPr>
            <w:t>- 134 -</w:t>
          </w:r>
          <w:r>
            <w:rPr>
              <w:color w:val="auto"/>
            </w:rPr>
            <w:fldChar w:fldCharType="end"/>
          </w:r>
          <w:r>
            <w:rPr>
              <w:color w:val="auto"/>
            </w:rPr>
            <w:fldChar w:fldCharType="end"/>
          </w:r>
        </w:p>
        <w:p w14:paraId="0B17F5AE">
          <w:pPr>
            <w:pStyle w:val="19"/>
            <w:tabs>
              <w:tab w:val="right" w:leader="dot" w:pos="8925"/>
            </w:tabs>
            <w:rPr>
              <w:color w:val="auto"/>
            </w:rPr>
          </w:pPr>
          <w:r>
            <w:fldChar w:fldCharType="begin"/>
          </w:r>
          <w:r>
            <w:instrText xml:space="preserve"> HYPERLINK \l "_Toc21832" </w:instrText>
          </w:r>
          <w:r>
            <w:fldChar w:fldCharType="separate"/>
          </w:r>
          <w:r>
            <w:rPr>
              <w:rFonts w:ascii="宋体" w:hAnsi="宋体" w:eastAsia="宋体" w:cs="宋体"/>
              <w:bCs/>
              <w:color w:val="auto"/>
              <w:szCs w:val="28"/>
              <w:lang w:eastAsia="zh-CN"/>
            </w:rPr>
            <w:t>附件一</w:t>
          </w:r>
          <w:r>
            <w:rPr>
              <w:rFonts w:hint="eastAsia" w:ascii="宋体" w:hAnsi="宋体" w:eastAsia="宋体" w:cs="宋体"/>
              <w:color w:val="auto"/>
              <w:szCs w:val="28"/>
              <w:lang w:eastAsia="zh-CN"/>
            </w:rPr>
            <w:t>　</w:t>
          </w:r>
          <w:r>
            <w:rPr>
              <w:rFonts w:ascii="宋体" w:hAnsi="宋体" w:eastAsia="宋体" w:cs="宋体"/>
              <w:bCs/>
              <w:color w:val="auto"/>
              <w:szCs w:val="28"/>
              <w:lang w:eastAsia="zh-CN"/>
            </w:rPr>
            <w:t>合同协议书</w:t>
          </w:r>
          <w:r>
            <w:rPr>
              <w:color w:val="auto"/>
            </w:rPr>
            <w:tab/>
          </w:r>
          <w:r>
            <w:rPr>
              <w:color w:val="auto"/>
            </w:rPr>
            <w:fldChar w:fldCharType="begin"/>
          </w:r>
          <w:r>
            <w:rPr>
              <w:color w:val="auto"/>
            </w:rPr>
            <w:instrText xml:space="preserve"> PAGEREF _Toc21832 \h </w:instrText>
          </w:r>
          <w:r>
            <w:rPr>
              <w:color w:val="auto"/>
            </w:rPr>
            <w:fldChar w:fldCharType="separate"/>
          </w:r>
          <w:r>
            <w:rPr>
              <w:color w:val="auto"/>
            </w:rPr>
            <w:t>- 135 -</w:t>
          </w:r>
          <w:r>
            <w:rPr>
              <w:color w:val="auto"/>
            </w:rPr>
            <w:fldChar w:fldCharType="end"/>
          </w:r>
          <w:r>
            <w:rPr>
              <w:color w:val="auto"/>
            </w:rPr>
            <w:fldChar w:fldCharType="end"/>
          </w:r>
        </w:p>
        <w:p w14:paraId="3138CC8F">
          <w:pPr>
            <w:pStyle w:val="19"/>
            <w:tabs>
              <w:tab w:val="right" w:leader="dot" w:pos="8925"/>
            </w:tabs>
            <w:rPr>
              <w:color w:val="auto"/>
            </w:rPr>
          </w:pPr>
          <w:r>
            <w:fldChar w:fldCharType="begin"/>
          </w:r>
          <w:r>
            <w:instrText xml:space="preserve"> HYPERLINK \l "_Toc29500" </w:instrText>
          </w:r>
          <w:r>
            <w:fldChar w:fldCharType="separate"/>
          </w:r>
          <w:r>
            <w:rPr>
              <w:rFonts w:ascii="宋体" w:hAnsi="宋体" w:eastAsia="宋体" w:cs="宋体"/>
              <w:bCs/>
              <w:color w:val="auto"/>
              <w:szCs w:val="28"/>
              <w:lang w:eastAsia="zh-CN"/>
            </w:rPr>
            <w:t>附件二</w:t>
          </w:r>
          <w:r>
            <w:rPr>
              <w:rFonts w:hint="eastAsia" w:ascii="宋体" w:hAnsi="宋体" w:eastAsia="宋体" w:cs="宋体"/>
              <w:color w:val="auto"/>
              <w:szCs w:val="28"/>
              <w:lang w:eastAsia="zh-CN"/>
            </w:rPr>
            <w:t>　</w:t>
          </w:r>
          <w:r>
            <w:rPr>
              <w:rFonts w:ascii="宋体" w:hAnsi="宋体" w:eastAsia="宋体" w:cs="宋体"/>
              <w:bCs/>
              <w:color w:val="auto"/>
              <w:szCs w:val="28"/>
              <w:lang w:eastAsia="zh-CN"/>
            </w:rPr>
            <w:t>履约担保（格式）</w:t>
          </w:r>
          <w:r>
            <w:rPr>
              <w:color w:val="auto"/>
            </w:rPr>
            <w:tab/>
          </w:r>
          <w:r>
            <w:rPr>
              <w:color w:val="auto"/>
            </w:rPr>
            <w:fldChar w:fldCharType="begin"/>
          </w:r>
          <w:r>
            <w:rPr>
              <w:color w:val="auto"/>
            </w:rPr>
            <w:instrText xml:space="preserve"> PAGEREF _Toc29500 \h </w:instrText>
          </w:r>
          <w:r>
            <w:rPr>
              <w:color w:val="auto"/>
            </w:rPr>
            <w:fldChar w:fldCharType="separate"/>
          </w:r>
          <w:r>
            <w:rPr>
              <w:color w:val="auto"/>
            </w:rPr>
            <w:t>- 136 -</w:t>
          </w:r>
          <w:r>
            <w:rPr>
              <w:color w:val="auto"/>
            </w:rPr>
            <w:fldChar w:fldCharType="end"/>
          </w:r>
          <w:r>
            <w:rPr>
              <w:color w:val="auto"/>
            </w:rPr>
            <w:fldChar w:fldCharType="end"/>
          </w:r>
        </w:p>
        <w:p w14:paraId="6B0C5433">
          <w:pPr>
            <w:pStyle w:val="19"/>
            <w:tabs>
              <w:tab w:val="right" w:leader="dot" w:pos="8925"/>
            </w:tabs>
            <w:rPr>
              <w:color w:val="auto"/>
            </w:rPr>
          </w:pPr>
          <w:r>
            <w:fldChar w:fldCharType="begin"/>
          </w:r>
          <w:r>
            <w:instrText xml:space="preserve"> HYPERLINK \l "_Toc11298" </w:instrText>
          </w:r>
          <w:r>
            <w:fldChar w:fldCharType="separate"/>
          </w:r>
          <w:r>
            <w:rPr>
              <w:rFonts w:ascii="宋体" w:hAnsi="宋体" w:eastAsia="宋体" w:cs="宋体"/>
              <w:bCs/>
              <w:color w:val="auto"/>
              <w:szCs w:val="28"/>
              <w:lang w:eastAsia="zh-CN"/>
            </w:rPr>
            <w:t>附件三</w:t>
          </w:r>
          <w:r>
            <w:rPr>
              <w:rFonts w:hint="eastAsia" w:ascii="宋体" w:hAnsi="宋体" w:eastAsia="宋体" w:cs="宋体"/>
              <w:color w:val="auto"/>
              <w:szCs w:val="28"/>
              <w:lang w:eastAsia="zh-CN"/>
            </w:rPr>
            <w:t>　</w:t>
          </w:r>
          <w:r>
            <w:rPr>
              <w:rFonts w:ascii="宋体" w:hAnsi="宋体" w:eastAsia="宋体" w:cs="宋体"/>
              <w:bCs/>
              <w:color w:val="auto"/>
              <w:szCs w:val="28"/>
              <w:lang w:eastAsia="zh-CN"/>
            </w:rPr>
            <w:t>工程廉政责任书（格式）</w:t>
          </w:r>
          <w:r>
            <w:rPr>
              <w:color w:val="auto"/>
            </w:rPr>
            <w:tab/>
          </w:r>
          <w:r>
            <w:rPr>
              <w:color w:val="auto"/>
            </w:rPr>
            <w:fldChar w:fldCharType="begin"/>
          </w:r>
          <w:r>
            <w:rPr>
              <w:color w:val="auto"/>
            </w:rPr>
            <w:instrText xml:space="preserve"> PAGEREF _Toc11298 \h </w:instrText>
          </w:r>
          <w:r>
            <w:rPr>
              <w:color w:val="auto"/>
            </w:rPr>
            <w:fldChar w:fldCharType="separate"/>
          </w:r>
          <w:r>
            <w:rPr>
              <w:color w:val="auto"/>
            </w:rPr>
            <w:t>- 137 -</w:t>
          </w:r>
          <w:r>
            <w:rPr>
              <w:color w:val="auto"/>
            </w:rPr>
            <w:fldChar w:fldCharType="end"/>
          </w:r>
          <w:r>
            <w:rPr>
              <w:color w:val="auto"/>
            </w:rPr>
            <w:fldChar w:fldCharType="end"/>
          </w:r>
        </w:p>
        <w:p w14:paraId="530728F4">
          <w:pPr>
            <w:pStyle w:val="19"/>
            <w:tabs>
              <w:tab w:val="right" w:leader="dot" w:pos="8925"/>
            </w:tabs>
            <w:rPr>
              <w:color w:val="auto"/>
            </w:rPr>
          </w:pPr>
          <w:r>
            <w:fldChar w:fldCharType="begin"/>
          </w:r>
          <w:r>
            <w:instrText xml:space="preserve"> HYPERLINK \l "_Toc29467" </w:instrText>
          </w:r>
          <w:r>
            <w:fldChar w:fldCharType="separate"/>
          </w:r>
          <w:r>
            <w:rPr>
              <w:rFonts w:ascii="宋体" w:hAnsi="宋体" w:eastAsia="宋体" w:cs="宋体"/>
              <w:bCs/>
              <w:color w:val="auto"/>
              <w:szCs w:val="28"/>
              <w:lang w:eastAsia="zh-CN"/>
            </w:rPr>
            <w:t>附件四</w:t>
          </w:r>
          <w:r>
            <w:rPr>
              <w:rFonts w:hint="eastAsia" w:ascii="宋体" w:hAnsi="宋体" w:eastAsia="宋体" w:cs="宋体"/>
              <w:color w:val="auto"/>
              <w:szCs w:val="28"/>
              <w:lang w:eastAsia="zh-CN"/>
            </w:rPr>
            <w:t>　</w:t>
          </w:r>
          <w:r>
            <w:rPr>
              <w:rFonts w:ascii="宋体" w:hAnsi="宋体" w:eastAsia="宋体" w:cs="宋体"/>
              <w:bCs/>
              <w:color w:val="auto"/>
              <w:szCs w:val="28"/>
              <w:lang w:eastAsia="zh-CN"/>
            </w:rPr>
            <w:t>安全生产协议书（格式）</w:t>
          </w:r>
          <w:r>
            <w:rPr>
              <w:color w:val="auto"/>
            </w:rPr>
            <w:tab/>
          </w:r>
          <w:r>
            <w:rPr>
              <w:color w:val="auto"/>
            </w:rPr>
            <w:fldChar w:fldCharType="begin"/>
          </w:r>
          <w:r>
            <w:rPr>
              <w:color w:val="auto"/>
            </w:rPr>
            <w:instrText xml:space="preserve"> PAGEREF _Toc29467 \h </w:instrText>
          </w:r>
          <w:r>
            <w:rPr>
              <w:color w:val="auto"/>
            </w:rPr>
            <w:fldChar w:fldCharType="separate"/>
          </w:r>
          <w:r>
            <w:rPr>
              <w:color w:val="auto"/>
            </w:rPr>
            <w:t>- 139 -</w:t>
          </w:r>
          <w:r>
            <w:rPr>
              <w:color w:val="auto"/>
            </w:rPr>
            <w:fldChar w:fldCharType="end"/>
          </w:r>
          <w:r>
            <w:rPr>
              <w:color w:val="auto"/>
            </w:rPr>
            <w:fldChar w:fldCharType="end"/>
          </w:r>
        </w:p>
        <w:p w14:paraId="54BAFF5E">
          <w:pPr>
            <w:pStyle w:val="17"/>
            <w:tabs>
              <w:tab w:val="right" w:leader="dot" w:pos="8925"/>
            </w:tabs>
            <w:rPr>
              <w:color w:val="auto"/>
            </w:rPr>
          </w:pPr>
          <w:r>
            <w:fldChar w:fldCharType="begin"/>
          </w:r>
          <w:r>
            <w:instrText xml:space="preserve"> HYPERLINK \l "_Toc2912" </w:instrText>
          </w:r>
          <w:r>
            <w:fldChar w:fldCharType="separate"/>
          </w:r>
          <w:r>
            <w:rPr>
              <w:rFonts w:ascii="宋体" w:hAnsi="宋体" w:eastAsia="宋体" w:cs="宋体"/>
              <w:bCs/>
              <w:color w:val="auto"/>
              <w:szCs w:val="36"/>
              <w:lang w:eastAsia="zh-CN"/>
            </w:rPr>
            <w:t>第五章</w:t>
          </w:r>
          <w:r>
            <w:rPr>
              <w:rFonts w:hint="eastAsia" w:ascii="宋体" w:hAnsi="宋体" w:eastAsia="宋体" w:cs="宋体"/>
              <w:bCs/>
              <w:color w:val="auto"/>
              <w:szCs w:val="36"/>
              <w:lang w:eastAsia="zh-CN"/>
            </w:rPr>
            <w:t>　</w:t>
          </w:r>
          <w:r>
            <w:rPr>
              <w:rFonts w:ascii="宋体" w:hAnsi="宋体" w:eastAsia="宋体" w:cs="宋体"/>
              <w:bCs/>
              <w:color w:val="auto"/>
              <w:szCs w:val="36"/>
              <w:lang w:eastAsia="zh-CN"/>
            </w:rPr>
            <w:t>工程量清单</w:t>
          </w:r>
          <w:r>
            <w:rPr>
              <w:color w:val="auto"/>
            </w:rPr>
            <w:tab/>
          </w:r>
          <w:r>
            <w:rPr>
              <w:color w:val="auto"/>
            </w:rPr>
            <w:fldChar w:fldCharType="begin"/>
          </w:r>
          <w:r>
            <w:rPr>
              <w:color w:val="auto"/>
            </w:rPr>
            <w:instrText xml:space="preserve"> PAGEREF _Toc2912 \h </w:instrText>
          </w:r>
          <w:r>
            <w:rPr>
              <w:color w:val="auto"/>
            </w:rPr>
            <w:fldChar w:fldCharType="separate"/>
          </w:r>
          <w:r>
            <w:rPr>
              <w:color w:val="auto"/>
            </w:rPr>
            <w:t>- 142 -</w:t>
          </w:r>
          <w:r>
            <w:rPr>
              <w:color w:val="auto"/>
            </w:rPr>
            <w:fldChar w:fldCharType="end"/>
          </w:r>
          <w:r>
            <w:rPr>
              <w:color w:val="auto"/>
            </w:rPr>
            <w:fldChar w:fldCharType="end"/>
          </w:r>
        </w:p>
        <w:p w14:paraId="24E3941D">
          <w:pPr>
            <w:pStyle w:val="17"/>
            <w:tabs>
              <w:tab w:val="right" w:leader="dot" w:pos="8925"/>
            </w:tabs>
            <w:rPr>
              <w:color w:val="auto"/>
            </w:rPr>
          </w:pPr>
          <w:r>
            <w:fldChar w:fldCharType="begin"/>
          </w:r>
          <w:r>
            <w:instrText xml:space="preserve"> HYPERLINK \l "_Toc29811" </w:instrText>
          </w:r>
          <w:r>
            <w:fldChar w:fldCharType="separate"/>
          </w:r>
          <w:r>
            <w:rPr>
              <w:rFonts w:ascii="黑体" w:hAnsi="黑体" w:eastAsia="黑体" w:cs="黑体"/>
              <w:bCs/>
              <w:color w:val="auto"/>
              <w:szCs w:val="48"/>
              <w:lang w:eastAsia="zh-CN"/>
            </w:rPr>
            <w:t>第二卷</w:t>
          </w:r>
          <w:r>
            <w:rPr>
              <w:color w:val="auto"/>
            </w:rPr>
            <w:tab/>
          </w:r>
          <w:r>
            <w:rPr>
              <w:color w:val="auto"/>
            </w:rPr>
            <w:fldChar w:fldCharType="begin"/>
          </w:r>
          <w:r>
            <w:rPr>
              <w:color w:val="auto"/>
            </w:rPr>
            <w:instrText xml:space="preserve"> PAGEREF _Toc29811 \h </w:instrText>
          </w:r>
          <w:r>
            <w:rPr>
              <w:color w:val="auto"/>
            </w:rPr>
            <w:fldChar w:fldCharType="separate"/>
          </w:r>
          <w:r>
            <w:rPr>
              <w:color w:val="auto"/>
            </w:rPr>
            <w:t>- 156 -</w:t>
          </w:r>
          <w:r>
            <w:rPr>
              <w:color w:val="auto"/>
            </w:rPr>
            <w:fldChar w:fldCharType="end"/>
          </w:r>
          <w:r>
            <w:rPr>
              <w:color w:val="auto"/>
            </w:rPr>
            <w:fldChar w:fldCharType="end"/>
          </w:r>
        </w:p>
        <w:p w14:paraId="49B5E3A4">
          <w:pPr>
            <w:pStyle w:val="17"/>
            <w:tabs>
              <w:tab w:val="right" w:leader="dot" w:pos="8925"/>
            </w:tabs>
            <w:rPr>
              <w:color w:val="auto"/>
            </w:rPr>
          </w:pPr>
          <w:r>
            <w:fldChar w:fldCharType="begin"/>
          </w:r>
          <w:r>
            <w:instrText xml:space="preserve"> HYPERLINK \l "_Toc30535" </w:instrText>
          </w:r>
          <w:r>
            <w:fldChar w:fldCharType="separate"/>
          </w:r>
          <w:r>
            <w:rPr>
              <w:rFonts w:ascii="宋体" w:hAnsi="宋体" w:eastAsia="宋体" w:cs="宋体"/>
              <w:bCs/>
              <w:color w:val="auto"/>
              <w:szCs w:val="36"/>
              <w:lang w:eastAsia="zh-CN"/>
            </w:rPr>
            <w:t>第六章</w:t>
          </w:r>
          <w:r>
            <w:rPr>
              <w:rFonts w:hint="eastAsia" w:ascii="宋体" w:hAnsi="宋体" w:eastAsia="宋体" w:cs="宋体"/>
              <w:color w:val="auto"/>
              <w:szCs w:val="36"/>
              <w:lang w:eastAsia="zh-CN"/>
            </w:rPr>
            <w:t>　</w:t>
          </w:r>
          <w:r>
            <w:rPr>
              <w:rFonts w:ascii="宋体" w:hAnsi="宋体" w:eastAsia="宋体" w:cs="宋体"/>
              <w:bCs/>
              <w:color w:val="auto"/>
              <w:szCs w:val="36"/>
              <w:lang w:eastAsia="zh-CN"/>
            </w:rPr>
            <w:t>图纸（招标图纸）及其他资料</w:t>
          </w:r>
          <w:r>
            <w:rPr>
              <w:color w:val="auto"/>
            </w:rPr>
            <w:tab/>
          </w:r>
          <w:r>
            <w:rPr>
              <w:color w:val="auto"/>
            </w:rPr>
            <w:fldChar w:fldCharType="begin"/>
          </w:r>
          <w:r>
            <w:rPr>
              <w:color w:val="auto"/>
            </w:rPr>
            <w:instrText xml:space="preserve"> PAGEREF _Toc30535 \h </w:instrText>
          </w:r>
          <w:r>
            <w:rPr>
              <w:color w:val="auto"/>
            </w:rPr>
            <w:fldChar w:fldCharType="separate"/>
          </w:r>
          <w:r>
            <w:rPr>
              <w:color w:val="auto"/>
            </w:rPr>
            <w:t>- 157 -</w:t>
          </w:r>
          <w:r>
            <w:rPr>
              <w:color w:val="auto"/>
            </w:rPr>
            <w:fldChar w:fldCharType="end"/>
          </w:r>
          <w:r>
            <w:rPr>
              <w:color w:val="auto"/>
            </w:rPr>
            <w:fldChar w:fldCharType="end"/>
          </w:r>
        </w:p>
        <w:p w14:paraId="61EAF2E0">
          <w:pPr>
            <w:pStyle w:val="18"/>
            <w:tabs>
              <w:tab w:val="right" w:leader="dot" w:pos="8925"/>
            </w:tabs>
            <w:rPr>
              <w:color w:val="auto"/>
            </w:rPr>
          </w:pPr>
          <w:r>
            <w:fldChar w:fldCharType="begin"/>
          </w:r>
          <w:r>
            <w:instrText xml:space="preserve"> HYPERLINK \l "_Toc31125" </w:instrText>
          </w:r>
          <w:r>
            <w:fldChar w:fldCharType="separate"/>
          </w:r>
          <w:r>
            <w:rPr>
              <w:rFonts w:ascii="Times New Roman" w:hAnsi="Times New Roman" w:eastAsia="Times New Roman" w:cs="Times New Roman"/>
              <w:bCs/>
              <w:color w:val="auto"/>
              <w:szCs w:val="28"/>
              <w:lang w:eastAsia="zh-CN"/>
            </w:rPr>
            <w:t>1</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lang w:eastAsia="zh-CN"/>
            </w:rPr>
            <w:t>说明</w:t>
          </w:r>
          <w:r>
            <w:rPr>
              <w:color w:val="auto"/>
            </w:rPr>
            <w:tab/>
          </w:r>
          <w:r>
            <w:rPr>
              <w:color w:val="auto"/>
            </w:rPr>
            <w:fldChar w:fldCharType="begin"/>
          </w:r>
          <w:r>
            <w:rPr>
              <w:color w:val="auto"/>
            </w:rPr>
            <w:instrText xml:space="preserve"> PAGEREF _Toc31125 \h </w:instrText>
          </w:r>
          <w:r>
            <w:rPr>
              <w:color w:val="auto"/>
            </w:rPr>
            <w:fldChar w:fldCharType="separate"/>
          </w:r>
          <w:r>
            <w:rPr>
              <w:color w:val="auto"/>
            </w:rPr>
            <w:t>- 157 -</w:t>
          </w:r>
          <w:r>
            <w:rPr>
              <w:color w:val="auto"/>
            </w:rPr>
            <w:fldChar w:fldCharType="end"/>
          </w:r>
          <w:r>
            <w:rPr>
              <w:color w:val="auto"/>
            </w:rPr>
            <w:fldChar w:fldCharType="end"/>
          </w:r>
        </w:p>
        <w:p w14:paraId="0D747596">
          <w:pPr>
            <w:pStyle w:val="18"/>
            <w:tabs>
              <w:tab w:val="right" w:leader="dot" w:pos="8925"/>
            </w:tabs>
            <w:rPr>
              <w:color w:val="auto"/>
            </w:rPr>
          </w:pPr>
          <w:r>
            <w:fldChar w:fldCharType="begin"/>
          </w:r>
          <w:r>
            <w:instrText xml:space="preserve"> HYPERLINK \l "_Toc17276" </w:instrText>
          </w:r>
          <w:r>
            <w:fldChar w:fldCharType="separate"/>
          </w:r>
          <w:r>
            <w:rPr>
              <w:rFonts w:ascii="Times New Roman" w:hAnsi="Times New Roman" w:eastAsia="Times New Roman" w:cs="Times New Roman"/>
              <w:bCs/>
              <w:color w:val="auto"/>
              <w:szCs w:val="28"/>
            </w:rPr>
            <w:t>2</w:t>
          </w:r>
          <w:r>
            <w:rPr>
              <w:rFonts w:hint="eastAsia" w:ascii="Times New Roman" w:hAnsi="Times New Roman" w:eastAsia="宋体" w:cs="Times New Roman"/>
              <w:bCs/>
              <w:color w:val="auto"/>
              <w:szCs w:val="28"/>
              <w:lang w:eastAsia="zh-CN"/>
            </w:rPr>
            <w:t>　</w:t>
          </w:r>
          <w:r>
            <w:rPr>
              <w:rFonts w:ascii="宋体" w:hAnsi="宋体" w:eastAsia="宋体" w:cs="宋体"/>
              <w:bCs/>
              <w:color w:val="auto"/>
              <w:szCs w:val="28"/>
            </w:rPr>
            <w:t>图纸及其他资料目录</w:t>
          </w:r>
          <w:r>
            <w:rPr>
              <w:color w:val="auto"/>
            </w:rPr>
            <w:tab/>
          </w:r>
          <w:r>
            <w:rPr>
              <w:color w:val="auto"/>
            </w:rPr>
            <w:fldChar w:fldCharType="begin"/>
          </w:r>
          <w:r>
            <w:rPr>
              <w:color w:val="auto"/>
            </w:rPr>
            <w:instrText xml:space="preserve"> PAGEREF _Toc17276 \h </w:instrText>
          </w:r>
          <w:r>
            <w:rPr>
              <w:color w:val="auto"/>
            </w:rPr>
            <w:fldChar w:fldCharType="separate"/>
          </w:r>
          <w:r>
            <w:rPr>
              <w:color w:val="auto"/>
            </w:rPr>
            <w:t>- 157 -</w:t>
          </w:r>
          <w:r>
            <w:rPr>
              <w:color w:val="auto"/>
            </w:rPr>
            <w:fldChar w:fldCharType="end"/>
          </w:r>
          <w:r>
            <w:rPr>
              <w:color w:val="auto"/>
            </w:rPr>
            <w:fldChar w:fldCharType="end"/>
          </w:r>
        </w:p>
        <w:p w14:paraId="47CFB8C9">
          <w:pPr>
            <w:pStyle w:val="18"/>
            <w:tabs>
              <w:tab w:val="right" w:leader="dot" w:pos="8925"/>
            </w:tabs>
            <w:rPr>
              <w:color w:val="auto"/>
            </w:rPr>
          </w:pPr>
          <w:r>
            <w:fldChar w:fldCharType="begin"/>
          </w:r>
          <w:r>
            <w:instrText xml:space="preserve"> HYPERLINK \l "_Toc24518" </w:instrText>
          </w:r>
          <w:r>
            <w:fldChar w:fldCharType="separate"/>
          </w:r>
          <w:r>
            <w:rPr>
              <w:rFonts w:ascii="Times New Roman" w:hAnsi="Times New Roman" w:eastAsia="Times New Roman" w:cs="Times New Roman"/>
              <w:bCs/>
              <w:color w:val="auto"/>
              <w:szCs w:val="28"/>
            </w:rPr>
            <w:t>3</w:t>
          </w:r>
          <w:r>
            <w:rPr>
              <w:rFonts w:hint="eastAsia" w:ascii="宋体" w:hAnsi="宋体" w:eastAsia="宋体" w:cs="宋体"/>
              <w:bCs/>
              <w:color w:val="auto"/>
              <w:szCs w:val="28"/>
              <w:lang w:eastAsia="zh-CN"/>
            </w:rPr>
            <w:t>　</w:t>
          </w:r>
          <w:r>
            <w:rPr>
              <w:rFonts w:hint="eastAsia" w:ascii="宋体" w:hAnsi="宋体" w:eastAsia="宋体" w:cs="宋体"/>
              <w:bCs/>
              <w:color w:val="auto"/>
              <w:szCs w:val="28"/>
            </w:rPr>
            <w:t>图纸及其他资料</w:t>
          </w:r>
          <w:r>
            <w:rPr>
              <w:color w:val="auto"/>
            </w:rPr>
            <w:tab/>
          </w:r>
          <w:r>
            <w:rPr>
              <w:color w:val="auto"/>
            </w:rPr>
            <w:fldChar w:fldCharType="begin"/>
          </w:r>
          <w:r>
            <w:rPr>
              <w:color w:val="auto"/>
            </w:rPr>
            <w:instrText xml:space="preserve"> PAGEREF _Toc24518 \h </w:instrText>
          </w:r>
          <w:r>
            <w:rPr>
              <w:color w:val="auto"/>
            </w:rPr>
            <w:fldChar w:fldCharType="separate"/>
          </w:r>
          <w:r>
            <w:rPr>
              <w:color w:val="auto"/>
            </w:rPr>
            <w:t>- 157 -</w:t>
          </w:r>
          <w:r>
            <w:rPr>
              <w:color w:val="auto"/>
            </w:rPr>
            <w:fldChar w:fldCharType="end"/>
          </w:r>
          <w:r>
            <w:rPr>
              <w:color w:val="auto"/>
            </w:rPr>
            <w:fldChar w:fldCharType="end"/>
          </w:r>
        </w:p>
        <w:p w14:paraId="06F0C0D4">
          <w:pPr>
            <w:pStyle w:val="17"/>
            <w:tabs>
              <w:tab w:val="right" w:leader="dot" w:pos="8925"/>
            </w:tabs>
            <w:rPr>
              <w:color w:val="auto"/>
            </w:rPr>
          </w:pPr>
          <w:r>
            <w:fldChar w:fldCharType="begin"/>
          </w:r>
          <w:r>
            <w:instrText xml:space="preserve"> HYPERLINK \l "_Toc6041" </w:instrText>
          </w:r>
          <w:r>
            <w:fldChar w:fldCharType="separate"/>
          </w:r>
          <w:r>
            <w:rPr>
              <w:rFonts w:ascii="黑体" w:hAnsi="黑体" w:eastAsia="黑体" w:cs="黑体"/>
              <w:bCs/>
              <w:color w:val="auto"/>
              <w:szCs w:val="48"/>
            </w:rPr>
            <w:t>第三卷</w:t>
          </w:r>
          <w:r>
            <w:rPr>
              <w:color w:val="auto"/>
            </w:rPr>
            <w:tab/>
          </w:r>
          <w:r>
            <w:rPr>
              <w:color w:val="auto"/>
            </w:rPr>
            <w:fldChar w:fldCharType="begin"/>
          </w:r>
          <w:r>
            <w:rPr>
              <w:color w:val="auto"/>
            </w:rPr>
            <w:instrText xml:space="preserve"> PAGEREF _Toc6041 \h </w:instrText>
          </w:r>
          <w:r>
            <w:rPr>
              <w:color w:val="auto"/>
            </w:rPr>
            <w:fldChar w:fldCharType="separate"/>
          </w:r>
          <w:r>
            <w:rPr>
              <w:color w:val="auto"/>
            </w:rPr>
            <w:t>- 158 -</w:t>
          </w:r>
          <w:r>
            <w:rPr>
              <w:color w:val="auto"/>
            </w:rPr>
            <w:fldChar w:fldCharType="end"/>
          </w:r>
          <w:r>
            <w:rPr>
              <w:color w:val="auto"/>
            </w:rPr>
            <w:fldChar w:fldCharType="end"/>
          </w:r>
        </w:p>
        <w:p w14:paraId="5D223545">
          <w:pPr>
            <w:pStyle w:val="17"/>
            <w:tabs>
              <w:tab w:val="right" w:leader="dot" w:pos="8925"/>
            </w:tabs>
            <w:rPr>
              <w:color w:val="auto"/>
            </w:rPr>
          </w:pPr>
          <w:r>
            <w:fldChar w:fldCharType="begin"/>
          </w:r>
          <w:r>
            <w:instrText xml:space="preserve"> HYPERLINK \l "_Toc6647" </w:instrText>
          </w:r>
          <w:r>
            <w:fldChar w:fldCharType="separate"/>
          </w:r>
          <w:r>
            <w:rPr>
              <w:rFonts w:ascii="宋体" w:hAnsi="宋体" w:eastAsia="宋体" w:cs="宋体"/>
              <w:bCs/>
              <w:color w:val="auto"/>
              <w:szCs w:val="36"/>
              <w:lang w:eastAsia="zh-CN"/>
            </w:rPr>
            <w:t>第七章</w:t>
          </w:r>
          <w:r>
            <w:rPr>
              <w:rFonts w:hint="eastAsia" w:ascii="宋体" w:hAnsi="宋体" w:eastAsia="宋体" w:cs="宋体"/>
              <w:color w:val="auto"/>
              <w:szCs w:val="36"/>
              <w:lang w:eastAsia="zh-CN"/>
            </w:rPr>
            <w:t>　</w:t>
          </w:r>
          <w:r>
            <w:rPr>
              <w:rFonts w:ascii="宋体" w:hAnsi="宋体" w:eastAsia="宋体" w:cs="宋体"/>
              <w:bCs/>
              <w:color w:val="auto"/>
              <w:szCs w:val="36"/>
              <w:lang w:eastAsia="zh-CN"/>
            </w:rPr>
            <w:t>技术标准和要求（合同技术条款）</w:t>
          </w:r>
          <w:r>
            <w:rPr>
              <w:color w:val="auto"/>
            </w:rPr>
            <w:tab/>
          </w:r>
          <w:r>
            <w:rPr>
              <w:color w:val="auto"/>
            </w:rPr>
            <w:fldChar w:fldCharType="begin"/>
          </w:r>
          <w:r>
            <w:rPr>
              <w:color w:val="auto"/>
            </w:rPr>
            <w:instrText xml:space="preserve"> PAGEREF _Toc6647 \h </w:instrText>
          </w:r>
          <w:r>
            <w:rPr>
              <w:color w:val="auto"/>
            </w:rPr>
            <w:fldChar w:fldCharType="separate"/>
          </w:r>
          <w:r>
            <w:rPr>
              <w:color w:val="auto"/>
            </w:rPr>
            <w:t>- 159 -</w:t>
          </w:r>
          <w:r>
            <w:rPr>
              <w:color w:val="auto"/>
            </w:rPr>
            <w:fldChar w:fldCharType="end"/>
          </w:r>
          <w:r>
            <w:rPr>
              <w:color w:val="auto"/>
            </w:rPr>
            <w:fldChar w:fldCharType="end"/>
          </w:r>
        </w:p>
        <w:p w14:paraId="04627103">
          <w:pPr>
            <w:pStyle w:val="18"/>
            <w:tabs>
              <w:tab w:val="right" w:leader="dot" w:pos="8925"/>
            </w:tabs>
            <w:rPr>
              <w:color w:val="auto"/>
            </w:rPr>
          </w:pPr>
          <w:r>
            <w:fldChar w:fldCharType="begin"/>
          </w:r>
          <w:r>
            <w:instrText xml:space="preserve"> HYPERLINK \l "_Toc25996" </w:instrText>
          </w:r>
          <w:r>
            <w:fldChar w:fldCharType="separate"/>
          </w:r>
          <w:r>
            <w:rPr>
              <w:rFonts w:hint="eastAsia" w:ascii="宋体" w:hAnsi="宋体" w:eastAsia="宋体" w:cs="宋体"/>
              <w:bCs/>
              <w:color w:val="auto"/>
              <w:spacing w:val="-9"/>
              <w:szCs w:val="28"/>
            </w:rPr>
            <w:t>1</w:t>
          </w:r>
          <w:r>
            <w:rPr>
              <w:rFonts w:hint="eastAsia" w:ascii="宋体" w:hAnsi="宋体" w:eastAsia="宋体" w:cs="宋体"/>
              <w:bCs/>
              <w:color w:val="auto"/>
              <w:spacing w:val="8"/>
              <w:szCs w:val="28"/>
              <w:lang w:eastAsia="zh-CN"/>
            </w:rPr>
            <w:t xml:space="preserve"> </w:t>
          </w:r>
          <w:r>
            <w:rPr>
              <w:rFonts w:hint="eastAsia" w:ascii="宋体" w:hAnsi="宋体" w:eastAsia="宋体" w:cs="宋体"/>
              <w:bCs/>
              <w:color w:val="auto"/>
              <w:spacing w:val="-9"/>
              <w:szCs w:val="28"/>
            </w:rPr>
            <w:t>一般规定</w:t>
          </w:r>
          <w:r>
            <w:rPr>
              <w:color w:val="auto"/>
            </w:rPr>
            <w:tab/>
          </w:r>
          <w:r>
            <w:rPr>
              <w:color w:val="auto"/>
            </w:rPr>
            <w:fldChar w:fldCharType="begin"/>
          </w:r>
          <w:r>
            <w:rPr>
              <w:color w:val="auto"/>
            </w:rPr>
            <w:instrText xml:space="preserve"> PAGEREF _Toc25996 \h </w:instrText>
          </w:r>
          <w:r>
            <w:rPr>
              <w:color w:val="auto"/>
            </w:rPr>
            <w:fldChar w:fldCharType="separate"/>
          </w:r>
          <w:r>
            <w:rPr>
              <w:color w:val="auto"/>
            </w:rPr>
            <w:t>- 159 -</w:t>
          </w:r>
          <w:r>
            <w:rPr>
              <w:color w:val="auto"/>
            </w:rPr>
            <w:fldChar w:fldCharType="end"/>
          </w:r>
          <w:r>
            <w:rPr>
              <w:color w:val="auto"/>
            </w:rPr>
            <w:fldChar w:fldCharType="end"/>
          </w:r>
        </w:p>
        <w:p w14:paraId="4F962481">
          <w:pPr>
            <w:pStyle w:val="19"/>
            <w:tabs>
              <w:tab w:val="right" w:leader="dot" w:pos="8925"/>
            </w:tabs>
            <w:rPr>
              <w:color w:val="auto"/>
            </w:rPr>
          </w:pPr>
          <w:r>
            <w:fldChar w:fldCharType="begin"/>
          </w:r>
          <w:r>
            <w:instrText xml:space="preserve"> HYPERLINK \l "_Toc23092" </w:instrText>
          </w:r>
          <w:r>
            <w:fldChar w:fldCharType="separate"/>
          </w:r>
          <w:r>
            <w:rPr>
              <w:rFonts w:hint="eastAsia" w:ascii="宋体" w:hAnsi="宋体" w:eastAsia="宋体" w:cs="宋体"/>
              <w:bCs/>
              <w:color w:val="auto"/>
              <w:spacing w:val="-5"/>
              <w:szCs w:val="24"/>
            </w:rPr>
            <w:t>1.1</w:t>
          </w:r>
          <w:r>
            <w:rPr>
              <w:rFonts w:hint="eastAsia" w:ascii="宋体" w:hAnsi="宋体" w:eastAsia="宋体" w:cs="宋体"/>
              <w:bCs/>
              <w:color w:val="auto"/>
              <w:spacing w:val="6"/>
              <w:szCs w:val="24"/>
              <w:lang w:eastAsia="zh-CN"/>
            </w:rPr>
            <w:t xml:space="preserve"> </w:t>
          </w:r>
          <w:r>
            <w:rPr>
              <w:rFonts w:hint="eastAsia" w:ascii="宋体" w:hAnsi="宋体" w:eastAsia="宋体" w:cs="宋体"/>
              <w:bCs/>
              <w:color w:val="auto"/>
              <w:spacing w:val="-5"/>
              <w:szCs w:val="24"/>
            </w:rPr>
            <w:t>工程说明</w:t>
          </w:r>
          <w:r>
            <w:rPr>
              <w:color w:val="auto"/>
            </w:rPr>
            <w:tab/>
          </w:r>
          <w:r>
            <w:rPr>
              <w:color w:val="auto"/>
            </w:rPr>
            <w:fldChar w:fldCharType="begin"/>
          </w:r>
          <w:r>
            <w:rPr>
              <w:color w:val="auto"/>
            </w:rPr>
            <w:instrText xml:space="preserve"> PAGEREF _Toc23092 \h </w:instrText>
          </w:r>
          <w:r>
            <w:rPr>
              <w:color w:val="auto"/>
            </w:rPr>
            <w:fldChar w:fldCharType="separate"/>
          </w:r>
          <w:r>
            <w:rPr>
              <w:color w:val="auto"/>
            </w:rPr>
            <w:t>- 159 -</w:t>
          </w:r>
          <w:r>
            <w:rPr>
              <w:color w:val="auto"/>
            </w:rPr>
            <w:fldChar w:fldCharType="end"/>
          </w:r>
          <w:r>
            <w:rPr>
              <w:color w:val="auto"/>
            </w:rPr>
            <w:fldChar w:fldCharType="end"/>
          </w:r>
        </w:p>
        <w:p w14:paraId="4E034D57">
          <w:pPr>
            <w:pStyle w:val="19"/>
            <w:tabs>
              <w:tab w:val="right" w:leader="dot" w:pos="8925"/>
            </w:tabs>
            <w:rPr>
              <w:color w:val="auto"/>
            </w:rPr>
          </w:pPr>
          <w:r>
            <w:fldChar w:fldCharType="begin"/>
          </w:r>
          <w:r>
            <w:instrText xml:space="preserve"> HYPERLINK \l "_Toc18354" </w:instrText>
          </w:r>
          <w:r>
            <w:fldChar w:fldCharType="separate"/>
          </w:r>
          <w:r>
            <w:rPr>
              <w:rFonts w:hint="eastAsia" w:ascii="宋体" w:hAnsi="宋体" w:eastAsia="宋体" w:cs="宋体"/>
              <w:bCs/>
              <w:color w:val="auto"/>
              <w:szCs w:val="24"/>
            </w:rPr>
            <w:t>1.2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主体工程项目及其工作内容</w:t>
          </w:r>
          <w:r>
            <w:rPr>
              <w:color w:val="auto"/>
            </w:rPr>
            <w:tab/>
          </w:r>
          <w:r>
            <w:rPr>
              <w:color w:val="auto"/>
            </w:rPr>
            <w:fldChar w:fldCharType="begin"/>
          </w:r>
          <w:r>
            <w:rPr>
              <w:color w:val="auto"/>
            </w:rPr>
            <w:instrText xml:space="preserve"> PAGEREF _Toc18354 \h </w:instrText>
          </w:r>
          <w:r>
            <w:rPr>
              <w:color w:val="auto"/>
            </w:rPr>
            <w:fldChar w:fldCharType="separate"/>
          </w:r>
          <w:r>
            <w:rPr>
              <w:color w:val="auto"/>
            </w:rPr>
            <w:t>- 162 -</w:t>
          </w:r>
          <w:r>
            <w:rPr>
              <w:color w:val="auto"/>
            </w:rPr>
            <w:fldChar w:fldCharType="end"/>
          </w:r>
          <w:r>
            <w:rPr>
              <w:color w:val="auto"/>
            </w:rPr>
            <w:fldChar w:fldCharType="end"/>
          </w:r>
        </w:p>
        <w:p w14:paraId="6FBAF2B2">
          <w:pPr>
            <w:pStyle w:val="19"/>
            <w:tabs>
              <w:tab w:val="right" w:leader="dot" w:pos="8925"/>
            </w:tabs>
            <w:rPr>
              <w:color w:val="auto"/>
            </w:rPr>
          </w:pPr>
          <w:r>
            <w:fldChar w:fldCharType="begin"/>
          </w:r>
          <w:r>
            <w:instrText xml:space="preserve"> HYPERLINK \l "_Toc26567" </w:instrText>
          </w:r>
          <w:r>
            <w:fldChar w:fldCharType="separate"/>
          </w:r>
          <w:r>
            <w:rPr>
              <w:rFonts w:hint="eastAsia" w:ascii="宋体" w:hAnsi="宋体" w:eastAsia="宋体" w:cs="宋体"/>
              <w:bCs/>
              <w:color w:val="auto"/>
              <w:szCs w:val="24"/>
            </w:rPr>
            <w:t>1.3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发包人提供的施工图纸和文件</w:t>
          </w:r>
          <w:r>
            <w:rPr>
              <w:color w:val="auto"/>
            </w:rPr>
            <w:tab/>
          </w:r>
          <w:r>
            <w:rPr>
              <w:color w:val="auto"/>
            </w:rPr>
            <w:fldChar w:fldCharType="begin"/>
          </w:r>
          <w:r>
            <w:rPr>
              <w:color w:val="auto"/>
            </w:rPr>
            <w:instrText xml:space="preserve"> PAGEREF _Toc26567 \h </w:instrText>
          </w:r>
          <w:r>
            <w:rPr>
              <w:color w:val="auto"/>
            </w:rPr>
            <w:fldChar w:fldCharType="separate"/>
          </w:r>
          <w:r>
            <w:rPr>
              <w:color w:val="auto"/>
            </w:rPr>
            <w:t>- 162 -</w:t>
          </w:r>
          <w:r>
            <w:rPr>
              <w:color w:val="auto"/>
            </w:rPr>
            <w:fldChar w:fldCharType="end"/>
          </w:r>
          <w:r>
            <w:rPr>
              <w:color w:val="auto"/>
            </w:rPr>
            <w:fldChar w:fldCharType="end"/>
          </w:r>
        </w:p>
        <w:p w14:paraId="71FD8CAC">
          <w:pPr>
            <w:pStyle w:val="19"/>
            <w:tabs>
              <w:tab w:val="right" w:leader="dot" w:pos="8925"/>
            </w:tabs>
            <w:rPr>
              <w:color w:val="auto"/>
            </w:rPr>
          </w:pPr>
          <w:r>
            <w:fldChar w:fldCharType="begin"/>
          </w:r>
          <w:r>
            <w:instrText xml:space="preserve"> HYPERLINK \l "_Toc3861" </w:instrText>
          </w:r>
          <w:r>
            <w:fldChar w:fldCharType="separate"/>
          </w:r>
          <w:r>
            <w:rPr>
              <w:rFonts w:hint="eastAsia" w:ascii="宋体" w:hAnsi="宋体" w:eastAsia="宋体" w:cs="宋体"/>
              <w:bCs/>
              <w:color w:val="auto"/>
              <w:szCs w:val="24"/>
            </w:rPr>
            <w:t>1.4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承包人提交的文件</w:t>
          </w:r>
          <w:r>
            <w:rPr>
              <w:color w:val="auto"/>
            </w:rPr>
            <w:tab/>
          </w:r>
          <w:r>
            <w:rPr>
              <w:color w:val="auto"/>
            </w:rPr>
            <w:fldChar w:fldCharType="begin"/>
          </w:r>
          <w:r>
            <w:rPr>
              <w:color w:val="auto"/>
            </w:rPr>
            <w:instrText xml:space="preserve"> PAGEREF _Toc3861 \h </w:instrText>
          </w:r>
          <w:r>
            <w:rPr>
              <w:color w:val="auto"/>
            </w:rPr>
            <w:fldChar w:fldCharType="separate"/>
          </w:r>
          <w:r>
            <w:rPr>
              <w:color w:val="auto"/>
            </w:rPr>
            <w:t>- 163 -</w:t>
          </w:r>
          <w:r>
            <w:rPr>
              <w:color w:val="auto"/>
            </w:rPr>
            <w:fldChar w:fldCharType="end"/>
          </w:r>
          <w:r>
            <w:rPr>
              <w:color w:val="auto"/>
            </w:rPr>
            <w:fldChar w:fldCharType="end"/>
          </w:r>
        </w:p>
        <w:p w14:paraId="270AA5FC">
          <w:pPr>
            <w:pStyle w:val="19"/>
            <w:tabs>
              <w:tab w:val="right" w:leader="dot" w:pos="8925"/>
            </w:tabs>
            <w:rPr>
              <w:color w:val="auto"/>
            </w:rPr>
          </w:pPr>
          <w:r>
            <w:fldChar w:fldCharType="begin"/>
          </w:r>
          <w:r>
            <w:instrText xml:space="preserve"> HYPERLINK \l "_Toc11288" </w:instrText>
          </w:r>
          <w:r>
            <w:fldChar w:fldCharType="separate"/>
          </w:r>
          <w:r>
            <w:rPr>
              <w:rFonts w:hint="eastAsia" w:ascii="宋体" w:hAnsi="宋体" w:eastAsia="宋体" w:cs="宋体"/>
              <w:bCs/>
              <w:color w:val="auto"/>
              <w:szCs w:val="24"/>
            </w:rPr>
            <w:t>1.5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发包人提供的材料和工程设备</w:t>
          </w:r>
          <w:r>
            <w:rPr>
              <w:color w:val="auto"/>
            </w:rPr>
            <w:tab/>
          </w:r>
          <w:r>
            <w:rPr>
              <w:color w:val="auto"/>
            </w:rPr>
            <w:fldChar w:fldCharType="begin"/>
          </w:r>
          <w:r>
            <w:rPr>
              <w:color w:val="auto"/>
            </w:rPr>
            <w:instrText xml:space="preserve"> PAGEREF _Toc11288 \h </w:instrText>
          </w:r>
          <w:r>
            <w:rPr>
              <w:color w:val="auto"/>
            </w:rPr>
            <w:fldChar w:fldCharType="separate"/>
          </w:r>
          <w:r>
            <w:rPr>
              <w:color w:val="auto"/>
            </w:rPr>
            <w:t>- 165 -</w:t>
          </w:r>
          <w:r>
            <w:rPr>
              <w:color w:val="auto"/>
            </w:rPr>
            <w:fldChar w:fldCharType="end"/>
          </w:r>
          <w:r>
            <w:rPr>
              <w:color w:val="auto"/>
            </w:rPr>
            <w:fldChar w:fldCharType="end"/>
          </w:r>
        </w:p>
        <w:p w14:paraId="5E8E85FE">
          <w:pPr>
            <w:pStyle w:val="19"/>
            <w:tabs>
              <w:tab w:val="right" w:leader="dot" w:pos="8925"/>
            </w:tabs>
            <w:rPr>
              <w:color w:val="auto"/>
            </w:rPr>
          </w:pPr>
          <w:r>
            <w:fldChar w:fldCharType="begin"/>
          </w:r>
          <w:r>
            <w:instrText xml:space="preserve"> HYPERLINK \l "_Toc16832" </w:instrText>
          </w:r>
          <w:r>
            <w:fldChar w:fldCharType="separate"/>
          </w:r>
          <w:r>
            <w:rPr>
              <w:rFonts w:hint="eastAsia" w:ascii="宋体" w:hAnsi="宋体" w:eastAsia="宋体" w:cs="宋体"/>
              <w:bCs/>
              <w:color w:val="auto"/>
              <w:szCs w:val="24"/>
            </w:rPr>
            <w:t>1.6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承包人提供的材料和设备</w:t>
          </w:r>
          <w:r>
            <w:rPr>
              <w:color w:val="auto"/>
            </w:rPr>
            <w:tab/>
          </w:r>
          <w:r>
            <w:rPr>
              <w:color w:val="auto"/>
            </w:rPr>
            <w:fldChar w:fldCharType="begin"/>
          </w:r>
          <w:r>
            <w:rPr>
              <w:color w:val="auto"/>
            </w:rPr>
            <w:instrText xml:space="preserve"> PAGEREF _Toc16832 \h </w:instrText>
          </w:r>
          <w:r>
            <w:rPr>
              <w:color w:val="auto"/>
            </w:rPr>
            <w:fldChar w:fldCharType="separate"/>
          </w:r>
          <w:r>
            <w:rPr>
              <w:color w:val="auto"/>
            </w:rPr>
            <w:t>- 167 -</w:t>
          </w:r>
          <w:r>
            <w:rPr>
              <w:color w:val="auto"/>
            </w:rPr>
            <w:fldChar w:fldCharType="end"/>
          </w:r>
          <w:r>
            <w:rPr>
              <w:color w:val="auto"/>
            </w:rPr>
            <w:fldChar w:fldCharType="end"/>
          </w:r>
        </w:p>
        <w:p w14:paraId="1CB74C20">
          <w:pPr>
            <w:pStyle w:val="19"/>
            <w:tabs>
              <w:tab w:val="right" w:leader="dot" w:pos="8925"/>
            </w:tabs>
            <w:rPr>
              <w:color w:val="auto"/>
            </w:rPr>
          </w:pPr>
          <w:r>
            <w:fldChar w:fldCharType="begin"/>
          </w:r>
          <w:r>
            <w:instrText xml:space="preserve"> HYPERLINK \l "_Toc22753" </w:instrText>
          </w:r>
          <w:r>
            <w:fldChar w:fldCharType="separate"/>
          </w:r>
          <w:r>
            <w:rPr>
              <w:rFonts w:hint="eastAsia" w:ascii="宋体" w:hAnsi="宋体" w:eastAsia="宋体" w:cs="宋体"/>
              <w:bCs/>
              <w:color w:val="auto"/>
              <w:szCs w:val="24"/>
            </w:rPr>
            <w:t>1.7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进度计划的实施</w:t>
          </w:r>
          <w:r>
            <w:rPr>
              <w:color w:val="auto"/>
            </w:rPr>
            <w:tab/>
          </w:r>
          <w:r>
            <w:rPr>
              <w:color w:val="auto"/>
            </w:rPr>
            <w:fldChar w:fldCharType="begin"/>
          </w:r>
          <w:r>
            <w:rPr>
              <w:color w:val="auto"/>
            </w:rPr>
            <w:instrText xml:space="preserve"> PAGEREF _Toc22753 \h </w:instrText>
          </w:r>
          <w:r>
            <w:rPr>
              <w:color w:val="auto"/>
            </w:rPr>
            <w:fldChar w:fldCharType="separate"/>
          </w:r>
          <w:r>
            <w:rPr>
              <w:color w:val="auto"/>
            </w:rPr>
            <w:t>- 168 -</w:t>
          </w:r>
          <w:r>
            <w:rPr>
              <w:color w:val="auto"/>
            </w:rPr>
            <w:fldChar w:fldCharType="end"/>
          </w:r>
          <w:r>
            <w:rPr>
              <w:color w:val="auto"/>
            </w:rPr>
            <w:fldChar w:fldCharType="end"/>
          </w:r>
        </w:p>
        <w:p w14:paraId="3EF01BDA">
          <w:pPr>
            <w:pStyle w:val="19"/>
            <w:tabs>
              <w:tab w:val="right" w:leader="dot" w:pos="8925"/>
            </w:tabs>
            <w:rPr>
              <w:color w:val="auto"/>
            </w:rPr>
          </w:pPr>
          <w:r>
            <w:fldChar w:fldCharType="begin"/>
          </w:r>
          <w:r>
            <w:instrText xml:space="preserve"> HYPERLINK \l "_Toc28831" </w:instrText>
          </w:r>
          <w:r>
            <w:fldChar w:fldCharType="separate"/>
          </w:r>
          <w:r>
            <w:rPr>
              <w:rFonts w:hint="eastAsia" w:ascii="宋体" w:hAnsi="宋体" w:eastAsia="宋体" w:cs="宋体"/>
              <w:bCs/>
              <w:color w:val="auto"/>
              <w:szCs w:val="24"/>
            </w:rPr>
            <w:t>1.8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工程质量的检查、检验和验收</w:t>
          </w:r>
          <w:r>
            <w:rPr>
              <w:color w:val="auto"/>
            </w:rPr>
            <w:tab/>
          </w:r>
          <w:r>
            <w:rPr>
              <w:color w:val="auto"/>
            </w:rPr>
            <w:fldChar w:fldCharType="begin"/>
          </w:r>
          <w:r>
            <w:rPr>
              <w:color w:val="auto"/>
            </w:rPr>
            <w:instrText xml:space="preserve"> PAGEREF _Toc28831 \h </w:instrText>
          </w:r>
          <w:r>
            <w:rPr>
              <w:color w:val="auto"/>
            </w:rPr>
            <w:fldChar w:fldCharType="separate"/>
          </w:r>
          <w:r>
            <w:rPr>
              <w:color w:val="auto"/>
            </w:rPr>
            <w:t>- 170 -</w:t>
          </w:r>
          <w:r>
            <w:rPr>
              <w:color w:val="auto"/>
            </w:rPr>
            <w:fldChar w:fldCharType="end"/>
          </w:r>
          <w:r>
            <w:rPr>
              <w:color w:val="auto"/>
            </w:rPr>
            <w:fldChar w:fldCharType="end"/>
          </w:r>
        </w:p>
        <w:p w14:paraId="1C6944D4">
          <w:pPr>
            <w:pStyle w:val="19"/>
            <w:tabs>
              <w:tab w:val="right" w:leader="dot" w:pos="8925"/>
            </w:tabs>
            <w:rPr>
              <w:color w:val="auto"/>
            </w:rPr>
          </w:pPr>
          <w:r>
            <w:fldChar w:fldCharType="begin"/>
          </w:r>
          <w:r>
            <w:instrText xml:space="preserve"> HYPERLINK \l "_Toc8627" </w:instrText>
          </w:r>
          <w:r>
            <w:fldChar w:fldCharType="separate"/>
          </w:r>
          <w:r>
            <w:rPr>
              <w:rFonts w:hint="eastAsia" w:ascii="宋体" w:hAnsi="宋体" w:eastAsia="宋体" w:cs="宋体"/>
              <w:bCs/>
              <w:color w:val="auto"/>
              <w:szCs w:val="24"/>
            </w:rPr>
            <w:t>1.9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验收</w:t>
          </w:r>
          <w:r>
            <w:rPr>
              <w:color w:val="auto"/>
            </w:rPr>
            <w:tab/>
          </w:r>
          <w:r>
            <w:rPr>
              <w:color w:val="auto"/>
            </w:rPr>
            <w:fldChar w:fldCharType="begin"/>
          </w:r>
          <w:r>
            <w:rPr>
              <w:color w:val="auto"/>
            </w:rPr>
            <w:instrText xml:space="preserve"> PAGEREF _Toc8627 \h </w:instrText>
          </w:r>
          <w:r>
            <w:rPr>
              <w:color w:val="auto"/>
            </w:rPr>
            <w:fldChar w:fldCharType="separate"/>
          </w:r>
          <w:r>
            <w:rPr>
              <w:color w:val="auto"/>
            </w:rPr>
            <w:t>- 171 -</w:t>
          </w:r>
          <w:r>
            <w:rPr>
              <w:color w:val="auto"/>
            </w:rPr>
            <w:fldChar w:fldCharType="end"/>
          </w:r>
          <w:r>
            <w:rPr>
              <w:color w:val="auto"/>
            </w:rPr>
            <w:fldChar w:fldCharType="end"/>
          </w:r>
        </w:p>
        <w:p w14:paraId="0D822933">
          <w:pPr>
            <w:pStyle w:val="19"/>
            <w:tabs>
              <w:tab w:val="right" w:leader="dot" w:pos="8925"/>
            </w:tabs>
            <w:rPr>
              <w:color w:val="auto"/>
            </w:rPr>
          </w:pPr>
          <w:r>
            <w:fldChar w:fldCharType="begin"/>
          </w:r>
          <w:r>
            <w:instrText xml:space="preserve"> HYPERLINK \l "_Toc13945" </w:instrText>
          </w:r>
          <w:r>
            <w:fldChar w:fldCharType="separate"/>
          </w:r>
          <w:r>
            <w:rPr>
              <w:rFonts w:hint="eastAsia" w:ascii="宋体" w:hAnsi="宋体" w:eastAsia="宋体" w:cs="宋体"/>
              <w:bCs/>
              <w:color w:val="auto"/>
              <w:szCs w:val="24"/>
            </w:rPr>
            <w:t>1.10</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工程量计算</w:t>
          </w:r>
          <w:r>
            <w:rPr>
              <w:color w:val="auto"/>
            </w:rPr>
            <w:tab/>
          </w:r>
          <w:r>
            <w:rPr>
              <w:color w:val="auto"/>
            </w:rPr>
            <w:fldChar w:fldCharType="begin"/>
          </w:r>
          <w:r>
            <w:rPr>
              <w:color w:val="auto"/>
            </w:rPr>
            <w:instrText xml:space="preserve"> PAGEREF _Toc13945 \h </w:instrText>
          </w:r>
          <w:r>
            <w:rPr>
              <w:color w:val="auto"/>
            </w:rPr>
            <w:fldChar w:fldCharType="separate"/>
          </w:r>
          <w:r>
            <w:rPr>
              <w:color w:val="auto"/>
            </w:rPr>
            <w:t>- 174 -</w:t>
          </w:r>
          <w:r>
            <w:rPr>
              <w:color w:val="auto"/>
            </w:rPr>
            <w:fldChar w:fldCharType="end"/>
          </w:r>
          <w:r>
            <w:rPr>
              <w:color w:val="auto"/>
            </w:rPr>
            <w:fldChar w:fldCharType="end"/>
          </w:r>
        </w:p>
        <w:p w14:paraId="55733522">
          <w:pPr>
            <w:pStyle w:val="19"/>
            <w:tabs>
              <w:tab w:val="right" w:leader="dot" w:pos="8925"/>
            </w:tabs>
            <w:rPr>
              <w:color w:val="auto"/>
            </w:rPr>
          </w:pPr>
          <w:r>
            <w:fldChar w:fldCharType="begin"/>
          </w:r>
          <w:r>
            <w:instrText xml:space="preserve"> HYPERLINK \l "_Toc3412" </w:instrText>
          </w:r>
          <w:r>
            <w:fldChar w:fldCharType="separate"/>
          </w:r>
          <w:r>
            <w:rPr>
              <w:rFonts w:hint="eastAsia" w:ascii="宋体" w:hAnsi="宋体" w:eastAsia="宋体" w:cs="宋体"/>
              <w:bCs/>
              <w:color w:val="auto"/>
              <w:szCs w:val="24"/>
            </w:rPr>
            <w:t>1.11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引用技术标准和规程规范的规定</w:t>
          </w:r>
          <w:r>
            <w:rPr>
              <w:color w:val="auto"/>
            </w:rPr>
            <w:tab/>
          </w:r>
          <w:r>
            <w:rPr>
              <w:color w:val="auto"/>
            </w:rPr>
            <w:fldChar w:fldCharType="begin"/>
          </w:r>
          <w:r>
            <w:rPr>
              <w:color w:val="auto"/>
            </w:rPr>
            <w:instrText xml:space="preserve"> PAGEREF _Toc3412 \h </w:instrText>
          </w:r>
          <w:r>
            <w:rPr>
              <w:color w:val="auto"/>
            </w:rPr>
            <w:fldChar w:fldCharType="separate"/>
          </w:r>
          <w:r>
            <w:rPr>
              <w:color w:val="auto"/>
            </w:rPr>
            <w:t>- 175 -</w:t>
          </w:r>
          <w:r>
            <w:rPr>
              <w:color w:val="auto"/>
            </w:rPr>
            <w:fldChar w:fldCharType="end"/>
          </w:r>
          <w:r>
            <w:rPr>
              <w:color w:val="auto"/>
            </w:rPr>
            <w:fldChar w:fldCharType="end"/>
          </w:r>
        </w:p>
        <w:p w14:paraId="3FCA4E9D">
          <w:pPr>
            <w:pStyle w:val="19"/>
            <w:tabs>
              <w:tab w:val="right" w:leader="dot" w:pos="8925"/>
            </w:tabs>
            <w:rPr>
              <w:color w:val="auto"/>
            </w:rPr>
          </w:pPr>
          <w:r>
            <w:fldChar w:fldCharType="begin"/>
          </w:r>
          <w:r>
            <w:instrText xml:space="preserve"> HYPERLINK \l "_Toc25007" </w:instrText>
          </w:r>
          <w:r>
            <w:fldChar w:fldCharType="separate"/>
          </w:r>
          <w:r>
            <w:rPr>
              <w:rFonts w:hint="eastAsia" w:ascii="宋体" w:hAnsi="宋体" w:eastAsia="宋体" w:cs="宋体"/>
              <w:bCs/>
              <w:color w:val="auto"/>
              <w:szCs w:val="24"/>
            </w:rPr>
            <w:t>1.12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工程保险</w:t>
          </w:r>
          <w:r>
            <w:rPr>
              <w:color w:val="auto"/>
            </w:rPr>
            <w:tab/>
          </w:r>
          <w:r>
            <w:rPr>
              <w:color w:val="auto"/>
            </w:rPr>
            <w:fldChar w:fldCharType="begin"/>
          </w:r>
          <w:r>
            <w:rPr>
              <w:color w:val="auto"/>
            </w:rPr>
            <w:instrText xml:space="preserve"> PAGEREF _Toc25007 \h </w:instrText>
          </w:r>
          <w:r>
            <w:rPr>
              <w:color w:val="auto"/>
            </w:rPr>
            <w:fldChar w:fldCharType="separate"/>
          </w:r>
          <w:r>
            <w:rPr>
              <w:color w:val="auto"/>
            </w:rPr>
            <w:t>- 175 -</w:t>
          </w:r>
          <w:r>
            <w:rPr>
              <w:color w:val="auto"/>
            </w:rPr>
            <w:fldChar w:fldCharType="end"/>
          </w:r>
          <w:r>
            <w:rPr>
              <w:color w:val="auto"/>
            </w:rPr>
            <w:fldChar w:fldCharType="end"/>
          </w:r>
        </w:p>
        <w:p w14:paraId="4F36C124">
          <w:pPr>
            <w:pStyle w:val="19"/>
            <w:tabs>
              <w:tab w:val="right" w:leader="dot" w:pos="8925"/>
            </w:tabs>
            <w:rPr>
              <w:color w:val="auto"/>
            </w:rPr>
          </w:pPr>
          <w:r>
            <w:fldChar w:fldCharType="begin"/>
          </w:r>
          <w:r>
            <w:instrText xml:space="preserve"> HYPERLINK \l "_Toc20613" </w:instrText>
          </w:r>
          <w:r>
            <w:fldChar w:fldCharType="separate"/>
          </w:r>
          <w:r>
            <w:rPr>
              <w:rFonts w:hint="eastAsia" w:ascii="宋体" w:hAnsi="宋体" w:eastAsia="宋体" w:cs="宋体"/>
              <w:bCs/>
              <w:color w:val="auto"/>
              <w:szCs w:val="24"/>
            </w:rPr>
            <w:t>1.13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工程价款支付方法</w:t>
          </w:r>
          <w:r>
            <w:rPr>
              <w:color w:val="auto"/>
            </w:rPr>
            <w:tab/>
          </w:r>
          <w:r>
            <w:rPr>
              <w:color w:val="auto"/>
            </w:rPr>
            <w:fldChar w:fldCharType="begin"/>
          </w:r>
          <w:r>
            <w:rPr>
              <w:color w:val="auto"/>
            </w:rPr>
            <w:instrText xml:space="preserve"> PAGEREF _Toc20613 \h </w:instrText>
          </w:r>
          <w:r>
            <w:rPr>
              <w:color w:val="auto"/>
            </w:rPr>
            <w:fldChar w:fldCharType="separate"/>
          </w:r>
          <w:r>
            <w:rPr>
              <w:color w:val="auto"/>
            </w:rPr>
            <w:t>- 176 -</w:t>
          </w:r>
          <w:r>
            <w:rPr>
              <w:color w:val="auto"/>
            </w:rPr>
            <w:fldChar w:fldCharType="end"/>
          </w:r>
          <w:r>
            <w:rPr>
              <w:color w:val="auto"/>
            </w:rPr>
            <w:fldChar w:fldCharType="end"/>
          </w:r>
        </w:p>
        <w:p w14:paraId="029C4F55">
          <w:pPr>
            <w:pStyle w:val="18"/>
            <w:tabs>
              <w:tab w:val="right" w:leader="dot" w:pos="8925"/>
            </w:tabs>
            <w:rPr>
              <w:color w:val="auto"/>
            </w:rPr>
          </w:pPr>
          <w:r>
            <w:fldChar w:fldCharType="begin"/>
          </w:r>
          <w:r>
            <w:instrText xml:space="preserve"> HYPERLINK \l "_Toc7234" </w:instrText>
          </w:r>
          <w:r>
            <w:fldChar w:fldCharType="separate"/>
          </w:r>
          <w:r>
            <w:rPr>
              <w:rFonts w:ascii="Times New Roman" w:hAnsi="Times New Roman" w:eastAsia="Times New Roman" w:cs="Times New Roman"/>
              <w:bCs/>
              <w:color w:val="auto"/>
              <w:szCs w:val="28"/>
            </w:rPr>
            <w:t>2</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施工临时设施</w:t>
          </w:r>
          <w:r>
            <w:rPr>
              <w:color w:val="auto"/>
            </w:rPr>
            <w:tab/>
          </w:r>
          <w:r>
            <w:rPr>
              <w:color w:val="auto"/>
            </w:rPr>
            <w:fldChar w:fldCharType="begin"/>
          </w:r>
          <w:r>
            <w:rPr>
              <w:color w:val="auto"/>
            </w:rPr>
            <w:instrText xml:space="preserve"> PAGEREF _Toc7234 \h </w:instrText>
          </w:r>
          <w:r>
            <w:rPr>
              <w:color w:val="auto"/>
            </w:rPr>
            <w:fldChar w:fldCharType="separate"/>
          </w:r>
          <w:r>
            <w:rPr>
              <w:color w:val="auto"/>
            </w:rPr>
            <w:t>- 178 -</w:t>
          </w:r>
          <w:r>
            <w:rPr>
              <w:color w:val="auto"/>
            </w:rPr>
            <w:fldChar w:fldCharType="end"/>
          </w:r>
          <w:r>
            <w:rPr>
              <w:color w:val="auto"/>
            </w:rPr>
            <w:fldChar w:fldCharType="end"/>
          </w:r>
        </w:p>
        <w:p w14:paraId="419C2DC5">
          <w:pPr>
            <w:pStyle w:val="19"/>
            <w:tabs>
              <w:tab w:val="right" w:leader="dot" w:pos="8925"/>
            </w:tabs>
            <w:rPr>
              <w:color w:val="auto"/>
            </w:rPr>
          </w:pPr>
          <w:r>
            <w:fldChar w:fldCharType="begin"/>
          </w:r>
          <w:r>
            <w:instrText xml:space="preserve"> HYPERLINK \l "_Toc7299" </w:instrText>
          </w:r>
          <w:r>
            <w:fldChar w:fldCharType="separate"/>
          </w:r>
          <w:r>
            <w:rPr>
              <w:rFonts w:hint="eastAsia" w:ascii="宋体" w:hAnsi="宋体" w:eastAsia="宋体" w:cs="宋体"/>
              <w:bCs/>
              <w:color w:val="auto"/>
              <w:szCs w:val="24"/>
            </w:rPr>
            <w:t>2.1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_Toc7299 \h </w:instrText>
          </w:r>
          <w:r>
            <w:rPr>
              <w:color w:val="auto"/>
            </w:rPr>
            <w:fldChar w:fldCharType="separate"/>
          </w:r>
          <w:r>
            <w:rPr>
              <w:color w:val="auto"/>
            </w:rPr>
            <w:t>- 178 -</w:t>
          </w:r>
          <w:r>
            <w:rPr>
              <w:color w:val="auto"/>
            </w:rPr>
            <w:fldChar w:fldCharType="end"/>
          </w:r>
          <w:r>
            <w:rPr>
              <w:color w:val="auto"/>
            </w:rPr>
            <w:fldChar w:fldCharType="end"/>
          </w:r>
        </w:p>
        <w:p w14:paraId="1F94B9C2">
          <w:pPr>
            <w:pStyle w:val="19"/>
            <w:tabs>
              <w:tab w:val="right" w:leader="dot" w:pos="8925"/>
            </w:tabs>
            <w:rPr>
              <w:color w:val="auto"/>
            </w:rPr>
          </w:pPr>
          <w:r>
            <w:fldChar w:fldCharType="begin"/>
          </w:r>
          <w:r>
            <w:instrText xml:space="preserve"> HYPERLINK \l "_Toc11463" </w:instrText>
          </w:r>
          <w:r>
            <w:fldChar w:fldCharType="separate"/>
          </w:r>
          <w:r>
            <w:rPr>
              <w:rFonts w:hint="eastAsia" w:ascii="宋体" w:hAnsi="宋体" w:eastAsia="宋体" w:cs="宋体"/>
              <w:bCs/>
              <w:color w:val="auto"/>
              <w:szCs w:val="24"/>
            </w:rPr>
            <w:t>2.2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施工交通</w:t>
          </w:r>
          <w:r>
            <w:rPr>
              <w:color w:val="auto"/>
            </w:rPr>
            <w:tab/>
          </w:r>
          <w:r>
            <w:rPr>
              <w:color w:val="auto"/>
            </w:rPr>
            <w:fldChar w:fldCharType="begin"/>
          </w:r>
          <w:r>
            <w:rPr>
              <w:color w:val="auto"/>
            </w:rPr>
            <w:instrText xml:space="preserve"> PAGEREF _Toc11463 \h </w:instrText>
          </w:r>
          <w:r>
            <w:rPr>
              <w:color w:val="auto"/>
            </w:rPr>
            <w:fldChar w:fldCharType="separate"/>
          </w:r>
          <w:r>
            <w:rPr>
              <w:color w:val="auto"/>
            </w:rPr>
            <w:t>- 179 -</w:t>
          </w:r>
          <w:r>
            <w:rPr>
              <w:color w:val="auto"/>
            </w:rPr>
            <w:fldChar w:fldCharType="end"/>
          </w:r>
          <w:r>
            <w:rPr>
              <w:color w:val="auto"/>
            </w:rPr>
            <w:fldChar w:fldCharType="end"/>
          </w:r>
        </w:p>
        <w:p w14:paraId="27A71421">
          <w:pPr>
            <w:pStyle w:val="19"/>
            <w:tabs>
              <w:tab w:val="right" w:leader="dot" w:pos="8925"/>
            </w:tabs>
            <w:rPr>
              <w:color w:val="auto"/>
            </w:rPr>
          </w:pPr>
          <w:r>
            <w:fldChar w:fldCharType="begin"/>
          </w:r>
          <w:r>
            <w:instrText xml:space="preserve"> HYPERLINK \l "_Toc22165" </w:instrText>
          </w:r>
          <w:r>
            <w:fldChar w:fldCharType="separate"/>
          </w:r>
          <w:r>
            <w:rPr>
              <w:rFonts w:hint="eastAsia" w:ascii="宋体" w:hAnsi="宋体" w:eastAsia="宋体" w:cs="宋体"/>
              <w:bCs/>
              <w:color w:val="auto"/>
              <w:szCs w:val="24"/>
            </w:rPr>
            <w:t>2.3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施工场外供电</w:t>
          </w:r>
          <w:r>
            <w:rPr>
              <w:color w:val="auto"/>
            </w:rPr>
            <w:tab/>
          </w:r>
          <w:r>
            <w:rPr>
              <w:color w:val="auto"/>
            </w:rPr>
            <w:fldChar w:fldCharType="begin"/>
          </w:r>
          <w:r>
            <w:rPr>
              <w:color w:val="auto"/>
            </w:rPr>
            <w:instrText xml:space="preserve"> PAGEREF _Toc22165 \h </w:instrText>
          </w:r>
          <w:r>
            <w:rPr>
              <w:color w:val="auto"/>
            </w:rPr>
            <w:fldChar w:fldCharType="separate"/>
          </w:r>
          <w:r>
            <w:rPr>
              <w:color w:val="auto"/>
            </w:rPr>
            <w:t>- 179 -</w:t>
          </w:r>
          <w:r>
            <w:rPr>
              <w:color w:val="auto"/>
            </w:rPr>
            <w:fldChar w:fldCharType="end"/>
          </w:r>
          <w:r>
            <w:rPr>
              <w:color w:val="auto"/>
            </w:rPr>
            <w:fldChar w:fldCharType="end"/>
          </w:r>
        </w:p>
        <w:p w14:paraId="4FBC08DC">
          <w:pPr>
            <w:pStyle w:val="19"/>
            <w:tabs>
              <w:tab w:val="right" w:leader="dot" w:pos="8925"/>
            </w:tabs>
            <w:rPr>
              <w:color w:val="auto"/>
            </w:rPr>
          </w:pPr>
          <w:r>
            <w:fldChar w:fldCharType="begin"/>
          </w:r>
          <w:r>
            <w:instrText xml:space="preserve"> HYPERLINK \l "_Toc24654" </w:instrText>
          </w:r>
          <w:r>
            <w:fldChar w:fldCharType="separate"/>
          </w:r>
          <w:r>
            <w:rPr>
              <w:rFonts w:hint="eastAsia" w:ascii="宋体" w:hAnsi="宋体" w:eastAsia="宋体" w:cs="宋体"/>
              <w:bCs/>
              <w:color w:val="auto"/>
              <w:szCs w:val="24"/>
            </w:rPr>
            <w:t>2.4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施工房屋建筑工程</w:t>
          </w:r>
          <w:r>
            <w:rPr>
              <w:color w:val="auto"/>
            </w:rPr>
            <w:tab/>
          </w:r>
          <w:r>
            <w:rPr>
              <w:color w:val="auto"/>
            </w:rPr>
            <w:fldChar w:fldCharType="begin"/>
          </w:r>
          <w:r>
            <w:rPr>
              <w:color w:val="auto"/>
            </w:rPr>
            <w:instrText xml:space="preserve"> PAGEREF _Toc24654 \h </w:instrText>
          </w:r>
          <w:r>
            <w:rPr>
              <w:color w:val="auto"/>
            </w:rPr>
            <w:fldChar w:fldCharType="separate"/>
          </w:r>
          <w:r>
            <w:rPr>
              <w:color w:val="auto"/>
            </w:rPr>
            <w:t>- 179 -</w:t>
          </w:r>
          <w:r>
            <w:rPr>
              <w:color w:val="auto"/>
            </w:rPr>
            <w:fldChar w:fldCharType="end"/>
          </w:r>
          <w:r>
            <w:rPr>
              <w:color w:val="auto"/>
            </w:rPr>
            <w:fldChar w:fldCharType="end"/>
          </w:r>
        </w:p>
        <w:p w14:paraId="7BACB5B6">
          <w:pPr>
            <w:pStyle w:val="19"/>
            <w:tabs>
              <w:tab w:val="right" w:leader="dot" w:pos="8925"/>
            </w:tabs>
            <w:rPr>
              <w:color w:val="auto"/>
            </w:rPr>
          </w:pPr>
          <w:r>
            <w:fldChar w:fldCharType="begin"/>
          </w:r>
          <w:r>
            <w:instrText xml:space="preserve"> HYPERLINK \l "_Toc10467" </w:instrText>
          </w:r>
          <w:r>
            <w:fldChar w:fldCharType="separate"/>
          </w:r>
          <w:r>
            <w:rPr>
              <w:rFonts w:hint="eastAsia" w:ascii="宋体" w:hAnsi="宋体" w:eastAsia="宋体" w:cs="宋体"/>
              <w:bCs/>
              <w:color w:val="auto"/>
              <w:szCs w:val="24"/>
            </w:rPr>
            <w:t>2.5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现场施工测量</w:t>
          </w:r>
          <w:r>
            <w:rPr>
              <w:color w:val="auto"/>
            </w:rPr>
            <w:tab/>
          </w:r>
          <w:r>
            <w:rPr>
              <w:color w:val="auto"/>
            </w:rPr>
            <w:fldChar w:fldCharType="begin"/>
          </w:r>
          <w:r>
            <w:rPr>
              <w:color w:val="auto"/>
            </w:rPr>
            <w:instrText xml:space="preserve"> PAGEREF _Toc10467 \h </w:instrText>
          </w:r>
          <w:r>
            <w:rPr>
              <w:color w:val="auto"/>
            </w:rPr>
            <w:fldChar w:fldCharType="separate"/>
          </w:r>
          <w:r>
            <w:rPr>
              <w:color w:val="auto"/>
            </w:rPr>
            <w:t>- 180 -</w:t>
          </w:r>
          <w:r>
            <w:rPr>
              <w:color w:val="auto"/>
            </w:rPr>
            <w:fldChar w:fldCharType="end"/>
          </w:r>
          <w:r>
            <w:rPr>
              <w:color w:val="auto"/>
            </w:rPr>
            <w:fldChar w:fldCharType="end"/>
          </w:r>
        </w:p>
        <w:p w14:paraId="2BC4067F">
          <w:pPr>
            <w:pStyle w:val="19"/>
            <w:tabs>
              <w:tab w:val="right" w:leader="dot" w:pos="8925"/>
            </w:tabs>
            <w:rPr>
              <w:color w:val="auto"/>
            </w:rPr>
          </w:pPr>
          <w:r>
            <w:fldChar w:fldCharType="begin"/>
          </w:r>
          <w:r>
            <w:instrText xml:space="preserve"> HYPERLINK \l "_Toc27730" </w:instrText>
          </w:r>
          <w:r>
            <w:fldChar w:fldCharType="separate"/>
          </w:r>
          <w:r>
            <w:rPr>
              <w:rFonts w:hint="eastAsia" w:ascii="宋体" w:hAnsi="宋体" w:eastAsia="宋体" w:cs="宋体"/>
              <w:bCs/>
              <w:color w:val="auto"/>
              <w:szCs w:val="24"/>
            </w:rPr>
            <w:t>2.6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现场试验</w:t>
          </w:r>
          <w:r>
            <w:rPr>
              <w:color w:val="auto"/>
            </w:rPr>
            <w:tab/>
          </w:r>
          <w:r>
            <w:rPr>
              <w:color w:val="auto"/>
            </w:rPr>
            <w:fldChar w:fldCharType="begin"/>
          </w:r>
          <w:r>
            <w:rPr>
              <w:color w:val="auto"/>
            </w:rPr>
            <w:instrText xml:space="preserve"> PAGEREF _Toc27730 \h </w:instrText>
          </w:r>
          <w:r>
            <w:rPr>
              <w:color w:val="auto"/>
            </w:rPr>
            <w:fldChar w:fldCharType="separate"/>
          </w:r>
          <w:r>
            <w:rPr>
              <w:color w:val="auto"/>
            </w:rPr>
            <w:t>- 180 -</w:t>
          </w:r>
          <w:r>
            <w:rPr>
              <w:color w:val="auto"/>
            </w:rPr>
            <w:fldChar w:fldCharType="end"/>
          </w:r>
          <w:r>
            <w:rPr>
              <w:color w:val="auto"/>
            </w:rPr>
            <w:fldChar w:fldCharType="end"/>
          </w:r>
        </w:p>
        <w:p w14:paraId="1A3A07E3">
          <w:pPr>
            <w:pStyle w:val="19"/>
            <w:tabs>
              <w:tab w:val="right" w:leader="dot" w:pos="8925"/>
            </w:tabs>
            <w:rPr>
              <w:color w:val="auto"/>
            </w:rPr>
          </w:pPr>
          <w:r>
            <w:fldChar w:fldCharType="begin"/>
          </w:r>
          <w:r>
            <w:instrText xml:space="preserve"> HYPERLINK \l "_Toc7980" </w:instrText>
          </w:r>
          <w:r>
            <w:fldChar w:fldCharType="separate"/>
          </w:r>
          <w:r>
            <w:rPr>
              <w:rFonts w:hint="eastAsia" w:ascii="宋体" w:hAnsi="宋体" w:eastAsia="宋体" w:cs="宋体"/>
              <w:bCs/>
              <w:color w:val="auto"/>
              <w:szCs w:val="24"/>
            </w:rPr>
            <w:t>2.7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场内施工及生活供电、施工照明</w:t>
          </w:r>
          <w:r>
            <w:rPr>
              <w:color w:val="auto"/>
            </w:rPr>
            <w:tab/>
          </w:r>
          <w:r>
            <w:rPr>
              <w:color w:val="auto"/>
            </w:rPr>
            <w:fldChar w:fldCharType="begin"/>
          </w:r>
          <w:r>
            <w:rPr>
              <w:color w:val="auto"/>
            </w:rPr>
            <w:instrText xml:space="preserve"> PAGEREF _Toc7980 \h </w:instrText>
          </w:r>
          <w:r>
            <w:rPr>
              <w:color w:val="auto"/>
            </w:rPr>
            <w:fldChar w:fldCharType="separate"/>
          </w:r>
          <w:r>
            <w:rPr>
              <w:color w:val="auto"/>
            </w:rPr>
            <w:t>- 180 -</w:t>
          </w:r>
          <w:r>
            <w:rPr>
              <w:color w:val="auto"/>
            </w:rPr>
            <w:fldChar w:fldCharType="end"/>
          </w:r>
          <w:r>
            <w:rPr>
              <w:color w:val="auto"/>
            </w:rPr>
            <w:fldChar w:fldCharType="end"/>
          </w:r>
        </w:p>
        <w:p w14:paraId="3F4D4976">
          <w:pPr>
            <w:pStyle w:val="19"/>
            <w:tabs>
              <w:tab w:val="right" w:leader="dot" w:pos="8925"/>
            </w:tabs>
            <w:rPr>
              <w:color w:val="auto"/>
            </w:rPr>
          </w:pPr>
          <w:r>
            <w:fldChar w:fldCharType="begin"/>
          </w:r>
          <w:r>
            <w:instrText xml:space="preserve"> HYPERLINK \l "_Toc20760" </w:instrText>
          </w:r>
          <w:r>
            <w:fldChar w:fldCharType="separate"/>
          </w:r>
          <w:r>
            <w:rPr>
              <w:rFonts w:hint="eastAsia" w:ascii="宋体" w:hAnsi="宋体" w:eastAsia="宋体" w:cs="宋体"/>
              <w:bCs/>
              <w:color w:val="auto"/>
              <w:szCs w:val="24"/>
            </w:rPr>
            <w:t>2.8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施工供水</w:t>
          </w:r>
          <w:r>
            <w:rPr>
              <w:color w:val="auto"/>
            </w:rPr>
            <w:tab/>
          </w:r>
          <w:r>
            <w:rPr>
              <w:color w:val="auto"/>
            </w:rPr>
            <w:fldChar w:fldCharType="begin"/>
          </w:r>
          <w:r>
            <w:rPr>
              <w:color w:val="auto"/>
            </w:rPr>
            <w:instrText xml:space="preserve"> PAGEREF _Toc20760 \h </w:instrText>
          </w:r>
          <w:r>
            <w:rPr>
              <w:color w:val="auto"/>
            </w:rPr>
            <w:fldChar w:fldCharType="separate"/>
          </w:r>
          <w:r>
            <w:rPr>
              <w:color w:val="auto"/>
            </w:rPr>
            <w:t>- 181 -</w:t>
          </w:r>
          <w:r>
            <w:rPr>
              <w:color w:val="auto"/>
            </w:rPr>
            <w:fldChar w:fldCharType="end"/>
          </w:r>
          <w:r>
            <w:rPr>
              <w:color w:val="auto"/>
            </w:rPr>
            <w:fldChar w:fldCharType="end"/>
          </w:r>
        </w:p>
        <w:p w14:paraId="1307FDF9">
          <w:pPr>
            <w:pStyle w:val="19"/>
            <w:tabs>
              <w:tab w:val="right" w:leader="dot" w:pos="8925"/>
            </w:tabs>
            <w:rPr>
              <w:color w:val="auto"/>
            </w:rPr>
          </w:pPr>
          <w:r>
            <w:fldChar w:fldCharType="begin"/>
          </w:r>
          <w:r>
            <w:instrText xml:space="preserve"> HYPERLINK \l "_Toc22043" </w:instrText>
          </w:r>
          <w:r>
            <w:fldChar w:fldCharType="separate"/>
          </w:r>
          <w:r>
            <w:rPr>
              <w:rFonts w:hint="eastAsia" w:ascii="宋体" w:hAnsi="宋体" w:eastAsia="宋体" w:cs="宋体"/>
              <w:bCs/>
              <w:color w:val="auto"/>
              <w:szCs w:val="24"/>
            </w:rPr>
            <w:t>2.9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施工供风</w:t>
          </w:r>
          <w:r>
            <w:rPr>
              <w:color w:val="auto"/>
            </w:rPr>
            <w:tab/>
          </w:r>
          <w:r>
            <w:rPr>
              <w:color w:val="auto"/>
            </w:rPr>
            <w:fldChar w:fldCharType="begin"/>
          </w:r>
          <w:r>
            <w:rPr>
              <w:color w:val="auto"/>
            </w:rPr>
            <w:instrText xml:space="preserve"> PAGEREF _Toc22043 \h </w:instrText>
          </w:r>
          <w:r>
            <w:rPr>
              <w:color w:val="auto"/>
            </w:rPr>
            <w:fldChar w:fldCharType="separate"/>
          </w:r>
          <w:r>
            <w:rPr>
              <w:color w:val="auto"/>
            </w:rPr>
            <w:t>- 181 -</w:t>
          </w:r>
          <w:r>
            <w:rPr>
              <w:color w:val="auto"/>
            </w:rPr>
            <w:fldChar w:fldCharType="end"/>
          </w:r>
          <w:r>
            <w:rPr>
              <w:color w:val="auto"/>
            </w:rPr>
            <w:fldChar w:fldCharType="end"/>
          </w:r>
        </w:p>
        <w:p w14:paraId="34A70596">
          <w:pPr>
            <w:pStyle w:val="19"/>
            <w:tabs>
              <w:tab w:val="right" w:leader="dot" w:pos="8925"/>
            </w:tabs>
            <w:rPr>
              <w:color w:val="auto"/>
            </w:rPr>
          </w:pPr>
          <w:r>
            <w:fldChar w:fldCharType="begin"/>
          </w:r>
          <w:r>
            <w:instrText xml:space="preserve"> HYPERLINK \l "_Toc18480" </w:instrText>
          </w:r>
          <w:r>
            <w:fldChar w:fldCharType="separate"/>
          </w:r>
          <w:r>
            <w:rPr>
              <w:rFonts w:hint="eastAsia" w:ascii="宋体" w:hAnsi="宋体" w:eastAsia="宋体" w:cs="宋体"/>
              <w:bCs/>
              <w:color w:val="auto"/>
              <w:szCs w:val="24"/>
            </w:rPr>
            <w:t>2.10</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施工通信</w:t>
          </w:r>
          <w:r>
            <w:rPr>
              <w:color w:val="auto"/>
            </w:rPr>
            <w:tab/>
          </w:r>
          <w:r>
            <w:rPr>
              <w:color w:val="auto"/>
            </w:rPr>
            <w:fldChar w:fldCharType="begin"/>
          </w:r>
          <w:r>
            <w:rPr>
              <w:color w:val="auto"/>
            </w:rPr>
            <w:instrText xml:space="preserve"> PAGEREF _Toc18480 \h </w:instrText>
          </w:r>
          <w:r>
            <w:rPr>
              <w:color w:val="auto"/>
            </w:rPr>
            <w:fldChar w:fldCharType="separate"/>
          </w:r>
          <w:r>
            <w:rPr>
              <w:color w:val="auto"/>
            </w:rPr>
            <w:t>- 181 -</w:t>
          </w:r>
          <w:r>
            <w:rPr>
              <w:color w:val="auto"/>
            </w:rPr>
            <w:fldChar w:fldCharType="end"/>
          </w:r>
          <w:r>
            <w:rPr>
              <w:color w:val="auto"/>
            </w:rPr>
            <w:fldChar w:fldCharType="end"/>
          </w:r>
        </w:p>
        <w:p w14:paraId="068E13F4">
          <w:pPr>
            <w:pStyle w:val="19"/>
            <w:tabs>
              <w:tab w:val="right" w:leader="dot" w:pos="8925"/>
            </w:tabs>
            <w:rPr>
              <w:color w:val="auto"/>
            </w:rPr>
          </w:pPr>
          <w:r>
            <w:fldChar w:fldCharType="begin"/>
          </w:r>
          <w:r>
            <w:instrText xml:space="preserve"> HYPERLINK \l "_Toc14916" </w:instrText>
          </w:r>
          <w:r>
            <w:fldChar w:fldCharType="separate"/>
          </w:r>
          <w:r>
            <w:rPr>
              <w:rFonts w:hint="eastAsia" w:ascii="宋体" w:hAnsi="宋体" w:eastAsia="宋体" w:cs="宋体"/>
              <w:bCs/>
              <w:color w:val="auto"/>
              <w:szCs w:val="24"/>
            </w:rPr>
            <w:t>2.11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砂石料生产系统</w:t>
          </w:r>
          <w:r>
            <w:rPr>
              <w:color w:val="auto"/>
            </w:rPr>
            <w:tab/>
          </w:r>
          <w:r>
            <w:rPr>
              <w:color w:val="auto"/>
            </w:rPr>
            <w:fldChar w:fldCharType="begin"/>
          </w:r>
          <w:r>
            <w:rPr>
              <w:color w:val="auto"/>
            </w:rPr>
            <w:instrText xml:space="preserve"> PAGEREF _Toc14916 \h </w:instrText>
          </w:r>
          <w:r>
            <w:rPr>
              <w:color w:val="auto"/>
            </w:rPr>
            <w:fldChar w:fldCharType="separate"/>
          </w:r>
          <w:r>
            <w:rPr>
              <w:color w:val="auto"/>
            </w:rPr>
            <w:t>- 181 -</w:t>
          </w:r>
          <w:r>
            <w:rPr>
              <w:color w:val="auto"/>
            </w:rPr>
            <w:fldChar w:fldCharType="end"/>
          </w:r>
          <w:r>
            <w:rPr>
              <w:color w:val="auto"/>
            </w:rPr>
            <w:fldChar w:fldCharType="end"/>
          </w:r>
        </w:p>
        <w:p w14:paraId="13A01D8F">
          <w:pPr>
            <w:pStyle w:val="19"/>
            <w:tabs>
              <w:tab w:val="right" w:leader="dot" w:pos="8925"/>
            </w:tabs>
            <w:rPr>
              <w:color w:val="auto"/>
            </w:rPr>
          </w:pPr>
          <w:r>
            <w:fldChar w:fldCharType="begin"/>
          </w:r>
          <w:r>
            <w:instrText xml:space="preserve"> HYPERLINK \l "_Toc26623" </w:instrText>
          </w:r>
          <w:r>
            <w:fldChar w:fldCharType="separate"/>
          </w:r>
          <w:r>
            <w:rPr>
              <w:rFonts w:hint="eastAsia" w:ascii="宋体" w:hAnsi="宋体" w:eastAsia="宋体" w:cs="宋体"/>
              <w:bCs/>
              <w:color w:val="auto"/>
              <w:szCs w:val="24"/>
            </w:rPr>
            <w:t>2.12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混凝土生产系统</w:t>
          </w:r>
          <w:r>
            <w:rPr>
              <w:color w:val="auto"/>
            </w:rPr>
            <w:tab/>
          </w:r>
          <w:r>
            <w:rPr>
              <w:color w:val="auto"/>
            </w:rPr>
            <w:fldChar w:fldCharType="begin"/>
          </w:r>
          <w:r>
            <w:rPr>
              <w:color w:val="auto"/>
            </w:rPr>
            <w:instrText xml:space="preserve"> PAGEREF _Toc26623 \h </w:instrText>
          </w:r>
          <w:r>
            <w:rPr>
              <w:color w:val="auto"/>
            </w:rPr>
            <w:fldChar w:fldCharType="separate"/>
          </w:r>
          <w:r>
            <w:rPr>
              <w:color w:val="auto"/>
            </w:rPr>
            <w:t>- 182 -</w:t>
          </w:r>
          <w:r>
            <w:rPr>
              <w:color w:val="auto"/>
            </w:rPr>
            <w:fldChar w:fldCharType="end"/>
          </w:r>
          <w:r>
            <w:rPr>
              <w:color w:val="auto"/>
            </w:rPr>
            <w:fldChar w:fldCharType="end"/>
          </w:r>
        </w:p>
        <w:p w14:paraId="009AA6FC">
          <w:pPr>
            <w:pStyle w:val="19"/>
            <w:tabs>
              <w:tab w:val="right" w:leader="dot" w:pos="8925"/>
            </w:tabs>
            <w:rPr>
              <w:color w:val="auto"/>
            </w:rPr>
          </w:pPr>
          <w:r>
            <w:fldChar w:fldCharType="begin"/>
          </w:r>
          <w:r>
            <w:instrText xml:space="preserve"> HYPERLINK \l "_Toc31766" </w:instrText>
          </w:r>
          <w:r>
            <w:fldChar w:fldCharType="separate"/>
          </w:r>
          <w:r>
            <w:rPr>
              <w:rFonts w:hint="eastAsia" w:ascii="宋体" w:hAnsi="宋体" w:eastAsia="宋体" w:cs="宋体"/>
              <w:bCs/>
              <w:color w:val="auto"/>
              <w:szCs w:val="24"/>
            </w:rPr>
            <w:t>2.14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弃渣场</w:t>
          </w:r>
          <w:r>
            <w:rPr>
              <w:color w:val="auto"/>
            </w:rPr>
            <w:tab/>
          </w:r>
          <w:r>
            <w:rPr>
              <w:color w:val="auto"/>
            </w:rPr>
            <w:fldChar w:fldCharType="begin"/>
          </w:r>
          <w:r>
            <w:rPr>
              <w:color w:val="auto"/>
            </w:rPr>
            <w:instrText xml:space="preserve"> PAGEREF _Toc31766 \h </w:instrText>
          </w:r>
          <w:r>
            <w:rPr>
              <w:color w:val="auto"/>
            </w:rPr>
            <w:fldChar w:fldCharType="separate"/>
          </w:r>
          <w:r>
            <w:rPr>
              <w:color w:val="auto"/>
            </w:rPr>
            <w:t>- 183 -</w:t>
          </w:r>
          <w:r>
            <w:rPr>
              <w:color w:val="auto"/>
            </w:rPr>
            <w:fldChar w:fldCharType="end"/>
          </w:r>
          <w:r>
            <w:rPr>
              <w:color w:val="auto"/>
            </w:rPr>
            <w:fldChar w:fldCharType="end"/>
          </w:r>
        </w:p>
        <w:p w14:paraId="4804AF38">
          <w:pPr>
            <w:pStyle w:val="19"/>
            <w:tabs>
              <w:tab w:val="right" w:leader="dot" w:pos="8925"/>
            </w:tabs>
            <w:rPr>
              <w:color w:val="auto"/>
            </w:rPr>
          </w:pPr>
          <w:r>
            <w:fldChar w:fldCharType="begin"/>
          </w:r>
          <w:r>
            <w:instrText xml:space="preserve"> HYPERLINK \l "_Toc11374" </w:instrText>
          </w:r>
          <w:r>
            <w:fldChar w:fldCharType="separate"/>
          </w:r>
          <w:r>
            <w:rPr>
              <w:rFonts w:hint="eastAsia" w:ascii="宋体" w:hAnsi="宋体" w:eastAsia="宋体" w:cs="宋体"/>
              <w:bCs/>
              <w:color w:val="auto"/>
              <w:szCs w:val="24"/>
            </w:rPr>
            <w:t>2.15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_Toc11374 \h </w:instrText>
          </w:r>
          <w:r>
            <w:rPr>
              <w:color w:val="auto"/>
            </w:rPr>
            <w:fldChar w:fldCharType="separate"/>
          </w:r>
          <w:r>
            <w:rPr>
              <w:color w:val="auto"/>
            </w:rPr>
            <w:t>- 183 -</w:t>
          </w:r>
          <w:r>
            <w:rPr>
              <w:color w:val="auto"/>
            </w:rPr>
            <w:fldChar w:fldCharType="end"/>
          </w:r>
          <w:r>
            <w:rPr>
              <w:color w:val="auto"/>
            </w:rPr>
            <w:fldChar w:fldCharType="end"/>
          </w:r>
        </w:p>
        <w:p w14:paraId="76C2CE7C">
          <w:pPr>
            <w:pStyle w:val="18"/>
            <w:tabs>
              <w:tab w:val="right" w:leader="dot" w:pos="8925"/>
            </w:tabs>
            <w:rPr>
              <w:color w:val="auto"/>
            </w:rPr>
          </w:pPr>
          <w:r>
            <w:fldChar w:fldCharType="begin"/>
          </w:r>
          <w:r>
            <w:instrText xml:space="preserve"> HYPERLINK \l "_Toc18494" </w:instrText>
          </w:r>
          <w:r>
            <w:fldChar w:fldCharType="separate"/>
          </w:r>
          <w:r>
            <w:rPr>
              <w:rFonts w:ascii="Times New Roman" w:hAnsi="Times New Roman" w:eastAsia="Times New Roman" w:cs="Times New Roman"/>
              <w:bCs/>
              <w:color w:val="auto"/>
              <w:szCs w:val="28"/>
            </w:rPr>
            <w:t>3</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施工安全文明措施</w:t>
          </w:r>
          <w:r>
            <w:rPr>
              <w:color w:val="auto"/>
            </w:rPr>
            <w:tab/>
          </w:r>
          <w:r>
            <w:rPr>
              <w:color w:val="auto"/>
            </w:rPr>
            <w:fldChar w:fldCharType="begin"/>
          </w:r>
          <w:r>
            <w:rPr>
              <w:color w:val="auto"/>
            </w:rPr>
            <w:instrText xml:space="preserve"> PAGEREF _Toc18494 \h </w:instrText>
          </w:r>
          <w:r>
            <w:rPr>
              <w:color w:val="auto"/>
            </w:rPr>
            <w:fldChar w:fldCharType="separate"/>
          </w:r>
          <w:r>
            <w:rPr>
              <w:color w:val="auto"/>
            </w:rPr>
            <w:t>- 187 -</w:t>
          </w:r>
          <w:r>
            <w:rPr>
              <w:color w:val="auto"/>
            </w:rPr>
            <w:fldChar w:fldCharType="end"/>
          </w:r>
          <w:r>
            <w:rPr>
              <w:color w:val="auto"/>
            </w:rPr>
            <w:fldChar w:fldCharType="end"/>
          </w:r>
        </w:p>
        <w:p w14:paraId="2A7859DE">
          <w:pPr>
            <w:pStyle w:val="19"/>
            <w:tabs>
              <w:tab w:val="right" w:leader="dot" w:pos="8925"/>
            </w:tabs>
            <w:rPr>
              <w:color w:val="auto"/>
            </w:rPr>
          </w:pPr>
          <w:r>
            <w:fldChar w:fldCharType="begin"/>
          </w:r>
          <w:r>
            <w:instrText xml:space="preserve"> HYPERLINK \l "_Toc22067" </w:instrText>
          </w:r>
          <w:r>
            <w:fldChar w:fldCharType="separate"/>
          </w:r>
          <w:r>
            <w:rPr>
              <w:rFonts w:hint="eastAsia" w:ascii="宋体" w:hAnsi="宋体" w:eastAsia="宋体" w:cs="宋体"/>
              <w:bCs/>
              <w:color w:val="auto"/>
              <w:szCs w:val="24"/>
            </w:rPr>
            <w:t>3.1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_Toc22067 \h </w:instrText>
          </w:r>
          <w:r>
            <w:rPr>
              <w:color w:val="auto"/>
            </w:rPr>
            <w:fldChar w:fldCharType="separate"/>
          </w:r>
          <w:r>
            <w:rPr>
              <w:color w:val="auto"/>
            </w:rPr>
            <w:t>- 187 -</w:t>
          </w:r>
          <w:r>
            <w:rPr>
              <w:color w:val="auto"/>
            </w:rPr>
            <w:fldChar w:fldCharType="end"/>
          </w:r>
          <w:r>
            <w:rPr>
              <w:color w:val="auto"/>
            </w:rPr>
            <w:fldChar w:fldCharType="end"/>
          </w:r>
        </w:p>
        <w:p w14:paraId="661C6600">
          <w:pPr>
            <w:pStyle w:val="19"/>
            <w:tabs>
              <w:tab w:val="right" w:leader="dot" w:pos="8925"/>
            </w:tabs>
            <w:rPr>
              <w:color w:val="auto"/>
            </w:rPr>
          </w:pPr>
          <w:r>
            <w:fldChar w:fldCharType="begin"/>
          </w:r>
          <w:r>
            <w:instrText xml:space="preserve"> HYPERLINK \l "_Toc4182" </w:instrText>
          </w:r>
          <w:r>
            <w:fldChar w:fldCharType="separate"/>
          </w:r>
          <w:r>
            <w:rPr>
              <w:rFonts w:hint="eastAsia" w:ascii="宋体" w:hAnsi="宋体" w:eastAsia="宋体" w:cs="宋体"/>
              <w:bCs/>
              <w:color w:val="auto"/>
              <w:szCs w:val="24"/>
            </w:rPr>
            <w:t>3.2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文明施工措施</w:t>
          </w:r>
          <w:r>
            <w:rPr>
              <w:color w:val="auto"/>
            </w:rPr>
            <w:tab/>
          </w:r>
          <w:r>
            <w:rPr>
              <w:color w:val="auto"/>
            </w:rPr>
            <w:fldChar w:fldCharType="begin"/>
          </w:r>
          <w:r>
            <w:rPr>
              <w:color w:val="auto"/>
            </w:rPr>
            <w:instrText xml:space="preserve"> PAGEREF _Toc4182 \h </w:instrText>
          </w:r>
          <w:r>
            <w:rPr>
              <w:color w:val="auto"/>
            </w:rPr>
            <w:fldChar w:fldCharType="separate"/>
          </w:r>
          <w:r>
            <w:rPr>
              <w:color w:val="auto"/>
            </w:rPr>
            <w:t>- 189 -</w:t>
          </w:r>
          <w:r>
            <w:rPr>
              <w:color w:val="auto"/>
            </w:rPr>
            <w:fldChar w:fldCharType="end"/>
          </w:r>
          <w:r>
            <w:rPr>
              <w:color w:val="auto"/>
            </w:rPr>
            <w:fldChar w:fldCharType="end"/>
          </w:r>
        </w:p>
        <w:p w14:paraId="6A81EB5C">
          <w:pPr>
            <w:pStyle w:val="19"/>
            <w:tabs>
              <w:tab w:val="right" w:leader="dot" w:pos="8925"/>
            </w:tabs>
            <w:rPr>
              <w:color w:val="auto"/>
            </w:rPr>
          </w:pPr>
          <w:r>
            <w:fldChar w:fldCharType="begin"/>
          </w:r>
          <w:r>
            <w:instrText xml:space="preserve"> HYPERLINK \l "_Toc23893" </w:instrText>
          </w:r>
          <w:r>
            <w:fldChar w:fldCharType="separate"/>
          </w:r>
          <w:r>
            <w:rPr>
              <w:rFonts w:hint="eastAsia" w:ascii="宋体" w:hAnsi="宋体" w:eastAsia="宋体" w:cs="宋体"/>
              <w:bCs/>
              <w:color w:val="auto"/>
              <w:szCs w:val="24"/>
            </w:rPr>
            <w:t>3.3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施工安全措施</w:t>
          </w:r>
          <w:r>
            <w:rPr>
              <w:color w:val="auto"/>
            </w:rPr>
            <w:tab/>
          </w:r>
          <w:r>
            <w:rPr>
              <w:color w:val="auto"/>
            </w:rPr>
            <w:fldChar w:fldCharType="begin"/>
          </w:r>
          <w:r>
            <w:rPr>
              <w:color w:val="auto"/>
            </w:rPr>
            <w:instrText xml:space="preserve"> PAGEREF _Toc23893 \h </w:instrText>
          </w:r>
          <w:r>
            <w:rPr>
              <w:color w:val="auto"/>
            </w:rPr>
            <w:fldChar w:fldCharType="separate"/>
          </w:r>
          <w:r>
            <w:rPr>
              <w:color w:val="auto"/>
            </w:rPr>
            <w:t>- 191 -</w:t>
          </w:r>
          <w:r>
            <w:rPr>
              <w:color w:val="auto"/>
            </w:rPr>
            <w:fldChar w:fldCharType="end"/>
          </w:r>
          <w:r>
            <w:rPr>
              <w:color w:val="auto"/>
            </w:rPr>
            <w:fldChar w:fldCharType="end"/>
          </w:r>
        </w:p>
        <w:p w14:paraId="152F0EB4">
          <w:pPr>
            <w:pStyle w:val="19"/>
            <w:tabs>
              <w:tab w:val="right" w:leader="dot" w:pos="8925"/>
            </w:tabs>
            <w:rPr>
              <w:color w:val="auto"/>
            </w:rPr>
          </w:pPr>
          <w:r>
            <w:fldChar w:fldCharType="begin"/>
          </w:r>
          <w:r>
            <w:instrText xml:space="preserve"> HYPERLINK \l "_Toc19923" </w:instrText>
          </w:r>
          <w:r>
            <w:fldChar w:fldCharType="separate"/>
          </w:r>
          <w:r>
            <w:rPr>
              <w:rFonts w:hint="eastAsia" w:ascii="宋体" w:hAnsi="宋体" w:eastAsia="宋体" w:cs="宋体"/>
              <w:bCs/>
              <w:color w:val="auto"/>
              <w:szCs w:val="24"/>
            </w:rPr>
            <w:t>3.4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应急救援措施</w:t>
          </w:r>
          <w:r>
            <w:rPr>
              <w:color w:val="auto"/>
            </w:rPr>
            <w:tab/>
          </w:r>
          <w:r>
            <w:rPr>
              <w:color w:val="auto"/>
            </w:rPr>
            <w:fldChar w:fldCharType="begin"/>
          </w:r>
          <w:r>
            <w:rPr>
              <w:color w:val="auto"/>
            </w:rPr>
            <w:instrText xml:space="preserve"> PAGEREF _Toc19923 \h </w:instrText>
          </w:r>
          <w:r>
            <w:rPr>
              <w:color w:val="auto"/>
            </w:rPr>
            <w:fldChar w:fldCharType="separate"/>
          </w:r>
          <w:r>
            <w:rPr>
              <w:color w:val="auto"/>
            </w:rPr>
            <w:t>- 194 -</w:t>
          </w:r>
          <w:r>
            <w:rPr>
              <w:color w:val="auto"/>
            </w:rPr>
            <w:fldChar w:fldCharType="end"/>
          </w:r>
          <w:r>
            <w:rPr>
              <w:color w:val="auto"/>
            </w:rPr>
            <w:fldChar w:fldCharType="end"/>
          </w:r>
        </w:p>
        <w:p w14:paraId="4953C08B">
          <w:pPr>
            <w:pStyle w:val="19"/>
            <w:tabs>
              <w:tab w:val="right" w:leader="dot" w:pos="8925"/>
            </w:tabs>
            <w:rPr>
              <w:color w:val="auto"/>
            </w:rPr>
          </w:pPr>
          <w:r>
            <w:fldChar w:fldCharType="begin"/>
          </w:r>
          <w:r>
            <w:instrText xml:space="preserve"> HYPERLINK \l "_Toc22741" </w:instrText>
          </w:r>
          <w:r>
            <w:fldChar w:fldCharType="separate"/>
          </w:r>
          <w:r>
            <w:rPr>
              <w:rFonts w:hint="eastAsia" w:ascii="宋体" w:hAnsi="宋体" w:eastAsia="宋体" w:cs="宋体"/>
              <w:bCs/>
              <w:color w:val="auto"/>
              <w:szCs w:val="24"/>
            </w:rPr>
            <w:t>3.5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_Toc22741 \h </w:instrText>
          </w:r>
          <w:r>
            <w:rPr>
              <w:color w:val="auto"/>
            </w:rPr>
            <w:fldChar w:fldCharType="separate"/>
          </w:r>
          <w:r>
            <w:rPr>
              <w:color w:val="auto"/>
            </w:rPr>
            <w:t>- 195 -</w:t>
          </w:r>
          <w:r>
            <w:rPr>
              <w:color w:val="auto"/>
            </w:rPr>
            <w:fldChar w:fldCharType="end"/>
          </w:r>
          <w:r>
            <w:rPr>
              <w:color w:val="auto"/>
            </w:rPr>
            <w:fldChar w:fldCharType="end"/>
          </w:r>
        </w:p>
        <w:p w14:paraId="2D0E7455">
          <w:pPr>
            <w:pStyle w:val="18"/>
            <w:tabs>
              <w:tab w:val="right" w:leader="dot" w:pos="8925"/>
            </w:tabs>
            <w:rPr>
              <w:color w:val="auto"/>
            </w:rPr>
          </w:pPr>
          <w:r>
            <w:fldChar w:fldCharType="begin"/>
          </w:r>
          <w:r>
            <w:instrText xml:space="preserve"> HYPERLINK \l "_Toc14731" </w:instrText>
          </w:r>
          <w:r>
            <w:fldChar w:fldCharType="separate"/>
          </w:r>
          <w:r>
            <w:rPr>
              <w:rFonts w:ascii="Times New Roman" w:hAnsi="Times New Roman" w:eastAsia="Times New Roman" w:cs="Times New Roman"/>
              <w:bCs/>
              <w:color w:val="auto"/>
              <w:szCs w:val="28"/>
            </w:rPr>
            <w:t>4</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环境保护和水土保持</w:t>
          </w:r>
          <w:r>
            <w:rPr>
              <w:color w:val="auto"/>
            </w:rPr>
            <w:tab/>
          </w:r>
          <w:r>
            <w:rPr>
              <w:color w:val="auto"/>
            </w:rPr>
            <w:fldChar w:fldCharType="begin"/>
          </w:r>
          <w:r>
            <w:rPr>
              <w:color w:val="auto"/>
            </w:rPr>
            <w:instrText xml:space="preserve"> PAGEREF _Toc14731 \h </w:instrText>
          </w:r>
          <w:r>
            <w:rPr>
              <w:color w:val="auto"/>
            </w:rPr>
            <w:fldChar w:fldCharType="separate"/>
          </w:r>
          <w:r>
            <w:rPr>
              <w:color w:val="auto"/>
            </w:rPr>
            <w:t>- 196 -</w:t>
          </w:r>
          <w:r>
            <w:rPr>
              <w:color w:val="auto"/>
            </w:rPr>
            <w:fldChar w:fldCharType="end"/>
          </w:r>
          <w:r>
            <w:rPr>
              <w:color w:val="auto"/>
            </w:rPr>
            <w:fldChar w:fldCharType="end"/>
          </w:r>
        </w:p>
        <w:p w14:paraId="1E91A092">
          <w:pPr>
            <w:pStyle w:val="19"/>
            <w:tabs>
              <w:tab w:val="right" w:leader="dot" w:pos="8925"/>
            </w:tabs>
            <w:rPr>
              <w:color w:val="auto"/>
            </w:rPr>
          </w:pPr>
          <w:r>
            <w:fldChar w:fldCharType="begin"/>
          </w:r>
          <w:r>
            <w:instrText xml:space="preserve"> HYPERLINK \l "_Toc3239" </w:instrText>
          </w:r>
          <w:r>
            <w:fldChar w:fldCharType="separate"/>
          </w:r>
          <w:r>
            <w:rPr>
              <w:rFonts w:hint="eastAsia" w:ascii="宋体" w:hAnsi="宋体" w:eastAsia="宋体" w:cs="宋体"/>
              <w:bCs/>
              <w:color w:val="auto"/>
              <w:szCs w:val="24"/>
            </w:rPr>
            <w:t>4.1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_Toc3239 \h </w:instrText>
          </w:r>
          <w:r>
            <w:rPr>
              <w:color w:val="auto"/>
            </w:rPr>
            <w:fldChar w:fldCharType="separate"/>
          </w:r>
          <w:r>
            <w:rPr>
              <w:color w:val="auto"/>
            </w:rPr>
            <w:t>- 196 -</w:t>
          </w:r>
          <w:r>
            <w:rPr>
              <w:color w:val="auto"/>
            </w:rPr>
            <w:fldChar w:fldCharType="end"/>
          </w:r>
          <w:r>
            <w:rPr>
              <w:color w:val="auto"/>
            </w:rPr>
            <w:fldChar w:fldCharType="end"/>
          </w:r>
        </w:p>
        <w:p w14:paraId="53C9C3A6">
          <w:pPr>
            <w:pStyle w:val="19"/>
            <w:tabs>
              <w:tab w:val="right" w:leader="dot" w:pos="8925"/>
            </w:tabs>
            <w:rPr>
              <w:color w:val="auto"/>
            </w:rPr>
          </w:pPr>
          <w:r>
            <w:fldChar w:fldCharType="begin"/>
          </w:r>
          <w:r>
            <w:instrText xml:space="preserve"> HYPERLINK \l "_Toc6234" </w:instrText>
          </w:r>
          <w:r>
            <w:fldChar w:fldCharType="separate"/>
          </w:r>
          <w:r>
            <w:rPr>
              <w:rFonts w:hint="eastAsia" w:ascii="宋体" w:hAnsi="宋体" w:eastAsia="宋体" w:cs="宋体"/>
              <w:bCs/>
              <w:color w:val="auto"/>
              <w:szCs w:val="24"/>
            </w:rPr>
            <w:t>4.2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施工环境保护</w:t>
          </w:r>
          <w:r>
            <w:rPr>
              <w:color w:val="auto"/>
            </w:rPr>
            <w:tab/>
          </w:r>
          <w:r>
            <w:rPr>
              <w:color w:val="auto"/>
            </w:rPr>
            <w:fldChar w:fldCharType="begin"/>
          </w:r>
          <w:r>
            <w:rPr>
              <w:color w:val="auto"/>
            </w:rPr>
            <w:instrText xml:space="preserve"> PAGEREF _Toc6234 \h </w:instrText>
          </w:r>
          <w:r>
            <w:rPr>
              <w:color w:val="auto"/>
            </w:rPr>
            <w:fldChar w:fldCharType="separate"/>
          </w:r>
          <w:r>
            <w:rPr>
              <w:color w:val="auto"/>
            </w:rPr>
            <w:t>- 198 -</w:t>
          </w:r>
          <w:r>
            <w:rPr>
              <w:color w:val="auto"/>
            </w:rPr>
            <w:fldChar w:fldCharType="end"/>
          </w:r>
          <w:r>
            <w:rPr>
              <w:color w:val="auto"/>
            </w:rPr>
            <w:fldChar w:fldCharType="end"/>
          </w:r>
        </w:p>
        <w:p w14:paraId="7E63A37F">
          <w:pPr>
            <w:pStyle w:val="19"/>
            <w:tabs>
              <w:tab w:val="right" w:leader="dot" w:pos="8925"/>
            </w:tabs>
            <w:rPr>
              <w:color w:val="auto"/>
            </w:rPr>
          </w:pPr>
          <w:r>
            <w:fldChar w:fldCharType="begin"/>
          </w:r>
          <w:r>
            <w:instrText xml:space="preserve"> HYPERLINK \l "_Toc16740" </w:instrText>
          </w:r>
          <w:r>
            <w:fldChar w:fldCharType="separate"/>
          </w:r>
          <w:r>
            <w:rPr>
              <w:rFonts w:hint="eastAsia" w:ascii="宋体" w:hAnsi="宋体" w:eastAsia="宋体" w:cs="宋体"/>
              <w:bCs/>
              <w:color w:val="auto"/>
              <w:szCs w:val="24"/>
            </w:rPr>
            <w:t>4.3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生态环境保护</w:t>
          </w:r>
          <w:r>
            <w:rPr>
              <w:color w:val="auto"/>
            </w:rPr>
            <w:tab/>
          </w:r>
          <w:r>
            <w:rPr>
              <w:color w:val="auto"/>
            </w:rPr>
            <w:fldChar w:fldCharType="begin"/>
          </w:r>
          <w:r>
            <w:rPr>
              <w:color w:val="auto"/>
            </w:rPr>
            <w:instrText xml:space="preserve"> PAGEREF _Toc16740 \h </w:instrText>
          </w:r>
          <w:r>
            <w:rPr>
              <w:color w:val="auto"/>
            </w:rPr>
            <w:fldChar w:fldCharType="separate"/>
          </w:r>
          <w:r>
            <w:rPr>
              <w:color w:val="auto"/>
            </w:rPr>
            <w:t>- 200 -</w:t>
          </w:r>
          <w:r>
            <w:rPr>
              <w:color w:val="auto"/>
            </w:rPr>
            <w:fldChar w:fldCharType="end"/>
          </w:r>
          <w:r>
            <w:rPr>
              <w:color w:val="auto"/>
            </w:rPr>
            <w:fldChar w:fldCharType="end"/>
          </w:r>
        </w:p>
        <w:p w14:paraId="4F844A6E">
          <w:pPr>
            <w:pStyle w:val="19"/>
            <w:tabs>
              <w:tab w:val="right" w:leader="dot" w:pos="8925"/>
            </w:tabs>
            <w:rPr>
              <w:color w:val="auto"/>
            </w:rPr>
          </w:pPr>
          <w:r>
            <w:fldChar w:fldCharType="begin"/>
          </w:r>
          <w:r>
            <w:instrText xml:space="preserve"> HYPERLINK \l "_Toc21541" </w:instrText>
          </w:r>
          <w:r>
            <w:fldChar w:fldCharType="separate"/>
          </w:r>
          <w:r>
            <w:rPr>
              <w:rFonts w:hint="eastAsia" w:ascii="宋体" w:hAnsi="宋体" w:eastAsia="宋体" w:cs="宋体"/>
              <w:bCs/>
              <w:color w:val="auto"/>
              <w:szCs w:val="24"/>
            </w:rPr>
            <w:t>4.4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水土保持</w:t>
          </w:r>
          <w:r>
            <w:rPr>
              <w:color w:val="auto"/>
            </w:rPr>
            <w:tab/>
          </w:r>
          <w:r>
            <w:rPr>
              <w:color w:val="auto"/>
            </w:rPr>
            <w:fldChar w:fldCharType="begin"/>
          </w:r>
          <w:r>
            <w:rPr>
              <w:color w:val="auto"/>
            </w:rPr>
            <w:instrText xml:space="preserve"> PAGEREF _Toc21541 \h </w:instrText>
          </w:r>
          <w:r>
            <w:rPr>
              <w:color w:val="auto"/>
            </w:rPr>
            <w:fldChar w:fldCharType="separate"/>
          </w:r>
          <w:r>
            <w:rPr>
              <w:color w:val="auto"/>
            </w:rPr>
            <w:t>- 201 -</w:t>
          </w:r>
          <w:r>
            <w:rPr>
              <w:color w:val="auto"/>
            </w:rPr>
            <w:fldChar w:fldCharType="end"/>
          </w:r>
          <w:r>
            <w:rPr>
              <w:color w:val="auto"/>
            </w:rPr>
            <w:fldChar w:fldCharType="end"/>
          </w:r>
        </w:p>
        <w:p w14:paraId="21282B37">
          <w:pPr>
            <w:pStyle w:val="19"/>
            <w:tabs>
              <w:tab w:val="right" w:leader="dot" w:pos="8925"/>
            </w:tabs>
            <w:rPr>
              <w:color w:val="auto"/>
            </w:rPr>
          </w:pPr>
          <w:r>
            <w:fldChar w:fldCharType="begin"/>
          </w:r>
          <w:r>
            <w:instrText xml:space="preserve"> HYPERLINK \l "_Toc31223" </w:instrText>
          </w:r>
          <w:r>
            <w:fldChar w:fldCharType="separate"/>
          </w:r>
          <w:r>
            <w:rPr>
              <w:rFonts w:hint="eastAsia" w:ascii="宋体" w:hAnsi="宋体" w:eastAsia="宋体" w:cs="宋体"/>
              <w:bCs/>
              <w:color w:val="auto"/>
              <w:szCs w:val="24"/>
            </w:rPr>
            <w:t>4.5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环境清理</w:t>
          </w:r>
          <w:r>
            <w:rPr>
              <w:color w:val="auto"/>
            </w:rPr>
            <w:tab/>
          </w:r>
          <w:r>
            <w:rPr>
              <w:color w:val="auto"/>
            </w:rPr>
            <w:fldChar w:fldCharType="begin"/>
          </w:r>
          <w:r>
            <w:rPr>
              <w:color w:val="auto"/>
            </w:rPr>
            <w:instrText xml:space="preserve"> PAGEREF _Toc31223 \h </w:instrText>
          </w:r>
          <w:r>
            <w:rPr>
              <w:color w:val="auto"/>
            </w:rPr>
            <w:fldChar w:fldCharType="separate"/>
          </w:r>
          <w:r>
            <w:rPr>
              <w:color w:val="auto"/>
            </w:rPr>
            <w:t>- 201 -</w:t>
          </w:r>
          <w:r>
            <w:rPr>
              <w:color w:val="auto"/>
            </w:rPr>
            <w:fldChar w:fldCharType="end"/>
          </w:r>
          <w:r>
            <w:rPr>
              <w:color w:val="auto"/>
            </w:rPr>
            <w:fldChar w:fldCharType="end"/>
          </w:r>
        </w:p>
        <w:p w14:paraId="1D0E9AE0">
          <w:pPr>
            <w:pStyle w:val="19"/>
            <w:tabs>
              <w:tab w:val="right" w:leader="dot" w:pos="8925"/>
            </w:tabs>
            <w:rPr>
              <w:color w:val="auto"/>
            </w:rPr>
          </w:pPr>
          <w:r>
            <w:fldChar w:fldCharType="begin"/>
          </w:r>
          <w:r>
            <w:instrText xml:space="preserve"> HYPERLINK \l "_Toc5937" </w:instrText>
          </w:r>
          <w:r>
            <w:fldChar w:fldCharType="separate"/>
          </w:r>
          <w:r>
            <w:rPr>
              <w:rFonts w:hint="eastAsia" w:ascii="宋体" w:hAnsi="宋体" w:eastAsia="宋体" w:cs="宋体"/>
              <w:bCs/>
              <w:color w:val="auto"/>
              <w:szCs w:val="24"/>
            </w:rPr>
            <w:t>4.6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环境保护工程的验收</w:t>
          </w:r>
          <w:r>
            <w:rPr>
              <w:color w:val="auto"/>
            </w:rPr>
            <w:tab/>
          </w:r>
          <w:r>
            <w:rPr>
              <w:color w:val="auto"/>
            </w:rPr>
            <w:fldChar w:fldCharType="begin"/>
          </w:r>
          <w:r>
            <w:rPr>
              <w:color w:val="auto"/>
            </w:rPr>
            <w:instrText xml:space="preserve"> PAGEREF _Toc5937 \h </w:instrText>
          </w:r>
          <w:r>
            <w:rPr>
              <w:color w:val="auto"/>
            </w:rPr>
            <w:fldChar w:fldCharType="separate"/>
          </w:r>
          <w:r>
            <w:rPr>
              <w:color w:val="auto"/>
            </w:rPr>
            <w:t>- 202 -</w:t>
          </w:r>
          <w:r>
            <w:rPr>
              <w:color w:val="auto"/>
            </w:rPr>
            <w:fldChar w:fldCharType="end"/>
          </w:r>
          <w:r>
            <w:rPr>
              <w:color w:val="auto"/>
            </w:rPr>
            <w:fldChar w:fldCharType="end"/>
          </w:r>
        </w:p>
        <w:p w14:paraId="54583833">
          <w:pPr>
            <w:pStyle w:val="19"/>
            <w:tabs>
              <w:tab w:val="right" w:leader="dot" w:pos="8925"/>
            </w:tabs>
            <w:rPr>
              <w:color w:val="auto"/>
            </w:rPr>
          </w:pPr>
          <w:r>
            <w:fldChar w:fldCharType="begin"/>
          </w:r>
          <w:r>
            <w:instrText xml:space="preserve"> HYPERLINK \l "_Toc22693" </w:instrText>
          </w:r>
          <w:r>
            <w:fldChar w:fldCharType="separate"/>
          </w:r>
          <w:r>
            <w:rPr>
              <w:rFonts w:hint="eastAsia" w:ascii="宋体" w:hAnsi="宋体" w:eastAsia="宋体" w:cs="宋体"/>
              <w:bCs/>
              <w:color w:val="auto"/>
              <w:szCs w:val="24"/>
            </w:rPr>
            <w:t>4.7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_Toc22693 \h </w:instrText>
          </w:r>
          <w:r>
            <w:rPr>
              <w:color w:val="auto"/>
            </w:rPr>
            <w:fldChar w:fldCharType="separate"/>
          </w:r>
          <w:r>
            <w:rPr>
              <w:color w:val="auto"/>
            </w:rPr>
            <w:t>- 203 -</w:t>
          </w:r>
          <w:r>
            <w:rPr>
              <w:color w:val="auto"/>
            </w:rPr>
            <w:fldChar w:fldCharType="end"/>
          </w:r>
          <w:r>
            <w:rPr>
              <w:color w:val="auto"/>
            </w:rPr>
            <w:fldChar w:fldCharType="end"/>
          </w:r>
        </w:p>
        <w:p w14:paraId="5770D88A">
          <w:pPr>
            <w:pStyle w:val="18"/>
            <w:tabs>
              <w:tab w:val="right" w:leader="dot" w:pos="8925"/>
            </w:tabs>
            <w:rPr>
              <w:color w:val="auto"/>
            </w:rPr>
          </w:pPr>
          <w:r>
            <w:fldChar w:fldCharType="begin"/>
          </w:r>
          <w:r>
            <w:instrText xml:space="preserve"> HYPERLINK \l "_Toc14676" </w:instrText>
          </w:r>
          <w:r>
            <w:fldChar w:fldCharType="separate"/>
          </w:r>
          <w:r>
            <w:rPr>
              <w:rFonts w:ascii="Times New Roman" w:hAnsi="Times New Roman" w:eastAsia="Times New Roman" w:cs="Times New Roman"/>
              <w:bCs/>
              <w:color w:val="auto"/>
              <w:szCs w:val="28"/>
            </w:rPr>
            <w:t>5</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施工导流工程</w:t>
          </w:r>
          <w:r>
            <w:rPr>
              <w:color w:val="auto"/>
            </w:rPr>
            <w:tab/>
          </w:r>
          <w:r>
            <w:rPr>
              <w:color w:val="auto"/>
            </w:rPr>
            <w:fldChar w:fldCharType="begin"/>
          </w:r>
          <w:r>
            <w:rPr>
              <w:color w:val="auto"/>
            </w:rPr>
            <w:instrText xml:space="preserve"> PAGEREF _Toc14676 \h </w:instrText>
          </w:r>
          <w:r>
            <w:rPr>
              <w:color w:val="auto"/>
            </w:rPr>
            <w:fldChar w:fldCharType="separate"/>
          </w:r>
          <w:r>
            <w:rPr>
              <w:color w:val="auto"/>
            </w:rPr>
            <w:t>- 204 -</w:t>
          </w:r>
          <w:r>
            <w:rPr>
              <w:color w:val="auto"/>
            </w:rPr>
            <w:fldChar w:fldCharType="end"/>
          </w:r>
          <w:r>
            <w:rPr>
              <w:color w:val="auto"/>
            </w:rPr>
            <w:fldChar w:fldCharType="end"/>
          </w:r>
        </w:p>
        <w:p w14:paraId="1F300212">
          <w:pPr>
            <w:pStyle w:val="19"/>
            <w:tabs>
              <w:tab w:val="right" w:leader="dot" w:pos="8925"/>
            </w:tabs>
            <w:rPr>
              <w:color w:val="auto"/>
            </w:rPr>
          </w:pPr>
          <w:r>
            <w:fldChar w:fldCharType="begin"/>
          </w:r>
          <w:r>
            <w:instrText xml:space="preserve"> HYPERLINK \l "_Toc5842" </w:instrText>
          </w:r>
          <w:r>
            <w:fldChar w:fldCharType="separate"/>
          </w:r>
          <w:r>
            <w:rPr>
              <w:rFonts w:hint="eastAsia" w:ascii="宋体" w:hAnsi="宋体" w:eastAsia="宋体" w:cs="宋体"/>
              <w:bCs/>
              <w:color w:val="auto"/>
              <w:szCs w:val="24"/>
            </w:rPr>
            <w:t>5.l</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_Toc5842 \h </w:instrText>
          </w:r>
          <w:r>
            <w:rPr>
              <w:color w:val="auto"/>
            </w:rPr>
            <w:fldChar w:fldCharType="separate"/>
          </w:r>
          <w:r>
            <w:rPr>
              <w:color w:val="auto"/>
            </w:rPr>
            <w:t>- 204 -</w:t>
          </w:r>
          <w:r>
            <w:rPr>
              <w:color w:val="auto"/>
            </w:rPr>
            <w:fldChar w:fldCharType="end"/>
          </w:r>
          <w:r>
            <w:rPr>
              <w:color w:val="auto"/>
            </w:rPr>
            <w:fldChar w:fldCharType="end"/>
          </w:r>
        </w:p>
        <w:p w14:paraId="0FCC4183">
          <w:pPr>
            <w:pStyle w:val="19"/>
            <w:tabs>
              <w:tab w:val="right" w:leader="dot" w:pos="8925"/>
            </w:tabs>
            <w:rPr>
              <w:color w:val="auto"/>
            </w:rPr>
          </w:pPr>
          <w:r>
            <w:fldChar w:fldCharType="begin"/>
          </w:r>
          <w:r>
            <w:instrText xml:space="preserve"> HYPERLINK \l "_Toc29605" </w:instrText>
          </w:r>
          <w:r>
            <w:fldChar w:fldCharType="separate"/>
          </w:r>
          <w:r>
            <w:rPr>
              <w:rFonts w:hint="eastAsia" w:ascii="宋体" w:hAnsi="宋体" w:eastAsia="宋体" w:cs="宋体"/>
              <w:bCs/>
              <w:color w:val="auto"/>
              <w:szCs w:val="24"/>
            </w:rPr>
            <w:t>5.2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施工期导流控制标准</w:t>
          </w:r>
          <w:r>
            <w:rPr>
              <w:color w:val="auto"/>
            </w:rPr>
            <w:tab/>
          </w:r>
          <w:r>
            <w:rPr>
              <w:color w:val="auto"/>
            </w:rPr>
            <w:fldChar w:fldCharType="begin"/>
          </w:r>
          <w:r>
            <w:rPr>
              <w:color w:val="auto"/>
            </w:rPr>
            <w:instrText xml:space="preserve"> PAGEREF _Toc29605 \h </w:instrText>
          </w:r>
          <w:r>
            <w:rPr>
              <w:color w:val="auto"/>
            </w:rPr>
            <w:fldChar w:fldCharType="separate"/>
          </w:r>
          <w:r>
            <w:rPr>
              <w:color w:val="auto"/>
            </w:rPr>
            <w:t>- 206 -</w:t>
          </w:r>
          <w:r>
            <w:rPr>
              <w:color w:val="auto"/>
            </w:rPr>
            <w:fldChar w:fldCharType="end"/>
          </w:r>
          <w:r>
            <w:rPr>
              <w:color w:val="auto"/>
            </w:rPr>
            <w:fldChar w:fldCharType="end"/>
          </w:r>
        </w:p>
        <w:p w14:paraId="29F9F151">
          <w:pPr>
            <w:pStyle w:val="19"/>
            <w:tabs>
              <w:tab w:val="right" w:leader="dot" w:pos="8925"/>
            </w:tabs>
            <w:rPr>
              <w:color w:val="auto"/>
            </w:rPr>
          </w:pPr>
          <w:r>
            <w:fldChar w:fldCharType="begin"/>
          </w:r>
          <w:r>
            <w:instrText xml:space="preserve"> HYPERLINK \l "_Toc24954" </w:instrText>
          </w:r>
          <w:r>
            <w:fldChar w:fldCharType="separate"/>
          </w:r>
          <w:r>
            <w:rPr>
              <w:rFonts w:hint="eastAsia" w:ascii="宋体" w:hAnsi="宋体" w:eastAsia="宋体" w:cs="宋体"/>
              <w:bCs/>
              <w:color w:val="auto"/>
              <w:szCs w:val="24"/>
            </w:rPr>
            <w:t>5.3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截流（略）</w:t>
          </w:r>
          <w:r>
            <w:rPr>
              <w:color w:val="auto"/>
            </w:rPr>
            <w:tab/>
          </w:r>
          <w:r>
            <w:rPr>
              <w:color w:val="auto"/>
            </w:rPr>
            <w:fldChar w:fldCharType="begin"/>
          </w:r>
          <w:r>
            <w:rPr>
              <w:color w:val="auto"/>
            </w:rPr>
            <w:instrText xml:space="preserve"> PAGEREF _Toc24954 \h </w:instrText>
          </w:r>
          <w:r>
            <w:rPr>
              <w:color w:val="auto"/>
            </w:rPr>
            <w:fldChar w:fldCharType="separate"/>
          </w:r>
          <w:r>
            <w:rPr>
              <w:color w:val="auto"/>
            </w:rPr>
            <w:t>- 207 -</w:t>
          </w:r>
          <w:r>
            <w:rPr>
              <w:color w:val="auto"/>
            </w:rPr>
            <w:fldChar w:fldCharType="end"/>
          </w:r>
          <w:r>
            <w:rPr>
              <w:color w:val="auto"/>
            </w:rPr>
            <w:fldChar w:fldCharType="end"/>
          </w:r>
        </w:p>
        <w:p w14:paraId="74AB8923">
          <w:pPr>
            <w:pStyle w:val="19"/>
            <w:tabs>
              <w:tab w:val="right" w:leader="dot" w:pos="8925"/>
            </w:tabs>
            <w:rPr>
              <w:color w:val="auto"/>
            </w:rPr>
          </w:pPr>
          <w:r>
            <w:fldChar w:fldCharType="begin"/>
          </w:r>
          <w:r>
            <w:instrText xml:space="preserve"> HYPERLINK \l "_Toc7809" </w:instrText>
          </w:r>
          <w:r>
            <w:fldChar w:fldCharType="separate"/>
          </w:r>
          <w:r>
            <w:rPr>
              <w:rFonts w:hint="eastAsia" w:ascii="宋体" w:hAnsi="宋体" w:eastAsia="宋体" w:cs="宋体"/>
              <w:bCs/>
              <w:color w:val="auto"/>
              <w:szCs w:val="24"/>
            </w:rPr>
            <w:t>5.4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导流建筑物设计与施工</w:t>
          </w:r>
          <w:r>
            <w:rPr>
              <w:color w:val="auto"/>
            </w:rPr>
            <w:tab/>
          </w:r>
          <w:r>
            <w:rPr>
              <w:color w:val="auto"/>
            </w:rPr>
            <w:fldChar w:fldCharType="begin"/>
          </w:r>
          <w:r>
            <w:rPr>
              <w:color w:val="auto"/>
            </w:rPr>
            <w:instrText xml:space="preserve"> PAGEREF _Toc7809 \h </w:instrText>
          </w:r>
          <w:r>
            <w:rPr>
              <w:color w:val="auto"/>
            </w:rPr>
            <w:fldChar w:fldCharType="separate"/>
          </w:r>
          <w:r>
            <w:rPr>
              <w:color w:val="auto"/>
            </w:rPr>
            <w:t>- 207 -</w:t>
          </w:r>
          <w:r>
            <w:rPr>
              <w:color w:val="auto"/>
            </w:rPr>
            <w:fldChar w:fldCharType="end"/>
          </w:r>
          <w:r>
            <w:rPr>
              <w:color w:val="auto"/>
            </w:rPr>
            <w:fldChar w:fldCharType="end"/>
          </w:r>
        </w:p>
        <w:p w14:paraId="73B90650">
          <w:pPr>
            <w:pStyle w:val="19"/>
            <w:tabs>
              <w:tab w:val="right" w:leader="dot" w:pos="8925"/>
            </w:tabs>
            <w:rPr>
              <w:color w:val="auto"/>
            </w:rPr>
          </w:pPr>
          <w:r>
            <w:fldChar w:fldCharType="begin"/>
          </w:r>
          <w:r>
            <w:instrText xml:space="preserve"> HYPERLINK \l "_Toc22921" </w:instrText>
          </w:r>
          <w:r>
            <w:fldChar w:fldCharType="separate"/>
          </w:r>
          <w:r>
            <w:rPr>
              <w:rFonts w:hint="eastAsia" w:ascii="宋体" w:hAnsi="宋体" w:eastAsia="宋体" w:cs="宋体"/>
              <w:bCs/>
              <w:color w:val="auto"/>
              <w:szCs w:val="24"/>
            </w:rPr>
            <w:t>5.5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基坑排水</w:t>
          </w:r>
          <w:r>
            <w:rPr>
              <w:color w:val="auto"/>
            </w:rPr>
            <w:tab/>
          </w:r>
          <w:r>
            <w:rPr>
              <w:color w:val="auto"/>
            </w:rPr>
            <w:fldChar w:fldCharType="begin"/>
          </w:r>
          <w:r>
            <w:rPr>
              <w:color w:val="auto"/>
            </w:rPr>
            <w:instrText xml:space="preserve"> PAGEREF _Toc22921 \h </w:instrText>
          </w:r>
          <w:r>
            <w:rPr>
              <w:color w:val="auto"/>
            </w:rPr>
            <w:fldChar w:fldCharType="separate"/>
          </w:r>
          <w:r>
            <w:rPr>
              <w:color w:val="auto"/>
            </w:rPr>
            <w:t>- 208 -</w:t>
          </w:r>
          <w:r>
            <w:rPr>
              <w:color w:val="auto"/>
            </w:rPr>
            <w:fldChar w:fldCharType="end"/>
          </w:r>
          <w:r>
            <w:rPr>
              <w:color w:val="auto"/>
            </w:rPr>
            <w:fldChar w:fldCharType="end"/>
          </w:r>
        </w:p>
        <w:p w14:paraId="1C341BFB">
          <w:pPr>
            <w:pStyle w:val="19"/>
            <w:tabs>
              <w:tab w:val="right" w:leader="dot" w:pos="8925"/>
            </w:tabs>
            <w:rPr>
              <w:color w:val="auto"/>
            </w:rPr>
          </w:pPr>
          <w:r>
            <w:fldChar w:fldCharType="begin"/>
          </w:r>
          <w:r>
            <w:instrText xml:space="preserve"> HYPERLINK \l "_Toc260" </w:instrText>
          </w:r>
          <w:r>
            <w:fldChar w:fldCharType="separate"/>
          </w:r>
          <w:r>
            <w:rPr>
              <w:rFonts w:hint="eastAsia" w:ascii="宋体" w:hAnsi="宋体" w:eastAsia="宋体" w:cs="宋体"/>
              <w:bCs/>
              <w:color w:val="auto"/>
              <w:szCs w:val="24"/>
            </w:rPr>
            <w:t>5.6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安全度汛</w:t>
          </w:r>
          <w:r>
            <w:rPr>
              <w:color w:val="auto"/>
            </w:rPr>
            <w:tab/>
          </w:r>
          <w:r>
            <w:rPr>
              <w:color w:val="auto"/>
            </w:rPr>
            <w:fldChar w:fldCharType="begin"/>
          </w:r>
          <w:r>
            <w:rPr>
              <w:color w:val="auto"/>
            </w:rPr>
            <w:instrText xml:space="preserve"> PAGEREF _Toc260 \h </w:instrText>
          </w:r>
          <w:r>
            <w:rPr>
              <w:color w:val="auto"/>
            </w:rPr>
            <w:fldChar w:fldCharType="separate"/>
          </w:r>
          <w:r>
            <w:rPr>
              <w:color w:val="auto"/>
            </w:rPr>
            <w:t>- 208 -</w:t>
          </w:r>
          <w:r>
            <w:rPr>
              <w:color w:val="auto"/>
            </w:rPr>
            <w:fldChar w:fldCharType="end"/>
          </w:r>
          <w:r>
            <w:rPr>
              <w:color w:val="auto"/>
            </w:rPr>
            <w:fldChar w:fldCharType="end"/>
          </w:r>
        </w:p>
        <w:p w14:paraId="16223BD6">
          <w:pPr>
            <w:pStyle w:val="19"/>
            <w:tabs>
              <w:tab w:val="right" w:leader="dot" w:pos="8925"/>
            </w:tabs>
            <w:rPr>
              <w:color w:val="auto"/>
            </w:rPr>
          </w:pPr>
          <w:r>
            <w:fldChar w:fldCharType="begin"/>
          </w:r>
          <w:r>
            <w:instrText xml:space="preserve"> HYPERLINK \l "_Toc13322" </w:instrText>
          </w:r>
          <w:r>
            <w:fldChar w:fldCharType="separate"/>
          </w:r>
          <w:r>
            <w:rPr>
              <w:rFonts w:ascii="Times New Roman" w:hAnsi="Times New Roman" w:eastAsia="Times New Roman" w:cs="Times New Roman"/>
              <w:color w:val="auto"/>
              <w:szCs w:val="24"/>
            </w:rPr>
            <w:t>5.7</w:t>
          </w:r>
          <w:r>
            <w:rPr>
              <w:rFonts w:hint="eastAsia" w:ascii="Times New Roman" w:hAnsi="Times New Roman" w:eastAsia="宋体" w:cs="Times New Roman"/>
              <w:color w:val="auto"/>
              <w:szCs w:val="24"/>
              <w:lang w:eastAsia="zh-CN"/>
            </w:rPr>
            <w:t xml:space="preserve"> </w:t>
          </w:r>
          <w:r>
            <w:rPr>
              <w:rFonts w:ascii="宋体" w:hAnsi="宋体" w:eastAsia="宋体" w:cs="宋体"/>
              <w:color w:val="auto"/>
              <w:szCs w:val="24"/>
            </w:rPr>
            <w:t>下闸封堵和下游供水</w:t>
          </w:r>
          <w:r>
            <w:rPr>
              <w:color w:val="auto"/>
            </w:rPr>
            <w:tab/>
          </w:r>
          <w:r>
            <w:rPr>
              <w:color w:val="auto"/>
            </w:rPr>
            <w:fldChar w:fldCharType="begin"/>
          </w:r>
          <w:r>
            <w:rPr>
              <w:color w:val="auto"/>
            </w:rPr>
            <w:instrText xml:space="preserve"> PAGEREF _Toc13322 \h </w:instrText>
          </w:r>
          <w:r>
            <w:rPr>
              <w:color w:val="auto"/>
            </w:rPr>
            <w:fldChar w:fldCharType="separate"/>
          </w:r>
          <w:r>
            <w:rPr>
              <w:color w:val="auto"/>
            </w:rPr>
            <w:t>- 208 -</w:t>
          </w:r>
          <w:r>
            <w:rPr>
              <w:color w:val="auto"/>
            </w:rPr>
            <w:fldChar w:fldCharType="end"/>
          </w:r>
          <w:r>
            <w:rPr>
              <w:color w:val="auto"/>
            </w:rPr>
            <w:fldChar w:fldCharType="end"/>
          </w:r>
        </w:p>
        <w:p w14:paraId="3A5E3771">
          <w:pPr>
            <w:pStyle w:val="19"/>
            <w:tabs>
              <w:tab w:val="right" w:leader="dot" w:pos="8925"/>
            </w:tabs>
            <w:rPr>
              <w:color w:val="auto"/>
            </w:rPr>
          </w:pPr>
          <w:r>
            <w:fldChar w:fldCharType="begin"/>
          </w:r>
          <w:r>
            <w:instrText xml:space="preserve"> HYPERLINK \l "_Toc17667" </w:instrText>
          </w:r>
          <w:r>
            <w:fldChar w:fldCharType="separate"/>
          </w:r>
          <w:r>
            <w:rPr>
              <w:rFonts w:hint="eastAsia" w:ascii="宋体" w:hAnsi="宋体" w:eastAsia="宋体" w:cs="宋体"/>
              <w:bCs/>
              <w:color w:val="auto"/>
              <w:szCs w:val="24"/>
            </w:rPr>
            <w:t>5.7 下闸封堵和下游供水（略）</w:t>
          </w:r>
          <w:r>
            <w:rPr>
              <w:color w:val="auto"/>
            </w:rPr>
            <w:tab/>
          </w:r>
          <w:r>
            <w:rPr>
              <w:color w:val="auto"/>
            </w:rPr>
            <w:fldChar w:fldCharType="begin"/>
          </w:r>
          <w:r>
            <w:rPr>
              <w:color w:val="auto"/>
            </w:rPr>
            <w:instrText xml:space="preserve"> PAGEREF _Toc17667 \h </w:instrText>
          </w:r>
          <w:r>
            <w:rPr>
              <w:color w:val="auto"/>
            </w:rPr>
            <w:fldChar w:fldCharType="separate"/>
          </w:r>
          <w:r>
            <w:rPr>
              <w:color w:val="auto"/>
            </w:rPr>
            <w:t>- 208 -</w:t>
          </w:r>
          <w:r>
            <w:rPr>
              <w:color w:val="auto"/>
            </w:rPr>
            <w:fldChar w:fldCharType="end"/>
          </w:r>
          <w:r>
            <w:rPr>
              <w:color w:val="auto"/>
            </w:rPr>
            <w:fldChar w:fldCharType="end"/>
          </w:r>
        </w:p>
        <w:p w14:paraId="4B81B474">
          <w:pPr>
            <w:pStyle w:val="19"/>
            <w:tabs>
              <w:tab w:val="right" w:leader="dot" w:pos="8925"/>
            </w:tabs>
            <w:rPr>
              <w:color w:val="auto"/>
            </w:rPr>
          </w:pPr>
          <w:r>
            <w:fldChar w:fldCharType="begin"/>
          </w:r>
          <w:r>
            <w:instrText xml:space="preserve"> HYPERLINK \l "_Toc24743" </w:instrText>
          </w:r>
          <w:r>
            <w:fldChar w:fldCharType="separate"/>
          </w:r>
          <w:r>
            <w:rPr>
              <w:rFonts w:hint="eastAsia" w:ascii="宋体" w:hAnsi="宋体" w:eastAsia="宋体" w:cs="宋体"/>
              <w:bCs/>
              <w:color w:val="auto"/>
              <w:szCs w:val="24"/>
            </w:rPr>
            <w:t>5.9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质量检查和验收</w:t>
          </w:r>
          <w:r>
            <w:rPr>
              <w:color w:val="auto"/>
            </w:rPr>
            <w:tab/>
          </w:r>
          <w:r>
            <w:rPr>
              <w:color w:val="auto"/>
            </w:rPr>
            <w:fldChar w:fldCharType="begin"/>
          </w:r>
          <w:r>
            <w:rPr>
              <w:color w:val="auto"/>
            </w:rPr>
            <w:instrText xml:space="preserve"> PAGEREF _Toc24743 \h </w:instrText>
          </w:r>
          <w:r>
            <w:rPr>
              <w:color w:val="auto"/>
            </w:rPr>
            <w:fldChar w:fldCharType="separate"/>
          </w:r>
          <w:r>
            <w:rPr>
              <w:color w:val="auto"/>
            </w:rPr>
            <w:t>- 208 -</w:t>
          </w:r>
          <w:r>
            <w:rPr>
              <w:color w:val="auto"/>
            </w:rPr>
            <w:fldChar w:fldCharType="end"/>
          </w:r>
          <w:r>
            <w:rPr>
              <w:color w:val="auto"/>
            </w:rPr>
            <w:fldChar w:fldCharType="end"/>
          </w:r>
        </w:p>
        <w:p w14:paraId="49F4AE24">
          <w:pPr>
            <w:pStyle w:val="19"/>
            <w:tabs>
              <w:tab w:val="right" w:leader="dot" w:pos="8925"/>
            </w:tabs>
            <w:rPr>
              <w:color w:val="auto"/>
            </w:rPr>
          </w:pPr>
          <w:r>
            <w:fldChar w:fldCharType="begin"/>
          </w:r>
          <w:r>
            <w:instrText xml:space="preserve"> HYPERLINK \l "_Toc31745" </w:instrText>
          </w:r>
          <w:r>
            <w:fldChar w:fldCharType="separate"/>
          </w:r>
          <w:r>
            <w:rPr>
              <w:rFonts w:hint="eastAsia" w:ascii="宋体" w:hAnsi="宋体" w:eastAsia="宋体" w:cs="宋体"/>
              <w:bCs/>
              <w:color w:val="auto"/>
              <w:szCs w:val="24"/>
            </w:rPr>
            <w:t>5.10</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_Toc31745 \h </w:instrText>
          </w:r>
          <w:r>
            <w:rPr>
              <w:color w:val="auto"/>
            </w:rPr>
            <w:fldChar w:fldCharType="separate"/>
          </w:r>
          <w:r>
            <w:rPr>
              <w:color w:val="auto"/>
            </w:rPr>
            <w:t>- 209 -</w:t>
          </w:r>
          <w:r>
            <w:rPr>
              <w:color w:val="auto"/>
            </w:rPr>
            <w:fldChar w:fldCharType="end"/>
          </w:r>
          <w:r>
            <w:rPr>
              <w:color w:val="auto"/>
            </w:rPr>
            <w:fldChar w:fldCharType="end"/>
          </w:r>
        </w:p>
        <w:p w14:paraId="4AC9796A">
          <w:pPr>
            <w:pStyle w:val="18"/>
            <w:tabs>
              <w:tab w:val="right" w:leader="dot" w:pos="8925"/>
            </w:tabs>
            <w:rPr>
              <w:color w:val="auto"/>
            </w:rPr>
          </w:pPr>
          <w:r>
            <w:fldChar w:fldCharType="begin"/>
          </w:r>
          <w:r>
            <w:instrText xml:space="preserve"> HYPERLINK \l "_Toc4432" </w:instrText>
          </w:r>
          <w:r>
            <w:fldChar w:fldCharType="separate"/>
          </w:r>
          <w:r>
            <w:rPr>
              <w:rFonts w:ascii="Times New Roman" w:hAnsi="Times New Roman" w:eastAsia="Times New Roman" w:cs="Times New Roman"/>
              <w:bCs/>
              <w:color w:val="auto"/>
              <w:szCs w:val="28"/>
            </w:rPr>
            <w:t>6</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土方明挖</w:t>
          </w:r>
          <w:r>
            <w:rPr>
              <w:color w:val="auto"/>
            </w:rPr>
            <w:tab/>
          </w:r>
          <w:r>
            <w:rPr>
              <w:color w:val="auto"/>
            </w:rPr>
            <w:fldChar w:fldCharType="begin"/>
          </w:r>
          <w:r>
            <w:rPr>
              <w:color w:val="auto"/>
            </w:rPr>
            <w:instrText xml:space="preserve"> PAGEREF _Toc4432 \h </w:instrText>
          </w:r>
          <w:r>
            <w:rPr>
              <w:color w:val="auto"/>
            </w:rPr>
            <w:fldChar w:fldCharType="separate"/>
          </w:r>
          <w:r>
            <w:rPr>
              <w:color w:val="auto"/>
            </w:rPr>
            <w:t>- 210 -</w:t>
          </w:r>
          <w:r>
            <w:rPr>
              <w:color w:val="auto"/>
            </w:rPr>
            <w:fldChar w:fldCharType="end"/>
          </w:r>
          <w:r>
            <w:rPr>
              <w:color w:val="auto"/>
            </w:rPr>
            <w:fldChar w:fldCharType="end"/>
          </w:r>
        </w:p>
        <w:p w14:paraId="2E43A549">
          <w:pPr>
            <w:pStyle w:val="19"/>
            <w:tabs>
              <w:tab w:val="right" w:leader="dot" w:pos="8925"/>
            </w:tabs>
            <w:rPr>
              <w:color w:val="auto"/>
            </w:rPr>
          </w:pPr>
          <w:r>
            <w:fldChar w:fldCharType="begin"/>
          </w:r>
          <w:r>
            <w:instrText xml:space="preserve"> HYPERLINK \l "_Toc17600" </w:instrText>
          </w:r>
          <w:r>
            <w:fldChar w:fldCharType="separate"/>
          </w:r>
          <w:r>
            <w:rPr>
              <w:rFonts w:hint="eastAsia" w:ascii="宋体" w:hAnsi="宋体" w:eastAsia="宋体" w:cs="宋体"/>
              <w:bCs/>
              <w:color w:val="auto"/>
              <w:szCs w:val="24"/>
            </w:rPr>
            <w:t>6.1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_Toc17600 \h </w:instrText>
          </w:r>
          <w:r>
            <w:rPr>
              <w:color w:val="auto"/>
            </w:rPr>
            <w:fldChar w:fldCharType="separate"/>
          </w:r>
          <w:r>
            <w:rPr>
              <w:color w:val="auto"/>
            </w:rPr>
            <w:t>- 210 -</w:t>
          </w:r>
          <w:r>
            <w:rPr>
              <w:color w:val="auto"/>
            </w:rPr>
            <w:fldChar w:fldCharType="end"/>
          </w:r>
          <w:r>
            <w:rPr>
              <w:color w:val="auto"/>
            </w:rPr>
            <w:fldChar w:fldCharType="end"/>
          </w:r>
        </w:p>
        <w:p w14:paraId="7428A9D3">
          <w:pPr>
            <w:pStyle w:val="19"/>
            <w:tabs>
              <w:tab w:val="right" w:leader="dot" w:pos="8925"/>
            </w:tabs>
            <w:rPr>
              <w:color w:val="auto"/>
            </w:rPr>
          </w:pPr>
          <w:r>
            <w:fldChar w:fldCharType="begin"/>
          </w:r>
          <w:r>
            <w:instrText xml:space="preserve"> HYPERLINK \l "_Toc5128" </w:instrText>
          </w:r>
          <w:r>
            <w:fldChar w:fldCharType="separate"/>
          </w:r>
          <w:r>
            <w:rPr>
              <w:rFonts w:hint="eastAsia" w:ascii="宋体" w:hAnsi="宋体" w:eastAsia="宋体" w:cs="宋体"/>
              <w:bCs/>
              <w:color w:val="auto"/>
              <w:szCs w:val="24"/>
            </w:rPr>
            <w:t>6.2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场地清理</w:t>
          </w:r>
          <w:r>
            <w:rPr>
              <w:color w:val="auto"/>
            </w:rPr>
            <w:tab/>
          </w:r>
          <w:r>
            <w:rPr>
              <w:color w:val="auto"/>
            </w:rPr>
            <w:fldChar w:fldCharType="begin"/>
          </w:r>
          <w:r>
            <w:rPr>
              <w:color w:val="auto"/>
            </w:rPr>
            <w:instrText xml:space="preserve"> PAGEREF _Toc5128 \h </w:instrText>
          </w:r>
          <w:r>
            <w:rPr>
              <w:color w:val="auto"/>
            </w:rPr>
            <w:fldChar w:fldCharType="separate"/>
          </w:r>
          <w:r>
            <w:rPr>
              <w:color w:val="auto"/>
            </w:rPr>
            <w:t>- 211 -</w:t>
          </w:r>
          <w:r>
            <w:rPr>
              <w:color w:val="auto"/>
            </w:rPr>
            <w:fldChar w:fldCharType="end"/>
          </w:r>
          <w:r>
            <w:rPr>
              <w:color w:val="auto"/>
            </w:rPr>
            <w:fldChar w:fldCharType="end"/>
          </w:r>
        </w:p>
        <w:p w14:paraId="5707E85B">
          <w:pPr>
            <w:pStyle w:val="19"/>
            <w:tabs>
              <w:tab w:val="right" w:leader="dot" w:pos="8925"/>
            </w:tabs>
            <w:rPr>
              <w:color w:val="auto"/>
            </w:rPr>
          </w:pPr>
          <w:r>
            <w:fldChar w:fldCharType="begin"/>
          </w:r>
          <w:r>
            <w:instrText xml:space="preserve"> HYPERLINK \l "_Toc24151" </w:instrText>
          </w:r>
          <w:r>
            <w:fldChar w:fldCharType="separate"/>
          </w:r>
          <w:r>
            <w:rPr>
              <w:rFonts w:hint="eastAsia" w:ascii="宋体" w:hAnsi="宋体" w:eastAsia="宋体" w:cs="宋体"/>
              <w:bCs/>
              <w:color w:val="auto"/>
              <w:szCs w:val="24"/>
            </w:rPr>
            <w:t>6.3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土方明挖</w:t>
          </w:r>
          <w:r>
            <w:rPr>
              <w:color w:val="auto"/>
            </w:rPr>
            <w:tab/>
          </w:r>
          <w:r>
            <w:rPr>
              <w:color w:val="auto"/>
            </w:rPr>
            <w:fldChar w:fldCharType="begin"/>
          </w:r>
          <w:r>
            <w:rPr>
              <w:color w:val="auto"/>
            </w:rPr>
            <w:instrText xml:space="preserve"> PAGEREF _Toc24151 \h </w:instrText>
          </w:r>
          <w:r>
            <w:rPr>
              <w:color w:val="auto"/>
            </w:rPr>
            <w:fldChar w:fldCharType="separate"/>
          </w:r>
          <w:r>
            <w:rPr>
              <w:color w:val="auto"/>
            </w:rPr>
            <w:t>- 212 -</w:t>
          </w:r>
          <w:r>
            <w:rPr>
              <w:color w:val="auto"/>
            </w:rPr>
            <w:fldChar w:fldCharType="end"/>
          </w:r>
          <w:r>
            <w:rPr>
              <w:color w:val="auto"/>
            </w:rPr>
            <w:fldChar w:fldCharType="end"/>
          </w:r>
        </w:p>
        <w:p w14:paraId="6569C9B1">
          <w:pPr>
            <w:pStyle w:val="19"/>
            <w:tabs>
              <w:tab w:val="right" w:leader="dot" w:pos="8925"/>
            </w:tabs>
            <w:rPr>
              <w:color w:val="auto"/>
            </w:rPr>
          </w:pPr>
          <w:r>
            <w:fldChar w:fldCharType="begin"/>
          </w:r>
          <w:r>
            <w:instrText xml:space="preserve"> HYPERLINK \l "_Toc14374" </w:instrText>
          </w:r>
          <w:r>
            <w:fldChar w:fldCharType="separate"/>
          </w:r>
          <w:r>
            <w:rPr>
              <w:rFonts w:hint="eastAsia" w:ascii="宋体" w:hAnsi="宋体" w:eastAsia="宋体" w:cs="宋体"/>
              <w:bCs/>
              <w:color w:val="auto"/>
              <w:szCs w:val="24"/>
            </w:rPr>
            <w:t>6.4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施工期临时排水</w:t>
          </w:r>
          <w:r>
            <w:rPr>
              <w:color w:val="auto"/>
            </w:rPr>
            <w:tab/>
          </w:r>
          <w:r>
            <w:rPr>
              <w:color w:val="auto"/>
            </w:rPr>
            <w:fldChar w:fldCharType="begin"/>
          </w:r>
          <w:r>
            <w:rPr>
              <w:color w:val="auto"/>
            </w:rPr>
            <w:instrText xml:space="preserve"> PAGEREF _Toc14374 \h </w:instrText>
          </w:r>
          <w:r>
            <w:rPr>
              <w:color w:val="auto"/>
            </w:rPr>
            <w:fldChar w:fldCharType="separate"/>
          </w:r>
          <w:r>
            <w:rPr>
              <w:color w:val="auto"/>
            </w:rPr>
            <w:t>- 213 -</w:t>
          </w:r>
          <w:r>
            <w:rPr>
              <w:color w:val="auto"/>
            </w:rPr>
            <w:fldChar w:fldCharType="end"/>
          </w:r>
          <w:r>
            <w:rPr>
              <w:color w:val="auto"/>
            </w:rPr>
            <w:fldChar w:fldCharType="end"/>
          </w:r>
        </w:p>
        <w:p w14:paraId="266B74F4">
          <w:pPr>
            <w:pStyle w:val="19"/>
            <w:tabs>
              <w:tab w:val="right" w:leader="dot" w:pos="8925"/>
            </w:tabs>
            <w:rPr>
              <w:color w:val="auto"/>
            </w:rPr>
          </w:pPr>
          <w:r>
            <w:fldChar w:fldCharType="begin"/>
          </w:r>
          <w:r>
            <w:instrText xml:space="preserve"> HYPERLINK \l "_Toc7411" </w:instrText>
          </w:r>
          <w:r>
            <w:fldChar w:fldCharType="separate"/>
          </w:r>
          <w:r>
            <w:rPr>
              <w:rFonts w:hint="eastAsia" w:ascii="宋体" w:hAnsi="宋体" w:eastAsia="宋体" w:cs="宋体"/>
              <w:bCs/>
              <w:color w:val="auto"/>
              <w:szCs w:val="24"/>
            </w:rPr>
            <w:t>6.5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土料场和砂砾料场开采</w:t>
          </w:r>
          <w:r>
            <w:rPr>
              <w:color w:val="auto"/>
            </w:rPr>
            <w:tab/>
          </w:r>
          <w:r>
            <w:rPr>
              <w:color w:val="auto"/>
            </w:rPr>
            <w:fldChar w:fldCharType="begin"/>
          </w:r>
          <w:r>
            <w:rPr>
              <w:color w:val="auto"/>
            </w:rPr>
            <w:instrText xml:space="preserve"> PAGEREF _Toc7411 \h </w:instrText>
          </w:r>
          <w:r>
            <w:rPr>
              <w:color w:val="auto"/>
            </w:rPr>
            <w:fldChar w:fldCharType="separate"/>
          </w:r>
          <w:r>
            <w:rPr>
              <w:color w:val="auto"/>
            </w:rPr>
            <w:t>- 214 -</w:t>
          </w:r>
          <w:r>
            <w:rPr>
              <w:color w:val="auto"/>
            </w:rPr>
            <w:fldChar w:fldCharType="end"/>
          </w:r>
          <w:r>
            <w:rPr>
              <w:color w:val="auto"/>
            </w:rPr>
            <w:fldChar w:fldCharType="end"/>
          </w:r>
        </w:p>
        <w:p w14:paraId="03726C77">
          <w:pPr>
            <w:pStyle w:val="19"/>
            <w:tabs>
              <w:tab w:val="right" w:leader="dot" w:pos="8925"/>
            </w:tabs>
            <w:rPr>
              <w:color w:val="auto"/>
            </w:rPr>
          </w:pPr>
          <w:r>
            <w:fldChar w:fldCharType="begin"/>
          </w:r>
          <w:r>
            <w:instrText xml:space="preserve"> HYPERLINK \l "_Toc653" </w:instrText>
          </w:r>
          <w:r>
            <w:fldChar w:fldCharType="separate"/>
          </w:r>
          <w:r>
            <w:rPr>
              <w:rFonts w:hint="eastAsia" w:ascii="宋体" w:hAnsi="宋体" w:eastAsia="宋体" w:cs="宋体"/>
              <w:bCs/>
              <w:color w:val="auto"/>
              <w:szCs w:val="24"/>
            </w:rPr>
            <w:t>6.6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开挖渣料的利用和弃渣处理</w:t>
          </w:r>
          <w:r>
            <w:rPr>
              <w:color w:val="auto"/>
            </w:rPr>
            <w:tab/>
          </w:r>
          <w:r>
            <w:rPr>
              <w:color w:val="auto"/>
            </w:rPr>
            <w:fldChar w:fldCharType="begin"/>
          </w:r>
          <w:r>
            <w:rPr>
              <w:color w:val="auto"/>
            </w:rPr>
            <w:instrText xml:space="preserve"> PAGEREF _Toc653 \h </w:instrText>
          </w:r>
          <w:r>
            <w:rPr>
              <w:color w:val="auto"/>
            </w:rPr>
            <w:fldChar w:fldCharType="separate"/>
          </w:r>
          <w:r>
            <w:rPr>
              <w:color w:val="auto"/>
            </w:rPr>
            <w:t>- 214 -</w:t>
          </w:r>
          <w:r>
            <w:rPr>
              <w:color w:val="auto"/>
            </w:rPr>
            <w:fldChar w:fldCharType="end"/>
          </w:r>
          <w:r>
            <w:rPr>
              <w:color w:val="auto"/>
            </w:rPr>
            <w:fldChar w:fldCharType="end"/>
          </w:r>
        </w:p>
        <w:p w14:paraId="57B7D111">
          <w:pPr>
            <w:pStyle w:val="19"/>
            <w:tabs>
              <w:tab w:val="right" w:leader="dot" w:pos="8925"/>
            </w:tabs>
            <w:rPr>
              <w:color w:val="auto"/>
            </w:rPr>
          </w:pPr>
          <w:r>
            <w:fldChar w:fldCharType="begin"/>
          </w:r>
          <w:r>
            <w:instrText xml:space="preserve"> HYPERLINK \l "_Toc5551" </w:instrText>
          </w:r>
          <w:r>
            <w:fldChar w:fldCharType="separate"/>
          </w:r>
          <w:r>
            <w:rPr>
              <w:rFonts w:hint="eastAsia" w:ascii="宋体" w:hAnsi="宋体" w:eastAsia="宋体" w:cs="宋体"/>
              <w:bCs/>
              <w:color w:val="auto"/>
              <w:szCs w:val="24"/>
            </w:rPr>
            <w:t>6.7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检查和验收</w:t>
          </w:r>
          <w:r>
            <w:rPr>
              <w:color w:val="auto"/>
            </w:rPr>
            <w:tab/>
          </w:r>
          <w:r>
            <w:rPr>
              <w:color w:val="auto"/>
            </w:rPr>
            <w:fldChar w:fldCharType="begin"/>
          </w:r>
          <w:r>
            <w:rPr>
              <w:color w:val="auto"/>
            </w:rPr>
            <w:instrText xml:space="preserve"> PAGEREF _Toc5551 \h </w:instrText>
          </w:r>
          <w:r>
            <w:rPr>
              <w:color w:val="auto"/>
            </w:rPr>
            <w:fldChar w:fldCharType="separate"/>
          </w:r>
          <w:r>
            <w:rPr>
              <w:color w:val="auto"/>
            </w:rPr>
            <w:t>- 215 -</w:t>
          </w:r>
          <w:r>
            <w:rPr>
              <w:color w:val="auto"/>
            </w:rPr>
            <w:fldChar w:fldCharType="end"/>
          </w:r>
          <w:r>
            <w:rPr>
              <w:color w:val="auto"/>
            </w:rPr>
            <w:fldChar w:fldCharType="end"/>
          </w:r>
        </w:p>
        <w:p w14:paraId="41DC7016">
          <w:pPr>
            <w:pStyle w:val="19"/>
            <w:tabs>
              <w:tab w:val="right" w:leader="dot" w:pos="8925"/>
            </w:tabs>
            <w:rPr>
              <w:color w:val="auto"/>
            </w:rPr>
          </w:pPr>
          <w:r>
            <w:fldChar w:fldCharType="begin"/>
          </w:r>
          <w:r>
            <w:instrText xml:space="preserve"> HYPERLINK \l "_Toc20643" </w:instrText>
          </w:r>
          <w:r>
            <w:fldChar w:fldCharType="separate"/>
          </w:r>
          <w:r>
            <w:rPr>
              <w:rFonts w:hint="eastAsia" w:ascii="宋体" w:hAnsi="宋体" w:eastAsia="宋体" w:cs="宋体"/>
              <w:bCs/>
              <w:color w:val="auto"/>
              <w:szCs w:val="24"/>
            </w:rPr>
            <w:t>6.8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_Toc20643 \h </w:instrText>
          </w:r>
          <w:r>
            <w:rPr>
              <w:color w:val="auto"/>
            </w:rPr>
            <w:fldChar w:fldCharType="separate"/>
          </w:r>
          <w:r>
            <w:rPr>
              <w:color w:val="auto"/>
            </w:rPr>
            <w:t>- 216 -</w:t>
          </w:r>
          <w:r>
            <w:rPr>
              <w:color w:val="auto"/>
            </w:rPr>
            <w:fldChar w:fldCharType="end"/>
          </w:r>
          <w:r>
            <w:rPr>
              <w:color w:val="auto"/>
            </w:rPr>
            <w:fldChar w:fldCharType="end"/>
          </w:r>
        </w:p>
        <w:p w14:paraId="40C4DFF2">
          <w:pPr>
            <w:pStyle w:val="18"/>
            <w:tabs>
              <w:tab w:val="right" w:leader="dot" w:pos="8925"/>
            </w:tabs>
            <w:rPr>
              <w:color w:val="auto"/>
            </w:rPr>
          </w:pPr>
          <w:r>
            <w:fldChar w:fldCharType="begin"/>
          </w:r>
          <w:r>
            <w:instrText xml:space="preserve"> HYPERLINK \l "_Toc16940" </w:instrText>
          </w:r>
          <w:r>
            <w:fldChar w:fldCharType="separate"/>
          </w:r>
          <w:r>
            <w:rPr>
              <w:rFonts w:ascii="Times New Roman" w:hAnsi="Times New Roman" w:eastAsia="Times New Roman" w:cs="Times New Roman"/>
              <w:bCs/>
              <w:color w:val="auto"/>
              <w:szCs w:val="28"/>
            </w:rPr>
            <w:t>7</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石方明挖</w:t>
          </w:r>
          <w:r>
            <w:rPr>
              <w:color w:val="auto"/>
            </w:rPr>
            <w:tab/>
          </w:r>
          <w:r>
            <w:rPr>
              <w:color w:val="auto"/>
            </w:rPr>
            <w:fldChar w:fldCharType="begin"/>
          </w:r>
          <w:r>
            <w:rPr>
              <w:color w:val="auto"/>
            </w:rPr>
            <w:instrText xml:space="preserve"> PAGEREF _Toc16940 \h </w:instrText>
          </w:r>
          <w:r>
            <w:rPr>
              <w:color w:val="auto"/>
            </w:rPr>
            <w:fldChar w:fldCharType="separate"/>
          </w:r>
          <w:r>
            <w:rPr>
              <w:color w:val="auto"/>
            </w:rPr>
            <w:t>- 218 -</w:t>
          </w:r>
          <w:r>
            <w:rPr>
              <w:color w:val="auto"/>
            </w:rPr>
            <w:fldChar w:fldCharType="end"/>
          </w:r>
          <w:r>
            <w:rPr>
              <w:color w:val="auto"/>
            </w:rPr>
            <w:fldChar w:fldCharType="end"/>
          </w:r>
        </w:p>
        <w:p w14:paraId="5BD02C97">
          <w:pPr>
            <w:pStyle w:val="18"/>
            <w:tabs>
              <w:tab w:val="right" w:leader="dot" w:pos="8925"/>
            </w:tabs>
            <w:rPr>
              <w:color w:val="auto"/>
            </w:rPr>
          </w:pPr>
          <w:r>
            <w:fldChar w:fldCharType="begin"/>
          </w:r>
          <w:r>
            <w:instrText xml:space="preserve"> HYPERLINK \l "_Toc18452" </w:instrText>
          </w:r>
          <w:r>
            <w:fldChar w:fldCharType="separate"/>
          </w:r>
          <w:r>
            <w:rPr>
              <w:rFonts w:ascii="Times New Roman" w:hAnsi="Times New Roman" w:eastAsia="Times New Roman" w:cs="Times New Roman"/>
              <w:bCs/>
              <w:color w:val="auto"/>
              <w:szCs w:val="28"/>
            </w:rPr>
            <w:t>8</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地下洞室开挖</w:t>
          </w:r>
          <w:r>
            <w:rPr>
              <w:color w:val="auto"/>
            </w:rPr>
            <w:tab/>
          </w:r>
          <w:r>
            <w:rPr>
              <w:color w:val="auto"/>
            </w:rPr>
            <w:fldChar w:fldCharType="begin"/>
          </w:r>
          <w:r>
            <w:rPr>
              <w:color w:val="auto"/>
            </w:rPr>
            <w:instrText xml:space="preserve"> PAGEREF _Toc18452 \h </w:instrText>
          </w:r>
          <w:r>
            <w:rPr>
              <w:color w:val="auto"/>
            </w:rPr>
            <w:fldChar w:fldCharType="separate"/>
          </w:r>
          <w:r>
            <w:rPr>
              <w:color w:val="auto"/>
            </w:rPr>
            <w:t>- 218 -</w:t>
          </w:r>
          <w:r>
            <w:rPr>
              <w:color w:val="auto"/>
            </w:rPr>
            <w:fldChar w:fldCharType="end"/>
          </w:r>
          <w:r>
            <w:rPr>
              <w:color w:val="auto"/>
            </w:rPr>
            <w:fldChar w:fldCharType="end"/>
          </w:r>
        </w:p>
        <w:p w14:paraId="5C4B895A">
          <w:pPr>
            <w:pStyle w:val="18"/>
            <w:tabs>
              <w:tab w:val="right" w:leader="dot" w:pos="8925"/>
            </w:tabs>
            <w:rPr>
              <w:color w:val="auto"/>
            </w:rPr>
          </w:pPr>
          <w:r>
            <w:fldChar w:fldCharType="begin"/>
          </w:r>
          <w:r>
            <w:instrText xml:space="preserve"> HYPERLINK \l "_Toc8644" </w:instrText>
          </w:r>
          <w:r>
            <w:fldChar w:fldCharType="separate"/>
          </w:r>
          <w:r>
            <w:rPr>
              <w:rFonts w:hint="eastAsia" w:ascii="宋体" w:hAnsi="宋体" w:eastAsia="宋体" w:cs="宋体"/>
              <w:bCs/>
              <w:color w:val="auto"/>
              <w:szCs w:val="28"/>
            </w:rPr>
            <w:t>9</w:t>
          </w:r>
          <w:r>
            <w:rPr>
              <w:rFonts w:hint="eastAsia" w:ascii="宋体" w:hAnsi="宋体" w:eastAsia="宋体" w:cs="宋体"/>
              <w:bCs/>
              <w:color w:val="auto"/>
              <w:szCs w:val="28"/>
              <w:lang w:eastAsia="zh-CN"/>
            </w:rPr>
            <w:t xml:space="preserve"> </w:t>
          </w:r>
          <w:r>
            <w:rPr>
              <w:rFonts w:hint="eastAsia" w:ascii="宋体" w:hAnsi="宋体" w:eastAsia="宋体" w:cs="宋体"/>
              <w:bCs/>
              <w:color w:val="auto"/>
              <w:szCs w:val="28"/>
            </w:rPr>
            <w:t>支护工程</w:t>
          </w:r>
          <w:r>
            <w:rPr>
              <w:color w:val="auto"/>
            </w:rPr>
            <w:tab/>
          </w:r>
          <w:r>
            <w:rPr>
              <w:color w:val="auto"/>
            </w:rPr>
            <w:fldChar w:fldCharType="begin"/>
          </w:r>
          <w:r>
            <w:rPr>
              <w:color w:val="auto"/>
            </w:rPr>
            <w:instrText xml:space="preserve"> PAGEREF _Toc8644 \h </w:instrText>
          </w:r>
          <w:r>
            <w:rPr>
              <w:color w:val="auto"/>
            </w:rPr>
            <w:fldChar w:fldCharType="separate"/>
          </w:r>
          <w:r>
            <w:rPr>
              <w:color w:val="auto"/>
            </w:rPr>
            <w:t>- 219 -</w:t>
          </w:r>
          <w:r>
            <w:rPr>
              <w:color w:val="auto"/>
            </w:rPr>
            <w:fldChar w:fldCharType="end"/>
          </w:r>
          <w:r>
            <w:rPr>
              <w:color w:val="auto"/>
            </w:rPr>
            <w:fldChar w:fldCharType="end"/>
          </w:r>
        </w:p>
        <w:p w14:paraId="58E11C22">
          <w:pPr>
            <w:pStyle w:val="19"/>
            <w:tabs>
              <w:tab w:val="right" w:leader="dot" w:pos="8925"/>
            </w:tabs>
            <w:rPr>
              <w:color w:val="auto"/>
            </w:rPr>
          </w:pPr>
          <w:r>
            <w:fldChar w:fldCharType="begin"/>
          </w:r>
          <w:r>
            <w:instrText xml:space="preserve"> HYPERLINK \l "_Toc8615" </w:instrText>
          </w:r>
          <w:r>
            <w:fldChar w:fldCharType="separate"/>
          </w:r>
          <w:r>
            <w:rPr>
              <w:rFonts w:hint="eastAsia" w:ascii="宋体" w:hAnsi="宋体" w:eastAsia="宋体" w:cs="宋体"/>
              <w:bCs/>
              <w:color w:val="auto"/>
              <w:szCs w:val="24"/>
            </w:rPr>
            <w:t>9.1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_Toc8615 \h </w:instrText>
          </w:r>
          <w:r>
            <w:rPr>
              <w:color w:val="auto"/>
            </w:rPr>
            <w:fldChar w:fldCharType="separate"/>
          </w:r>
          <w:r>
            <w:rPr>
              <w:color w:val="auto"/>
            </w:rPr>
            <w:t>- 219 -</w:t>
          </w:r>
          <w:r>
            <w:rPr>
              <w:color w:val="auto"/>
            </w:rPr>
            <w:fldChar w:fldCharType="end"/>
          </w:r>
          <w:r>
            <w:rPr>
              <w:color w:val="auto"/>
            </w:rPr>
            <w:fldChar w:fldCharType="end"/>
          </w:r>
        </w:p>
        <w:p w14:paraId="4F012768">
          <w:pPr>
            <w:pStyle w:val="19"/>
            <w:tabs>
              <w:tab w:val="right" w:leader="dot" w:pos="8925"/>
            </w:tabs>
            <w:rPr>
              <w:color w:val="auto"/>
            </w:rPr>
          </w:pPr>
          <w:r>
            <w:fldChar w:fldCharType="begin"/>
          </w:r>
          <w:r>
            <w:instrText xml:space="preserve"> HYPERLINK \l "_Toc19864" </w:instrText>
          </w:r>
          <w:r>
            <w:fldChar w:fldCharType="separate"/>
          </w:r>
          <w:r>
            <w:rPr>
              <w:rFonts w:hint="eastAsia" w:ascii="宋体" w:hAnsi="宋体" w:eastAsia="宋体" w:cs="宋体"/>
              <w:bCs/>
              <w:color w:val="auto"/>
              <w:szCs w:val="24"/>
            </w:rPr>
            <w:t>9.2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格构式斜桩支撑</w:t>
          </w:r>
          <w:r>
            <w:rPr>
              <w:color w:val="auto"/>
            </w:rPr>
            <w:tab/>
          </w:r>
          <w:r>
            <w:rPr>
              <w:color w:val="auto"/>
            </w:rPr>
            <w:fldChar w:fldCharType="begin"/>
          </w:r>
          <w:r>
            <w:rPr>
              <w:color w:val="auto"/>
            </w:rPr>
            <w:instrText xml:space="preserve"> PAGEREF _Toc19864 \h </w:instrText>
          </w:r>
          <w:r>
            <w:rPr>
              <w:color w:val="auto"/>
            </w:rPr>
            <w:fldChar w:fldCharType="separate"/>
          </w:r>
          <w:r>
            <w:rPr>
              <w:color w:val="auto"/>
            </w:rPr>
            <w:t>- 220 -</w:t>
          </w:r>
          <w:r>
            <w:rPr>
              <w:color w:val="auto"/>
            </w:rPr>
            <w:fldChar w:fldCharType="end"/>
          </w:r>
          <w:r>
            <w:rPr>
              <w:color w:val="auto"/>
            </w:rPr>
            <w:fldChar w:fldCharType="end"/>
          </w:r>
        </w:p>
        <w:p w14:paraId="7A519F90">
          <w:pPr>
            <w:pStyle w:val="19"/>
            <w:tabs>
              <w:tab w:val="right" w:leader="dot" w:pos="8925"/>
            </w:tabs>
            <w:rPr>
              <w:color w:val="auto"/>
            </w:rPr>
          </w:pPr>
          <w:r>
            <w:fldChar w:fldCharType="begin"/>
          </w:r>
          <w:r>
            <w:instrText xml:space="preserve"> HYPERLINK \l "_Toc4008" </w:instrText>
          </w:r>
          <w:r>
            <w:fldChar w:fldCharType="separate"/>
          </w:r>
          <w:r>
            <w:rPr>
              <w:rFonts w:hint="eastAsia" w:ascii="宋体" w:hAnsi="宋体" w:eastAsia="宋体" w:cs="宋体"/>
              <w:bCs/>
              <w:color w:val="auto"/>
              <w:szCs w:val="24"/>
            </w:rPr>
            <w:t>9.3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立柱、立柱桩</w:t>
          </w:r>
          <w:r>
            <w:rPr>
              <w:color w:val="auto"/>
            </w:rPr>
            <w:tab/>
          </w:r>
          <w:r>
            <w:rPr>
              <w:color w:val="auto"/>
            </w:rPr>
            <w:fldChar w:fldCharType="begin"/>
          </w:r>
          <w:r>
            <w:rPr>
              <w:color w:val="auto"/>
            </w:rPr>
            <w:instrText xml:space="preserve"> PAGEREF _Toc4008 \h </w:instrText>
          </w:r>
          <w:r>
            <w:rPr>
              <w:color w:val="auto"/>
            </w:rPr>
            <w:fldChar w:fldCharType="separate"/>
          </w:r>
          <w:r>
            <w:rPr>
              <w:color w:val="auto"/>
            </w:rPr>
            <w:t>- 221 -</w:t>
          </w:r>
          <w:r>
            <w:rPr>
              <w:color w:val="auto"/>
            </w:rPr>
            <w:fldChar w:fldCharType="end"/>
          </w:r>
          <w:r>
            <w:rPr>
              <w:color w:val="auto"/>
            </w:rPr>
            <w:fldChar w:fldCharType="end"/>
          </w:r>
        </w:p>
        <w:p w14:paraId="28634EE6">
          <w:pPr>
            <w:pStyle w:val="19"/>
            <w:tabs>
              <w:tab w:val="right" w:leader="dot" w:pos="8925"/>
            </w:tabs>
            <w:rPr>
              <w:color w:val="auto"/>
            </w:rPr>
          </w:pPr>
          <w:r>
            <w:fldChar w:fldCharType="begin"/>
          </w:r>
          <w:r>
            <w:instrText xml:space="preserve"> HYPERLINK \l "_Toc24005" </w:instrText>
          </w:r>
          <w:r>
            <w:fldChar w:fldCharType="separate"/>
          </w:r>
          <w:r>
            <w:rPr>
              <w:rFonts w:hint="eastAsia" w:ascii="宋体" w:hAnsi="宋体" w:eastAsia="宋体" w:cs="宋体"/>
              <w:bCs/>
              <w:color w:val="auto"/>
              <w:szCs w:val="24"/>
            </w:rPr>
            <w:t>9.4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喷射混凝土</w:t>
          </w:r>
          <w:r>
            <w:rPr>
              <w:color w:val="auto"/>
            </w:rPr>
            <w:tab/>
          </w:r>
          <w:r>
            <w:rPr>
              <w:color w:val="auto"/>
            </w:rPr>
            <w:fldChar w:fldCharType="begin"/>
          </w:r>
          <w:r>
            <w:rPr>
              <w:color w:val="auto"/>
            </w:rPr>
            <w:instrText xml:space="preserve"> PAGEREF _Toc24005 \h </w:instrText>
          </w:r>
          <w:r>
            <w:rPr>
              <w:color w:val="auto"/>
            </w:rPr>
            <w:fldChar w:fldCharType="separate"/>
          </w:r>
          <w:r>
            <w:rPr>
              <w:color w:val="auto"/>
            </w:rPr>
            <w:t>- 222 -</w:t>
          </w:r>
          <w:r>
            <w:rPr>
              <w:color w:val="auto"/>
            </w:rPr>
            <w:fldChar w:fldCharType="end"/>
          </w:r>
          <w:r>
            <w:rPr>
              <w:color w:val="auto"/>
            </w:rPr>
            <w:fldChar w:fldCharType="end"/>
          </w:r>
        </w:p>
        <w:p w14:paraId="04D6A380">
          <w:pPr>
            <w:pStyle w:val="19"/>
            <w:tabs>
              <w:tab w:val="right" w:leader="dot" w:pos="8925"/>
            </w:tabs>
            <w:rPr>
              <w:color w:val="auto"/>
            </w:rPr>
          </w:pPr>
          <w:r>
            <w:fldChar w:fldCharType="begin"/>
          </w:r>
          <w:r>
            <w:instrText xml:space="preserve"> HYPERLINK \l "_Toc17588" </w:instrText>
          </w:r>
          <w:r>
            <w:fldChar w:fldCharType="separate"/>
          </w:r>
          <w:r>
            <w:rPr>
              <w:rFonts w:hint="eastAsia" w:ascii="宋体" w:hAnsi="宋体" w:eastAsia="宋体" w:cs="宋体"/>
              <w:bCs/>
              <w:color w:val="auto"/>
              <w:szCs w:val="24"/>
            </w:rPr>
            <w:t>9.5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地下洞室支护</w:t>
          </w:r>
          <w:r>
            <w:rPr>
              <w:color w:val="auto"/>
            </w:rPr>
            <w:tab/>
          </w:r>
          <w:r>
            <w:rPr>
              <w:color w:val="auto"/>
            </w:rPr>
            <w:fldChar w:fldCharType="begin"/>
          </w:r>
          <w:r>
            <w:rPr>
              <w:color w:val="auto"/>
            </w:rPr>
            <w:instrText xml:space="preserve"> PAGEREF _Toc17588 \h </w:instrText>
          </w:r>
          <w:r>
            <w:rPr>
              <w:color w:val="auto"/>
            </w:rPr>
            <w:fldChar w:fldCharType="separate"/>
          </w:r>
          <w:r>
            <w:rPr>
              <w:color w:val="auto"/>
            </w:rPr>
            <w:t>- 224 -</w:t>
          </w:r>
          <w:r>
            <w:rPr>
              <w:color w:val="auto"/>
            </w:rPr>
            <w:fldChar w:fldCharType="end"/>
          </w:r>
          <w:r>
            <w:rPr>
              <w:color w:val="auto"/>
            </w:rPr>
            <w:fldChar w:fldCharType="end"/>
          </w:r>
        </w:p>
        <w:p w14:paraId="394B2617">
          <w:pPr>
            <w:pStyle w:val="19"/>
            <w:tabs>
              <w:tab w:val="right" w:leader="dot" w:pos="8925"/>
            </w:tabs>
            <w:rPr>
              <w:color w:val="auto"/>
            </w:rPr>
          </w:pPr>
          <w:r>
            <w:fldChar w:fldCharType="begin"/>
          </w:r>
          <w:r>
            <w:instrText xml:space="preserve"> HYPERLINK \l "_Toc12674" </w:instrText>
          </w:r>
          <w:r>
            <w:fldChar w:fldCharType="separate"/>
          </w:r>
          <w:r>
            <w:rPr>
              <w:rFonts w:hint="eastAsia" w:ascii="宋体" w:hAnsi="宋体" w:eastAsia="宋体" w:cs="宋体"/>
              <w:bCs/>
              <w:color w:val="auto"/>
              <w:szCs w:val="24"/>
            </w:rPr>
            <w:t>9.6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岩石边坡支护工程</w:t>
          </w:r>
          <w:r>
            <w:rPr>
              <w:color w:val="auto"/>
            </w:rPr>
            <w:tab/>
          </w:r>
          <w:r>
            <w:rPr>
              <w:color w:val="auto"/>
            </w:rPr>
            <w:fldChar w:fldCharType="begin"/>
          </w:r>
          <w:r>
            <w:rPr>
              <w:color w:val="auto"/>
            </w:rPr>
            <w:instrText xml:space="preserve"> PAGEREF _Toc12674 \h </w:instrText>
          </w:r>
          <w:r>
            <w:rPr>
              <w:color w:val="auto"/>
            </w:rPr>
            <w:fldChar w:fldCharType="separate"/>
          </w:r>
          <w:r>
            <w:rPr>
              <w:color w:val="auto"/>
            </w:rPr>
            <w:t>- 224 -</w:t>
          </w:r>
          <w:r>
            <w:rPr>
              <w:color w:val="auto"/>
            </w:rPr>
            <w:fldChar w:fldCharType="end"/>
          </w:r>
          <w:r>
            <w:rPr>
              <w:color w:val="auto"/>
            </w:rPr>
            <w:fldChar w:fldCharType="end"/>
          </w:r>
        </w:p>
        <w:p w14:paraId="130109DD">
          <w:pPr>
            <w:pStyle w:val="19"/>
            <w:tabs>
              <w:tab w:val="right" w:leader="dot" w:pos="8925"/>
            </w:tabs>
            <w:rPr>
              <w:color w:val="auto"/>
            </w:rPr>
          </w:pPr>
          <w:r>
            <w:fldChar w:fldCharType="begin"/>
          </w:r>
          <w:r>
            <w:instrText xml:space="preserve"> HYPERLINK \l "_Toc1524" </w:instrText>
          </w:r>
          <w:r>
            <w:fldChar w:fldCharType="separate"/>
          </w:r>
          <w:r>
            <w:rPr>
              <w:rFonts w:hint="eastAsia" w:ascii="宋体" w:hAnsi="宋体" w:eastAsia="宋体" w:cs="宋体"/>
              <w:bCs/>
              <w:color w:val="auto"/>
              <w:szCs w:val="24"/>
            </w:rPr>
            <w:t>9.7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_Toc1524 \h </w:instrText>
          </w:r>
          <w:r>
            <w:rPr>
              <w:color w:val="auto"/>
            </w:rPr>
            <w:fldChar w:fldCharType="separate"/>
          </w:r>
          <w:r>
            <w:rPr>
              <w:color w:val="auto"/>
            </w:rPr>
            <w:t>- 224 -</w:t>
          </w:r>
          <w:r>
            <w:rPr>
              <w:color w:val="auto"/>
            </w:rPr>
            <w:fldChar w:fldCharType="end"/>
          </w:r>
          <w:r>
            <w:rPr>
              <w:color w:val="auto"/>
            </w:rPr>
            <w:fldChar w:fldCharType="end"/>
          </w:r>
        </w:p>
        <w:p w14:paraId="29E41E08">
          <w:pPr>
            <w:pStyle w:val="18"/>
            <w:tabs>
              <w:tab w:val="right" w:leader="dot" w:pos="8925"/>
            </w:tabs>
            <w:rPr>
              <w:color w:val="auto"/>
            </w:rPr>
          </w:pPr>
          <w:r>
            <w:fldChar w:fldCharType="begin"/>
          </w:r>
          <w:r>
            <w:instrText xml:space="preserve"> HYPERLINK \l "_Toc30971" </w:instrText>
          </w:r>
          <w:r>
            <w:fldChar w:fldCharType="separate"/>
          </w:r>
          <w:r>
            <w:rPr>
              <w:rFonts w:hint="eastAsia" w:ascii="宋体" w:hAnsi="宋体" w:eastAsia="宋体" w:cs="宋体"/>
              <w:bCs/>
              <w:color w:val="auto"/>
              <w:szCs w:val="28"/>
            </w:rPr>
            <w:t>10</w:t>
          </w:r>
          <w:r>
            <w:rPr>
              <w:rFonts w:hint="eastAsia" w:ascii="宋体" w:hAnsi="宋体" w:eastAsia="宋体" w:cs="宋体"/>
              <w:bCs/>
              <w:color w:val="auto"/>
              <w:szCs w:val="28"/>
              <w:lang w:eastAsia="zh-CN"/>
            </w:rPr>
            <w:t xml:space="preserve"> </w:t>
          </w:r>
          <w:r>
            <w:rPr>
              <w:rFonts w:hint="eastAsia" w:ascii="宋体" w:hAnsi="宋体" w:eastAsia="宋体" w:cs="宋体"/>
              <w:bCs/>
              <w:color w:val="auto"/>
              <w:szCs w:val="28"/>
            </w:rPr>
            <w:t>钻孔和灌浆工程</w:t>
          </w:r>
          <w:r>
            <w:rPr>
              <w:color w:val="auto"/>
            </w:rPr>
            <w:tab/>
          </w:r>
          <w:r>
            <w:rPr>
              <w:color w:val="auto"/>
            </w:rPr>
            <w:fldChar w:fldCharType="begin"/>
          </w:r>
          <w:r>
            <w:rPr>
              <w:color w:val="auto"/>
            </w:rPr>
            <w:instrText xml:space="preserve"> PAGEREF _Toc30971 \h </w:instrText>
          </w:r>
          <w:r>
            <w:rPr>
              <w:color w:val="auto"/>
            </w:rPr>
            <w:fldChar w:fldCharType="separate"/>
          </w:r>
          <w:r>
            <w:rPr>
              <w:color w:val="auto"/>
            </w:rPr>
            <w:t>- 225 -</w:t>
          </w:r>
          <w:r>
            <w:rPr>
              <w:color w:val="auto"/>
            </w:rPr>
            <w:fldChar w:fldCharType="end"/>
          </w:r>
          <w:r>
            <w:rPr>
              <w:color w:val="auto"/>
            </w:rPr>
            <w:fldChar w:fldCharType="end"/>
          </w:r>
        </w:p>
        <w:p w14:paraId="2F60DBF8">
          <w:pPr>
            <w:pStyle w:val="19"/>
            <w:tabs>
              <w:tab w:val="right" w:leader="dot" w:pos="8925"/>
            </w:tabs>
            <w:rPr>
              <w:color w:val="auto"/>
            </w:rPr>
          </w:pPr>
          <w:r>
            <w:fldChar w:fldCharType="begin"/>
          </w:r>
          <w:r>
            <w:instrText xml:space="preserve"> HYPERLINK \l "_Toc19456" </w:instrText>
          </w:r>
          <w:r>
            <w:fldChar w:fldCharType="separate"/>
          </w:r>
          <w:r>
            <w:rPr>
              <w:rFonts w:hint="eastAsia" w:ascii="宋体" w:hAnsi="宋体" w:eastAsia="宋体" w:cs="宋体"/>
              <w:bCs/>
              <w:color w:val="auto"/>
              <w:szCs w:val="24"/>
            </w:rPr>
            <w:t>10.1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_Toc19456 \h </w:instrText>
          </w:r>
          <w:r>
            <w:rPr>
              <w:color w:val="auto"/>
            </w:rPr>
            <w:fldChar w:fldCharType="separate"/>
          </w:r>
          <w:r>
            <w:rPr>
              <w:color w:val="auto"/>
            </w:rPr>
            <w:t>- 225 -</w:t>
          </w:r>
          <w:r>
            <w:rPr>
              <w:color w:val="auto"/>
            </w:rPr>
            <w:fldChar w:fldCharType="end"/>
          </w:r>
          <w:r>
            <w:rPr>
              <w:color w:val="auto"/>
            </w:rPr>
            <w:fldChar w:fldCharType="end"/>
          </w:r>
        </w:p>
        <w:p w14:paraId="31E38260">
          <w:pPr>
            <w:pStyle w:val="19"/>
            <w:tabs>
              <w:tab w:val="right" w:leader="dot" w:pos="8925"/>
            </w:tabs>
            <w:rPr>
              <w:color w:val="auto"/>
            </w:rPr>
          </w:pPr>
          <w:r>
            <w:fldChar w:fldCharType="begin"/>
          </w:r>
          <w:r>
            <w:instrText xml:space="preserve"> HYPERLINK \l "_Toc5914" </w:instrText>
          </w:r>
          <w:r>
            <w:fldChar w:fldCharType="separate"/>
          </w:r>
          <w:r>
            <w:rPr>
              <w:rFonts w:hint="eastAsia" w:ascii="宋体" w:hAnsi="宋体" w:eastAsia="宋体" w:cs="宋体"/>
              <w:bCs/>
              <w:color w:val="auto"/>
              <w:szCs w:val="24"/>
            </w:rPr>
            <w:t>10.2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灌浆材料</w:t>
          </w:r>
          <w:r>
            <w:rPr>
              <w:color w:val="auto"/>
            </w:rPr>
            <w:tab/>
          </w:r>
          <w:r>
            <w:rPr>
              <w:color w:val="auto"/>
            </w:rPr>
            <w:fldChar w:fldCharType="begin"/>
          </w:r>
          <w:r>
            <w:rPr>
              <w:color w:val="auto"/>
            </w:rPr>
            <w:instrText xml:space="preserve"> PAGEREF _Toc5914 \h </w:instrText>
          </w:r>
          <w:r>
            <w:rPr>
              <w:color w:val="auto"/>
            </w:rPr>
            <w:fldChar w:fldCharType="separate"/>
          </w:r>
          <w:r>
            <w:rPr>
              <w:color w:val="auto"/>
            </w:rPr>
            <w:t>- 226 -</w:t>
          </w:r>
          <w:r>
            <w:rPr>
              <w:color w:val="auto"/>
            </w:rPr>
            <w:fldChar w:fldCharType="end"/>
          </w:r>
          <w:r>
            <w:rPr>
              <w:color w:val="auto"/>
            </w:rPr>
            <w:fldChar w:fldCharType="end"/>
          </w:r>
        </w:p>
        <w:p w14:paraId="000D6915">
          <w:pPr>
            <w:pStyle w:val="19"/>
            <w:tabs>
              <w:tab w:val="right" w:leader="dot" w:pos="8925"/>
            </w:tabs>
            <w:rPr>
              <w:color w:val="auto"/>
            </w:rPr>
          </w:pPr>
          <w:r>
            <w:fldChar w:fldCharType="begin"/>
          </w:r>
          <w:r>
            <w:instrText xml:space="preserve"> HYPERLINK \l "_Toc20478" </w:instrText>
          </w:r>
          <w:r>
            <w:fldChar w:fldCharType="separate"/>
          </w:r>
          <w:r>
            <w:rPr>
              <w:rFonts w:hint="eastAsia" w:ascii="宋体" w:hAnsi="宋体" w:eastAsia="宋体" w:cs="宋体"/>
              <w:bCs/>
              <w:color w:val="auto"/>
              <w:szCs w:val="24"/>
            </w:rPr>
            <w:t>10.3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设备</w:t>
          </w:r>
          <w:r>
            <w:rPr>
              <w:color w:val="auto"/>
            </w:rPr>
            <w:tab/>
          </w:r>
          <w:r>
            <w:rPr>
              <w:color w:val="auto"/>
            </w:rPr>
            <w:fldChar w:fldCharType="begin"/>
          </w:r>
          <w:r>
            <w:rPr>
              <w:color w:val="auto"/>
            </w:rPr>
            <w:instrText xml:space="preserve"> PAGEREF _Toc20478 \h </w:instrText>
          </w:r>
          <w:r>
            <w:rPr>
              <w:color w:val="auto"/>
            </w:rPr>
            <w:fldChar w:fldCharType="separate"/>
          </w:r>
          <w:r>
            <w:rPr>
              <w:color w:val="auto"/>
            </w:rPr>
            <w:t>- 227 -</w:t>
          </w:r>
          <w:r>
            <w:rPr>
              <w:color w:val="auto"/>
            </w:rPr>
            <w:fldChar w:fldCharType="end"/>
          </w:r>
          <w:r>
            <w:rPr>
              <w:color w:val="auto"/>
            </w:rPr>
            <w:fldChar w:fldCharType="end"/>
          </w:r>
        </w:p>
        <w:p w14:paraId="1D84F3B1">
          <w:pPr>
            <w:pStyle w:val="19"/>
            <w:tabs>
              <w:tab w:val="right" w:leader="dot" w:pos="8925"/>
            </w:tabs>
            <w:rPr>
              <w:color w:val="auto"/>
            </w:rPr>
          </w:pPr>
          <w:r>
            <w:fldChar w:fldCharType="begin"/>
          </w:r>
          <w:r>
            <w:instrText xml:space="preserve"> HYPERLINK \l "_Toc25259" </w:instrText>
          </w:r>
          <w:r>
            <w:fldChar w:fldCharType="separate"/>
          </w:r>
          <w:r>
            <w:rPr>
              <w:rFonts w:hint="eastAsia" w:ascii="宋体" w:hAnsi="宋体" w:eastAsia="宋体" w:cs="宋体"/>
              <w:bCs/>
              <w:color w:val="auto"/>
              <w:szCs w:val="24"/>
            </w:rPr>
            <w:t>10.4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钻孔</w:t>
          </w:r>
          <w:r>
            <w:rPr>
              <w:color w:val="auto"/>
            </w:rPr>
            <w:tab/>
          </w:r>
          <w:r>
            <w:rPr>
              <w:color w:val="auto"/>
            </w:rPr>
            <w:fldChar w:fldCharType="begin"/>
          </w:r>
          <w:r>
            <w:rPr>
              <w:color w:val="auto"/>
            </w:rPr>
            <w:instrText xml:space="preserve"> PAGEREF _Toc25259 \h </w:instrText>
          </w:r>
          <w:r>
            <w:rPr>
              <w:color w:val="auto"/>
            </w:rPr>
            <w:fldChar w:fldCharType="separate"/>
          </w:r>
          <w:r>
            <w:rPr>
              <w:color w:val="auto"/>
            </w:rPr>
            <w:t>- 227 -</w:t>
          </w:r>
          <w:r>
            <w:rPr>
              <w:color w:val="auto"/>
            </w:rPr>
            <w:fldChar w:fldCharType="end"/>
          </w:r>
          <w:r>
            <w:rPr>
              <w:color w:val="auto"/>
            </w:rPr>
            <w:fldChar w:fldCharType="end"/>
          </w:r>
        </w:p>
        <w:p w14:paraId="10859576">
          <w:pPr>
            <w:pStyle w:val="19"/>
            <w:tabs>
              <w:tab w:val="right" w:leader="dot" w:pos="8925"/>
            </w:tabs>
            <w:rPr>
              <w:color w:val="auto"/>
            </w:rPr>
          </w:pPr>
          <w:r>
            <w:fldChar w:fldCharType="begin"/>
          </w:r>
          <w:r>
            <w:instrText xml:space="preserve"> HYPERLINK \l "_Toc3784" </w:instrText>
          </w:r>
          <w:r>
            <w:fldChar w:fldCharType="separate"/>
          </w:r>
          <w:r>
            <w:rPr>
              <w:rFonts w:hint="eastAsia" w:ascii="宋体" w:hAnsi="宋体" w:eastAsia="宋体" w:cs="宋体"/>
              <w:bCs/>
              <w:color w:val="auto"/>
              <w:szCs w:val="24"/>
            </w:rPr>
            <w:t>10.5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钻孔冲洗和压水试验</w:t>
          </w:r>
          <w:r>
            <w:rPr>
              <w:color w:val="auto"/>
            </w:rPr>
            <w:tab/>
          </w:r>
          <w:r>
            <w:rPr>
              <w:color w:val="auto"/>
            </w:rPr>
            <w:fldChar w:fldCharType="begin"/>
          </w:r>
          <w:r>
            <w:rPr>
              <w:color w:val="auto"/>
            </w:rPr>
            <w:instrText xml:space="preserve"> PAGEREF _Toc3784 \h </w:instrText>
          </w:r>
          <w:r>
            <w:rPr>
              <w:color w:val="auto"/>
            </w:rPr>
            <w:fldChar w:fldCharType="separate"/>
          </w:r>
          <w:r>
            <w:rPr>
              <w:color w:val="auto"/>
            </w:rPr>
            <w:t>- 228 -</w:t>
          </w:r>
          <w:r>
            <w:rPr>
              <w:color w:val="auto"/>
            </w:rPr>
            <w:fldChar w:fldCharType="end"/>
          </w:r>
          <w:r>
            <w:rPr>
              <w:color w:val="auto"/>
            </w:rPr>
            <w:fldChar w:fldCharType="end"/>
          </w:r>
        </w:p>
        <w:p w14:paraId="6FC38DE8">
          <w:pPr>
            <w:pStyle w:val="19"/>
            <w:tabs>
              <w:tab w:val="right" w:leader="dot" w:pos="8925"/>
            </w:tabs>
            <w:rPr>
              <w:color w:val="auto"/>
            </w:rPr>
          </w:pPr>
          <w:r>
            <w:fldChar w:fldCharType="begin"/>
          </w:r>
          <w:r>
            <w:instrText xml:space="preserve"> HYPERLINK \l "_Toc18805" </w:instrText>
          </w:r>
          <w:r>
            <w:fldChar w:fldCharType="separate"/>
          </w:r>
          <w:r>
            <w:rPr>
              <w:rFonts w:hint="eastAsia" w:ascii="宋体" w:hAnsi="宋体" w:eastAsia="宋体" w:cs="宋体"/>
              <w:bCs/>
              <w:color w:val="auto"/>
              <w:szCs w:val="24"/>
            </w:rPr>
            <w:t>10.6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灌浆试验</w:t>
          </w:r>
          <w:r>
            <w:rPr>
              <w:color w:val="auto"/>
            </w:rPr>
            <w:tab/>
          </w:r>
          <w:r>
            <w:rPr>
              <w:color w:val="auto"/>
            </w:rPr>
            <w:fldChar w:fldCharType="begin"/>
          </w:r>
          <w:r>
            <w:rPr>
              <w:color w:val="auto"/>
            </w:rPr>
            <w:instrText xml:space="preserve"> PAGEREF _Toc18805 \h </w:instrText>
          </w:r>
          <w:r>
            <w:rPr>
              <w:color w:val="auto"/>
            </w:rPr>
            <w:fldChar w:fldCharType="separate"/>
          </w:r>
          <w:r>
            <w:rPr>
              <w:color w:val="auto"/>
            </w:rPr>
            <w:t>- 228 -</w:t>
          </w:r>
          <w:r>
            <w:rPr>
              <w:color w:val="auto"/>
            </w:rPr>
            <w:fldChar w:fldCharType="end"/>
          </w:r>
          <w:r>
            <w:rPr>
              <w:color w:val="auto"/>
            </w:rPr>
            <w:fldChar w:fldCharType="end"/>
          </w:r>
        </w:p>
        <w:p w14:paraId="3C27E668">
          <w:pPr>
            <w:pStyle w:val="19"/>
            <w:tabs>
              <w:tab w:val="right" w:leader="dot" w:pos="8925"/>
            </w:tabs>
            <w:rPr>
              <w:color w:val="auto"/>
            </w:rPr>
          </w:pPr>
          <w:r>
            <w:fldChar w:fldCharType="begin"/>
          </w:r>
          <w:r>
            <w:instrText xml:space="preserve"> HYPERLINK \l "_Toc23058" </w:instrText>
          </w:r>
          <w:r>
            <w:fldChar w:fldCharType="separate"/>
          </w:r>
          <w:r>
            <w:rPr>
              <w:rFonts w:hint="eastAsia" w:ascii="宋体" w:hAnsi="宋体" w:eastAsia="宋体" w:cs="宋体"/>
              <w:bCs/>
              <w:color w:val="auto"/>
              <w:szCs w:val="24"/>
            </w:rPr>
            <w:t>10.7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制浆</w:t>
          </w:r>
          <w:r>
            <w:rPr>
              <w:color w:val="auto"/>
            </w:rPr>
            <w:tab/>
          </w:r>
          <w:r>
            <w:rPr>
              <w:color w:val="auto"/>
            </w:rPr>
            <w:fldChar w:fldCharType="begin"/>
          </w:r>
          <w:r>
            <w:rPr>
              <w:color w:val="auto"/>
            </w:rPr>
            <w:instrText xml:space="preserve"> PAGEREF _Toc23058 \h </w:instrText>
          </w:r>
          <w:r>
            <w:rPr>
              <w:color w:val="auto"/>
            </w:rPr>
            <w:fldChar w:fldCharType="separate"/>
          </w:r>
          <w:r>
            <w:rPr>
              <w:color w:val="auto"/>
            </w:rPr>
            <w:t>- 229 -</w:t>
          </w:r>
          <w:r>
            <w:rPr>
              <w:color w:val="auto"/>
            </w:rPr>
            <w:fldChar w:fldCharType="end"/>
          </w:r>
          <w:r>
            <w:rPr>
              <w:color w:val="auto"/>
            </w:rPr>
            <w:fldChar w:fldCharType="end"/>
          </w:r>
        </w:p>
        <w:p w14:paraId="61BEF7A0">
          <w:pPr>
            <w:pStyle w:val="19"/>
            <w:tabs>
              <w:tab w:val="right" w:leader="dot" w:pos="8925"/>
            </w:tabs>
            <w:rPr>
              <w:color w:val="auto"/>
            </w:rPr>
          </w:pPr>
          <w:r>
            <w:fldChar w:fldCharType="begin"/>
          </w:r>
          <w:r>
            <w:instrText xml:space="preserve"> HYPERLINK \l "_Toc11582" </w:instrText>
          </w:r>
          <w:r>
            <w:fldChar w:fldCharType="separate"/>
          </w:r>
          <w:r>
            <w:rPr>
              <w:rFonts w:hint="eastAsia" w:ascii="宋体" w:hAnsi="宋体" w:eastAsia="宋体" w:cs="宋体"/>
              <w:bCs/>
              <w:color w:val="auto"/>
              <w:szCs w:val="24"/>
            </w:rPr>
            <w:t>10.8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坝基帷幕灌浆及固结灌浆</w:t>
          </w:r>
          <w:r>
            <w:rPr>
              <w:color w:val="auto"/>
            </w:rPr>
            <w:tab/>
          </w:r>
          <w:r>
            <w:rPr>
              <w:color w:val="auto"/>
            </w:rPr>
            <w:fldChar w:fldCharType="begin"/>
          </w:r>
          <w:r>
            <w:rPr>
              <w:color w:val="auto"/>
            </w:rPr>
            <w:instrText xml:space="preserve"> PAGEREF _Toc11582 \h </w:instrText>
          </w:r>
          <w:r>
            <w:rPr>
              <w:color w:val="auto"/>
            </w:rPr>
            <w:fldChar w:fldCharType="separate"/>
          </w:r>
          <w:r>
            <w:rPr>
              <w:color w:val="auto"/>
            </w:rPr>
            <w:t>- 229 -</w:t>
          </w:r>
          <w:r>
            <w:rPr>
              <w:color w:val="auto"/>
            </w:rPr>
            <w:fldChar w:fldCharType="end"/>
          </w:r>
          <w:r>
            <w:rPr>
              <w:color w:val="auto"/>
            </w:rPr>
            <w:fldChar w:fldCharType="end"/>
          </w:r>
        </w:p>
        <w:p w14:paraId="762E98C7">
          <w:pPr>
            <w:pStyle w:val="19"/>
            <w:tabs>
              <w:tab w:val="right" w:leader="dot" w:pos="8925"/>
            </w:tabs>
            <w:rPr>
              <w:color w:val="auto"/>
            </w:rPr>
          </w:pPr>
          <w:r>
            <w:fldChar w:fldCharType="begin"/>
          </w:r>
          <w:r>
            <w:instrText xml:space="preserve"> HYPERLINK \l "_Toc4070" </w:instrText>
          </w:r>
          <w:r>
            <w:fldChar w:fldCharType="separate"/>
          </w:r>
          <w:r>
            <w:rPr>
              <w:rFonts w:hint="eastAsia" w:ascii="宋体" w:hAnsi="宋体" w:eastAsia="宋体" w:cs="宋体"/>
              <w:bCs/>
              <w:color w:val="auto"/>
              <w:szCs w:val="24"/>
            </w:rPr>
            <w:t>10.9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地下洞室灌浆</w:t>
          </w:r>
          <w:r>
            <w:rPr>
              <w:color w:val="auto"/>
            </w:rPr>
            <w:tab/>
          </w:r>
          <w:r>
            <w:rPr>
              <w:color w:val="auto"/>
            </w:rPr>
            <w:fldChar w:fldCharType="begin"/>
          </w:r>
          <w:r>
            <w:rPr>
              <w:color w:val="auto"/>
            </w:rPr>
            <w:instrText xml:space="preserve"> PAGEREF _Toc4070 \h </w:instrText>
          </w:r>
          <w:r>
            <w:rPr>
              <w:color w:val="auto"/>
            </w:rPr>
            <w:fldChar w:fldCharType="separate"/>
          </w:r>
          <w:r>
            <w:rPr>
              <w:color w:val="auto"/>
            </w:rPr>
            <w:t>- 230 -</w:t>
          </w:r>
          <w:r>
            <w:rPr>
              <w:color w:val="auto"/>
            </w:rPr>
            <w:fldChar w:fldCharType="end"/>
          </w:r>
          <w:r>
            <w:rPr>
              <w:color w:val="auto"/>
            </w:rPr>
            <w:fldChar w:fldCharType="end"/>
          </w:r>
        </w:p>
        <w:p w14:paraId="74A7FA75">
          <w:pPr>
            <w:pStyle w:val="19"/>
            <w:tabs>
              <w:tab w:val="right" w:leader="dot" w:pos="8925"/>
            </w:tabs>
            <w:rPr>
              <w:color w:val="auto"/>
            </w:rPr>
          </w:pPr>
          <w:r>
            <w:fldChar w:fldCharType="begin"/>
          </w:r>
          <w:r>
            <w:instrText xml:space="preserve"> HYPERLINK \l "_Toc20950" </w:instrText>
          </w:r>
          <w:r>
            <w:fldChar w:fldCharType="separate"/>
          </w:r>
          <w:r>
            <w:rPr>
              <w:rFonts w:hint="eastAsia" w:ascii="宋体" w:hAnsi="宋体" w:eastAsia="宋体" w:cs="宋体"/>
              <w:bCs/>
              <w:color w:val="auto"/>
              <w:szCs w:val="24"/>
            </w:rPr>
            <w:t>10.10</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混凝土坝接缝灌浆</w:t>
          </w:r>
          <w:r>
            <w:rPr>
              <w:color w:val="auto"/>
            </w:rPr>
            <w:tab/>
          </w:r>
          <w:r>
            <w:rPr>
              <w:color w:val="auto"/>
            </w:rPr>
            <w:fldChar w:fldCharType="begin"/>
          </w:r>
          <w:r>
            <w:rPr>
              <w:color w:val="auto"/>
            </w:rPr>
            <w:instrText xml:space="preserve"> PAGEREF _Toc20950 \h </w:instrText>
          </w:r>
          <w:r>
            <w:rPr>
              <w:color w:val="auto"/>
            </w:rPr>
            <w:fldChar w:fldCharType="separate"/>
          </w:r>
          <w:r>
            <w:rPr>
              <w:color w:val="auto"/>
            </w:rPr>
            <w:t>- 230 -</w:t>
          </w:r>
          <w:r>
            <w:rPr>
              <w:color w:val="auto"/>
            </w:rPr>
            <w:fldChar w:fldCharType="end"/>
          </w:r>
          <w:r>
            <w:rPr>
              <w:color w:val="auto"/>
            </w:rPr>
            <w:fldChar w:fldCharType="end"/>
          </w:r>
        </w:p>
        <w:p w14:paraId="6B40578F">
          <w:pPr>
            <w:pStyle w:val="19"/>
            <w:tabs>
              <w:tab w:val="right" w:leader="dot" w:pos="8925"/>
            </w:tabs>
            <w:rPr>
              <w:color w:val="auto"/>
            </w:rPr>
          </w:pPr>
          <w:r>
            <w:fldChar w:fldCharType="begin"/>
          </w:r>
          <w:r>
            <w:instrText xml:space="preserve"> HYPERLINK \l "_Toc4859" </w:instrText>
          </w:r>
          <w:r>
            <w:fldChar w:fldCharType="separate"/>
          </w:r>
          <w:r>
            <w:rPr>
              <w:rFonts w:hint="eastAsia" w:ascii="宋体" w:hAnsi="宋体" w:eastAsia="宋体" w:cs="宋体"/>
              <w:bCs/>
              <w:color w:val="auto"/>
              <w:szCs w:val="24"/>
            </w:rPr>
            <w:t>10.11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化学灌浆</w:t>
          </w:r>
          <w:r>
            <w:rPr>
              <w:color w:val="auto"/>
            </w:rPr>
            <w:tab/>
          </w:r>
          <w:r>
            <w:rPr>
              <w:color w:val="auto"/>
            </w:rPr>
            <w:fldChar w:fldCharType="begin"/>
          </w:r>
          <w:r>
            <w:rPr>
              <w:color w:val="auto"/>
            </w:rPr>
            <w:instrText xml:space="preserve"> PAGEREF _Toc4859 \h </w:instrText>
          </w:r>
          <w:r>
            <w:rPr>
              <w:color w:val="auto"/>
            </w:rPr>
            <w:fldChar w:fldCharType="separate"/>
          </w:r>
          <w:r>
            <w:rPr>
              <w:color w:val="auto"/>
            </w:rPr>
            <w:t>- 230 -</w:t>
          </w:r>
          <w:r>
            <w:rPr>
              <w:color w:val="auto"/>
            </w:rPr>
            <w:fldChar w:fldCharType="end"/>
          </w:r>
          <w:r>
            <w:rPr>
              <w:color w:val="auto"/>
            </w:rPr>
            <w:fldChar w:fldCharType="end"/>
          </w:r>
        </w:p>
        <w:p w14:paraId="1E6BE8EF">
          <w:pPr>
            <w:pStyle w:val="19"/>
            <w:tabs>
              <w:tab w:val="right" w:leader="dot" w:pos="8925"/>
            </w:tabs>
            <w:rPr>
              <w:color w:val="auto"/>
            </w:rPr>
          </w:pPr>
          <w:r>
            <w:fldChar w:fldCharType="begin"/>
          </w:r>
          <w:r>
            <w:instrText xml:space="preserve"> HYPERLINK \l "_Toc11423" </w:instrText>
          </w:r>
          <w:r>
            <w:fldChar w:fldCharType="separate"/>
          </w:r>
          <w:r>
            <w:rPr>
              <w:rFonts w:hint="eastAsia" w:ascii="宋体" w:hAnsi="宋体" w:eastAsia="宋体" w:cs="宋体"/>
              <w:bCs/>
              <w:color w:val="auto"/>
              <w:szCs w:val="24"/>
            </w:rPr>
            <w:t>10.12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土坝劈裂灌浆</w:t>
          </w:r>
          <w:r>
            <w:rPr>
              <w:color w:val="auto"/>
            </w:rPr>
            <w:tab/>
          </w:r>
          <w:r>
            <w:rPr>
              <w:color w:val="auto"/>
            </w:rPr>
            <w:fldChar w:fldCharType="begin"/>
          </w:r>
          <w:r>
            <w:rPr>
              <w:color w:val="auto"/>
            </w:rPr>
            <w:instrText xml:space="preserve"> PAGEREF _Toc11423 \h </w:instrText>
          </w:r>
          <w:r>
            <w:rPr>
              <w:color w:val="auto"/>
            </w:rPr>
            <w:fldChar w:fldCharType="separate"/>
          </w:r>
          <w:r>
            <w:rPr>
              <w:color w:val="auto"/>
            </w:rPr>
            <w:t>- 231 -</w:t>
          </w:r>
          <w:r>
            <w:rPr>
              <w:color w:val="auto"/>
            </w:rPr>
            <w:fldChar w:fldCharType="end"/>
          </w:r>
          <w:r>
            <w:rPr>
              <w:color w:val="auto"/>
            </w:rPr>
            <w:fldChar w:fldCharType="end"/>
          </w:r>
        </w:p>
        <w:p w14:paraId="2CD3E687">
          <w:pPr>
            <w:pStyle w:val="19"/>
            <w:tabs>
              <w:tab w:val="right" w:leader="dot" w:pos="8925"/>
            </w:tabs>
            <w:rPr>
              <w:color w:val="auto"/>
            </w:rPr>
          </w:pPr>
          <w:r>
            <w:fldChar w:fldCharType="begin"/>
          </w:r>
          <w:r>
            <w:instrText xml:space="preserve"> HYPERLINK \l "_Toc12966" </w:instrText>
          </w:r>
          <w:r>
            <w:fldChar w:fldCharType="separate"/>
          </w:r>
          <w:r>
            <w:rPr>
              <w:rFonts w:hint="eastAsia" w:ascii="宋体" w:hAnsi="宋体" w:eastAsia="宋体" w:cs="宋体"/>
              <w:bCs/>
              <w:color w:val="auto"/>
              <w:szCs w:val="24"/>
            </w:rPr>
            <w:t>10.13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灌浆工程验收</w:t>
          </w:r>
          <w:r>
            <w:rPr>
              <w:color w:val="auto"/>
            </w:rPr>
            <w:tab/>
          </w:r>
          <w:r>
            <w:rPr>
              <w:color w:val="auto"/>
            </w:rPr>
            <w:fldChar w:fldCharType="begin"/>
          </w:r>
          <w:r>
            <w:rPr>
              <w:color w:val="auto"/>
            </w:rPr>
            <w:instrText xml:space="preserve"> PAGEREF _Toc12966 \h </w:instrText>
          </w:r>
          <w:r>
            <w:rPr>
              <w:color w:val="auto"/>
            </w:rPr>
            <w:fldChar w:fldCharType="separate"/>
          </w:r>
          <w:r>
            <w:rPr>
              <w:color w:val="auto"/>
            </w:rPr>
            <w:t>- 232 -</w:t>
          </w:r>
          <w:r>
            <w:rPr>
              <w:color w:val="auto"/>
            </w:rPr>
            <w:fldChar w:fldCharType="end"/>
          </w:r>
          <w:r>
            <w:rPr>
              <w:color w:val="auto"/>
            </w:rPr>
            <w:fldChar w:fldCharType="end"/>
          </w:r>
        </w:p>
        <w:p w14:paraId="583F8A61">
          <w:pPr>
            <w:pStyle w:val="19"/>
            <w:tabs>
              <w:tab w:val="right" w:leader="dot" w:pos="8925"/>
            </w:tabs>
            <w:rPr>
              <w:color w:val="auto"/>
            </w:rPr>
          </w:pPr>
          <w:r>
            <w:fldChar w:fldCharType="begin"/>
          </w:r>
          <w:r>
            <w:instrText xml:space="preserve"> HYPERLINK \l "_Toc10540" </w:instrText>
          </w:r>
          <w:r>
            <w:fldChar w:fldCharType="separate"/>
          </w:r>
          <w:r>
            <w:rPr>
              <w:rFonts w:hint="eastAsia" w:ascii="宋体" w:hAnsi="宋体" w:eastAsia="宋体" w:cs="宋体"/>
              <w:bCs/>
              <w:color w:val="auto"/>
              <w:szCs w:val="24"/>
            </w:rPr>
            <w:t>10.14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_Toc10540 \h </w:instrText>
          </w:r>
          <w:r>
            <w:rPr>
              <w:color w:val="auto"/>
            </w:rPr>
            <w:fldChar w:fldCharType="separate"/>
          </w:r>
          <w:r>
            <w:rPr>
              <w:color w:val="auto"/>
            </w:rPr>
            <w:t>- 232 -</w:t>
          </w:r>
          <w:r>
            <w:rPr>
              <w:color w:val="auto"/>
            </w:rPr>
            <w:fldChar w:fldCharType="end"/>
          </w:r>
          <w:r>
            <w:rPr>
              <w:color w:val="auto"/>
            </w:rPr>
            <w:fldChar w:fldCharType="end"/>
          </w:r>
        </w:p>
        <w:p w14:paraId="18AC9411">
          <w:pPr>
            <w:pStyle w:val="18"/>
            <w:tabs>
              <w:tab w:val="right" w:leader="dot" w:pos="8925"/>
            </w:tabs>
            <w:rPr>
              <w:color w:val="auto"/>
            </w:rPr>
          </w:pPr>
          <w:r>
            <w:fldChar w:fldCharType="begin"/>
          </w:r>
          <w:r>
            <w:instrText xml:space="preserve"> HYPERLINK \l "_Toc26490" </w:instrText>
          </w:r>
          <w:r>
            <w:fldChar w:fldCharType="separate"/>
          </w:r>
          <w:r>
            <w:rPr>
              <w:rFonts w:ascii="Times New Roman" w:hAnsi="Times New Roman" w:eastAsia="Times New Roman" w:cs="Times New Roman"/>
              <w:bCs/>
              <w:color w:val="auto"/>
              <w:szCs w:val="28"/>
            </w:rPr>
            <w:t>11</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基础防渗墙工程</w:t>
          </w:r>
          <w:r>
            <w:rPr>
              <w:color w:val="auto"/>
            </w:rPr>
            <w:tab/>
          </w:r>
          <w:r>
            <w:rPr>
              <w:color w:val="auto"/>
            </w:rPr>
            <w:fldChar w:fldCharType="begin"/>
          </w:r>
          <w:r>
            <w:rPr>
              <w:color w:val="auto"/>
            </w:rPr>
            <w:instrText xml:space="preserve"> PAGEREF _Toc26490 \h </w:instrText>
          </w:r>
          <w:r>
            <w:rPr>
              <w:color w:val="auto"/>
            </w:rPr>
            <w:fldChar w:fldCharType="separate"/>
          </w:r>
          <w:r>
            <w:rPr>
              <w:color w:val="auto"/>
            </w:rPr>
            <w:t>- 234 -</w:t>
          </w:r>
          <w:r>
            <w:rPr>
              <w:color w:val="auto"/>
            </w:rPr>
            <w:fldChar w:fldCharType="end"/>
          </w:r>
          <w:r>
            <w:rPr>
              <w:color w:val="auto"/>
            </w:rPr>
            <w:fldChar w:fldCharType="end"/>
          </w:r>
        </w:p>
        <w:p w14:paraId="2FB90813">
          <w:pPr>
            <w:pStyle w:val="19"/>
            <w:tabs>
              <w:tab w:val="right" w:leader="dot" w:pos="8925"/>
            </w:tabs>
            <w:rPr>
              <w:color w:val="auto"/>
            </w:rPr>
          </w:pPr>
          <w:r>
            <w:fldChar w:fldCharType="begin"/>
          </w:r>
          <w:r>
            <w:instrText xml:space="preserve"> HYPERLINK \l "_Toc21477" </w:instrText>
          </w:r>
          <w:r>
            <w:fldChar w:fldCharType="separate"/>
          </w:r>
          <w:r>
            <w:rPr>
              <w:rFonts w:hint="eastAsia" w:ascii="宋体" w:hAnsi="宋体" w:eastAsia="宋体" w:cs="宋体"/>
              <w:bCs/>
              <w:color w:val="auto"/>
              <w:szCs w:val="24"/>
            </w:rPr>
            <w:t>11.1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_Toc21477 \h </w:instrText>
          </w:r>
          <w:r>
            <w:rPr>
              <w:color w:val="auto"/>
            </w:rPr>
            <w:fldChar w:fldCharType="separate"/>
          </w:r>
          <w:r>
            <w:rPr>
              <w:color w:val="auto"/>
            </w:rPr>
            <w:t>- 234 -</w:t>
          </w:r>
          <w:r>
            <w:rPr>
              <w:color w:val="auto"/>
            </w:rPr>
            <w:fldChar w:fldCharType="end"/>
          </w:r>
          <w:r>
            <w:rPr>
              <w:color w:val="auto"/>
            </w:rPr>
            <w:fldChar w:fldCharType="end"/>
          </w:r>
        </w:p>
        <w:p w14:paraId="687787B5">
          <w:pPr>
            <w:pStyle w:val="19"/>
            <w:tabs>
              <w:tab w:val="right" w:leader="dot" w:pos="8925"/>
            </w:tabs>
            <w:rPr>
              <w:color w:val="auto"/>
            </w:rPr>
          </w:pPr>
          <w:r>
            <w:fldChar w:fldCharType="begin"/>
          </w:r>
          <w:r>
            <w:instrText xml:space="preserve"> HYPERLINK \l "_Toc12758" </w:instrText>
          </w:r>
          <w:r>
            <w:fldChar w:fldCharType="separate"/>
          </w:r>
          <w:r>
            <w:rPr>
              <w:rFonts w:hint="eastAsia" w:ascii="宋体" w:hAnsi="宋体" w:eastAsia="宋体" w:cs="宋体"/>
              <w:bCs/>
              <w:color w:val="auto"/>
              <w:szCs w:val="24"/>
            </w:rPr>
            <w:t>11.2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混凝土防渗墙</w:t>
          </w:r>
          <w:r>
            <w:rPr>
              <w:color w:val="auto"/>
            </w:rPr>
            <w:tab/>
          </w:r>
          <w:r>
            <w:rPr>
              <w:color w:val="auto"/>
            </w:rPr>
            <w:fldChar w:fldCharType="begin"/>
          </w:r>
          <w:r>
            <w:rPr>
              <w:color w:val="auto"/>
            </w:rPr>
            <w:instrText xml:space="preserve"> PAGEREF _Toc12758 \h </w:instrText>
          </w:r>
          <w:r>
            <w:rPr>
              <w:color w:val="auto"/>
            </w:rPr>
            <w:fldChar w:fldCharType="separate"/>
          </w:r>
          <w:r>
            <w:rPr>
              <w:color w:val="auto"/>
            </w:rPr>
            <w:t>- 236 -</w:t>
          </w:r>
          <w:r>
            <w:rPr>
              <w:color w:val="auto"/>
            </w:rPr>
            <w:fldChar w:fldCharType="end"/>
          </w:r>
          <w:r>
            <w:rPr>
              <w:color w:val="auto"/>
            </w:rPr>
            <w:fldChar w:fldCharType="end"/>
          </w:r>
        </w:p>
        <w:p w14:paraId="4C9E1D8B">
          <w:pPr>
            <w:pStyle w:val="19"/>
            <w:tabs>
              <w:tab w:val="right" w:leader="dot" w:pos="8925"/>
            </w:tabs>
            <w:rPr>
              <w:color w:val="auto"/>
            </w:rPr>
          </w:pPr>
          <w:r>
            <w:fldChar w:fldCharType="begin"/>
          </w:r>
          <w:r>
            <w:instrText xml:space="preserve"> HYPERLINK \l "_Toc8923" </w:instrText>
          </w:r>
          <w:r>
            <w:fldChar w:fldCharType="separate"/>
          </w:r>
          <w:r>
            <w:rPr>
              <w:rFonts w:hint="eastAsia" w:ascii="宋体" w:hAnsi="宋体" w:eastAsia="宋体" w:cs="宋体"/>
              <w:bCs/>
              <w:color w:val="auto"/>
              <w:szCs w:val="24"/>
            </w:rPr>
            <w:t>11.3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高压喷射灌浆</w:t>
          </w:r>
          <w:r>
            <w:rPr>
              <w:color w:val="auto"/>
            </w:rPr>
            <w:tab/>
          </w:r>
          <w:r>
            <w:rPr>
              <w:color w:val="auto"/>
            </w:rPr>
            <w:fldChar w:fldCharType="begin"/>
          </w:r>
          <w:r>
            <w:rPr>
              <w:color w:val="auto"/>
            </w:rPr>
            <w:instrText xml:space="preserve"> PAGEREF _Toc8923 \h </w:instrText>
          </w:r>
          <w:r>
            <w:rPr>
              <w:color w:val="auto"/>
            </w:rPr>
            <w:fldChar w:fldCharType="separate"/>
          </w:r>
          <w:r>
            <w:rPr>
              <w:color w:val="auto"/>
            </w:rPr>
            <w:t>- 239 -</w:t>
          </w:r>
          <w:r>
            <w:rPr>
              <w:color w:val="auto"/>
            </w:rPr>
            <w:fldChar w:fldCharType="end"/>
          </w:r>
          <w:r>
            <w:rPr>
              <w:color w:val="auto"/>
            </w:rPr>
            <w:fldChar w:fldCharType="end"/>
          </w:r>
        </w:p>
        <w:p w14:paraId="68E041D3">
          <w:pPr>
            <w:pStyle w:val="19"/>
            <w:tabs>
              <w:tab w:val="right" w:leader="dot" w:pos="8925"/>
            </w:tabs>
            <w:rPr>
              <w:color w:val="auto"/>
            </w:rPr>
          </w:pPr>
          <w:r>
            <w:fldChar w:fldCharType="begin"/>
          </w:r>
          <w:r>
            <w:instrText xml:space="preserve"> HYPERLINK \l "_Toc4592" </w:instrText>
          </w:r>
          <w:r>
            <w:fldChar w:fldCharType="separate"/>
          </w:r>
          <w:r>
            <w:rPr>
              <w:rFonts w:hint="eastAsia" w:ascii="宋体" w:hAnsi="宋体" w:eastAsia="宋体" w:cs="宋体"/>
              <w:bCs/>
              <w:color w:val="auto"/>
              <w:szCs w:val="24"/>
            </w:rPr>
            <w:t>11.4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_Toc4592 \h </w:instrText>
          </w:r>
          <w:r>
            <w:rPr>
              <w:color w:val="auto"/>
            </w:rPr>
            <w:fldChar w:fldCharType="separate"/>
          </w:r>
          <w:r>
            <w:rPr>
              <w:color w:val="auto"/>
            </w:rPr>
            <w:t>- 241 -</w:t>
          </w:r>
          <w:r>
            <w:rPr>
              <w:color w:val="auto"/>
            </w:rPr>
            <w:fldChar w:fldCharType="end"/>
          </w:r>
          <w:r>
            <w:rPr>
              <w:color w:val="auto"/>
            </w:rPr>
            <w:fldChar w:fldCharType="end"/>
          </w:r>
        </w:p>
        <w:p w14:paraId="7E4A1DCE">
          <w:pPr>
            <w:pStyle w:val="18"/>
            <w:tabs>
              <w:tab w:val="right" w:leader="dot" w:pos="8925"/>
            </w:tabs>
            <w:rPr>
              <w:color w:val="auto"/>
            </w:rPr>
          </w:pPr>
          <w:r>
            <w:fldChar w:fldCharType="begin"/>
          </w:r>
          <w:r>
            <w:instrText xml:space="preserve"> HYPERLINK \l "_Toc5682" </w:instrText>
          </w:r>
          <w:r>
            <w:fldChar w:fldCharType="separate"/>
          </w:r>
          <w:r>
            <w:rPr>
              <w:rFonts w:ascii="Times New Roman" w:hAnsi="Times New Roman" w:eastAsia="Times New Roman" w:cs="Times New Roman"/>
              <w:bCs/>
              <w:color w:val="auto"/>
              <w:szCs w:val="28"/>
            </w:rPr>
            <w:t>12</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地基及基础工程</w:t>
          </w:r>
          <w:r>
            <w:rPr>
              <w:color w:val="auto"/>
            </w:rPr>
            <w:tab/>
          </w:r>
          <w:r>
            <w:rPr>
              <w:color w:val="auto"/>
            </w:rPr>
            <w:fldChar w:fldCharType="begin"/>
          </w:r>
          <w:r>
            <w:rPr>
              <w:color w:val="auto"/>
            </w:rPr>
            <w:instrText xml:space="preserve"> PAGEREF _Toc5682 \h </w:instrText>
          </w:r>
          <w:r>
            <w:rPr>
              <w:color w:val="auto"/>
            </w:rPr>
            <w:fldChar w:fldCharType="separate"/>
          </w:r>
          <w:r>
            <w:rPr>
              <w:color w:val="auto"/>
            </w:rPr>
            <w:t>- 242 -</w:t>
          </w:r>
          <w:r>
            <w:rPr>
              <w:color w:val="auto"/>
            </w:rPr>
            <w:fldChar w:fldCharType="end"/>
          </w:r>
          <w:r>
            <w:rPr>
              <w:color w:val="auto"/>
            </w:rPr>
            <w:fldChar w:fldCharType="end"/>
          </w:r>
        </w:p>
        <w:p w14:paraId="7C666616">
          <w:pPr>
            <w:pStyle w:val="19"/>
            <w:tabs>
              <w:tab w:val="right" w:leader="dot" w:pos="8925"/>
            </w:tabs>
            <w:rPr>
              <w:color w:val="auto"/>
            </w:rPr>
          </w:pPr>
          <w:r>
            <w:fldChar w:fldCharType="begin"/>
          </w:r>
          <w:r>
            <w:instrText xml:space="preserve"> HYPERLINK \l "_Toc3356" </w:instrText>
          </w:r>
          <w:r>
            <w:fldChar w:fldCharType="separate"/>
          </w:r>
          <w:r>
            <w:rPr>
              <w:rFonts w:hint="eastAsia" w:ascii="宋体" w:hAnsi="宋体" w:eastAsia="宋体" w:cs="宋体"/>
              <w:bCs/>
              <w:color w:val="auto"/>
              <w:szCs w:val="24"/>
            </w:rPr>
            <w:t>12.1</w:t>
          </w:r>
          <w:r>
            <w:rPr>
              <w:rFonts w:hint="eastAsia" w:ascii="宋体" w:hAnsi="宋体" w:eastAsia="宋体" w:cs="宋体"/>
              <w:bCs/>
              <w:color w:val="auto"/>
              <w:szCs w:val="24"/>
              <w:lang w:eastAsia="zh-CN"/>
            </w:rPr>
            <w:t>-</w:t>
          </w:r>
          <w:r>
            <w:rPr>
              <w:rFonts w:hint="eastAsia" w:ascii="宋体" w:hAnsi="宋体" w:eastAsia="宋体" w:cs="宋体"/>
              <w:bCs/>
              <w:color w:val="auto"/>
              <w:szCs w:val="24"/>
            </w:rPr>
            <w:t>般规定</w:t>
          </w:r>
          <w:r>
            <w:rPr>
              <w:color w:val="auto"/>
            </w:rPr>
            <w:tab/>
          </w:r>
          <w:r>
            <w:rPr>
              <w:color w:val="auto"/>
            </w:rPr>
            <w:fldChar w:fldCharType="begin"/>
          </w:r>
          <w:r>
            <w:rPr>
              <w:color w:val="auto"/>
            </w:rPr>
            <w:instrText xml:space="preserve"> PAGEREF _Toc3356 \h </w:instrText>
          </w:r>
          <w:r>
            <w:rPr>
              <w:color w:val="auto"/>
            </w:rPr>
            <w:fldChar w:fldCharType="separate"/>
          </w:r>
          <w:r>
            <w:rPr>
              <w:color w:val="auto"/>
            </w:rPr>
            <w:t>- 242 -</w:t>
          </w:r>
          <w:r>
            <w:rPr>
              <w:color w:val="auto"/>
            </w:rPr>
            <w:fldChar w:fldCharType="end"/>
          </w:r>
          <w:r>
            <w:rPr>
              <w:color w:val="auto"/>
            </w:rPr>
            <w:fldChar w:fldCharType="end"/>
          </w:r>
        </w:p>
        <w:p w14:paraId="7F675CBD">
          <w:pPr>
            <w:pStyle w:val="19"/>
            <w:tabs>
              <w:tab w:val="right" w:leader="dot" w:pos="8925"/>
            </w:tabs>
            <w:rPr>
              <w:color w:val="auto"/>
            </w:rPr>
          </w:pPr>
          <w:r>
            <w:fldChar w:fldCharType="begin"/>
          </w:r>
          <w:r>
            <w:instrText xml:space="preserve"> HYPERLINK \l "_Toc29887" </w:instrText>
          </w:r>
          <w:r>
            <w:fldChar w:fldCharType="separate"/>
          </w:r>
          <w:r>
            <w:rPr>
              <w:rFonts w:hint="eastAsia" w:ascii="宋体" w:hAnsi="宋体" w:eastAsia="宋体" w:cs="宋体"/>
              <w:bCs/>
              <w:color w:val="auto"/>
              <w:szCs w:val="24"/>
            </w:rPr>
            <w:t>12.2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TRD水泥搅拌墙</w:t>
          </w:r>
          <w:r>
            <w:rPr>
              <w:color w:val="auto"/>
            </w:rPr>
            <w:tab/>
          </w:r>
          <w:r>
            <w:rPr>
              <w:color w:val="auto"/>
            </w:rPr>
            <w:fldChar w:fldCharType="begin"/>
          </w:r>
          <w:r>
            <w:rPr>
              <w:color w:val="auto"/>
            </w:rPr>
            <w:instrText xml:space="preserve"> PAGEREF _Toc29887 \h </w:instrText>
          </w:r>
          <w:r>
            <w:rPr>
              <w:color w:val="auto"/>
            </w:rPr>
            <w:fldChar w:fldCharType="separate"/>
          </w:r>
          <w:r>
            <w:rPr>
              <w:color w:val="auto"/>
            </w:rPr>
            <w:t>- 243 -</w:t>
          </w:r>
          <w:r>
            <w:rPr>
              <w:color w:val="auto"/>
            </w:rPr>
            <w:fldChar w:fldCharType="end"/>
          </w:r>
          <w:r>
            <w:rPr>
              <w:color w:val="auto"/>
            </w:rPr>
            <w:fldChar w:fldCharType="end"/>
          </w:r>
        </w:p>
        <w:p w14:paraId="3B5DBD84">
          <w:pPr>
            <w:pStyle w:val="19"/>
            <w:tabs>
              <w:tab w:val="right" w:leader="dot" w:pos="8925"/>
            </w:tabs>
            <w:rPr>
              <w:color w:val="auto"/>
            </w:rPr>
          </w:pPr>
          <w:r>
            <w:fldChar w:fldCharType="begin"/>
          </w:r>
          <w:r>
            <w:instrText xml:space="preserve"> HYPERLINK \l "_Toc4702" </w:instrText>
          </w:r>
          <w:r>
            <w:fldChar w:fldCharType="separate"/>
          </w:r>
          <w:r>
            <w:rPr>
              <w:rFonts w:hint="eastAsia" w:ascii="宋体" w:hAnsi="宋体" w:eastAsia="宋体" w:cs="宋体"/>
              <w:bCs/>
              <w:color w:val="auto"/>
              <w:szCs w:val="24"/>
            </w:rPr>
            <w:t>12.3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混凝土灌注桩基础</w:t>
          </w:r>
          <w:r>
            <w:rPr>
              <w:color w:val="auto"/>
            </w:rPr>
            <w:tab/>
          </w:r>
          <w:r>
            <w:rPr>
              <w:color w:val="auto"/>
            </w:rPr>
            <w:fldChar w:fldCharType="begin"/>
          </w:r>
          <w:r>
            <w:rPr>
              <w:color w:val="auto"/>
            </w:rPr>
            <w:instrText xml:space="preserve"> PAGEREF _Toc4702 \h </w:instrText>
          </w:r>
          <w:r>
            <w:rPr>
              <w:color w:val="auto"/>
            </w:rPr>
            <w:fldChar w:fldCharType="separate"/>
          </w:r>
          <w:r>
            <w:rPr>
              <w:color w:val="auto"/>
            </w:rPr>
            <w:t>- 244 -</w:t>
          </w:r>
          <w:r>
            <w:rPr>
              <w:color w:val="auto"/>
            </w:rPr>
            <w:fldChar w:fldCharType="end"/>
          </w:r>
          <w:r>
            <w:rPr>
              <w:color w:val="auto"/>
            </w:rPr>
            <w:fldChar w:fldCharType="end"/>
          </w:r>
        </w:p>
        <w:p w14:paraId="163C385D">
          <w:pPr>
            <w:pStyle w:val="19"/>
            <w:tabs>
              <w:tab w:val="right" w:leader="dot" w:pos="8925"/>
            </w:tabs>
            <w:rPr>
              <w:color w:val="auto"/>
            </w:rPr>
          </w:pPr>
          <w:r>
            <w:fldChar w:fldCharType="begin"/>
          </w:r>
          <w:r>
            <w:instrText xml:space="preserve"> HYPERLINK \l "_Toc20186" </w:instrText>
          </w:r>
          <w:r>
            <w:fldChar w:fldCharType="separate"/>
          </w:r>
          <w:r>
            <w:rPr>
              <w:rFonts w:hint="eastAsia" w:ascii="宋体" w:hAnsi="宋体" w:eastAsia="宋体" w:cs="宋体"/>
              <w:bCs/>
              <w:color w:val="auto"/>
              <w:szCs w:val="24"/>
            </w:rPr>
            <w:t>12.4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喷搅一体化水泥土桩</w:t>
          </w:r>
          <w:r>
            <w:rPr>
              <w:color w:val="auto"/>
            </w:rPr>
            <w:tab/>
          </w:r>
          <w:r>
            <w:rPr>
              <w:color w:val="auto"/>
            </w:rPr>
            <w:fldChar w:fldCharType="begin"/>
          </w:r>
          <w:r>
            <w:rPr>
              <w:color w:val="auto"/>
            </w:rPr>
            <w:instrText xml:space="preserve"> PAGEREF _Toc20186 \h </w:instrText>
          </w:r>
          <w:r>
            <w:rPr>
              <w:color w:val="auto"/>
            </w:rPr>
            <w:fldChar w:fldCharType="separate"/>
          </w:r>
          <w:r>
            <w:rPr>
              <w:color w:val="auto"/>
            </w:rPr>
            <w:t>- 247 -</w:t>
          </w:r>
          <w:r>
            <w:rPr>
              <w:color w:val="auto"/>
            </w:rPr>
            <w:fldChar w:fldCharType="end"/>
          </w:r>
          <w:r>
            <w:rPr>
              <w:color w:val="auto"/>
            </w:rPr>
            <w:fldChar w:fldCharType="end"/>
          </w:r>
        </w:p>
        <w:p w14:paraId="1F4AFF3C">
          <w:pPr>
            <w:pStyle w:val="19"/>
            <w:tabs>
              <w:tab w:val="right" w:leader="dot" w:pos="8925"/>
            </w:tabs>
            <w:rPr>
              <w:color w:val="auto"/>
            </w:rPr>
          </w:pPr>
          <w:r>
            <w:fldChar w:fldCharType="begin"/>
          </w:r>
          <w:r>
            <w:instrText xml:space="preserve"> HYPERLINK \l "_Toc24717" </w:instrText>
          </w:r>
          <w:r>
            <w:fldChar w:fldCharType="separate"/>
          </w:r>
          <w:r>
            <w:rPr>
              <w:rFonts w:hint="eastAsia" w:ascii="宋体" w:hAnsi="宋体" w:eastAsia="宋体" w:cs="宋体"/>
              <w:bCs/>
              <w:color w:val="auto"/>
              <w:szCs w:val="24"/>
            </w:rPr>
            <w:t>12.5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混凝土预制桩</w:t>
          </w:r>
          <w:r>
            <w:rPr>
              <w:color w:val="auto"/>
            </w:rPr>
            <w:tab/>
          </w:r>
          <w:r>
            <w:rPr>
              <w:color w:val="auto"/>
            </w:rPr>
            <w:fldChar w:fldCharType="begin"/>
          </w:r>
          <w:r>
            <w:rPr>
              <w:color w:val="auto"/>
            </w:rPr>
            <w:instrText xml:space="preserve"> PAGEREF _Toc24717 \h </w:instrText>
          </w:r>
          <w:r>
            <w:rPr>
              <w:color w:val="auto"/>
            </w:rPr>
            <w:fldChar w:fldCharType="separate"/>
          </w:r>
          <w:r>
            <w:rPr>
              <w:color w:val="auto"/>
            </w:rPr>
            <w:t>- 248 -</w:t>
          </w:r>
          <w:r>
            <w:rPr>
              <w:color w:val="auto"/>
            </w:rPr>
            <w:fldChar w:fldCharType="end"/>
          </w:r>
          <w:r>
            <w:rPr>
              <w:color w:val="auto"/>
            </w:rPr>
            <w:fldChar w:fldCharType="end"/>
          </w:r>
        </w:p>
        <w:p w14:paraId="1B2E6429">
          <w:pPr>
            <w:pStyle w:val="19"/>
            <w:tabs>
              <w:tab w:val="right" w:leader="dot" w:pos="8925"/>
            </w:tabs>
            <w:rPr>
              <w:color w:val="auto"/>
            </w:rPr>
          </w:pPr>
          <w:r>
            <w:fldChar w:fldCharType="begin"/>
          </w:r>
          <w:r>
            <w:instrText xml:space="preserve"> HYPERLINK \l "_Toc110" </w:instrText>
          </w:r>
          <w:r>
            <w:fldChar w:fldCharType="separate"/>
          </w:r>
          <w:r>
            <w:rPr>
              <w:rFonts w:hint="eastAsia" w:ascii="宋体" w:hAnsi="宋体" w:eastAsia="宋体" w:cs="宋体"/>
              <w:bCs/>
              <w:color w:val="auto"/>
              <w:szCs w:val="24"/>
            </w:rPr>
            <w:t>12.6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水泥搅拌桩</w:t>
          </w:r>
          <w:r>
            <w:rPr>
              <w:color w:val="auto"/>
            </w:rPr>
            <w:tab/>
          </w:r>
          <w:r>
            <w:rPr>
              <w:color w:val="auto"/>
            </w:rPr>
            <w:fldChar w:fldCharType="begin"/>
          </w:r>
          <w:r>
            <w:rPr>
              <w:color w:val="auto"/>
            </w:rPr>
            <w:instrText xml:space="preserve"> PAGEREF _Toc110 \h </w:instrText>
          </w:r>
          <w:r>
            <w:rPr>
              <w:color w:val="auto"/>
            </w:rPr>
            <w:fldChar w:fldCharType="separate"/>
          </w:r>
          <w:r>
            <w:rPr>
              <w:color w:val="auto"/>
            </w:rPr>
            <w:t>- 250 -</w:t>
          </w:r>
          <w:r>
            <w:rPr>
              <w:color w:val="auto"/>
            </w:rPr>
            <w:fldChar w:fldCharType="end"/>
          </w:r>
          <w:r>
            <w:rPr>
              <w:color w:val="auto"/>
            </w:rPr>
            <w:fldChar w:fldCharType="end"/>
          </w:r>
        </w:p>
        <w:p w14:paraId="5DC537AF">
          <w:pPr>
            <w:pStyle w:val="19"/>
            <w:tabs>
              <w:tab w:val="right" w:leader="dot" w:pos="8925"/>
            </w:tabs>
            <w:rPr>
              <w:color w:val="auto"/>
            </w:rPr>
          </w:pPr>
          <w:r>
            <w:fldChar w:fldCharType="begin"/>
          </w:r>
          <w:r>
            <w:instrText xml:space="preserve"> HYPERLINK \l "_Toc25231" </w:instrText>
          </w:r>
          <w:r>
            <w:fldChar w:fldCharType="separate"/>
          </w:r>
          <w:r>
            <w:rPr>
              <w:rFonts w:hint="eastAsia" w:ascii="宋体" w:hAnsi="宋体" w:eastAsia="宋体" w:cs="宋体"/>
              <w:bCs/>
              <w:color w:val="auto"/>
              <w:szCs w:val="24"/>
            </w:rPr>
            <w:t>12.7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PC工法组合钢管桩施工</w:t>
          </w:r>
          <w:r>
            <w:rPr>
              <w:color w:val="auto"/>
            </w:rPr>
            <w:tab/>
          </w:r>
          <w:r>
            <w:rPr>
              <w:color w:val="auto"/>
            </w:rPr>
            <w:fldChar w:fldCharType="begin"/>
          </w:r>
          <w:r>
            <w:rPr>
              <w:color w:val="auto"/>
            </w:rPr>
            <w:instrText xml:space="preserve"> PAGEREF _Toc25231 \h </w:instrText>
          </w:r>
          <w:r>
            <w:rPr>
              <w:color w:val="auto"/>
            </w:rPr>
            <w:fldChar w:fldCharType="separate"/>
          </w:r>
          <w:r>
            <w:rPr>
              <w:color w:val="auto"/>
            </w:rPr>
            <w:t>- 254 -</w:t>
          </w:r>
          <w:r>
            <w:rPr>
              <w:color w:val="auto"/>
            </w:rPr>
            <w:fldChar w:fldCharType="end"/>
          </w:r>
          <w:r>
            <w:rPr>
              <w:color w:val="auto"/>
            </w:rPr>
            <w:fldChar w:fldCharType="end"/>
          </w:r>
        </w:p>
        <w:p w14:paraId="71F616A7">
          <w:pPr>
            <w:pStyle w:val="19"/>
            <w:tabs>
              <w:tab w:val="right" w:leader="dot" w:pos="8925"/>
            </w:tabs>
            <w:rPr>
              <w:color w:val="auto"/>
            </w:rPr>
          </w:pPr>
          <w:r>
            <w:fldChar w:fldCharType="begin"/>
          </w:r>
          <w:r>
            <w:instrText xml:space="preserve"> HYPERLINK \l "_Toc29896" </w:instrText>
          </w:r>
          <w:r>
            <w:fldChar w:fldCharType="separate"/>
          </w:r>
          <w:r>
            <w:rPr>
              <w:rFonts w:hint="eastAsia" w:ascii="宋体" w:hAnsi="宋体" w:eastAsia="宋体" w:cs="宋体"/>
              <w:bCs/>
              <w:color w:val="auto"/>
              <w:szCs w:val="24"/>
            </w:rPr>
            <w:t>12.8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真空预压</w:t>
          </w:r>
          <w:r>
            <w:rPr>
              <w:rFonts w:hint="eastAsia" w:ascii="宋体" w:hAnsi="宋体" w:eastAsia="宋体" w:cs="宋体"/>
              <w:bCs/>
              <w:color w:val="auto"/>
              <w:szCs w:val="24"/>
              <w:lang w:eastAsia="zh-CN"/>
            </w:rPr>
            <w:t>（略）</w:t>
          </w:r>
          <w:r>
            <w:rPr>
              <w:color w:val="auto"/>
            </w:rPr>
            <w:tab/>
          </w:r>
          <w:r>
            <w:rPr>
              <w:color w:val="auto"/>
            </w:rPr>
            <w:fldChar w:fldCharType="begin"/>
          </w:r>
          <w:r>
            <w:rPr>
              <w:color w:val="auto"/>
            </w:rPr>
            <w:instrText xml:space="preserve"> PAGEREF _Toc29896 \h </w:instrText>
          </w:r>
          <w:r>
            <w:rPr>
              <w:color w:val="auto"/>
            </w:rPr>
            <w:fldChar w:fldCharType="separate"/>
          </w:r>
          <w:r>
            <w:rPr>
              <w:color w:val="auto"/>
            </w:rPr>
            <w:t>- 256 -</w:t>
          </w:r>
          <w:r>
            <w:rPr>
              <w:color w:val="auto"/>
            </w:rPr>
            <w:fldChar w:fldCharType="end"/>
          </w:r>
          <w:r>
            <w:rPr>
              <w:color w:val="auto"/>
            </w:rPr>
            <w:fldChar w:fldCharType="end"/>
          </w:r>
        </w:p>
        <w:p w14:paraId="08CFFBF5">
          <w:pPr>
            <w:pStyle w:val="19"/>
            <w:tabs>
              <w:tab w:val="right" w:leader="dot" w:pos="8925"/>
            </w:tabs>
            <w:rPr>
              <w:color w:val="auto"/>
            </w:rPr>
          </w:pPr>
          <w:r>
            <w:fldChar w:fldCharType="begin"/>
          </w:r>
          <w:r>
            <w:instrText xml:space="preserve"> HYPERLINK \l "_Toc23162" </w:instrText>
          </w:r>
          <w:r>
            <w:fldChar w:fldCharType="separate"/>
          </w:r>
          <w:r>
            <w:rPr>
              <w:rFonts w:hint="eastAsia" w:ascii="宋体" w:hAnsi="宋体" w:eastAsia="宋体" w:cs="宋体"/>
              <w:bCs/>
              <w:color w:val="auto"/>
              <w:szCs w:val="24"/>
            </w:rPr>
            <w:t>12.9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_Toc23162 \h </w:instrText>
          </w:r>
          <w:r>
            <w:rPr>
              <w:color w:val="auto"/>
            </w:rPr>
            <w:fldChar w:fldCharType="separate"/>
          </w:r>
          <w:r>
            <w:rPr>
              <w:color w:val="auto"/>
            </w:rPr>
            <w:t>- 256 -</w:t>
          </w:r>
          <w:r>
            <w:rPr>
              <w:color w:val="auto"/>
            </w:rPr>
            <w:fldChar w:fldCharType="end"/>
          </w:r>
          <w:r>
            <w:rPr>
              <w:color w:val="auto"/>
            </w:rPr>
            <w:fldChar w:fldCharType="end"/>
          </w:r>
        </w:p>
        <w:p w14:paraId="2E01A013">
          <w:pPr>
            <w:pStyle w:val="18"/>
            <w:tabs>
              <w:tab w:val="right" w:leader="dot" w:pos="8925"/>
            </w:tabs>
            <w:rPr>
              <w:color w:val="auto"/>
            </w:rPr>
          </w:pPr>
          <w:r>
            <w:fldChar w:fldCharType="begin"/>
          </w:r>
          <w:r>
            <w:instrText xml:space="preserve"> HYPERLINK \l "_Toc16830" </w:instrText>
          </w:r>
          <w:r>
            <w:fldChar w:fldCharType="separate"/>
          </w:r>
          <w:r>
            <w:rPr>
              <w:rFonts w:ascii="Times New Roman" w:hAnsi="Times New Roman" w:eastAsia="Times New Roman" w:cs="Times New Roman"/>
              <w:bCs/>
              <w:color w:val="auto"/>
              <w:szCs w:val="28"/>
            </w:rPr>
            <w:t>13</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土石方填筑工程</w:t>
          </w:r>
          <w:r>
            <w:rPr>
              <w:color w:val="auto"/>
            </w:rPr>
            <w:tab/>
          </w:r>
          <w:r>
            <w:rPr>
              <w:color w:val="auto"/>
            </w:rPr>
            <w:fldChar w:fldCharType="begin"/>
          </w:r>
          <w:r>
            <w:rPr>
              <w:color w:val="auto"/>
            </w:rPr>
            <w:instrText xml:space="preserve"> PAGEREF _Toc16830 \h </w:instrText>
          </w:r>
          <w:r>
            <w:rPr>
              <w:color w:val="auto"/>
            </w:rPr>
            <w:fldChar w:fldCharType="separate"/>
          </w:r>
          <w:r>
            <w:rPr>
              <w:color w:val="auto"/>
            </w:rPr>
            <w:t>- 259 -</w:t>
          </w:r>
          <w:r>
            <w:rPr>
              <w:color w:val="auto"/>
            </w:rPr>
            <w:fldChar w:fldCharType="end"/>
          </w:r>
          <w:r>
            <w:rPr>
              <w:color w:val="auto"/>
            </w:rPr>
            <w:fldChar w:fldCharType="end"/>
          </w:r>
        </w:p>
        <w:p w14:paraId="0F66C9FA">
          <w:pPr>
            <w:pStyle w:val="19"/>
            <w:tabs>
              <w:tab w:val="right" w:leader="dot" w:pos="8925"/>
            </w:tabs>
            <w:rPr>
              <w:color w:val="auto"/>
            </w:rPr>
          </w:pPr>
          <w:r>
            <w:fldChar w:fldCharType="begin"/>
          </w:r>
          <w:r>
            <w:instrText xml:space="preserve"> HYPERLINK \l "_Toc14996" </w:instrText>
          </w:r>
          <w:r>
            <w:fldChar w:fldCharType="separate"/>
          </w:r>
          <w:r>
            <w:rPr>
              <w:rFonts w:hint="eastAsia" w:ascii="宋体" w:hAnsi="宋体" w:eastAsia="宋体" w:cs="宋体"/>
              <w:bCs/>
              <w:color w:val="auto"/>
              <w:szCs w:val="24"/>
            </w:rPr>
            <w:t>13.1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_Toc14996 \h </w:instrText>
          </w:r>
          <w:r>
            <w:rPr>
              <w:color w:val="auto"/>
            </w:rPr>
            <w:fldChar w:fldCharType="separate"/>
          </w:r>
          <w:r>
            <w:rPr>
              <w:color w:val="auto"/>
            </w:rPr>
            <w:t>- 259 -</w:t>
          </w:r>
          <w:r>
            <w:rPr>
              <w:color w:val="auto"/>
            </w:rPr>
            <w:fldChar w:fldCharType="end"/>
          </w:r>
          <w:r>
            <w:rPr>
              <w:color w:val="auto"/>
            </w:rPr>
            <w:fldChar w:fldCharType="end"/>
          </w:r>
        </w:p>
        <w:p w14:paraId="755F43D3">
          <w:pPr>
            <w:pStyle w:val="19"/>
            <w:tabs>
              <w:tab w:val="right" w:leader="dot" w:pos="8925"/>
            </w:tabs>
            <w:rPr>
              <w:color w:val="auto"/>
            </w:rPr>
          </w:pPr>
          <w:r>
            <w:fldChar w:fldCharType="begin"/>
          </w:r>
          <w:r>
            <w:instrText xml:space="preserve"> HYPERLINK \l "_Toc7454" </w:instrText>
          </w:r>
          <w:r>
            <w:fldChar w:fldCharType="separate"/>
          </w:r>
          <w:r>
            <w:rPr>
              <w:rFonts w:hint="eastAsia" w:ascii="宋体" w:hAnsi="宋体" w:eastAsia="宋体" w:cs="宋体"/>
              <w:bCs/>
              <w:color w:val="auto"/>
              <w:szCs w:val="24"/>
            </w:rPr>
            <w:t>13.2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料源要求</w:t>
          </w:r>
          <w:r>
            <w:rPr>
              <w:color w:val="auto"/>
            </w:rPr>
            <w:tab/>
          </w:r>
          <w:r>
            <w:rPr>
              <w:color w:val="auto"/>
            </w:rPr>
            <w:fldChar w:fldCharType="begin"/>
          </w:r>
          <w:r>
            <w:rPr>
              <w:color w:val="auto"/>
            </w:rPr>
            <w:instrText xml:space="preserve"> PAGEREF _Toc7454 \h </w:instrText>
          </w:r>
          <w:r>
            <w:rPr>
              <w:color w:val="auto"/>
            </w:rPr>
            <w:fldChar w:fldCharType="separate"/>
          </w:r>
          <w:r>
            <w:rPr>
              <w:color w:val="auto"/>
            </w:rPr>
            <w:t>- 261 -</w:t>
          </w:r>
          <w:r>
            <w:rPr>
              <w:color w:val="auto"/>
            </w:rPr>
            <w:fldChar w:fldCharType="end"/>
          </w:r>
          <w:r>
            <w:rPr>
              <w:color w:val="auto"/>
            </w:rPr>
            <w:fldChar w:fldCharType="end"/>
          </w:r>
        </w:p>
        <w:p w14:paraId="62B9E4D8">
          <w:pPr>
            <w:pStyle w:val="19"/>
            <w:tabs>
              <w:tab w:val="right" w:leader="dot" w:pos="8925"/>
            </w:tabs>
            <w:rPr>
              <w:color w:val="auto"/>
            </w:rPr>
          </w:pPr>
          <w:r>
            <w:fldChar w:fldCharType="begin"/>
          </w:r>
          <w:r>
            <w:instrText xml:space="preserve"> HYPERLINK \l "_Toc17293" </w:instrText>
          </w:r>
          <w:r>
            <w:fldChar w:fldCharType="separate"/>
          </w:r>
          <w:r>
            <w:rPr>
              <w:rFonts w:hint="eastAsia" w:ascii="宋体" w:hAnsi="宋体" w:eastAsia="宋体" w:cs="宋体"/>
              <w:bCs/>
              <w:color w:val="auto"/>
              <w:szCs w:val="24"/>
            </w:rPr>
            <w:t>13.3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填筑现场试验</w:t>
          </w:r>
          <w:r>
            <w:rPr>
              <w:color w:val="auto"/>
            </w:rPr>
            <w:tab/>
          </w:r>
          <w:r>
            <w:rPr>
              <w:color w:val="auto"/>
            </w:rPr>
            <w:fldChar w:fldCharType="begin"/>
          </w:r>
          <w:r>
            <w:rPr>
              <w:color w:val="auto"/>
            </w:rPr>
            <w:instrText xml:space="preserve"> PAGEREF _Toc17293 \h </w:instrText>
          </w:r>
          <w:r>
            <w:rPr>
              <w:color w:val="auto"/>
            </w:rPr>
            <w:fldChar w:fldCharType="separate"/>
          </w:r>
          <w:r>
            <w:rPr>
              <w:color w:val="auto"/>
            </w:rPr>
            <w:t>- 262 -</w:t>
          </w:r>
          <w:r>
            <w:rPr>
              <w:color w:val="auto"/>
            </w:rPr>
            <w:fldChar w:fldCharType="end"/>
          </w:r>
          <w:r>
            <w:rPr>
              <w:color w:val="auto"/>
            </w:rPr>
            <w:fldChar w:fldCharType="end"/>
          </w:r>
        </w:p>
        <w:p w14:paraId="108D2197">
          <w:pPr>
            <w:pStyle w:val="19"/>
            <w:tabs>
              <w:tab w:val="right" w:leader="dot" w:pos="8925"/>
            </w:tabs>
            <w:rPr>
              <w:color w:val="auto"/>
            </w:rPr>
          </w:pPr>
          <w:r>
            <w:fldChar w:fldCharType="begin"/>
          </w:r>
          <w:r>
            <w:instrText xml:space="preserve"> HYPERLINK \l "_Toc1672" </w:instrText>
          </w:r>
          <w:r>
            <w:fldChar w:fldCharType="separate"/>
          </w:r>
          <w:r>
            <w:rPr>
              <w:rFonts w:hint="eastAsia" w:ascii="宋体" w:hAnsi="宋体" w:eastAsia="宋体" w:cs="宋体"/>
              <w:bCs/>
              <w:color w:val="auto"/>
              <w:szCs w:val="24"/>
            </w:rPr>
            <w:t>13.4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坝体填筑</w:t>
          </w:r>
          <w:r>
            <w:rPr>
              <w:rFonts w:hint="eastAsia" w:ascii="宋体" w:hAnsi="宋体" w:eastAsia="宋体" w:cs="宋体"/>
              <w:bCs/>
              <w:color w:val="auto"/>
              <w:szCs w:val="24"/>
              <w:lang w:eastAsia="zh-CN"/>
            </w:rPr>
            <w:t>（略）</w:t>
          </w:r>
          <w:r>
            <w:rPr>
              <w:color w:val="auto"/>
            </w:rPr>
            <w:tab/>
          </w:r>
          <w:r>
            <w:rPr>
              <w:color w:val="auto"/>
            </w:rPr>
            <w:fldChar w:fldCharType="begin"/>
          </w:r>
          <w:r>
            <w:rPr>
              <w:color w:val="auto"/>
            </w:rPr>
            <w:instrText xml:space="preserve"> PAGEREF _Toc1672 \h </w:instrText>
          </w:r>
          <w:r>
            <w:rPr>
              <w:color w:val="auto"/>
            </w:rPr>
            <w:fldChar w:fldCharType="separate"/>
          </w:r>
          <w:r>
            <w:rPr>
              <w:color w:val="auto"/>
            </w:rPr>
            <w:t>- 263 -</w:t>
          </w:r>
          <w:r>
            <w:rPr>
              <w:color w:val="auto"/>
            </w:rPr>
            <w:fldChar w:fldCharType="end"/>
          </w:r>
          <w:r>
            <w:rPr>
              <w:color w:val="auto"/>
            </w:rPr>
            <w:fldChar w:fldCharType="end"/>
          </w:r>
        </w:p>
        <w:p w14:paraId="114E5FA5">
          <w:pPr>
            <w:pStyle w:val="19"/>
            <w:tabs>
              <w:tab w:val="right" w:leader="dot" w:pos="8925"/>
            </w:tabs>
            <w:rPr>
              <w:color w:val="auto"/>
            </w:rPr>
          </w:pPr>
          <w:r>
            <w:fldChar w:fldCharType="begin"/>
          </w:r>
          <w:r>
            <w:instrText xml:space="preserve"> HYPERLINK \l "_Toc31089" </w:instrText>
          </w:r>
          <w:r>
            <w:fldChar w:fldCharType="separate"/>
          </w:r>
          <w:r>
            <w:rPr>
              <w:rFonts w:hint="eastAsia" w:ascii="宋体" w:hAnsi="宋体" w:eastAsia="宋体" w:cs="宋体"/>
              <w:bCs/>
              <w:color w:val="auto"/>
              <w:szCs w:val="24"/>
            </w:rPr>
            <w:t>13.5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填筑合理用料</w:t>
          </w:r>
          <w:r>
            <w:rPr>
              <w:color w:val="auto"/>
            </w:rPr>
            <w:tab/>
          </w:r>
          <w:r>
            <w:rPr>
              <w:color w:val="auto"/>
            </w:rPr>
            <w:fldChar w:fldCharType="begin"/>
          </w:r>
          <w:r>
            <w:rPr>
              <w:color w:val="auto"/>
            </w:rPr>
            <w:instrText xml:space="preserve"> PAGEREF _Toc31089 \h </w:instrText>
          </w:r>
          <w:r>
            <w:rPr>
              <w:color w:val="auto"/>
            </w:rPr>
            <w:fldChar w:fldCharType="separate"/>
          </w:r>
          <w:r>
            <w:rPr>
              <w:color w:val="auto"/>
            </w:rPr>
            <w:t>- 263 -</w:t>
          </w:r>
          <w:r>
            <w:rPr>
              <w:color w:val="auto"/>
            </w:rPr>
            <w:fldChar w:fldCharType="end"/>
          </w:r>
          <w:r>
            <w:rPr>
              <w:color w:val="auto"/>
            </w:rPr>
            <w:fldChar w:fldCharType="end"/>
          </w:r>
        </w:p>
        <w:p w14:paraId="06B802DA">
          <w:pPr>
            <w:pStyle w:val="19"/>
            <w:tabs>
              <w:tab w:val="right" w:leader="dot" w:pos="8925"/>
            </w:tabs>
            <w:rPr>
              <w:color w:val="auto"/>
            </w:rPr>
          </w:pPr>
          <w:r>
            <w:fldChar w:fldCharType="begin"/>
          </w:r>
          <w:r>
            <w:instrText xml:space="preserve"> HYPERLINK \l "_Toc4380" </w:instrText>
          </w:r>
          <w:r>
            <w:fldChar w:fldCharType="separate"/>
          </w:r>
          <w:r>
            <w:rPr>
              <w:rFonts w:hint="eastAsia" w:ascii="宋体" w:hAnsi="宋体" w:eastAsia="宋体" w:cs="宋体"/>
              <w:bCs/>
              <w:color w:val="auto"/>
              <w:szCs w:val="24"/>
            </w:rPr>
            <w:t>13.6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堤防工程施工</w:t>
          </w:r>
          <w:r>
            <w:rPr>
              <w:color w:val="auto"/>
            </w:rPr>
            <w:tab/>
          </w:r>
          <w:r>
            <w:rPr>
              <w:color w:val="auto"/>
            </w:rPr>
            <w:fldChar w:fldCharType="begin"/>
          </w:r>
          <w:r>
            <w:rPr>
              <w:color w:val="auto"/>
            </w:rPr>
            <w:instrText xml:space="preserve"> PAGEREF _Toc4380 \h </w:instrText>
          </w:r>
          <w:r>
            <w:rPr>
              <w:color w:val="auto"/>
            </w:rPr>
            <w:fldChar w:fldCharType="separate"/>
          </w:r>
          <w:r>
            <w:rPr>
              <w:color w:val="auto"/>
            </w:rPr>
            <w:t>- 263 -</w:t>
          </w:r>
          <w:r>
            <w:rPr>
              <w:color w:val="auto"/>
            </w:rPr>
            <w:fldChar w:fldCharType="end"/>
          </w:r>
          <w:r>
            <w:rPr>
              <w:color w:val="auto"/>
            </w:rPr>
            <w:fldChar w:fldCharType="end"/>
          </w:r>
        </w:p>
        <w:p w14:paraId="5C522ABA">
          <w:pPr>
            <w:pStyle w:val="19"/>
            <w:tabs>
              <w:tab w:val="right" w:leader="dot" w:pos="8925"/>
            </w:tabs>
            <w:rPr>
              <w:color w:val="auto"/>
            </w:rPr>
          </w:pPr>
          <w:r>
            <w:fldChar w:fldCharType="begin"/>
          </w:r>
          <w:r>
            <w:instrText xml:space="preserve"> HYPERLINK \l "_Toc19733" </w:instrText>
          </w:r>
          <w:r>
            <w:fldChar w:fldCharType="separate"/>
          </w:r>
          <w:r>
            <w:rPr>
              <w:rFonts w:hint="eastAsia" w:ascii="宋体" w:hAnsi="宋体" w:eastAsia="宋体" w:cs="宋体"/>
              <w:bCs/>
              <w:color w:val="auto"/>
              <w:szCs w:val="24"/>
            </w:rPr>
            <w:t>13.7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土工合成材料施工</w:t>
          </w:r>
          <w:r>
            <w:rPr>
              <w:color w:val="auto"/>
            </w:rPr>
            <w:tab/>
          </w:r>
          <w:r>
            <w:rPr>
              <w:color w:val="auto"/>
            </w:rPr>
            <w:fldChar w:fldCharType="begin"/>
          </w:r>
          <w:r>
            <w:rPr>
              <w:color w:val="auto"/>
            </w:rPr>
            <w:instrText xml:space="preserve"> PAGEREF _Toc19733 \h </w:instrText>
          </w:r>
          <w:r>
            <w:rPr>
              <w:color w:val="auto"/>
            </w:rPr>
            <w:fldChar w:fldCharType="separate"/>
          </w:r>
          <w:r>
            <w:rPr>
              <w:color w:val="auto"/>
            </w:rPr>
            <w:t>- 264 -</w:t>
          </w:r>
          <w:r>
            <w:rPr>
              <w:color w:val="auto"/>
            </w:rPr>
            <w:fldChar w:fldCharType="end"/>
          </w:r>
          <w:r>
            <w:rPr>
              <w:color w:val="auto"/>
            </w:rPr>
            <w:fldChar w:fldCharType="end"/>
          </w:r>
        </w:p>
        <w:p w14:paraId="573E10FD">
          <w:pPr>
            <w:pStyle w:val="19"/>
            <w:tabs>
              <w:tab w:val="right" w:leader="dot" w:pos="8925"/>
            </w:tabs>
            <w:rPr>
              <w:color w:val="auto"/>
            </w:rPr>
          </w:pPr>
          <w:r>
            <w:fldChar w:fldCharType="begin"/>
          </w:r>
          <w:r>
            <w:instrText xml:space="preserve"> HYPERLINK \l "_Toc21419" </w:instrText>
          </w:r>
          <w:r>
            <w:fldChar w:fldCharType="separate"/>
          </w:r>
          <w:r>
            <w:rPr>
              <w:rFonts w:hint="eastAsia" w:ascii="宋体" w:hAnsi="宋体" w:eastAsia="宋体" w:cs="宋体"/>
              <w:bCs/>
              <w:color w:val="auto"/>
              <w:szCs w:val="24"/>
            </w:rPr>
            <w:t>13.8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质量检查和验收</w:t>
          </w:r>
          <w:r>
            <w:rPr>
              <w:color w:val="auto"/>
            </w:rPr>
            <w:tab/>
          </w:r>
          <w:r>
            <w:rPr>
              <w:color w:val="auto"/>
            </w:rPr>
            <w:fldChar w:fldCharType="begin"/>
          </w:r>
          <w:r>
            <w:rPr>
              <w:color w:val="auto"/>
            </w:rPr>
            <w:instrText xml:space="preserve"> PAGEREF _Toc21419 \h </w:instrText>
          </w:r>
          <w:r>
            <w:rPr>
              <w:color w:val="auto"/>
            </w:rPr>
            <w:fldChar w:fldCharType="separate"/>
          </w:r>
          <w:r>
            <w:rPr>
              <w:color w:val="auto"/>
            </w:rPr>
            <w:t>- 266 -</w:t>
          </w:r>
          <w:r>
            <w:rPr>
              <w:color w:val="auto"/>
            </w:rPr>
            <w:fldChar w:fldCharType="end"/>
          </w:r>
          <w:r>
            <w:rPr>
              <w:color w:val="auto"/>
            </w:rPr>
            <w:fldChar w:fldCharType="end"/>
          </w:r>
        </w:p>
        <w:p w14:paraId="031E9793">
          <w:pPr>
            <w:pStyle w:val="19"/>
            <w:tabs>
              <w:tab w:val="right" w:leader="dot" w:pos="8925"/>
            </w:tabs>
            <w:rPr>
              <w:color w:val="auto"/>
            </w:rPr>
          </w:pPr>
          <w:r>
            <w:fldChar w:fldCharType="begin"/>
          </w:r>
          <w:r>
            <w:instrText xml:space="preserve"> HYPERLINK \l "_Toc1558" </w:instrText>
          </w:r>
          <w:r>
            <w:fldChar w:fldCharType="separate"/>
          </w:r>
          <w:r>
            <w:rPr>
              <w:rFonts w:hint="eastAsia" w:ascii="宋体" w:hAnsi="宋体" w:eastAsia="宋体" w:cs="宋体"/>
              <w:bCs/>
              <w:color w:val="auto"/>
              <w:szCs w:val="24"/>
            </w:rPr>
            <w:t>13.9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_Toc1558 \h </w:instrText>
          </w:r>
          <w:r>
            <w:rPr>
              <w:color w:val="auto"/>
            </w:rPr>
            <w:fldChar w:fldCharType="separate"/>
          </w:r>
          <w:r>
            <w:rPr>
              <w:color w:val="auto"/>
            </w:rPr>
            <w:t>- 268 -</w:t>
          </w:r>
          <w:r>
            <w:rPr>
              <w:color w:val="auto"/>
            </w:rPr>
            <w:fldChar w:fldCharType="end"/>
          </w:r>
          <w:r>
            <w:rPr>
              <w:color w:val="auto"/>
            </w:rPr>
            <w:fldChar w:fldCharType="end"/>
          </w:r>
        </w:p>
        <w:p w14:paraId="47A997D3">
          <w:pPr>
            <w:pStyle w:val="18"/>
            <w:tabs>
              <w:tab w:val="right" w:leader="dot" w:pos="8925"/>
            </w:tabs>
            <w:rPr>
              <w:color w:val="auto"/>
            </w:rPr>
          </w:pPr>
          <w:r>
            <w:fldChar w:fldCharType="begin"/>
          </w:r>
          <w:r>
            <w:instrText xml:space="preserve"> HYPERLINK \l "_Toc31555" </w:instrText>
          </w:r>
          <w:r>
            <w:fldChar w:fldCharType="separate"/>
          </w:r>
          <w:r>
            <w:rPr>
              <w:rFonts w:ascii="Times New Roman" w:hAnsi="Times New Roman" w:eastAsia="Times New Roman" w:cs="Times New Roman"/>
              <w:bCs/>
              <w:color w:val="auto"/>
              <w:szCs w:val="28"/>
            </w:rPr>
            <w:t>14</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混凝土工程</w:t>
          </w:r>
          <w:r>
            <w:rPr>
              <w:color w:val="auto"/>
            </w:rPr>
            <w:tab/>
          </w:r>
          <w:r>
            <w:rPr>
              <w:color w:val="auto"/>
            </w:rPr>
            <w:fldChar w:fldCharType="begin"/>
          </w:r>
          <w:r>
            <w:rPr>
              <w:color w:val="auto"/>
            </w:rPr>
            <w:instrText xml:space="preserve"> PAGEREF _Toc31555 \h </w:instrText>
          </w:r>
          <w:r>
            <w:rPr>
              <w:color w:val="auto"/>
            </w:rPr>
            <w:fldChar w:fldCharType="separate"/>
          </w:r>
          <w:r>
            <w:rPr>
              <w:color w:val="auto"/>
            </w:rPr>
            <w:t>- 270 -</w:t>
          </w:r>
          <w:r>
            <w:rPr>
              <w:color w:val="auto"/>
            </w:rPr>
            <w:fldChar w:fldCharType="end"/>
          </w:r>
          <w:r>
            <w:rPr>
              <w:color w:val="auto"/>
            </w:rPr>
            <w:fldChar w:fldCharType="end"/>
          </w:r>
        </w:p>
        <w:p w14:paraId="5032670D">
          <w:pPr>
            <w:pStyle w:val="19"/>
            <w:tabs>
              <w:tab w:val="right" w:leader="dot" w:pos="8925"/>
            </w:tabs>
            <w:rPr>
              <w:color w:val="auto"/>
            </w:rPr>
          </w:pPr>
          <w:r>
            <w:fldChar w:fldCharType="begin"/>
          </w:r>
          <w:r>
            <w:instrText xml:space="preserve"> HYPERLINK \l "_Toc6559" </w:instrText>
          </w:r>
          <w:r>
            <w:fldChar w:fldCharType="separate"/>
          </w:r>
          <w:r>
            <w:rPr>
              <w:rFonts w:hint="eastAsia" w:ascii="宋体" w:hAnsi="宋体" w:eastAsia="宋体" w:cs="宋体"/>
              <w:bCs/>
              <w:color w:val="auto"/>
              <w:szCs w:val="24"/>
            </w:rPr>
            <w:t>14.1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_Toc6559 \h </w:instrText>
          </w:r>
          <w:r>
            <w:rPr>
              <w:color w:val="auto"/>
            </w:rPr>
            <w:fldChar w:fldCharType="separate"/>
          </w:r>
          <w:r>
            <w:rPr>
              <w:color w:val="auto"/>
            </w:rPr>
            <w:t>- 270 -</w:t>
          </w:r>
          <w:r>
            <w:rPr>
              <w:color w:val="auto"/>
            </w:rPr>
            <w:fldChar w:fldCharType="end"/>
          </w:r>
          <w:r>
            <w:rPr>
              <w:color w:val="auto"/>
            </w:rPr>
            <w:fldChar w:fldCharType="end"/>
          </w:r>
        </w:p>
        <w:p w14:paraId="38A82FB2">
          <w:pPr>
            <w:pStyle w:val="19"/>
            <w:tabs>
              <w:tab w:val="right" w:leader="dot" w:pos="8925"/>
            </w:tabs>
            <w:rPr>
              <w:color w:val="auto"/>
            </w:rPr>
          </w:pPr>
          <w:r>
            <w:fldChar w:fldCharType="begin"/>
          </w:r>
          <w:r>
            <w:instrText xml:space="preserve"> HYPERLINK \l "_Toc6995" </w:instrText>
          </w:r>
          <w:r>
            <w:fldChar w:fldCharType="separate"/>
          </w:r>
          <w:r>
            <w:rPr>
              <w:rFonts w:hint="eastAsia" w:ascii="宋体" w:hAnsi="宋体" w:eastAsia="宋体" w:cs="宋体"/>
              <w:bCs/>
              <w:color w:val="auto"/>
              <w:szCs w:val="24"/>
            </w:rPr>
            <w:t>14.2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混凝土生产</w:t>
          </w:r>
          <w:r>
            <w:rPr>
              <w:color w:val="auto"/>
            </w:rPr>
            <w:tab/>
          </w:r>
          <w:r>
            <w:rPr>
              <w:color w:val="auto"/>
            </w:rPr>
            <w:fldChar w:fldCharType="begin"/>
          </w:r>
          <w:r>
            <w:rPr>
              <w:color w:val="auto"/>
            </w:rPr>
            <w:instrText xml:space="preserve"> PAGEREF _Toc6995 \h </w:instrText>
          </w:r>
          <w:r>
            <w:rPr>
              <w:color w:val="auto"/>
            </w:rPr>
            <w:fldChar w:fldCharType="separate"/>
          </w:r>
          <w:r>
            <w:rPr>
              <w:color w:val="auto"/>
            </w:rPr>
            <w:t>- 272 -</w:t>
          </w:r>
          <w:r>
            <w:rPr>
              <w:color w:val="auto"/>
            </w:rPr>
            <w:fldChar w:fldCharType="end"/>
          </w:r>
          <w:r>
            <w:rPr>
              <w:color w:val="auto"/>
            </w:rPr>
            <w:fldChar w:fldCharType="end"/>
          </w:r>
        </w:p>
        <w:p w14:paraId="273A8E91">
          <w:pPr>
            <w:pStyle w:val="19"/>
            <w:tabs>
              <w:tab w:val="right" w:leader="dot" w:pos="8925"/>
            </w:tabs>
            <w:rPr>
              <w:color w:val="auto"/>
            </w:rPr>
          </w:pPr>
          <w:r>
            <w:fldChar w:fldCharType="begin"/>
          </w:r>
          <w:r>
            <w:instrText xml:space="preserve"> HYPERLINK \l "_Toc15505" </w:instrText>
          </w:r>
          <w:r>
            <w:fldChar w:fldCharType="separate"/>
          </w:r>
          <w:r>
            <w:rPr>
              <w:rFonts w:hint="eastAsia" w:ascii="宋体" w:hAnsi="宋体" w:eastAsia="宋体" w:cs="宋体"/>
              <w:bCs/>
              <w:color w:val="auto"/>
              <w:szCs w:val="24"/>
            </w:rPr>
            <w:t>14.3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模板</w:t>
          </w:r>
          <w:r>
            <w:rPr>
              <w:color w:val="auto"/>
            </w:rPr>
            <w:tab/>
          </w:r>
          <w:r>
            <w:rPr>
              <w:color w:val="auto"/>
            </w:rPr>
            <w:fldChar w:fldCharType="begin"/>
          </w:r>
          <w:r>
            <w:rPr>
              <w:color w:val="auto"/>
            </w:rPr>
            <w:instrText xml:space="preserve"> PAGEREF _Toc15505 \h </w:instrText>
          </w:r>
          <w:r>
            <w:rPr>
              <w:color w:val="auto"/>
            </w:rPr>
            <w:fldChar w:fldCharType="separate"/>
          </w:r>
          <w:r>
            <w:rPr>
              <w:color w:val="auto"/>
            </w:rPr>
            <w:t>- 274 -</w:t>
          </w:r>
          <w:r>
            <w:rPr>
              <w:color w:val="auto"/>
            </w:rPr>
            <w:fldChar w:fldCharType="end"/>
          </w:r>
          <w:r>
            <w:rPr>
              <w:color w:val="auto"/>
            </w:rPr>
            <w:fldChar w:fldCharType="end"/>
          </w:r>
        </w:p>
        <w:p w14:paraId="0C7C0E6C">
          <w:pPr>
            <w:pStyle w:val="19"/>
            <w:tabs>
              <w:tab w:val="right" w:leader="dot" w:pos="8925"/>
            </w:tabs>
            <w:rPr>
              <w:color w:val="auto"/>
            </w:rPr>
          </w:pPr>
          <w:r>
            <w:fldChar w:fldCharType="begin"/>
          </w:r>
          <w:r>
            <w:instrText xml:space="preserve"> HYPERLINK \l "_Toc28602" </w:instrText>
          </w:r>
          <w:r>
            <w:fldChar w:fldCharType="separate"/>
          </w:r>
          <w:r>
            <w:rPr>
              <w:rFonts w:hint="eastAsia" w:ascii="宋体" w:hAnsi="宋体" w:eastAsia="宋体" w:cs="宋体"/>
              <w:bCs/>
              <w:color w:val="auto"/>
              <w:szCs w:val="24"/>
            </w:rPr>
            <w:t>14.4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钢筋</w:t>
          </w:r>
          <w:r>
            <w:rPr>
              <w:color w:val="auto"/>
            </w:rPr>
            <w:tab/>
          </w:r>
          <w:r>
            <w:rPr>
              <w:color w:val="auto"/>
            </w:rPr>
            <w:fldChar w:fldCharType="begin"/>
          </w:r>
          <w:r>
            <w:rPr>
              <w:color w:val="auto"/>
            </w:rPr>
            <w:instrText xml:space="preserve"> PAGEREF _Toc28602 \h </w:instrText>
          </w:r>
          <w:r>
            <w:rPr>
              <w:color w:val="auto"/>
            </w:rPr>
            <w:fldChar w:fldCharType="separate"/>
          </w:r>
          <w:r>
            <w:rPr>
              <w:color w:val="auto"/>
            </w:rPr>
            <w:t>- 276 -</w:t>
          </w:r>
          <w:r>
            <w:rPr>
              <w:color w:val="auto"/>
            </w:rPr>
            <w:fldChar w:fldCharType="end"/>
          </w:r>
          <w:r>
            <w:rPr>
              <w:color w:val="auto"/>
            </w:rPr>
            <w:fldChar w:fldCharType="end"/>
          </w:r>
        </w:p>
        <w:p w14:paraId="0E41EC20">
          <w:pPr>
            <w:pStyle w:val="19"/>
            <w:tabs>
              <w:tab w:val="right" w:leader="dot" w:pos="8925"/>
            </w:tabs>
            <w:rPr>
              <w:color w:val="auto"/>
            </w:rPr>
          </w:pPr>
          <w:r>
            <w:fldChar w:fldCharType="begin"/>
          </w:r>
          <w:r>
            <w:instrText xml:space="preserve"> HYPERLINK \l "_Toc13254" </w:instrText>
          </w:r>
          <w:r>
            <w:fldChar w:fldCharType="separate"/>
          </w:r>
          <w:r>
            <w:rPr>
              <w:rFonts w:hint="eastAsia" w:ascii="宋体" w:hAnsi="宋体" w:eastAsia="宋体" w:cs="宋体"/>
              <w:bCs/>
              <w:color w:val="auto"/>
              <w:szCs w:val="24"/>
            </w:rPr>
            <w:t>14.5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混凝土（含钢筋混凝土）</w:t>
          </w:r>
          <w:r>
            <w:rPr>
              <w:color w:val="auto"/>
            </w:rPr>
            <w:tab/>
          </w:r>
          <w:r>
            <w:rPr>
              <w:color w:val="auto"/>
            </w:rPr>
            <w:fldChar w:fldCharType="begin"/>
          </w:r>
          <w:r>
            <w:rPr>
              <w:color w:val="auto"/>
            </w:rPr>
            <w:instrText xml:space="preserve"> PAGEREF _Toc13254 \h </w:instrText>
          </w:r>
          <w:r>
            <w:rPr>
              <w:color w:val="auto"/>
            </w:rPr>
            <w:fldChar w:fldCharType="separate"/>
          </w:r>
          <w:r>
            <w:rPr>
              <w:color w:val="auto"/>
            </w:rPr>
            <w:t>- 277 -</w:t>
          </w:r>
          <w:r>
            <w:rPr>
              <w:color w:val="auto"/>
            </w:rPr>
            <w:fldChar w:fldCharType="end"/>
          </w:r>
          <w:r>
            <w:rPr>
              <w:color w:val="auto"/>
            </w:rPr>
            <w:fldChar w:fldCharType="end"/>
          </w:r>
        </w:p>
        <w:p w14:paraId="120C4585">
          <w:pPr>
            <w:pStyle w:val="19"/>
            <w:tabs>
              <w:tab w:val="right" w:leader="dot" w:pos="8925"/>
            </w:tabs>
            <w:rPr>
              <w:color w:val="auto"/>
            </w:rPr>
          </w:pPr>
          <w:r>
            <w:fldChar w:fldCharType="begin"/>
          </w:r>
          <w:r>
            <w:instrText xml:space="preserve"> HYPERLINK \l "_Toc10363" </w:instrText>
          </w:r>
          <w:r>
            <w:fldChar w:fldCharType="separate"/>
          </w:r>
          <w:r>
            <w:rPr>
              <w:rFonts w:hint="eastAsia" w:ascii="宋体" w:hAnsi="宋体" w:eastAsia="宋体" w:cs="宋体"/>
              <w:bCs/>
              <w:color w:val="auto"/>
              <w:szCs w:val="24"/>
            </w:rPr>
            <w:t>14.6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预制混凝土</w:t>
          </w:r>
          <w:r>
            <w:rPr>
              <w:color w:val="auto"/>
            </w:rPr>
            <w:tab/>
          </w:r>
          <w:r>
            <w:rPr>
              <w:color w:val="auto"/>
            </w:rPr>
            <w:fldChar w:fldCharType="begin"/>
          </w:r>
          <w:r>
            <w:rPr>
              <w:color w:val="auto"/>
            </w:rPr>
            <w:instrText xml:space="preserve"> PAGEREF _Toc10363 \h </w:instrText>
          </w:r>
          <w:r>
            <w:rPr>
              <w:color w:val="auto"/>
            </w:rPr>
            <w:fldChar w:fldCharType="separate"/>
          </w:r>
          <w:r>
            <w:rPr>
              <w:color w:val="auto"/>
            </w:rPr>
            <w:t>- 283 -</w:t>
          </w:r>
          <w:r>
            <w:rPr>
              <w:color w:val="auto"/>
            </w:rPr>
            <w:fldChar w:fldCharType="end"/>
          </w:r>
          <w:r>
            <w:rPr>
              <w:color w:val="auto"/>
            </w:rPr>
            <w:fldChar w:fldCharType="end"/>
          </w:r>
        </w:p>
        <w:p w14:paraId="7BD3B423">
          <w:pPr>
            <w:pStyle w:val="19"/>
            <w:tabs>
              <w:tab w:val="right" w:leader="dot" w:pos="8925"/>
            </w:tabs>
            <w:rPr>
              <w:color w:val="auto"/>
            </w:rPr>
          </w:pPr>
          <w:r>
            <w:fldChar w:fldCharType="begin"/>
          </w:r>
          <w:r>
            <w:instrText xml:space="preserve"> HYPERLINK \l "_Toc21488" </w:instrText>
          </w:r>
          <w:r>
            <w:fldChar w:fldCharType="separate"/>
          </w:r>
          <w:r>
            <w:rPr>
              <w:rFonts w:hint="eastAsia" w:ascii="宋体" w:hAnsi="宋体" w:eastAsia="宋体" w:cs="宋体"/>
              <w:bCs/>
              <w:color w:val="auto"/>
              <w:szCs w:val="24"/>
            </w:rPr>
            <w:t>14.7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预应力混凝土</w:t>
          </w:r>
          <w:r>
            <w:rPr>
              <w:color w:val="auto"/>
            </w:rPr>
            <w:tab/>
          </w:r>
          <w:r>
            <w:rPr>
              <w:color w:val="auto"/>
            </w:rPr>
            <w:fldChar w:fldCharType="begin"/>
          </w:r>
          <w:r>
            <w:rPr>
              <w:color w:val="auto"/>
            </w:rPr>
            <w:instrText xml:space="preserve"> PAGEREF _Toc21488 \h </w:instrText>
          </w:r>
          <w:r>
            <w:rPr>
              <w:color w:val="auto"/>
            </w:rPr>
            <w:fldChar w:fldCharType="separate"/>
          </w:r>
          <w:r>
            <w:rPr>
              <w:color w:val="auto"/>
            </w:rPr>
            <w:t>- 285 -</w:t>
          </w:r>
          <w:r>
            <w:rPr>
              <w:color w:val="auto"/>
            </w:rPr>
            <w:fldChar w:fldCharType="end"/>
          </w:r>
          <w:r>
            <w:rPr>
              <w:color w:val="auto"/>
            </w:rPr>
            <w:fldChar w:fldCharType="end"/>
          </w:r>
        </w:p>
        <w:p w14:paraId="03B2A518">
          <w:pPr>
            <w:pStyle w:val="19"/>
            <w:tabs>
              <w:tab w:val="right" w:leader="dot" w:pos="8925"/>
            </w:tabs>
            <w:rPr>
              <w:color w:val="auto"/>
            </w:rPr>
          </w:pPr>
          <w:r>
            <w:fldChar w:fldCharType="begin"/>
          </w:r>
          <w:r>
            <w:instrText xml:space="preserve"> HYPERLINK \l "_Toc26444" </w:instrText>
          </w:r>
          <w:r>
            <w:fldChar w:fldCharType="separate"/>
          </w:r>
          <w:r>
            <w:rPr>
              <w:rFonts w:hint="eastAsia" w:ascii="宋体" w:hAnsi="宋体" w:eastAsia="宋体" w:cs="宋体"/>
              <w:bCs/>
              <w:color w:val="auto"/>
              <w:szCs w:val="24"/>
            </w:rPr>
            <w:t>14.8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水下混凝土</w:t>
          </w:r>
          <w:r>
            <w:rPr>
              <w:color w:val="auto"/>
            </w:rPr>
            <w:tab/>
          </w:r>
          <w:r>
            <w:rPr>
              <w:color w:val="auto"/>
            </w:rPr>
            <w:fldChar w:fldCharType="begin"/>
          </w:r>
          <w:r>
            <w:rPr>
              <w:color w:val="auto"/>
            </w:rPr>
            <w:instrText xml:space="preserve"> PAGEREF _Toc26444 \h </w:instrText>
          </w:r>
          <w:r>
            <w:rPr>
              <w:color w:val="auto"/>
            </w:rPr>
            <w:fldChar w:fldCharType="separate"/>
          </w:r>
          <w:r>
            <w:rPr>
              <w:color w:val="auto"/>
            </w:rPr>
            <w:t>- 286 -</w:t>
          </w:r>
          <w:r>
            <w:rPr>
              <w:color w:val="auto"/>
            </w:rPr>
            <w:fldChar w:fldCharType="end"/>
          </w:r>
          <w:r>
            <w:rPr>
              <w:color w:val="auto"/>
            </w:rPr>
            <w:fldChar w:fldCharType="end"/>
          </w:r>
        </w:p>
        <w:p w14:paraId="77743F4A">
          <w:pPr>
            <w:pStyle w:val="19"/>
            <w:tabs>
              <w:tab w:val="right" w:leader="dot" w:pos="8925"/>
            </w:tabs>
            <w:rPr>
              <w:color w:val="auto"/>
            </w:rPr>
          </w:pPr>
          <w:r>
            <w:fldChar w:fldCharType="begin"/>
          </w:r>
          <w:r>
            <w:instrText xml:space="preserve"> HYPERLINK \l "_Toc25520" </w:instrText>
          </w:r>
          <w:r>
            <w:fldChar w:fldCharType="separate"/>
          </w:r>
          <w:r>
            <w:rPr>
              <w:rFonts w:hint="eastAsia" w:ascii="宋体" w:hAnsi="宋体" w:eastAsia="宋体" w:cs="宋体"/>
              <w:bCs/>
              <w:color w:val="auto"/>
              <w:szCs w:val="24"/>
            </w:rPr>
            <w:t>14.9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碾压混凝土</w:t>
          </w:r>
          <w:r>
            <w:rPr>
              <w:rFonts w:hint="eastAsia" w:ascii="宋体" w:hAnsi="宋体" w:eastAsia="宋体" w:cs="宋体"/>
              <w:bCs/>
              <w:color w:val="auto"/>
              <w:szCs w:val="24"/>
              <w:lang w:eastAsia="zh-CN"/>
            </w:rPr>
            <w:t>（略）</w:t>
          </w:r>
          <w:r>
            <w:rPr>
              <w:color w:val="auto"/>
            </w:rPr>
            <w:tab/>
          </w:r>
          <w:r>
            <w:rPr>
              <w:color w:val="auto"/>
            </w:rPr>
            <w:fldChar w:fldCharType="begin"/>
          </w:r>
          <w:r>
            <w:rPr>
              <w:color w:val="auto"/>
            </w:rPr>
            <w:instrText xml:space="preserve"> PAGEREF _Toc25520 \h </w:instrText>
          </w:r>
          <w:r>
            <w:rPr>
              <w:color w:val="auto"/>
            </w:rPr>
            <w:fldChar w:fldCharType="separate"/>
          </w:r>
          <w:r>
            <w:rPr>
              <w:color w:val="auto"/>
            </w:rPr>
            <w:t>- 287 -</w:t>
          </w:r>
          <w:r>
            <w:rPr>
              <w:color w:val="auto"/>
            </w:rPr>
            <w:fldChar w:fldCharType="end"/>
          </w:r>
          <w:r>
            <w:rPr>
              <w:color w:val="auto"/>
            </w:rPr>
            <w:fldChar w:fldCharType="end"/>
          </w:r>
        </w:p>
        <w:p w14:paraId="41ACF537">
          <w:pPr>
            <w:pStyle w:val="19"/>
            <w:tabs>
              <w:tab w:val="right" w:leader="dot" w:pos="8925"/>
            </w:tabs>
            <w:rPr>
              <w:color w:val="auto"/>
            </w:rPr>
          </w:pPr>
          <w:r>
            <w:fldChar w:fldCharType="begin"/>
          </w:r>
          <w:r>
            <w:instrText xml:space="preserve"> HYPERLINK \l "_Toc9678" </w:instrText>
          </w:r>
          <w:r>
            <w:fldChar w:fldCharType="separate"/>
          </w:r>
          <w:r>
            <w:rPr>
              <w:rFonts w:hint="eastAsia" w:ascii="宋体" w:hAnsi="宋体" w:eastAsia="宋体" w:cs="宋体"/>
              <w:bCs/>
              <w:color w:val="auto"/>
              <w:szCs w:val="24"/>
            </w:rPr>
            <w:t>14.10</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泵送混凝土</w:t>
          </w:r>
          <w:r>
            <w:rPr>
              <w:color w:val="auto"/>
            </w:rPr>
            <w:tab/>
          </w:r>
          <w:r>
            <w:rPr>
              <w:color w:val="auto"/>
            </w:rPr>
            <w:fldChar w:fldCharType="begin"/>
          </w:r>
          <w:r>
            <w:rPr>
              <w:color w:val="auto"/>
            </w:rPr>
            <w:instrText xml:space="preserve"> PAGEREF _Toc9678 \h </w:instrText>
          </w:r>
          <w:r>
            <w:rPr>
              <w:color w:val="auto"/>
            </w:rPr>
            <w:fldChar w:fldCharType="separate"/>
          </w:r>
          <w:r>
            <w:rPr>
              <w:color w:val="auto"/>
            </w:rPr>
            <w:t>- 287 -</w:t>
          </w:r>
          <w:r>
            <w:rPr>
              <w:color w:val="auto"/>
            </w:rPr>
            <w:fldChar w:fldCharType="end"/>
          </w:r>
          <w:r>
            <w:rPr>
              <w:color w:val="auto"/>
            </w:rPr>
            <w:fldChar w:fldCharType="end"/>
          </w:r>
        </w:p>
        <w:p w14:paraId="23481839">
          <w:pPr>
            <w:pStyle w:val="19"/>
            <w:tabs>
              <w:tab w:val="right" w:leader="dot" w:pos="8925"/>
            </w:tabs>
            <w:rPr>
              <w:color w:val="auto"/>
            </w:rPr>
          </w:pPr>
          <w:r>
            <w:fldChar w:fldCharType="begin"/>
          </w:r>
          <w:r>
            <w:instrText xml:space="preserve"> HYPERLINK \l "_Toc27011" </w:instrText>
          </w:r>
          <w:r>
            <w:fldChar w:fldCharType="separate"/>
          </w:r>
          <w:r>
            <w:rPr>
              <w:rFonts w:hint="eastAsia" w:ascii="宋体" w:hAnsi="宋体" w:eastAsia="宋体" w:cs="宋体"/>
              <w:bCs/>
              <w:color w:val="auto"/>
              <w:szCs w:val="24"/>
            </w:rPr>
            <w:t>14.11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_Toc27011 \h </w:instrText>
          </w:r>
          <w:r>
            <w:rPr>
              <w:color w:val="auto"/>
            </w:rPr>
            <w:fldChar w:fldCharType="separate"/>
          </w:r>
          <w:r>
            <w:rPr>
              <w:color w:val="auto"/>
            </w:rPr>
            <w:t>- 288 -</w:t>
          </w:r>
          <w:r>
            <w:rPr>
              <w:color w:val="auto"/>
            </w:rPr>
            <w:fldChar w:fldCharType="end"/>
          </w:r>
          <w:r>
            <w:rPr>
              <w:color w:val="auto"/>
            </w:rPr>
            <w:fldChar w:fldCharType="end"/>
          </w:r>
        </w:p>
        <w:p w14:paraId="1FD602FF">
          <w:pPr>
            <w:pStyle w:val="18"/>
            <w:tabs>
              <w:tab w:val="right" w:leader="dot" w:pos="8925"/>
            </w:tabs>
            <w:rPr>
              <w:color w:val="auto"/>
            </w:rPr>
          </w:pPr>
          <w:r>
            <w:fldChar w:fldCharType="begin"/>
          </w:r>
          <w:r>
            <w:instrText xml:space="preserve"> HYPERLINK \l "_Toc12393" </w:instrText>
          </w:r>
          <w:r>
            <w:fldChar w:fldCharType="separate"/>
          </w:r>
          <w:r>
            <w:rPr>
              <w:rFonts w:ascii="Times New Roman" w:hAnsi="Times New Roman" w:eastAsia="Times New Roman" w:cs="Times New Roman"/>
              <w:bCs/>
              <w:color w:val="auto"/>
              <w:szCs w:val="28"/>
            </w:rPr>
            <w:t>15</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沥青混凝土工程</w:t>
          </w:r>
          <w:r>
            <w:rPr>
              <w:color w:val="auto"/>
            </w:rPr>
            <w:tab/>
          </w:r>
          <w:r>
            <w:rPr>
              <w:color w:val="auto"/>
            </w:rPr>
            <w:fldChar w:fldCharType="begin"/>
          </w:r>
          <w:r>
            <w:rPr>
              <w:color w:val="auto"/>
            </w:rPr>
            <w:instrText xml:space="preserve"> PAGEREF _Toc12393 \h </w:instrText>
          </w:r>
          <w:r>
            <w:rPr>
              <w:color w:val="auto"/>
            </w:rPr>
            <w:fldChar w:fldCharType="separate"/>
          </w:r>
          <w:r>
            <w:rPr>
              <w:color w:val="auto"/>
            </w:rPr>
            <w:t>- 292 -</w:t>
          </w:r>
          <w:r>
            <w:rPr>
              <w:color w:val="auto"/>
            </w:rPr>
            <w:fldChar w:fldCharType="end"/>
          </w:r>
          <w:r>
            <w:rPr>
              <w:color w:val="auto"/>
            </w:rPr>
            <w:fldChar w:fldCharType="end"/>
          </w:r>
        </w:p>
        <w:p w14:paraId="703DC4A1">
          <w:pPr>
            <w:pStyle w:val="19"/>
            <w:tabs>
              <w:tab w:val="right" w:leader="dot" w:pos="8925"/>
            </w:tabs>
            <w:rPr>
              <w:color w:val="auto"/>
            </w:rPr>
          </w:pPr>
          <w:r>
            <w:fldChar w:fldCharType="begin"/>
          </w:r>
          <w:r>
            <w:instrText xml:space="preserve"> HYPERLINK \l "_Toc21784" </w:instrText>
          </w:r>
          <w:r>
            <w:fldChar w:fldCharType="separate"/>
          </w:r>
          <w:r>
            <w:rPr>
              <w:rFonts w:hint="eastAsia" w:ascii="宋体" w:hAnsi="宋体" w:eastAsia="宋体" w:cs="宋体"/>
              <w:bCs/>
              <w:color w:val="auto"/>
              <w:szCs w:val="24"/>
            </w:rPr>
            <w:t>15.1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_Toc21784 \h </w:instrText>
          </w:r>
          <w:r>
            <w:rPr>
              <w:color w:val="auto"/>
            </w:rPr>
            <w:fldChar w:fldCharType="separate"/>
          </w:r>
          <w:r>
            <w:rPr>
              <w:color w:val="auto"/>
            </w:rPr>
            <w:t>- 292 -</w:t>
          </w:r>
          <w:r>
            <w:rPr>
              <w:color w:val="auto"/>
            </w:rPr>
            <w:fldChar w:fldCharType="end"/>
          </w:r>
          <w:r>
            <w:rPr>
              <w:color w:val="auto"/>
            </w:rPr>
            <w:fldChar w:fldCharType="end"/>
          </w:r>
        </w:p>
        <w:p w14:paraId="0CAD4615">
          <w:pPr>
            <w:pStyle w:val="19"/>
            <w:tabs>
              <w:tab w:val="right" w:leader="dot" w:pos="8925"/>
            </w:tabs>
            <w:rPr>
              <w:color w:val="auto"/>
            </w:rPr>
          </w:pPr>
          <w:r>
            <w:fldChar w:fldCharType="begin"/>
          </w:r>
          <w:r>
            <w:instrText xml:space="preserve"> HYPERLINK \l "_Toc11415" </w:instrText>
          </w:r>
          <w:r>
            <w:fldChar w:fldCharType="separate"/>
          </w:r>
          <w:r>
            <w:rPr>
              <w:rFonts w:hint="eastAsia" w:ascii="宋体" w:hAnsi="宋体" w:eastAsia="宋体" w:cs="宋体"/>
              <w:bCs/>
              <w:color w:val="auto"/>
              <w:szCs w:val="24"/>
            </w:rPr>
            <w:t>15.2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材料</w:t>
          </w:r>
          <w:r>
            <w:rPr>
              <w:color w:val="auto"/>
            </w:rPr>
            <w:tab/>
          </w:r>
          <w:r>
            <w:rPr>
              <w:color w:val="auto"/>
            </w:rPr>
            <w:fldChar w:fldCharType="begin"/>
          </w:r>
          <w:r>
            <w:rPr>
              <w:color w:val="auto"/>
            </w:rPr>
            <w:instrText xml:space="preserve"> PAGEREF _Toc11415 \h </w:instrText>
          </w:r>
          <w:r>
            <w:rPr>
              <w:color w:val="auto"/>
            </w:rPr>
            <w:fldChar w:fldCharType="separate"/>
          </w:r>
          <w:r>
            <w:rPr>
              <w:color w:val="auto"/>
            </w:rPr>
            <w:t>- 293 -</w:t>
          </w:r>
          <w:r>
            <w:rPr>
              <w:color w:val="auto"/>
            </w:rPr>
            <w:fldChar w:fldCharType="end"/>
          </w:r>
          <w:r>
            <w:rPr>
              <w:color w:val="auto"/>
            </w:rPr>
            <w:fldChar w:fldCharType="end"/>
          </w:r>
        </w:p>
        <w:p w14:paraId="6E665530">
          <w:pPr>
            <w:pStyle w:val="19"/>
            <w:tabs>
              <w:tab w:val="right" w:leader="dot" w:pos="8925"/>
            </w:tabs>
            <w:rPr>
              <w:color w:val="auto"/>
            </w:rPr>
          </w:pPr>
          <w:r>
            <w:fldChar w:fldCharType="begin"/>
          </w:r>
          <w:r>
            <w:instrText xml:space="preserve"> HYPERLINK \l "_Toc97" </w:instrText>
          </w:r>
          <w:r>
            <w:fldChar w:fldCharType="separate"/>
          </w:r>
          <w:r>
            <w:rPr>
              <w:rFonts w:hint="eastAsia" w:ascii="宋体" w:hAnsi="宋体" w:eastAsia="宋体" w:cs="宋体"/>
              <w:bCs/>
              <w:color w:val="auto"/>
              <w:szCs w:val="24"/>
            </w:rPr>
            <w:t>15.3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配合比的选择和试验</w:t>
          </w:r>
          <w:r>
            <w:rPr>
              <w:color w:val="auto"/>
            </w:rPr>
            <w:tab/>
          </w:r>
          <w:r>
            <w:rPr>
              <w:color w:val="auto"/>
            </w:rPr>
            <w:fldChar w:fldCharType="begin"/>
          </w:r>
          <w:r>
            <w:rPr>
              <w:color w:val="auto"/>
            </w:rPr>
            <w:instrText xml:space="preserve"> PAGEREF _Toc97 \h </w:instrText>
          </w:r>
          <w:r>
            <w:rPr>
              <w:color w:val="auto"/>
            </w:rPr>
            <w:fldChar w:fldCharType="separate"/>
          </w:r>
          <w:r>
            <w:rPr>
              <w:color w:val="auto"/>
            </w:rPr>
            <w:t>- 294 -</w:t>
          </w:r>
          <w:r>
            <w:rPr>
              <w:color w:val="auto"/>
            </w:rPr>
            <w:fldChar w:fldCharType="end"/>
          </w:r>
          <w:r>
            <w:rPr>
              <w:color w:val="auto"/>
            </w:rPr>
            <w:fldChar w:fldCharType="end"/>
          </w:r>
        </w:p>
        <w:p w14:paraId="66DF102A">
          <w:pPr>
            <w:pStyle w:val="19"/>
            <w:tabs>
              <w:tab w:val="right" w:leader="dot" w:pos="8925"/>
            </w:tabs>
            <w:rPr>
              <w:color w:val="auto"/>
            </w:rPr>
          </w:pPr>
          <w:r>
            <w:fldChar w:fldCharType="begin"/>
          </w:r>
          <w:r>
            <w:instrText xml:space="preserve"> HYPERLINK \l "_Toc13666" </w:instrText>
          </w:r>
          <w:r>
            <w:fldChar w:fldCharType="separate"/>
          </w:r>
          <w:r>
            <w:rPr>
              <w:rFonts w:hint="eastAsia" w:ascii="宋体" w:hAnsi="宋体" w:eastAsia="宋体" w:cs="宋体"/>
              <w:bCs/>
              <w:color w:val="auto"/>
              <w:szCs w:val="24"/>
            </w:rPr>
            <w:t>15.4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沥青混合料制备与运输</w:t>
          </w:r>
          <w:r>
            <w:rPr>
              <w:color w:val="auto"/>
            </w:rPr>
            <w:tab/>
          </w:r>
          <w:r>
            <w:rPr>
              <w:color w:val="auto"/>
            </w:rPr>
            <w:fldChar w:fldCharType="begin"/>
          </w:r>
          <w:r>
            <w:rPr>
              <w:color w:val="auto"/>
            </w:rPr>
            <w:instrText xml:space="preserve"> PAGEREF _Toc13666 \h </w:instrText>
          </w:r>
          <w:r>
            <w:rPr>
              <w:color w:val="auto"/>
            </w:rPr>
            <w:fldChar w:fldCharType="separate"/>
          </w:r>
          <w:r>
            <w:rPr>
              <w:color w:val="auto"/>
            </w:rPr>
            <w:t>- 296 -</w:t>
          </w:r>
          <w:r>
            <w:rPr>
              <w:color w:val="auto"/>
            </w:rPr>
            <w:fldChar w:fldCharType="end"/>
          </w:r>
          <w:r>
            <w:rPr>
              <w:color w:val="auto"/>
            </w:rPr>
            <w:fldChar w:fldCharType="end"/>
          </w:r>
        </w:p>
        <w:p w14:paraId="167C13AC">
          <w:pPr>
            <w:pStyle w:val="19"/>
            <w:tabs>
              <w:tab w:val="right" w:leader="dot" w:pos="8925"/>
            </w:tabs>
            <w:rPr>
              <w:color w:val="auto"/>
            </w:rPr>
          </w:pPr>
          <w:r>
            <w:fldChar w:fldCharType="begin"/>
          </w:r>
          <w:r>
            <w:instrText xml:space="preserve"> HYPERLINK \l "_Toc1972" </w:instrText>
          </w:r>
          <w:r>
            <w:fldChar w:fldCharType="separate"/>
          </w:r>
          <w:r>
            <w:rPr>
              <w:rFonts w:hint="eastAsia" w:ascii="宋体" w:hAnsi="宋体" w:eastAsia="宋体" w:cs="宋体"/>
              <w:bCs/>
              <w:color w:val="auto"/>
              <w:szCs w:val="24"/>
            </w:rPr>
            <w:t>15.5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沥青混凝土防渗面板铺筑</w:t>
          </w:r>
          <w:r>
            <w:rPr>
              <w:color w:val="auto"/>
            </w:rPr>
            <w:tab/>
          </w:r>
          <w:r>
            <w:rPr>
              <w:color w:val="auto"/>
            </w:rPr>
            <w:fldChar w:fldCharType="begin"/>
          </w:r>
          <w:r>
            <w:rPr>
              <w:color w:val="auto"/>
            </w:rPr>
            <w:instrText xml:space="preserve"> PAGEREF _Toc1972 \h </w:instrText>
          </w:r>
          <w:r>
            <w:rPr>
              <w:color w:val="auto"/>
            </w:rPr>
            <w:fldChar w:fldCharType="separate"/>
          </w:r>
          <w:r>
            <w:rPr>
              <w:color w:val="auto"/>
            </w:rPr>
            <w:t>- 296 -</w:t>
          </w:r>
          <w:r>
            <w:rPr>
              <w:color w:val="auto"/>
            </w:rPr>
            <w:fldChar w:fldCharType="end"/>
          </w:r>
          <w:r>
            <w:rPr>
              <w:color w:val="auto"/>
            </w:rPr>
            <w:fldChar w:fldCharType="end"/>
          </w:r>
        </w:p>
        <w:p w14:paraId="310B5CFD">
          <w:pPr>
            <w:pStyle w:val="19"/>
            <w:tabs>
              <w:tab w:val="right" w:leader="dot" w:pos="8925"/>
            </w:tabs>
            <w:rPr>
              <w:color w:val="auto"/>
            </w:rPr>
          </w:pPr>
          <w:r>
            <w:fldChar w:fldCharType="begin"/>
          </w:r>
          <w:r>
            <w:instrText xml:space="preserve"> HYPERLINK \l "_Toc30060" </w:instrText>
          </w:r>
          <w:r>
            <w:fldChar w:fldCharType="separate"/>
          </w:r>
          <w:r>
            <w:rPr>
              <w:rFonts w:hint="eastAsia" w:ascii="宋体" w:hAnsi="宋体" w:eastAsia="宋体" w:cs="宋体"/>
              <w:bCs/>
              <w:color w:val="auto"/>
              <w:szCs w:val="24"/>
            </w:rPr>
            <w:t>15.6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沥青混凝土心墙铺筑</w:t>
          </w:r>
          <w:r>
            <w:rPr>
              <w:color w:val="auto"/>
            </w:rPr>
            <w:tab/>
          </w:r>
          <w:r>
            <w:rPr>
              <w:color w:val="auto"/>
            </w:rPr>
            <w:fldChar w:fldCharType="begin"/>
          </w:r>
          <w:r>
            <w:rPr>
              <w:color w:val="auto"/>
            </w:rPr>
            <w:instrText xml:space="preserve"> PAGEREF _Toc30060 \h </w:instrText>
          </w:r>
          <w:r>
            <w:rPr>
              <w:color w:val="auto"/>
            </w:rPr>
            <w:fldChar w:fldCharType="separate"/>
          </w:r>
          <w:r>
            <w:rPr>
              <w:color w:val="auto"/>
            </w:rPr>
            <w:t>- 297 -</w:t>
          </w:r>
          <w:r>
            <w:rPr>
              <w:color w:val="auto"/>
            </w:rPr>
            <w:fldChar w:fldCharType="end"/>
          </w:r>
          <w:r>
            <w:rPr>
              <w:color w:val="auto"/>
            </w:rPr>
            <w:fldChar w:fldCharType="end"/>
          </w:r>
        </w:p>
        <w:p w14:paraId="1BFB35E5">
          <w:pPr>
            <w:pStyle w:val="19"/>
            <w:tabs>
              <w:tab w:val="right" w:leader="dot" w:pos="8925"/>
            </w:tabs>
            <w:rPr>
              <w:color w:val="auto"/>
            </w:rPr>
          </w:pPr>
          <w:r>
            <w:fldChar w:fldCharType="begin"/>
          </w:r>
          <w:r>
            <w:instrText xml:space="preserve"> HYPERLINK \l "_Toc5165" </w:instrText>
          </w:r>
          <w:r>
            <w:fldChar w:fldCharType="separate"/>
          </w:r>
          <w:r>
            <w:rPr>
              <w:rFonts w:hint="eastAsia" w:ascii="宋体" w:hAnsi="宋体" w:eastAsia="宋体" w:cs="宋体"/>
              <w:bCs/>
              <w:color w:val="auto"/>
              <w:szCs w:val="24"/>
            </w:rPr>
            <w:t>15.7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质量检查和验收</w:t>
          </w:r>
          <w:r>
            <w:rPr>
              <w:color w:val="auto"/>
            </w:rPr>
            <w:tab/>
          </w:r>
          <w:r>
            <w:rPr>
              <w:color w:val="auto"/>
            </w:rPr>
            <w:fldChar w:fldCharType="begin"/>
          </w:r>
          <w:r>
            <w:rPr>
              <w:color w:val="auto"/>
            </w:rPr>
            <w:instrText xml:space="preserve"> PAGEREF _Toc5165 \h </w:instrText>
          </w:r>
          <w:r>
            <w:rPr>
              <w:color w:val="auto"/>
            </w:rPr>
            <w:fldChar w:fldCharType="separate"/>
          </w:r>
          <w:r>
            <w:rPr>
              <w:color w:val="auto"/>
            </w:rPr>
            <w:t>- 298 -</w:t>
          </w:r>
          <w:r>
            <w:rPr>
              <w:color w:val="auto"/>
            </w:rPr>
            <w:fldChar w:fldCharType="end"/>
          </w:r>
          <w:r>
            <w:rPr>
              <w:color w:val="auto"/>
            </w:rPr>
            <w:fldChar w:fldCharType="end"/>
          </w:r>
        </w:p>
        <w:p w14:paraId="0F4F5FD2">
          <w:pPr>
            <w:pStyle w:val="19"/>
            <w:tabs>
              <w:tab w:val="right" w:leader="dot" w:pos="8925"/>
            </w:tabs>
            <w:rPr>
              <w:color w:val="auto"/>
            </w:rPr>
          </w:pPr>
          <w:r>
            <w:fldChar w:fldCharType="begin"/>
          </w:r>
          <w:r>
            <w:instrText xml:space="preserve"> HYPERLINK \l "_Toc32350" </w:instrText>
          </w:r>
          <w:r>
            <w:fldChar w:fldCharType="separate"/>
          </w:r>
          <w:r>
            <w:rPr>
              <w:rFonts w:hint="eastAsia" w:ascii="宋体" w:hAnsi="宋体" w:eastAsia="宋体" w:cs="宋体"/>
              <w:bCs/>
              <w:color w:val="auto"/>
              <w:szCs w:val="24"/>
            </w:rPr>
            <w:t>15.8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_Toc32350 \h </w:instrText>
          </w:r>
          <w:r>
            <w:rPr>
              <w:color w:val="auto"/>
            </w:rPr>
            <w:fldChar w:fldCharType="separate"/>
          </w:r>
          <w:r>
            <w:rPr>
              <w:color w:val="auto"/>
            </w:rPr>
            <w:t>- 299 -</w:t>
          </w:r>
          <w:r>
            <w:rPr>
              <w:color w:val="auto"/>
            </w:rPr>
            <w:fldChar w:fldCharType="end"/>
          </w:r>
          <w:r>
            <w:rPr>
              <w:color w:val="auto"/>
            </w:rPr>
            <w:fldChar w:fldCharType="end"/>
          </w:r>
        </w:p>
        <w:p w14:paraId="731BB5A8">
          <w:pPr>
            <w:pStyle w:val="18"/>
            <w:tabs>
              <w:tab w:val="right" w:leader="dot" w:pos="8925"/>
            </w:tabs>
            <w:rPr>
              <w:color w:val="auto"/>
            </w:rPr>
          </w:pPr>
          <w:r>
            <w:fldChar w:fldCharType="begin"/>
          </w:r>
          <w:r>
            <w:instrText xml:space="preserve"> HYPERLINK \l "_Toc12770" </w:instrText>
          </w:r>
          <w:r>
            <w:fldChar w:fldCharType="separate"/>
          </w:r>
          <w:r>
            <w:rPr>
              <w:rFonts w:ascii="Times New Roman" w:hAnsi="Times New Roman" w:eastAsia="Times New Roman" w:cs="Times New Roman"/>
              <w:bCs/>
              <w:color w:val="auto"/>
              <w:szCs w:val="28"/>
            </w:rPr>
            <w:t>16</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砌体工程</w:t>
          </w:r>
          <w:r>
            <w:rPr>
              <w:color w:val="auto"/>
            </w:rPr>
            <w:tab/>
          </w:r>
          <w:r>
            <w:rPr>
              <w:color w:val="auto"/>
            </w:rPr>
            <w:fldChar w:fldCharType="begin"/>
          </w:r>
          <w:r>
            <w:rPr>
              <w:color w:val="auto"/>
            </w:rPr>
            <w:instrText xml:space="preserve"> PAGEREF _Toc12770 \h </w:instrText>
          </w:r>
          <w:r>
            <w:rPr>
              <w:color w:val="auto"/>
            </w:rPr>
            <w:fldChar w:fldCharType="separate"/>
          </w:r>
          <w:r>
            <w:rPr>
              <w:color w:val="auto"/>
            </w:rPr>
            <w:t>- 300 -</w:t>
          </w:r>
          <w:r>
            <w:rPr>
              <w:color w:val="auto"/>
            </w:rPr>
            <w:fldChar w:fldCharType="end"/>
          </w:r>
          <w:r>
            <w:rPr>
              <w:color w:val="auto"/>
            </w:rPr>
            <w:fldChar w:fldCharType="end"/>
          </w:r>
        </w:p>
        <w:p w14:paraId="0914DAFB">
          <w:pPr>
            <w:pStyle w:val="19"/>
            <w:tabs>
              <w:tab w:val="right" w:leader="dot" w:pos="8925"/>
            </w:tabs>
            <w:rPr>
              <w:color w:val="auto"/>
            </w:rPr>
          </w:pPr>
          <w:r>
            <w:fldChar w:fldCharType="begin"/>
          </w:r>
          <w:r>
            <w:instrText xml:space="preserve"> HYPERLINK \l "_Toc12478" </w:instrText>
          </w:r>
          <w:r>
            <w:fldChar w:fldCharType="separate"/>
          </w:r>
          <w:r>
            <w:rPr>
              <w:rFonts w:hint="eastAsia" w:ascii="宋体" w:hAnsi="宋体" w:eastAsia="宋体" w:cs="宋体"/>
              <w:bCs/>
              <w:color w:val="auto"/>
              <w:szCs w:val="24"/>
            </w:rPr>
            <w:t>16.1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_Toc12478 \h </w:instrText>
          </w:r>
          <w:r>
            <w:rPr>
              <w:color w:val="auto"/>
            </w:rPr>
            <w:fldChar w:fldCharType="separate"/>
          </w:r>
          <w:r>
            <w:rPr>
              <w:color w:val="auto"/>
            </w:rPr>
            <w:t>- 300 -</w:t>
          </w:r>
          <w:r>
            <w:rPr>
              <w:color w:val="auto"/>
            </w:rPr>
            <w:fldChar w:fldCharType="end"/>
          </w:r>
          <w:r>
            <w:rPr>
              <w:color w:val="auto"/>
            </w:rPr>
            <w:fldChar w:fldCharType="end"/>
          </w:r>
        </w:p>
        <w:p w14:paraId="002186DC">
          <w:pPr>
            <w:pStyle w:val="19"/>
            <w:tabs>
              <w:tab w:val="right" w:leader="dot" w:pos="8925"/>
            </w:tabs>
            <w:rPr>
              <w:color w:val="auto"/>
            </w:rPr>
          </w:pPr>
          <w:r>
            <w:fldChar w:fldCharType="begin"/>
          </w:r>
          <w:r>
            <w:instrText xml:space="preserve"> HYPERLINK \l "_Toc22756" </w:instrText>
          </w:r>
          <w:r>
            <w:fldChar w:fldCharType="separate"/>
          </w:r>
          <w:r>
            <w:rPr>
              <w:rFonts w:hint="eastAsia" w:ascii="宋体" w:hAnsi="宋体" w:eastAsia="宋体" w:cs="宋体"/>
              <w:bCs/>
              <w:color w:val="auto"/>
              <w:szCs w:val="24"/>
            </w:rPr>
            <w:t>16.2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石砌体工程</w:t>
          </w:r>
          <w:r>
            <w:rPr>
              <w:color w:val="auto"/>
            </w:rPr>
            <w:tab/>
          </w:r>
          <w:r>
            <w:rPr>
              <w:color w:val="auto"/>
            </w:rPr>
            <w:fldChar w:fldCharType="begin"/>
          </w:r>
          <w:r>
            <w:rPr>
              <w:color w:val="auto"/>
            </w:rPr>
            <w:instrText xml:space="preserve"> PAGEREF _Toc22756 \h </w:instrText>
          </w:r>
          <w:r>
            <w:rPr>
              <w:color w:val="auto"/>
            </w:rPr>
            <w:fldChar w:fldCharType="separate"/>
          </w:r>
          <w:r>
            <w:rPr>
              <w:color w:val="auto"/>
            </w:rPr>
            <w:t>- 301 -</w:t>
          </w:r>
          <w:r>
            <w:rPr>
              <w:color w:val="auto"/>
            </w:rPr>
            <w:fldChar w:fldCharType="end"/>
          </w:r>
          <w:r>
            <w:rPr>
              <w:color w:val="auto"/>
            </w:rPr>
            <w:fldChar w:fldCharType="end"/>
          </w:r>
        </w:p>
        <w:p w14:paraId="213F57D4">
          <w:pPr>
            <w:pStyle w:val="19"/>
            <w:tabs>
              <w:tab w:val="right" w:leader="dot" w:pos="8925"/>
            </w:tabs>
            <w:rPr>
              <w:color w:val="auto"/>
            </w:rPr>
          </w:pPr>
          <w:r>
            <w:fldChar w:fldCharType="begin"/>
          </w:r>
          <w:r>
            <w:instrText xml:space="preserve"> HYPERLINK \l "_Toc24438" </w:instrText>
          </w:r>
          <w:r>
            <w:fldChar w:fldCharType="separate"/>
          </w:r>
          <w:r>
            <w:rPr>
              <w:rFonts w:hint="eastAsia" w:ascii="宋体" w:hAnsi="宋体" w:eastAsia="宋体" w:cs="宋体"/>
              <w:bCs/>
              <w:color w:val="auto"/>
              <w:szCs w:val="24"/>
            </w:rPr>
            <w:t>16.3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砖和小砌块砌体工程</w:t>
          </w:r>
          <w:r>
            <w:rPr>
              <w:color w:val="auto"/>
            </w:rPr>
            <w:tab/>
          </w:r>
          <w:r>
            <w:rPr>
              <w:color w:val="auto"/>
            </w:rPr>
            <w:fldChar w:fldCharType="begin"/>
          </w:r>
          <w:r>
            <w:rPr>
              <w:color w:val="auto"/>
            </w:rPr>
            <w:instrText xml:space="preserve"> PAGEREF _Toc24438 \h </w:instrText>
          </w:r>
          <w:r>
            <w:rPr>
              <w:color w:val="auto"/>
            </w:rPr>
            <w:fldChar w:fldCharType="separate"/>
          </w:r>
          <w:r>
            <w:rPr>
              <w:color w:val="auto"/>
            </w:rPr>
            <w:t>- 305 -</w:t>
          </w:r>
          <w:r>
            <w:rPr>
              <w:color w:val="auto"/>
            </w:rPr>
            <w:fldChar w:fldCharType="end"/>
          </w:r>
          <w:r>
            <w:rPr>
              <w:color w:val="auto"/>
            </w:rPr>
            <w:fldChar w:fldCharType="end"/>
          </w:r>
        </w:p>
        <w:p w14:paraId="16191272">
          <w:pPr>
            <w:pStyle w:val="19"/>
            <w:tabs>
              <w:tab w:val="right" w:leader="dot" w:pos="8925"/>
            </w:tabs>
            <w:rPr>
              <w:color w:val="auto"/>
            </w:rPr>
          </w:pPr>
          <w:r>
            <w:fldChar w:fldCharType="begin"/>
          </w:r>
          <w:r>
            <w:instrText xml:space="preserve"> HYPERLINK \l "_Toc18214" </w:instrText>
          </w:r>
          <w:r>
            <w:fldChar w:fldCharType="separate"/>
          </w:r>
          <w:r>
            <w:rPr>
              <w:rFonts w:hint="eastAsia" w:ascii="宋体" w:hAnsi="宋体" w:eastAsia="宋体" w:cs="宋体"/>
              <w:bCs/>
              <w:color w:val="auto"/>
              <w:szCs w:val="24"/>
            </w:rPr>
            <w:t>16.4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_Toc18214 \h </w:instrText>
          </w:r>
          <w:r>
            <w:rPr>
              <w:color w:val="auto"/>
            </w:rPr>
            <w:fldChar w:fldCharType="separate"/>
          </w:r>
          <w:r>
            <w:rPr>
              <w:color w:val="auto"/>
            </w:rPr>
            <w:t>- 306 -</w:t>
          </w:r>
          <w:r>
            <w:rPr>
              <w:color w:val="auto"/>
            </w:rPr>
            <w:fldChar w:fldCharType="end"/>
          </w:r>
          <w:r>
            <w:rPr>
              <w:color w:val="auto"/>
            </w:rPr>
            <w:fldChar w:fldCharType="end"/>
          </w:r>
        </w:p>
        <w:p w14:paraId="5AE56AA4">
          <w:pPr>
            <w:pStyle w:val="18"/>
            <w:tabs>
              <w:tab w:val="right" w:leader="dot" w:pos="8925"/>
            </w:tabs>
            <w:rPr>
              <w:color w:val="auto"/>
            </w:rPr>
          </w:pPr>
          <w:r>
            <w:fldChar w:fldCharType="begin"/>
          </w:r>
          <w:r>
            <w:instrText xml:space="preserve"> HYPERLINK \l "_Toc29843" </w:instrText>
          </w:r>
          <w:r>
            <w:fldChar w:fldCharType="separate"/>
          </w:r>
          <w:r>
            <w:rPr>
              <w:rFonts w:ascii="Times New Roman" w:hAnsi="Times New Roman" w:eastAsia="Times New Roman" w:cs="Times New Roman"/>
              <w:bCs/>
              <w:color w:val="auto"/>
              <w:szCs w:val="28"/>
            </w:rPr>
            <w:t>17</w:t>
          </w:r>
          <w:r>
            <w:rPr>
              <w:rFonts w:hint="eastAsia" w:ascii="Times New Roman" w:hAnsi="Times New Roman" w:eastAsia="宋体" w:cs="Times New Roman"/>
              <w:bCs/>
              <w:color w:val="auto"/>
              <w:szCs w:val="28"/>
              <w:lang w:eastAsia="zh-CN"/>
            </w:rPr>
            <w:t xml:space="preserve"> </w:t>
          </w:r>
          <w:r>
            <w:rPr>
              <w:rFonts w:ascii="宋体" w:hAnsi="宋体" w:eastAsia="宋体" w:cs="宋体"/>
              <w:bCs/>
              <w:color w:val="auto"/>
              <w:szCs w:val="28"/>
            </w:rPr>
            <w:t>疏浚和吹填工程</w:t>
          </w:r>
          <w:r>
            <w:rPr>
              <w:color w:val="auto"/>
            </w:rPr>
            <w:tab/>
          </w:r>
          <w:r>
            <w:rPr>
              <w:color w:val="auto"/>
            </w:rPr>
            <w:fldChar w:fldCharType="begin"/>
          </w:r>
          <w:r>
            <w:rPr>
              <w:color w:val="auto"/>
            </w:rPr>
            <w:instrText xml:space="preserve"> PAGEREF _Toc29843 \h </w:instrText>
          </w:r>
          <w:r>
            <w:rPr>
              <w:color w:val="auto"/>
            </w:rPr>
            <w:fldChar w:fldCharType="separate"/>
          </w:r>
          <w:r>
            <w:rPr>
              <w:color w:val="auto"/>
            </w:rPr>
            <w:t>- 308 -</w:t>
          </w:r>
          <w:r>
            <w:rPr>
              <w:color w:val="auto"/>
            </w:rPr>
            <w:fldChar w:fldCharType="end"/>
          </w:r>
          <w:r>
            <w:rPr>
              <w:color w:val="auto"/>
            </w:rPr>
            <w:fldChar w:fldCharType="end"/>
          </w:r>
        </w:p>
        <w:p w14:paraId="2E38FD81">
          <w:pPr>
            <w:pStyle w:val="18"/>
            <w:tabs>
              <w:tab w:val="right" w:leader="dot" w:pos="8925"/>
            </w:tabs>
            <w:rPr>
              <w:color w:val="auto"/>
            </w:rPr>
          </w:pPr>
          <w:r>
            <w:fldChar w:fldCharType="begin"/>
          </w:r>
          <w:r>
            <w:instrText xml:space="preserve"> HYPERLINK \l "_Toc31424" </w:instrText>
          </w:r>
          <w:r>
            <w:fldChar w:fldCharType="separate"/>
          </w:r>
          <w:r>
            <w:rPr>
              <w:rFonts w:ascii="Times New Roman" w:hAnsi="Times New Roman" w:eastAsia="Times New Roman" w:cs="Times New Roman"/>
              <w:bCs/>
              <w:color w:val="auto"/>
              <w:szCs w:val="28"/>
            </w:rPr>
            <w:t>18</w:t>
          </w:r>
          <w:r>
            <w:rPr>
              <w:rFonts w:hint="eastAsia" w:ascii="Times New Roman" w:hAnsi="Times New Roman" w:eastAsia="宋体" w:cs="Times New Roman"/>
              <w:bCs/>
              <w:color w:val="auto"/>
              <w:szCs w:val="28"/>
              <w:lang w:eastAsia="zh-CN"/>
            </w:rPr>
            <w:t xml:space="preserve"> </w:t>
          </w:r>
          <w:r>
            <w:rPr>
              <w:rFonts w:ascii="宋体" w:hAnsi="宋体" w:eastAsia="宋体" w:cs="宋体"/>
              <w:bCs/>
              <w:color w:val="auto"/>
              <w:szCs w:val="28"/>
            </w:rPr>
            <w:t>屋面和地面建筑工程</w:t>
          </w:r>
          <w:r>
            <w:rPr>
              <w:color w:val="auto"/>
            </w:rPr>
            <w:tab/>
          </w:r>
          <w:r>
            <w:rPr>
              <w:color w:val="auto"/>
            </w:rPr>
            <w:fldChar w:fldCharType="begin"/>
          </w:r>
          <w:r>
            <w:rPr>
              <w:color w:val="auto"/>
            </w:rPr>
            <w:instrText xml:space="preserve"> PAGEREF _Toc31424 \h </w:instrText>
          </w:r>
          <w:r>
            <w:rPr>
              <w:color w:val="auto"/>
            </w:rPr>
            <w:fldChar w:fldCharType="separate"/>
          </w:r>
          <w:r>
            <w:rPr>
              <w:color w:val="auto"/>
            </w:rPr>
            <w:t>- 309 -</w:t>
          </w:r>
          <w:r>
            <w:rPr>
              <w:color w:val="auto"/>
            </w:rPr>
            <w:fldChar w:fldCharType="end"/>
          </w:r>
          <w:r>
            <w:rPr>
              <w:color w:val="auto"/>
            </w:rPr>
            <w:fldChar w:fldCharType="end"/>
          </w:r>
        </w:p>
        <w:p w14:paraId="5B62153A">
          <w:pPr>
            <w:pStyle w:val="19"/>
            <w:tabs>
              <w:tab w:val="right" w:leader="dot" w:pos="8925"/>
            </w:tabs>
            <w:rPr>
              <w:color w:val="auto"/>
            </w:rPr>
          </w:pPr>
          <w:r>
            <w:fldChar w:fldCharType="begin"/>
          </w:r>
          <w:r>
            <w:instrText xml:space="preserve"> HYPERLINK \l "_Toc18699" </w:instrText>
          </w:r>
          <w:r>
            <w:fldChar w:fldCharType="separate"/>
          </w:r>
          <w:r>
            <w:rPr>
              <w:rFonts w:hint="eastAsia" w:ascii="宋体" w:hAnsi="宋体" w:eastAsia="宋体" w:cs="宋体"/>
              <w:bCs/>
              <w:color w:val="auto"/>
              <w:szCs w:val="24"/>
            </w:rPr>
            <w:t>18.1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_Toc18699 \h </w:instrText>
          </w:r>
          <w:r>
            <w:rPr>
              <w:color w:val="auto"/>
            </w:rPr>
            <w:fldChar w:fldCharType="separate"/>
          </w:r>
          <w:r>
            <w:rPr>
              <w:color w:val="auto"/>
            </w:rPr>
            <w:t>- 309 -</w:t>
          </w:r>
          <w:r>
            <w:rPr>
              <w:color w:val="auto"/>
            </w:rPr>
            <w:fldChar w:fldCharType="end"/>
          </w:r>
          <w:r>
            <w:rPr>
              <w:color w:val="auto"/>
            </w:rPr>
            <w:fldChar w:fldCharType="end"/>
          </w:r>
        </w:p>
        <w:p w14:paraId="5CD54A54">
          <w:pPr>
            <w:pStyle w:val="19"/>
            <w:tabs>
              <w:tab w:val="right" w:leader="dot" w:pos="8925"/>
            </w:tabs>
            <w:rPr>
              <w:color w:val="auto"/>
            </w:rPr>
          </w:pPr>
          <w:r>
            <w:fldChar w:fldCharType="begin"/>
          </w:r>
          <w:r>
            <w:instrText xml:space="preserve"> HYPERLINK \l "_Toc22313" </w:instrText>
          </w:r>
          <w:r>
            <w:fldChar w:fldCharType="separate"/>
          </w:r>
          <w:r>
            <w:rPr>
              <w:rFonts w:hint="eastAsia" w:ascii="宋体" w:hAnsi="宋体" w:eastAsia="宋体" w:cs="宋体"/>
              <w:bCs/>
              <w:color w:val="auto"/>
              <w:szCs w:val="24"/>
            </w:rPr>
            <w:t>18.2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屋面建筑工程</w:t>
          </w:r>
          <w:r>
            <w:rPr>
              <w:color w:val="auto"/>
            </w:rPr>
            <w:tab/>
          </w:r>
          <w:r>
            <w:rPr>
              <w:color w:val="auto"/>
            </w:rPr>
            <w:fldChar w:fldCharType="begin"/>
          </w:r>
          <w:r>
            <w:rPr>
              <w:color w:val="auto"/>
            </w:rPr>
            <w:instrText xml:space="preserve"> PAGEREF _Toc22313 \h </w:instrText>
          </w:r>
          <w:r>
            <w:rPr>
              <w:color w:val="auto"/>
            </w:rPr>
            <w:fldChar w:fldCharType="separate"/>
          </w:r>
          <w:r>
            <w:rPr>
              <w:color w:val="auto"/>
            </w:rPr>
            <w:t>- 310 -</w:t>
          </w:r>
          <w:r>
            <w:rPr>
              <w:color w:val="auto"/>
            </w:rPr>
            <w:fldChar w:fldCharType="end"/>
          </w:r>
          <w:r>
            <w:rPr>
              <w:color w:val="auto"/>
            </w:rPr>
            <w:fldChar w:fldCharType="end"/>
          </w:r>
        </w:p>
        <w:p w14:paraId="7D9166CE">
          <w:pPr>
            <w:pStyle w:val="19"/>
            <w:tabs>
              <w:tab w:val="right" w:leader="dot" w:pos="8925"/>
            </w:tabs>
            <w:rPr>
              <w:color w:val="auto"/>
            </w:rPr>
          </w:pPr>
          <w:r>
            <w:fldChar w:fldCharType="begin"/>
          </w:r>
          <w:r>
            <w:instrText xml:space="preserve"> HYPERLINK \l "_Toc12158" </w:instrText>
          </w:r>
          <w:r>
            <w:fldChar w:fldCharType="separate"/>
          </w:r>
          <w:r>
            <w:rPr>
              <w:rFonts w:hint="eastAsia" w:ascii="宋体" w:hAnsi="宋体" w:eastAsia="宋体" w:cs="宋体"/>
              <w:bCs/>
              <w:color w:val="auto"/>
              <w:szCs w:val="24"/>
            </w:rPr>
            <w:t>18.3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地面建筑工程</w:t>
          </w:r>
          <w:r>
            <w:rPr>
              <w:color w:val="auto"/>
            </w:rPr>
            <w:tab/>
          </w:r>
          <w:r>
            <w:rPr>
              <w:color w:val="auto"/>
            </w:rPr>
            <w:fldChar w:fldCharType="begin"/>
          </w:r>
          <w:r>
            <w:rPr>
              <w:color w:val="auto"/>
            </w:rPr>
            <w:instrText xml:space="preserve"> PAGEREF _Toc12158 \h </w:instrText>
          </w:r>
          <w:r>
            <w:rPr>
              <w:color w:val="auto"/>
            </w:rPr>
            <w:fldChar w:fldCharType="separate"/>
          </w:r>
          <w:r>
            <w:rPr>
              <w:color w:val="auto"/>
            </w:rPr>
            <w:t>- 314 -</w:t>
          </w:r>
          <w:r>
            <w:rPr>
              <w:color w:val="auto"/>
            </w:rPr>
            <w:fldChar w:fldCharType="end"/>
          </w:r>
          <w:r>
            <w:rPr>
              <w:color w:val="auto"/>
            </w:rPr>
            <w:fldChar w:fldCharType="end"/>
          </w:r>
        </w:p>
        <w:p w14:paraId="4E21FB6D">
          <w:pPr>
            <w:pStyle w:val="19"/>
            <w:tabs>
              <w:tab w:val="right" w:leader="dot" w:pos="8925"/>
            </w:tabs>
            <w:rPr>
              <w:color w:val="auto"/>
            </w:rPr>
          </w:pPr>
          <w:r>
            <w:fldChar w:fldCharType="begin"/>
          </w:r>
          <w:r>
            <w:instrText xml:space="preserve"> HYPERLINK \l "_Toc5468" </w:instrText>
          </w:r>
          <w:r>
            <w:fldChar w:fldCharType="separate"/>
          </w:r>
          <w:r>
            <w:rPr>
              <w:rFonts w:hint="eastAsia" w:ascii="宋体" w:hAnsi="宋体" w:eastAsia="宋体" w:cs="宋体"/>
              <w:bCs/>
              <w:color w:val="auto"/>
              <w:szCs w:val="24"/>
            </w:rPr>
            <w:t>18.4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_Toc5468 \h </w:instrText>
          </w:r>
          <w:r>
            <w:rPr>
              <w:color w:val="auto"/>
            </w:rPr>
            <w:fldChar w:fldCharType="separate"/>
          </w:r>
          <w:r>
            <w:rPr>
              <w:color w:val="auto"/>
            </w:rPr>
            <w:t>- 318 -</w:t>
          </w:r>
          <w:r>
            <w:rPr>
              <w:color w:val="auto"/>
            </w:rPr>
            <w:fldChar w:fldCharType="end"/>
          </w:r>
          <w:r>
            <w:rPr>
              <w:color w:val="auto"/>
            </w:rPr>
            <w:fldChar w:fldCharType="end"/>
          </w:r>
        </w:p>
        <w:p w14:paraId="08B7518D">
          <w:pPr>
            <w:pStyle w:val="18"/>
            <w:tabs>
              <w:tab w:val="right" w:leader="dot" w:pos="8925"/>
            </w:tabs>
            <w:rPr>
              <w:color w:val="auto"/>
            </w:rPr>
          </w:pPr>
          <w:r>
            <w:fldChar w:fldCharType="begin"/>
          </w:r>
          <w:r>
            <w:instrText xml:space="preserve"> HYPERLINK \l "_Toc29276" </w:instrText>
          </w:r>
          <w:r>
            <w:fldChar w:fldCharType="separate"/>
          </w:r>
          <w:r>
            <w:rPr>
              <w:rFonts w:ascii="Times New Roman" w:hAnsi="Times New Roman" w:eastAsia="Times New Roman" w:cs="Times New Roman"/>
              <w:bCs/>
              <w:color w:val="auto"/>
              <w:szCs w:val="28"/>
            </w:rPr>
            <w:t>19</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压力钢管制造和安装</w:t>
          </w:r>
          <w:r>
            <w:rPr>
              <w:color w:val="auto"/>
            </w:rPr>
            <w:tab/>
          </w:r>
          <w:r>
            <w:rPr>
              <w:color w:val="auto"/>
            </w:rPr>
            <w:fldChar w:fldCharType="begin"/>
          </w:r>
          <w:r>
            <w:rPr>
              <w:color w:val="auto"/>
            </w:rPr>
            <w:instrText xml:space="preserve"> PAGEREF _Toc29276 \h </w:instrText>
          </w:r>
          <w:r>
            <w:rPr>
              <w:color w:val="auto"/>
            </w:rPr>
            <w:fldChar w:fldCharType="separate"/>
          </w:r>
          <w:r>
            <w:rPr>
              <w:color w:val="auto"/>
            </w:rPr>
            <w:t>- 319 -</w:t>
          </w:r>
          <w:r>
            <w:rPr>
              <w:color w:val="auto"/>
            </w:rPr>
            <w:fldChar w:fldCharType="end"/>
          </w:r>
          <w:r>
            <w:rPr>
              <w:color w:val="auto"/>
            </w:rPr>
            <w:fldChar w:fldCharType="end"/>
          </w:r>
        </w:p>
        <w:p w14:paraId="7BC0569A">
          <w:pPr>
            <w:pStyle w:val="19"/>
            <w:tabs>
              <w:tab w:val="right" w:leader="dot" w:pos="8925"/>
            </w:tabs>
            <w:rPr>
              <w:color w:val="auto"/>
            </w:rPr>
          </w:pPr>
          <w:r>
            <w:fldChar w:fldCharType="begin"/>
          </w:r>
          <w:r>
            <w:instrText xml:space="preserve"> HYPERLINK \l "_Toc24066" </w:instrText>
          </w:r>
          <w:r>
            <w:fldChar w:fldCharType="separate"/>
          </w:r>
          <w:r>
            <w:rPr>
              <w:rFonts w:hint="eastAsia" w:ascii="宋体" w:hAnsi="宋体" w:eastAsia="宋体" w:cs="宋体"/>
              <w:bCs/>
              <w:color w:val="auto"/>
              <w:szCs w:val="24"/>
            </w:rPr>
            <w:t>19.1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_Toc24066 \h </w:instrText>
          </w:r>
          <w:r>
            <w:rPr>
              <w:color w:val="auto"/>
            </w:rPr>
            <w:fldChar w:fldCharType="separate"/>
          </w:r>
          <w:r>
            <w:rPr>
              <w:color w:val="auto"/>
            </w:rPr>
            <w:t>- 319 -</w:t>
          </w:r>
          <w:r>
            <w:rPr>
              <w:color w:val="auto"/>
            </w:rPr>
            <w:fldChar w:fldCharType="end"/>
          </w:r>
          <w:r>
            <w:rPr>
              <w:color w:val="auto"/>
            </w:rPr>
            <w:fldChar w:fldCharType="end"/>
          </w:r>
        </w:p>
        <w:p w14:paraId="1CC73D9F">
          <w:pPr>
            <w:pStyle w:val="19"/>
            <w:tabs>
              <w:tab w:val="right" w:leader="dot" w:pos="8925"/>
            </w:tabs>
            <w:rPr>
              <w:color w:val="auto"/>
            </w:rPr>
          </w:pPr>
          <w:r>
            <w:fldChar w:fldCharType="begin"/>
          </w:r>
          <w:r>
            <w:instrText xml:space="preserve"> HYPERLINK \l "_Toc18383" </w:instrText>
          </w:r>
          <w:r>
            <w:fldChar w:fldCharType="separate"/>
          </w:r>
          <w:r>
            <w:rPr>
              <w:rFonts w:hint="eastAsia" w:ascii="宋体" w:hAnsi="宋体" w:eastAsia="宋体" w:cs="宋体"/>
              <w:bCs/>
              <w:color w:val="auto"/>
              <w:szCs w:val="24"/>
            </w:rPr>
            <w:t>19.2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材料</w:t>
          </w:r>
          <w:r>
            <w:rPr>
              <w:color w:val="auto"/>
            </w:rPr>
            <w:tab/>
          </w:r>
          <w:r>
            <w:rPr>
              <w:color w:val="auto"/>
            </w:rPr>
            <w:fldChar w:fldCharType="begin"/>
          </w:r>
          <w:r>
            <w:rPr>
              <w:color w:val="auto"/>
            </w:rPr>
            <w:instrText xml:space="preserve"> PAGEREF _Toc18383 \h </w:instrText>
          </w:r>
          <w:r>
            <w:rPr>
              <w:color w:val="auto"/>
            </w:rPr>
            <w:fldChar w:fldCharType="separate"/>
          </w:r>
          <w:r>
            <w:rPr>
              <w:color w:val="auto"/>
            </w:rPr>
            <w:t>- 320 -</w:t>
          </w:r>
          <w:r>
            <w:rPr>
              <w:color w:val="auto"/>
            </w:rPr>
            <w:fldChar w:fldCharType="end"/>
          </w:r>
          <w:r>
            <w:rPr>
              <w:color w:val="auto"/>
            </w:rPr>
            <w:fldChar w:fldCharType="end"/>
          </w:r>
        </w:p>
        <w:p w14:paraId="2293B0FD">
          <w:pPr>
            <w:pStyle w:val="19"/>
            <w:tabs>
              <w:tab w:val="right" w:leader="dot" w:pos="8925"/>
            </w:tabs>
            <w:rPr>
              <w:color w:val="auto"/>
            </w:rPr>
          </w:pPr>
          <w:r>
            <w:fldChar w:fldCharType="begin"/>
          </w:r>
          <w:r>
            <w:instrText xml:space="preserve"> HYPERLINK \l "_Toc9754" </w:instrText>
          </w:r>
          <w:r>
            <w:fldChar w:fldCharType="separate"/>
          </w:r>
          <w:r>
            <w:rPr>
              <w:rFonts w:hint="eastAsia" w:ascii="宋体" w:hAnsi="宋体" w:eastAsia="宋体" w:cs="宋体"/>
              <w:bCs/>
              <w:color w:val="auto"/>
              <w:szCs w:val="24"/>
            </w:rPr>
            <w:t>19.3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钢管制造</w:t>
          </w:r>
          <w:r>
            <w:rPr>
              <w:color w:val="auto"/>
            </w:rPr>
            <w:tab/>
          </w:r>
          <w:r>
            <w:rPr>
              <w:color w:val="auto"/>
            </w:rPr>
            <w:fldChar w:fldCharType="begin"/>
          </w:r>
          <w:r>
            <w:rPr>
              <w:color w:val="auto"/>
            </w:rPr>
            <w:instrText xml:space="preserve"> PAGEREF _Toc9754 \h </w:instrText>
          </w:r>
          <w:r>
            <w:rPr>
              <w:color w:val="auto"/>
            </w:rPr>
            <w:fldChar w:fldCharType="separate"/>
          </w:r>
          <w:r>
            <w:rPr>
              <w:color w:val="auto"/>
            </w:rPr>
            <w:t>- 321 -</w:t>
          </w:r>
          <w:r>
            <w:rPr>
              <w:color w:val="auto"/>
            </w:rPr>
            <w:fldChar w:fldCharType="end"/>
          </w:r>
          <w:r>
            <w:rPr>
              <w:color w:val="auto"/>
            </w:rPr>
            <w:fldChar w:fldCharType="end"/>
          </w:r>
        </w:p>
        <w:p w14:paraId="16F9A48B">
          <w:pPr>
            <w:pStyle w:val="19"/>
            <w:tabs>
              <w:tab w:val="right" w:leader="dot" w:pos="8925"/>
            </w:tabs>
            <w:rPr>
              <w:color w:val="auto"/>
            </w:rPr>
          </w:pPr>
          <w:r>
            <w:fldChar w:fldCharType="begin"/>
          </w:r>
          <w:r>
            <w:instrText xml:space="preserve"> HYPERLINK \l "_Toc4695" </w:instrText>
          </w:r>
          <w:r>
            <w:fldChar w:fldCharType="separate"/>
          </w:r>
          <w:r>
            <w:rPr>
              <w:rFonts w:hint="eastAsia" w:ascii="宋体" w:hAnsi="宋体" w:eastAsia="宋体" w:cs="宋体"/>
              <w:bCs/>
              <w:color w:val="auto"/>
              <w:szCs w:val="24"/>
            </w:rPr>
            <w:t>19.4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焊接</w:t>
          </w:r>
          <w:r>
            <w:rPr>
              <w:color w:val="auto"/>
            </w:rPr>
            <w:tab/>
          </w:r>
          <w:r>
            <w:rPr>
              <w:color w:val="auto"/>
            </w:rPr>
            <w:fldChar w:fldCharType="begin"/>
          </w:r>
          <w:r>
            <w:rPr>
              <w:color w:val="auto"/>
            </w:rPr>
            <w:instrText xml:space="preserve"> PAGEREF _Toc4695 \h </w:instrText>
          </w:r>
          <w:r>
            <w:rPr>
              <w:color w:val="auto"/>
            </w:rPr>
            <w:fldChar w:fldCharType="separate"/>
          </w:r>
          <w:r>
            <w:rPr>
              <w:color w:val="auto"/>
            </w:rPr>
            <w:t>- 324 -</w:t>
          </w:r>
          <w:r>
            <w:rPr>
              <w:color w:val="auto"/>
            </w:rPr>
            <w:fldChar w:fldCharType="end"/>
          </w:r>
          <w:r>
            <w:rPr>
              <w:color w:val="auto"/>
            </w:rPr>
            <w:fldChar w:fldCharType="end"/>
          </w:r>
        </w:p>
        <w:p w14:paraId="022A18AE">
          <w:pPr>
            <w:pStyle w:val="19"/>
            <w:tabs>
              <w:tab w:val="right" w:leader="dot" w:pos="8925"/>
            </w:tabs>
            <w:rPr>
              <w:color w:val="auto"/>
            </w:rPr>
          </w:pPr>
          <w:r>
            <w:fldChar w:fldCharType="begin"/>
          </w:r>
          <w:r>
            <w:instrText xml:space="preserve"> HYPERLINK \l "_Toc27061" </w:instrText>
          </w:r>
          <w:r>
            <w:fldChar w:fldCharType="separate"/>
          </w:r>
          <w:r>
            <w:rPr>
              <w:rFonts w:hint="eastAsia" w:ascii="宋体" w:hAnsi="宋体" w:eastAsia="宋体" w:cs="宋体"/>
              <w:bCs/>
              <w:color w:val="auto"/>
              <w:szCs w:val="24"/>
            </w:rPr>
            <w:t>19.5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水压试验</w:t>
          </w:r>
          <w:r>
            <w:rPr>
              <w:rFonts w:hint="eastAsia" w:ascii="宋体" w:hAnsi="宋体" w:eastAsia="宋体" w:cs="宋体"/>
              <w:bCs/>
              <w:color w:val="auto"/>
              <w:szCs w:val="24"/>
              <w:lang w:eastAsia="zh-CN"/>
            </w:rPr>
            <w:t>（略）</w:t>
          </w:r>
          <w:r>
            <w:rPr>
              <w:color w:val="auto"/>
            </w:rPr>
            <w:tab/>
          </w:r>
          <w:r>
            <w:rPr>
              <w:color w:val="auto"/>
            </w:rPr>
            <w:fldChar w:fldCharType="begin"/>
          </w:r>
          <w:r>
            <w:rPr>
              <w:color w:val="auto"/>
            </w:rPr>
            <w:instrText xml:space="preserve"> PAGEREF _Toc27061 \h </w:instrText>
          </w:r>
          <w:r>
            <w:rPr>
              <w:color w:val="auto"/>
            </w:rPr>
            <w:fldChar w:fldCharType="separate"/>
          </w:r>
          <w:r>
            <w:rPr>
              <w:color w:val="auto"/>
            </w:rPr>
            <w:t>- 326 -</w:t>
          </w:r>
          <w:r>
            <w:rPr>
              <w:color w:val="auto"/>
            </w:rPr>
            <w:fldChar w:fldCharType="end"/>
          </w:r>
          <w:r>
            <w:rPr>
              <w:color w:val="auto"/>
            </w:rPr>
            <w:fldChar w:fldCharType="end"/>
          </w:r>
        </w:p>
        <w:p w14:paraId="240176D2">
          <w:pPr>
            <w:pStyle w:val="19"/>
            <w:tabs>
              <w:tab w:val="right" w:leader="dot" w:pos="8925"/>
            </w:tabs>
            <w:rPr>
              <w:color w:val="auto"/>
            </w:rPr>
          </w:pPr>
          <w:r>
            <w:fldChar w:fldCharType="begin"/>
          </w:r>
          <w:r>
            <w:instrText xml:space="preserve"> HYPERLINK \l "_Toc15111" </w:instrText>
          </w:r>
          <w:r>
            <w:fldChar w:fldCharType="separate"/>
          </w:r>
          <w:r>
            <w:rPr>
              <w:rFonts w:hint="eastAsia" w:ascii="宋体" w:hAnsi="宋体" w:eastAsia="宋体" w:cs="宋体"/>
              <w:bCs/>
              <w:color w:val="auto"/>
              <w:szCs w:val="24"/>
            </w:rPr>
            <w:t>19.6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钢管运输</w:t>
          </w:r>
          <w:r>
            <w:rPr>
              <w:color w:val="auto"/>
            </w:rPr>
            <w:tab/>
          </w:r>
          <w:r>
            <w:rPr>
              <w:color w:val="auto"/>
            </w:rPr>
            <w:fldChar w:fldCharType="begin"/>
          </w:r>
          <w:r>
            <w:rPr>
              <w:color w:val="auto"/>
            </w:rPr>
            <w:instrText xml:space="preserve"> PAGEREF _Toc15111 \h </w:instrText>
          </w:r>
          <w:r>
            <w:rPr>
              <w:color w:val="auto"/>
            </w:rPr>
            <w:fldChar w:fldCharType="separate"/>
          </w:r>
          <w:r>
            <w:rPr>
              <w:color w:val="auto"/>
            </w:rPr>
            <w:t>- 326 -</w:t>
          </w:r>
          <w:r>
            <w:rPr>
              <w:color w:val="auto"/>
            </w:rPr>
            <w:fldChar w:fldCharType="end"/>
          </w:r>
          <w:r>
            <w:rPr>
              <w:color w:val="auto"/>
            </w:rPr>
            <w:fldChar w:fldCharType="end"/>
          </w:r>
        </w:p>
        <w:p w14:paraId="67382530">
          <w:pPr>
            <w:pStyle w:val="19"/>
            <w:tabs>
              <w:tab w:val="right" w:leader="dot" w:pos="8925"/>
            </w:tabs>
            <w:rPr>
              <w:color w:val="auto"/>
            </w:rPr>
          </w:pPr>
          <w:r>
            <w:fldChar w:fldCharType="begin"/>
          </w:r>
          <w:r>
            <w:instrText xml:space="preserve"> HYPERLINK \l "_Toc32194" </w:instrText>
          </w:r>
          <w:r>
            <w:fldChar w:fldCharType="separate"/>
          </w:r>
          <w:r>
            <w:rPr>
              <w:rFonts w:hint="eastAsia" w:ascii="宋体" w:hAnsi="宋体" w:eastAsia="宋体" w:cs="宋体"/>
              <w:bCs/>
              <w:color w:val="auto"/>
              <w:szCs w:val="24"/>
            </w:rPr>
            <w:t>19.7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钢管现场安装</w:t>
          </w:r>
          <w:r>
            <w:rPr>
              <w:color w:val="auto"/>
            </w:rPr>
            <w:tab/>
          </w:r>
          <w:r>
            <w:rPr>
              <w:color w:val="auto"/>
            </w:rPr>
            <w:fldChar w:fldCharType="begin"/>
          </w:r>
          <w:r>
            <w:rPr>
              <w:color w:val="auto"/>
            </w:rPr>
            <w:instrText xml:space="preserve"> PAGEREF _Toc32194 \h </w:instrText>
          </w:r>
          <w:r>
            <w:rPr>
              <w:color w:val="auto"/>
            </w:rPr>
            <w:fldChar w:fldCharType="separate"/>
          </w:r>
          <w:r>
            <w:rPr>
              <w:color w:val="auto"/>
            </w:rPr>
            <w:t>- 326 -</w:t>
          </w:r>
          <w:r>
            <w:rPr>
              <w:color w:val="auto"/>
            </w:rPr>
            <w:fldChar w:fldCharType="end"/>
          </w:r>
          <w:r>
            <w:rPr>
              <w:color w:val="auto"/>
            </w:rPr>
            <w:fldChar w:fldCharType="end"/>
          </w:r>
        </w:p>
        <w:p w14:paraId="6FF79D8B">
          <w:pPr>
            <w:pStyle w:val="19"/>
            <w:tabs>
              <w:tab w:val="right" w:leader="dot" w:pos="8925"/>
            </w:tabs>
            <w:rPr>
              <w:color w:val="auto"/>
            </w:rPr>
          </w:pPr>
          <w:r>
            <w:fldChar w:fldCharType="begin"/>
          </w:r>
          <w:r>
            <w:instrText xml:space="preserve"> HYPERLINK \l "_Toc6832" </w:instrText>
          </w:r>
          <w:r>
            <w:fldChar w:fldCharType="separate"/>
          </w:r>
          <w:r>
            <w:rPr>
              <w:rFonts w:hint="eastAsia" w:ascii="宋体" w:hAnsi="宋体" w:eastAsia="宋体" w:cs="宋体"/>
              <w:bCs/>
              <w:color w:val="auto"/>
              <w:szCs w:val="24"/>
            </w:rPr>
            <w:t>19.8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涂装</w:t>
          </w:r>
          <w:r>
            <w:rPr>
              <w:color w:val="auto"/>
            </w:rPr>
            <w:tab/>
          </w:r>
          <w:r>
            <w:rPr>
              <w:color w:val="auto"/>
            </w:rPr>
            <w:fldChar w:fldCharType="begin"/>
          </w:r>
          <w:r>
            <w:rPr>
              <w:color w:val="auto"/>
            </w:rPr>
            <w:instrText xml:space="preserve"> PAGEREF _Toc6832 \h </w:instrText>
          </w:r>
          <w:r>
            <w:rPr>
              <w:color w:val="auto"/>
            </w:rPr>
            <w:fldChar w:fldCharType="separate"/>
          </w:r>
          <w:r>
            <w:rPr>
              <w:color w:val="auto"/>
            </w:rPr>
            <w:t>- 327 -</w:t>
          </w:r>
          <w:r>
            <w:rPr>
              <w:color w:val="auto"/>
            </w:rPr>
            <w:fldChar w:fldCharType="end"/>
          </w:r>
          <w:r>
            <w:rPr>
              <w:color w:val="auto"/>
            </w:rPr>
            <w:fldChar w:fldCharType="end"/>
          </w:r>
        </w:p>
        <w:p w14:paraId="0963C80C">
          <w:pPr>
            <w:pStyle w:val="19"/>
            <w:tabs>
              <w:tab w:val="right" w:leader="dot" w:pos="8925"/>
            </w:tabs>
            <w:rPr>
              <w:color w:val="auto"/>
            </w:rPr>
          </w:pPr>
          <w:r>
            <w:fldChar w:fldCharType="begin"/>
          </w:r>
          <w:r>
            <w:instrText xml:space="preserve"> HYPERLINK \l "_Toc14585" </w:instrText>
          </w:r>
          <w:r>
            <w:fldChar w:fldCharType="separate"/>
          </w:r>
          <w:r>
            <w:rPr>
              <w:rFonts w:hint="eastAsia" w:ascii="宋体" w:hAnsi="宋体" w:eastAsia="宋体" w:cs="宋体"/>
              <w:bCs/>
              <w:color w:val="auto"/>
              <w:szCs w:val="24"/>
            </w:rPr>
            <w:t>19.9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地下钢管接触灌浆</w:t>
          </w:r>
          <w:r>
            <w:rPr>
              <w:color w:val="auto"/>
            </w:rPr>
            <w:tab/>
          </w:r>
          <w:r>
            <w:rPr>
              <w:color w:val="auto"/>
            </w:rPr>
            <w:fldChar w:fldCharType="begin"/>
          </w:r>
          <w:r>
            <w:rPr>
              <w:color w:val="auto"/>
            </w:rPr>
            <w:instrText xml:space="preserve"> PAGEREF _Toc14585 \h </w:instrText>
          </w:r>
          <w:r>
            <w:rPr>
              <w:color w:val="auto"/>
            </w:rPr>
            <w:fldChar w:fldCharType="separate"/>
          </w:r>
          <w:r>
            <w:rPr>
              <w:color w:val="auto"/>
            </w:rPr>
            <w:t>- 329 -</w:t>
          </w:r>
          <w:r>
            <w:rPr>
              <w:color w:val="auto"/>
            </w:rPr>
            <w:fldChar w:fldCharType="end"/>
          </w:r>
          <w:r>
            <w:rPr>
              <w:color w:val="auto"/>
            </w:rPr>
            <w:fldChar w:fldCharType="end"/>
          </w:r>
        </w:p>
        <w:p w14:paraId="53FE3339">
          <w:pPr>
            <w:pStyle w:val="19"/>
            <w:tabs>
              <w:tab w:val="right" w:leader="dot" w:pos="8925"/>
            </w:tabs>
            <w:rPr>
              <w:color w:val="auto"/>
            </w:rPr>
          </w:pPr>
          <w:r>
            <w:fldChar w:fldCharType="begin"/>
          </w:r>
          <w:r>
            <w:instrText xml:space="preserve"> HYPERLINK \l "_Toc20879" </w:instrText>
          </w:r>
          <w:r>
            <w:fldChar w:fldCharType="separate"/>
          </w:r>
          <w:r>
            <w:rPr>
              <w:rFonts w:hint="eastAsia" w:ascii="宋体" w:hAnsi="宋体" w:eastAsia="宋体" w:cs="宋体"/>
              <w:bCs/>
              <w:color w:val="auto"/>
              <w:szCs w:val="24"/>
            </w:rPr>
            <w:t>19.10</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质量检查和验收</w:t>
          </w:r>
          <w:r>
            <w:rPr>
              <w:color w:val="auto"/>
            </w:rPr>
            <w:tab/>
          </w:r>
          <w:r>
            <w:rPr>
              <w:color w:val="auto"/>
            </w:rPr>
            <w:fldChar w:fldCharType="begin"/>
          </w:r>
          <w:r>
            <w:rPr>
              <w:color w:val="auto"/>
            </w:rPr>
            <w:instrText xml:space="preserve"> PAGEREF _Toc20879 \h </w:instrText>
          </w:r>
          <w:r>
            <w:rPr>
              <w:color w:val="auto"/>
            </w:rPr>
            <w:fldChar w:fldCharType="separate"/>
          </w:r>
          <w:r>
            <w:rPr>
              <w:color w:val="auto"/>
            </w:rPr>
            <w:t>- 330 -</w:t>
          </w:r>
          <w:r>
            <w:rPr>
              <w:color w:val="auto"/>
            </w:rPr>
            <w:fldChar w:fldCharType="end"/>
          </w:r>
          <w:r>
            <w:rPr>
              <w:color w:val="auto"/>
            </w:rPr>
            <w:fldChar w:fldCharType="end"/>
          </w:r>
        </w:p>
        <w:p w14:paraId="59FFFAC1">
          <w:pPr>
            <w:pStyle w:val="19"/>
            <w:tabs>
              <w:tab w:val="right" w:leader="dot" w:pos="8925"/>
            </w:tabs>
            <w:rPr>
              <w:color w:val="auto"/>
            </w:rPr>
          </w:pPr>
          <w:r>
            <w:fldChar w:fldCharType="begin"/>
          </w:r>
          <w:r>
            <w:instrText xml:space="preserve"> HYPERLINK \l "_Toc30059" </w:instrText>
          </w:r>
          <w:r>
            <w:fldChar w:fldCharType="separate"/>
          </w:r>
          <w:r>
            <w:rPr>
              <w:rFonts w:hint="eastAsia" w:ascii="宋体" w:hAnsi="宋体" w:eastAsia="宋体" w:cs="宋体"/>
              <w:bCs/>
              <w:color w:val="auto"/>
              <w:szCs w:val="24"/>
            </w:rPr>
            <w:t>19.11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_Toc30059 \h </w:instrText>
          </w:r>
          <w:r>
            <w:rPr>
              <w:color w:val="auto"/>
            </w:rPr>
            <w:fldChar w:fldCharType="separate"/>
          </w:r>
          <w:r>
            <w:rPr>
              <w:color w:val="auto"/>
            </w:rPr>
            <w:t>- 331 -</w:t>
          </w:r>
          <w:r>
            <w:rPr>
              <w:color w:val="auto"/>
            </w:rPr>
            <w:fldChar w:fldCharType="end"/>
          </w:r>
          <w:r>
            <w:rPr>
              <w:color w:val="auto"/>
            </w:rPr>
            <w:fldChar w:fldCharType="end"/>
          </w:r>
        </w:p>
        <w:p w14:paraId="4C43B147">
          <w:pPr>
            <w:pStyle w:val="18"/>
            <w:tabs>
              <w:tab w:val="right" w:leader="dot" w:pos="8925"/>
            </w:tabs>
            <w:rPr>
              <w:color w:val="auto"/>
            </w:rPr>
          </w:pPr>
          <w:r>
            <w:fldChar w:fldCharType="begin"/>
          </w:r>
          <w:r>
            <w:instrText xml:space="preserve"> HYPERLINK \l "_Toc10545" </w:instrText>
          </w:r>
          <w:r>
            <w:fldChar w:fldCharType="separate"/>
          </w:r>
          <w:r>
            <w:rPr>
              <w:rFonts w:hint="eastAsia" w:ascii="宋体" w:hAnsi="宋体" w:eastAsia="宋体" w:cs="宋体"/>
              <w:bCs/>
              <w:color w:val="auto"/>
              <w:szCs w:val="28"/>
            </w:rPr>
            <w:t>20</w:t>
          </w:r>
          <w:r>
            <w:rPr>
              <w:rFonts w:hint="eastAsia" w:ascii="宋体" w:hAnsi="宋体" w:eastAsia="宋体" w:cs="宋体"/>
              <w:bCs/>
              <w:color w:val="auto"/>
              <w:szCs w:val="28"/>
              <w:lang w:eastAsia="zh-CN"/>
            </w:rPr>
            <w:t xml:space="preserve"> </w:t>
          </w:r>
          <w:r>
            <w:rPr>
              <w:rFonts w:hint="eastAsia" w:ascii="宋体" w:hAnsi="宋体" w:eastAsia="宋体" w:cs="宋体"/>
              <w:bCs/>
              <w:color w:val="auto"/>
              <w:szCs w:val="28"/>
            </w:rPr>
            <w:t>钢结构的制作和安装</w:t>
          </w:r>
          <w:r>
            <w:rPr>
              <w:color w:val="auto"/>
            </w:rPr>
            <w:tab/>
          </w:r>
          <w:r>
            <w:rPr>
              <w:color w:val="auto"/>
            </w:rPr>
            <w:fldChar w:fldCharType="begin"/>
          </w:r>
          <w:r>
            <w:rPr>
              <w:color w:val="auto"/>
            </w:rPr>
            <w:instrText xml:space="preserve"> PAGEREF _Toc10545 \h </w:instrText>
          </w:r>
          <w:r>
            <w:rPr>
              <w:color w:val="auto"/>
            </w:rPr>
            <w:fldChar w:fldCharType="separate"/>
          </w:r>
          <w:r>
            <w:rPr>
              <w:color w:val="auto"/>
            </w:rPr>
            <w:t>- 333 -</w:t>
          </w:r>
          <w:r>
            <w:rPr>
              <w:color w:val="auto"/>
            </w:rPr>
            <w:fldChar w:fldCharType="end"/>
          </w:r>
          <w:r>
            <w:rPr>
              <w:color w:val="auto"/>
            </w:rPr>
            <w:fldChar w:fldCharType="end"/>
          </w:r>
        </w:p>
        <w:p w14:paraId="5BF4D199">
          <w:pPr>
            <w:pStyle w:val="19"/>
            <w:tabs>
              <w:tab w:val="right" w:leader="dot" w:pos="8925"/>
            </w:tabs>
            <w:rPr>
              <w:color w:val="auto"/>
            </w:rPr>
          </w:pPr>
          <w:r>
            <w:fldChar w:fldCharType="begin"/>
          </w:r>
          <w:r>
            <w:instrText xml:space="preserve"> HYPERLINK \l "_Toc14143" </w:instrText>
          </w:r>
          <w:r>
            <w:fldChar w:fldCharType="separate"/>
          </w:r>
          <w:r>
            <w:rPr>
              <w:rFonts w:hint="eastAsia" w:ascii="宋体" w:hAnsi="宋体" w:eastAsia="宋体" w:cs="宋体"/>
              <w:bCs/>
              <w:color w:val="auto"/>
              <w:szCs w:val="24"/>
            </w:rPr>
            <w:t>20.1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_Toc14143 \h </w:instrText>
          </w:r>
          <w:r>
            <w:rPr>
              <w:color w:val="auto"/>
            </w:rPr>
            <w:fldChar w:fldCharType="separate"/>
          </w:r>
          <w:r>
            <w:rPr>
              <w:color w:val="auto"/>
            </w:rPr>
            <w:t>- 333 -</w:t>
          </w:r>
          <w:r>
            <w:rPr>
              <w:color w:val="auto"/>
            </w:rPr>
            <w:fldChar w:fldCharType="end"/>
          </w:r>
          <w:r>
            <w:rPr>
              <w:color w:val="auto"/>
            </w:rPr>
            <w:fldChar w:fldCharType="end"/>
          </w:r>
        </w:p>
        <w:p w14:paraId="5A19CE7F">
          <w:pPr>
            <w:pStyle w:val="19"/>
            <w:tabs>
              <w:tab w:val="right" w:leader="dot" w:pos="8925"/>
            </w:tabs>
            <w:rPr>
              <w:color w:val="auto"/>
            </w:rPr>
          </w:pPr>
          <w:r>
            <w:fldChar w:fldCharType="begin"/>
          </w:r>
          <w:r>
            <w:instrText xml:space="preserve"> HYPERLINK \l "_Toc15017" </w:instrText>
          </w:r>
          <w:r>
            <w:fldChar w:fldCharType="separate"/>
          </w:r>
          <w:r>
            <w:rPr>
              <w:rFonts w:hint="eastAsia" w:ascii="宋体" w:hAnsi="宋体" w:eastAsia="宋体" w:cs="宋体"/>
              <w:bCs/>
              <w:color w:val="auto"/>
              <w:szCs w:val="24"/>
            </w:rPr>
            <w:t>20.2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材料和外购件</w:t>
          </w:r>
          <w:r>
            <w:rPr>
              <w:color w:val="auto"/>
            </w:rPr>
            <w:tab/>
          </w:r>
          <w:r>
            <w:rPr>
              <w:color w:val="auto"/>
            </w:rPr>
            <w:fldChar w:fldCharType="begin"/>
          </w:r>
          <w:r>
            <w:rPr>
              <w:color w:val="auto"/>
            </w:rPr>
            <w:instrText xml:space="preserve"> PAGEREF _Toc15017 \h </w:instrText>
          </w:r>
          <w:r>
            <w:rPr>
              <w:color w:val="auto"/>
            </w:rPr>
            <w:fldChar w:fldCharType="separate"/>
          </w:r>
          <w:r>
            <w:rPr>
              <w:color w:val="auto"/>
            </w:rPr>
            <w:t>- 335 -</w:t>
          </w:r>
          <w:r>
            <w:rPr>
              <w:color w:val="auto"/>
            </w:rPr>
            <w:fldChar w:fldCharType="end"/>
          </w:r>
          <w:r>
            <w:rPr>
              <w:color w:val="auto"/>
            </w:rPr>
            <w:fldChar w:fldCharType="end"/>
          </w:r>
        </w:p>
        <w:p w14:paraId="2B13B7E7">
          <w:pPr>
            <w:pStyle w:val="19"/>
            <w:tabs>
              <w:tab w:val="right" w:leader="dot" w:pos="8925"/>
            </w:tabs>
            <w:rPr>
              <w:color w:val="auto"/>
            </w:rPr>
          </w:pPr>
          <w:r>
            <w:fldChar w:fldCharType="begin"/>
          </w:r>
          <w:r>
            <w:instrText xml:space="preserve"> HYPERLINK \l "_Toc27295" </w:instrText>
          </w:r>
          <w:r>
            <w:fldChar w:fldCharType="separate"/>
          </w:r>
          <w:r>
            <w:rPr>
              <w:rFonts w:hint="eastAsia" w:ascii="宋体" w:hAnsi="宋体" w:eastAsia="宋体" w:cs="宋体"/>
              <w:bCs/>
              <w:color w:val="auto"/>
              <w:szCs w:val="24"/>
            </w:rPr>
            <w:t>20.3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钢构件制作和组装</w:t>
          </w:r>
          <w:r>
            <w:rPr>
              <w:color w:val="auto"/>
            </w:rPr>
            <w:tab/>
          </w:r>
          <w:r>
            <w:rPr>
              <w:color w:val="auto"/>
            </w:rPr>
            <w:fldChar w:fldCharType="begin"/>
          </w:r>
          <w:r>
            <w:rPr>
              <w:color w:val="auto"/>
            </w:rPr>
            <w:instrText xml:space="preserve"> PAGEREF _Toc27295 \h </w:instrText>
          </w:r>
          <w:r>
            <w:rPr>
              <w:color w:val="auto"/>
            </w:rPr>
            <w:fldChar w:fldCharType="separate"/>
          </w:r>
          <w:r>
            <w:rPr>
              <w:color w:val="auto"/>
            </w:rPr>
            <w:t>- 335 -</w:t>
          </w:r>
          <w:r>
            <w:rPr>
              <w:color w:val="auto"/>
            </w:rPr>
            <w:fldChar w:fldCharType="end"/>
          </w:r>
          <w:r>
            <w:rPr>
              <w:color w:val="auto"/>
            </w:rPr>
            <w:fldChar w:fldCharType="end"/>
          </w:r>
        </w:p>
        <w:p w14:paraId="2E82E39F">
          <w:pPr>
            <w:pStyle w:val="19"/>
            <w:tabs>
              <w:tab w:val="right" w:leader="dot" w:pos="8925"/>
            </w:tabs>
            <w:rPr>
              <w:color w:val="auto"/>
            </w:rPr>
          </w:pPr>
          <w:r>
            <w:fldChar w:fldCharType="begin"/>
          </w:r>
          <w:r>
            <w:instrText xml:space="preserve"> HYPERLINK \l "_Toc9041" </w:instrText>
          </w:r>
          <w:r>
            <w:fldChar w:fldCharType="separate"/>
          </w:r>
          <w:r>
            <w:rPr>
              <w:rFonts w:hint="eastAsia" w:ascii="宋体" w:hAnsi="宋体" w:eastAsia="宋体" w:cs="宋体"/>
              <w:bCs/>
              <w:color w:val="auto"/>
              <w:szCs w:val="24"/>
            </w:rPr>
            <w:t>20.4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钢构件预拼装</w:t>
          </w:r>
          <w:r>
            <w:rPr>
              <w:color w:val="auto"/>
            </w:rPr>
            <w:tab/>
          </w:r>
          <w:r>
            <w:rPr>
              <w:color w:val="auto"/>
            </w:rPr>
            <w:fldChar w:fldCharType="begin"/>
          </w:r>
          <w:r>
            <w:rPr>
              <w:color w:val="auto"/>
            </w:rPr>
            <w:instrText xml:space="preserve"> PAGEREF _Toc9041 \h </w:instrText>
          </w:r>
          <w:r>
            <w:rPr>
              <w:color w:val="auto"/>
            </w:rPr>
            <w:fldChar w:fldCharType="separate"/>
          </w:r>
          <w:r>
            <w:rPr>
              <w:color w:val="auto"/>
            </w:rPr>
            <w:t>- 340 -</w:t>
          </w:r>
          <w:r>
            <w:rPr>
              <w:color w:val="auto"/>
            </w:rPr>
            <w:fldChar w:fldCharType="end"/>
          </w:r>
          <w:r>
            <w:rPr>
              <w:color w:val="auto"/>
            </w:rPr>
            <w:fldChar w:fldCharType="end"/>
          </w:r>
        </w:p>
        <w:p w14:paraId="6E632845">
          <w:pPr>
            <w:pStyle w:val="19"/>
            <w:tabs>
              <w:tab w:val="right" w:leader="dot" w:pos="8925"/>
            </w:tabs>
            <w:rPr>
              <w:color w:val="auto"/>
            </w:rPr>
          </w:pPr>
          <w:r>
            <w:fldChar w:fldCharType="begin"/>
          </w:r>
          <w:r>
            <w:instrText xml:space="preserve"> HYPERLINK \l "_Toc31215" </w:instrText>
          </w:r>
          <w:r>
            <w:fldChar w:fldCharType="separate"/>
          </w:r>
          <w:r>
            <w:rPr>
              <w:rFonts w:hint="eastAsia" w:ascii="宋体" w:hAnsi="宋体" w:eastAsia="宋体" w:cs="宋体"/>
              <w:bCs/>
              <w:color w:val="auto"/>
              <w:szCs w:val="24"/>
            </w:rPr>
            <w:t>20.5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钢结构安装</w:t>
          </w:r>
          <w:r>
            <w:rPr>
              <w:color w:val="auto"/>
            </w:rPr>
            <w:tab/>
          </w:r>
          <w:r>
            <w:rPr>
              <w:color w:val="auto"/>
            </w:rPr>
            <w:fldChar w:fldCharType="begin"/>
          </w:r>
          <w:r>
            <w:rPr>
              <w:color w:val="auto"/>
            </w:rPr>
            <w:instrText xml:space="preserve"> PAGEREF _Toc31215 \h </w:instrText>
          </w:r>
          <w:r>
            <w:rPr>
              <w:color w:val="auto"/>
            </w:rPr>
            <w:fldChar w:fldCharType="separate"/>
          </w:r>
          <w:r>
            <w:rPr>
              <w:color w:val="auto"/>
            </w:rPr>
            <w:t>- 340 -</w:t>
          </w:r>
          <w:r>
            <w:rPr>
              <w:color w:val="auto"/>
            </w:rPr>
            <w:fldChar w:fldCharType="end"/>
          </w:r>
          <w:r>
            <w:rPr>
              <w:color w:val="auto"/>
            </w:rPr>
            <w:fldChar w:fldCharType="end"/>
          </w:r>
        </w:p>
        <w:p w14:paraId="6D0CD347">
          <w:pPr>
            <w:pStyle w:val="19"/>
            <w:tabs>
              <w:tab w:val="right" w:leader="dot" w:pos="8925"/>
            </w:tabs>
            <w:rPr>
              <w:color w:val="auto"/>
            </w:rPr>
          </w:pPr>
          <w:r>
            <w:fldChar w:fldCharType="begin"/>
          </w:r>
          <w:r>
            <w:instrText xml:space="preserve"> HYPERLINK \l "_Toc9382" </w:instrText>
          </w:r>
          <w:r>
            <w:fldChar w:fldCharType="separate"/>
          </w:r>
          <w:r>
            <w:rPr>
              <w:rFonts w:hint="eastAsia" w:ascii="宋体" w:hAnsi="宋体" w:eastAsia="宋体" w:cs="宋体"/>
              <w:bCs/>
              <w:color w:val="auto"/>
              <w:szCs w:val="24"/>
            </w:rPr>
            <w:t>20.6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钢结构工程验收</w:t>
          </w:r>
          <w:r>
            <w:rPr>
              <w:color w:val="auto"/>
            </w:rPr>
            <w:tab/>
          </w:r>
          <w:r>
            <w:rPr>
              <w:color w:val="auto"/>
            </w:rPr>
            <w:fldChar w:fldCharType="begin"/>
          </w:r>
          <w:r>
            <w:rPr>
              <w:color w:val="auto"/>
            </w:rPr>
            <w:instrText xml:space="preserve"> PAGEREF _Toc9382 \h </w:instrText>
          </w:r>
          <w:r>
            <w:rPr>
              <w:color w:val="auto"/>
            </w:rPr>
            <w:fldChar w:fldCharType="separate"/>
          </w:r>
          <w:r>
            <w:rPr>
              <w:color w:val="auto"/>
            </w:rPr>
            <w:t>- 343 -</w:t>
          </w:r>
          <w:r>
            <w:rPr>
              <w:color w:val="auto"/>
            </w:rPr>
            <w:fldChar w:fldCharType="end"/>
          </w:r>
          <w:r>
            <w:rPr>
              <w:color w:val="auto"/>
            </w:rPr>
            <w:fldChar w:fldCharType="end"/>
          </w:r>
        </w:p>
        <w:p w14:paraId="20124082">
          <w:pPr>
            <w:pStyle w:val="19"/>
            <w:tabs>
              <w:tab w:val="right" w:leader="dot" w:pos="8925"/>
            </w:tabs>
            <w:rPr>
              <w:color w:val="auto"/>
            </w:rPr>
          </w:pPr>
          <w:r>
            <w:fldChar w:fldCharType="begin"/>
          </w:r>
          <w:r>
            <w:instrText xml:space="preserve"> HYPERLINK \l "_Toc18106" </w:instrText>
          </w:r>
          <w:r>
            <w:fldChar w:fldCharType="separate"/>
          </w:r>
          <w:r>
            <w:rPr>
              <w:rFonts w:hint="eastAsia" w:ascii="宋体" w:hAnsi="宋体" w:eastAsia="宋体" w:cs="宋体"/>
              <w:bCs/>
              <w:color w:val="auto"/>
              <w:szCs w:val="24"/>
            </w:rPr>
            <w:t>20.7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_Toc18106 \h </w:instrText>
          </w:r>
          <w:r>
            <w:rPr>
              <w:color w:val="auto"/>
            </w:rPr>
            <w:fldChar w:fldCharType="separate"/>
          </w:r>
          <w:r>
            <w:rPr>
              <w:color w:val="auto"/>
            </w:rPr>
            <w:t>- 344 -</w:t>
          </w:r>
          <w:r>
            <w:rPr>
              <w:color w:val="auto"/>
            </w:rPr>
            <w:fldChar w:fldCharType="end"/>
          </w:r>
          <w:r>
            <w:rPr>
              <w:color w:val="auto"/>
            </w:rPr>
            <w:fldChar w:fldCharType="end"/>
          </w:r>
        </w:p>
        <w:p w14:paraId="77417C7C">
          <w:pPr>
            <w:pStyle w:val="18"/>
            <w:tabs>
              <w:tab w:val="right" w:leader="dot" w:pos="8925"/>
            </w:tabs>
            <w:rPr>
              <w:color w:val="auto"/>
            </w:rPr>
          </w:pPr>
          <w:r>
            <w:fldChar w:fldCharType="begin"/>
          </w:r>
          <w:r>
            <w:instrText xml:space="preserve"> HYPERLINK \l "_Toc12295" </w:instrText>
          </w:r>
          <w:r>
            <w:fldChar w:fldCharType="separate"/>
          </w:r>
          <w:r>
            <w:rPr>
              <w:rFonts w:ascii="Times New Roman" w:hAnsi="Times New Roman" w:eastAsia="Times New Roman" w:cs="Times New Roman"/>
              <w:bCs/>
              <w:color w:val="auto"/>
              <w:szCs w:val="28"/>
            </w:rPr>
            <w:t>21</w:t>
          </w:r>
          <w:r>
            <w:rPr>
              <w:rFonts w:hint="eastAsia" w:ascii="Times New Roman" w:hAnsi="Times New Roman" w:eastAsia="Times New Roman" w:cs="Times New Roman"/>
              <w:bCs/>
              <w:color w:val="auto"/>
              <w:szCs w:val="28"/>
              <w:lang w:eastAsia="zh-CN"/>
            </w:rPr>
            <w:t xml:space="preserve"> </w:t>
          </w:r>
          <w:r>
            <w:rPr>
              <w:rFonts w:hint="eastAsia" w:ascii="宋体" w:hAnsi="宋体" w:eastAsia="宋体" w:cs="宋体"/>
              <w:bCs/>
              <w:color w:val="auto"/>
              <w:szCs w:val="28"/>
            </w:rPr>
            <w:t>钢闸门制作</w:t>
          </w:r>
          <w:r>
            <w:rPr>
              <w:color w:val="auto"/>
            </w:rPr>
            <w:tab/>
          </w:r>
          <w:r>
            <w:rPr>
              <w:color w:val="auto"/>
            </w:rPr>
            <w:fldChar w:fldCharType="begin"/>
          </w:r>
          <w:r>
            <w:rPr>
              <w:color w:val="auto"/>
            </w:rPr>
            <w:instrText xml:space="preserve"> PAGEREF _Toc12295 \h </w:instrText>
          </w:r>
          <w:r>
            <w:rPr>
              <w:color w:val="auto"/>
            </w:rPr>
            <w:fldChar w:fldCharType="separate"/>
          </w:r>
          <w:r>
            <w:rPr>
              <w:color w:val="auto"/>
            </w:rPr>
            <w:t>- 345 -</w:t>
          </w:r>
          <w:r>
            <w:rPr>
              <w:color w:val="auto"/>
            </w:rPr>
            <w:fldChar w:fldCharType="end"/>
          </w:r>
          <w:r>
            <w:rPr>
              <w:color w:val="auto"/>
            </w:rPr>
            <w:fldChar w:fldCharType="end"/>
          </w:r>
        </w:p>
        <w:p w14:paraId="2651A945">
          <w:pPr>
            <w:pStyle w:val="19"/>
            <w:tabs>
              <w:tab w:val="right" w:leader="dot" w:pos="8925"/>
            </w:tabs>
            <w:rPr>
              <w:color w:val="auto"/>
            </w:rPr>
          </w:pPr>
          <w:r>
            <w:fldChar w:fldCharType="begin"/>
          </w:r>
          <w:r>
            <w:instrText xml:space="preserve"> HYPERLINK \l "_Toc8949" </w:instrText>
          </w:r>
          <w:r>
            <w:fldChar w:fldCharType="separate"/>
          </w:r>
          <w:r>
            <w:rPr>
              <w:rFonts w:hint="eastAsia" w:ascii="宋体" w:hAnsi="宋体" w:eastAsia="宋体" w:cs="宋体"/>
              <w:bCs/>
              <w:color w:val="auto"/>
              <w:szCs w:val="24"/>
            </w:rPr>
            <w:t>21.1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_Toc8949 \h </w:instrText>
          </w:r>
          <w:r>
            <w:rPr>
              <w:color w:val="auto"/>
            </w:rPr>
            <w:fldChar w:fldCharType="separate"/>
          </w:r>
          <w:r>
            <w:rPr>
              <w:color w:val="auto"/>
            </w:rPr>
            <w:t>- 345 -</w:t>
          </w:r>
          <w:r>
            <w:rPr>
              <w:color w:val="auto"/>
            </w:rPr>
            <w:fldChar w:fldCharType="end"/>
          </w:r>
          <w:r>
            <w:rPr>
              <w:color w:val="auto"/>
            </w:rPr>
            <w:fldChar w:fldCharType="end"/>
          </w:r>
        </w:p>
        <w:p w14:paraId="25D7783C">
          <w:pPr>
            <w:pStyle w:val="19"/>
            <w:tabs>
              <w:tab w:val="right" w:leader="dot" w:pos="8925"/>
            </w:tabs>
            <w:rPr>
              <w:color w:val="auto"/>
            </w:rPr>
          </w:pPr>
          <w:r>
            <w:fldChar w:fldCharType="begin"/>
          </w:r>
          <w:r>
            <w:instrText xml:space="preserve"> HYPERLINK \l "_Toc9562" </w:instrText>
          </w:r>
          <w:r>
            <w:fldChar w:fldCharType="separate"/>
          </w:r>
          <w:r>
            <w:rPr>
              <w:rFonts w:hint="eastAsia" w:ascii="宋体" w:hAnsi="宋体" w:eastAsia="宋体" w:cs="宋体"/>
              <w:bCs/>
              <w:color w:val="auto"/>
              <w:szCs w:val="24"/>
            </w:rPr>
            <w:t>21.2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材料和外购件</w:t>
          </w:r>
          <w:r>
            <w:rPr>
              <w:color w:val="auto"/>
            </w:rPr>
            <w:tab/>
          </w:r>
          <w:r>
            <w:rPr>
              <w:color w:val="auto"/>
            </w:rPr>
            <w:fldChar w:fldCharType="begin"/>
          </w:r>
          <w:r>
            <w:rPr>
              <w:color w:val="auto"/>
            </w:rPr>
            <w:instrText xml:space="preserve"> PAGEREF _Toc9562 \h </w:instrText>
          </w:r>
          <w:r>
            <w:rPr>
              <w:color w:val="auto"/>
            </w:rPr>
            <w:fldChar w:fldCharType="separate"/>
          </w:r>
          <w:r>
            <w:rPr>
              <w:color w:val="auto"/>
            </w:rPr>
            <w:t>- 348 -</w:t>
          </w:r>
          <w:r>
            <w:rPr>
              <w:color w:val="auto"/>
            </w:rPr>
            <w:fldChar w:fldCharType="end"/>
          </w:r>
          <w:r>
            <w:rPr>
              <w:color w:val="auto"/>
            </w:rPr>
            <w:fldChar w:fldCharType="end"/>
          </w:r>
        </w:p>
        <w:p w14:paraId="562C6A2A">
          <w:pPr>
            <w:pStyle w:val="19"/>
            <w:tabs>
              <w:tab w:val="right" w:leader="dot" w:pos="8925"/>
            </w:tabs>
            <w:rPr>
              <w:color w:val="auto"/>
            </w:rPr>
          </w:pPr>
          <w:r>
            <w:fldChar w:fldCharType="begin"/>
          </w:r>
          <w:r>
            <w:instrText xml:space="preserve"> HYPERLINK \l "_Toc5523" </w:instrText>
          </w:r>
          <w:r>
            <w:fldChar w:fldCharType="separate"/>
          </w:r>
          <w:r>
            <w:rPr>
              <w:rFonts w:hint="eastAsia" w:ascii="宋体" w:hAnsi="宋体" w:eastAsia="宋体" w:cs="宋体"/>
              <w:bCs/>
              <w:color w:val="auto"/>
              <w:szCs w:val="24"/>
            </w:rPr>
            <w:t>21.3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w:t>
          </w:r>
          <w:r>
            <w:rPr>
              <w:rFonts w:hint="eastAsia" w:ascii="宋体" w:hAnsi="宋体" w:eastAsia="宋体" w:cs="宋体"/>
              <w:bCs/>
              <w:color w:val="auto"/>
              <w:szCs w:val="24"/>
              <w:lang w:eastAsia="zh-CN"/>
            </w:rPr>
            <w:t>闸门</w:t>
          </w:r>
          <w:r>
            <w:rPr>
              <w:rFonts w:hint="eastAsia" w:ascii="宋体" w:hAnsi="宋体" w:eastAsia="宋体" w:cs="宋体"/>
              <w:bCs/>
              <w:color w:val="auto"/>
              <w:szCs w:val="24"/>
            </w:rPr>
            <w:t>制作</w:t>
          </w:r>
          <w:r>
            <w:rPr>
              <w:rFonts w:hint="eastAsia" w:ascii="宋体" w:hAnsi="宋体" w:eastAsia="宋体" w:cs="宋体"/>
              <w:bCs/>
              <w:color w:val="auto"/>
              <w:szCs w:val="24"/>
              <w:lang w:eastAsia="zh-CN"/>
            </w:rPr>
            <w:t>技术条款</w:t>
          </w:r>
          <w:r>
            <w:rPr>
              <w:color w:val="auto"/>
            </w:rPr>
            <w:tab/>
          </w:r>
          <w:r>
            <w:rPr>
              <w:color w:val="auto"/>
            </w:rPr>
            <w:fldChar w:fldCharType="begin"/>
          </w:r>
          <w:r>
            <w:rPr>
              <w:color w:val="auto"/>
            </w:rPr>
            <w:instrText xml:space="preserve"> PAGEREF _Toc5523 \h </w:instrText>
          </w:r>
          <w:r>
            <w:rPr>
              <w:color w:val="auto"/>
            </w:rPr>
            <w:fldChar w:fldCharType="separate"/>
          </w:r>
          <w:r>
            <w:rPr>
              <w:color w:val="auto"/>
            </w:rPr>
            <w:t>- 349 -</w:t>
          </w:r>
          <w:r>
            <w:rPr>
              <w:color w:val="auto"/>
            </w:rPr>
            <w:fldChar w:fldCharType="end"/>
          </w:r>
          <w:r>
            <w:rPr>
              <w:color w:val="auto"/>
            </w:rPr>
            <w:fldChar w:fldCharType="end"/>
          </w:r>
        </w:p>
        <w:p w14:paraId="00F1BB55">
          <w:pPr>
            <w:pStyle w:val="19"/>
            <w:tabs>
              <w:tab w:val="right" w:leader="dot" w:pos="8925"/>
            </w:tabs>
            <w:rPr>
              <w:color w:val="auto"/>
            </w:rPr>
          </w:pPr>
          <w:r>
            <w:fldChar w:fldCharType="begin"/>
          </w:r>
          <w:r>
            <w:instrText xml:space="preserve"> HYPERLINK \l "_Toc992" </w:instrText>
          </w:r>
          <w:r>
            <w:fldChar w:fldCharType="separate"/>
          </w:r>
          <w:r>
            <w:rPr>
              <w:rFonts w:hint="eastAsia" w:ascii="宋体" w:hAnsi="宋体" w:eastAsia="宋体" w:cs="宋体"/>
              <w:bCs/>
              <w:color w:val="auto"/>
              <w:szCs w:val="24"/>
            </w:rPr>
            <w:t>21.4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钢闸门工程验收</w:t>
          </w:r>
          <w:r>
            <w:rPr>
              <w:color w:val="auto"/>
            </w:rPr>
            <w:tab/>
          </w:r>
          <w:r>
            <w:rPr>
              <w:color w:val="auto"/>
            </w:rPr>
            <w:fldChar w:fldCharType="begin"/>
          </w:r>
          <w:r>
            <w:rPr>
              <w:color w:val="auto"/>
            </w:rPr>
            <w:instrText xml:space="preserve"> PAGEREF _Toc992 \h </w:instrText>
          </w:r>
          <w:r>
            <w:rPr>
              <w:color w:val="auto"/>
            </w:rPr>
            <w:fldChar w:fldCharType="separate"/>
          </w:r>
          <w:r>
            <w:rPr>
              <w:color w:val="auto"/>
            </w:rPr>
            <w:t>- 359 -</w:t>
          </w:r>
          <w:r>
            <w:rPr>
              <w:color w:val="auto"/>
            </w:rPr>
            <w:fldChar w:fldCharType="end"/>
          </w:r>
          <w:r>
            <w:rPr>
              <w:color w:val="auto"/>
            </w:rPr>
            <w:fldChar w:fldCharType="end"/>
          </w:r>
        </w:p>
        <w:p w14:paraId="54AC58D6">
          <w:pPr>
            <w:pStyle w:val="19"/>
            <w:tabs>
              <w:tab w:val="right" w:leader="dot" w:pos="8925"/>
            </w:tabs>
            <w:rPr>
              <w:color w:val="auto"/>
            </w:rPr>
          </w:pPr>
          <w:r>
            <w:fldChar w:fldCharType="begin"/>
          </w:r>
          <w:r>
            <w:instrText xml:space="preserve"> HYPERLINK \l "_Toc19580" </w:instrText>
          </w:r>
          <w:r>
            <w:fldChar w:fldCharType="separate"/>
          </w:r>
          <w:r>
            <w:rPr>
              <w:rFonts w:hint="eastAsia" w:ascii="宋体" w:hAnsi="宋体" w:eastAsia="宋体" w:cs="宋体"/>
              <w:bCs/>
              <w:color w:val="auto"/>
              <w:szCs w:val="24"/>
            </w:rPr>
            <w:t>21.5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_Toc19580 \h </w:instrText>
          </w:r>
          <w:r>
            <w:rPr>
              <w:color w:val="auto"/>
            </w:rPr>
            <w:fldChar w:fldCharType="separate"/>
          </w:r>
          <w:r>
            <w:rPr>
              <w:color w:val="auto"/>
            </w:rPr>
            <w:t>- 360 -</w:t>
          </w:r>
          <w:r>
            <w:rPr>
              <w:color w:val="auto"/>
            </w:rPr>
            <w:fldChar w:fldCharType="end"/>
          </w:r>
          <w:r>
            <w:rPr>
              <w:color w:val="auto"/>
            </w:rPr>
            <w:fldChar w:fldCharType="end"/>
          </w:r>
        </w:p>
        <w:p w14:paraId="72D8E2FB">
          <w:pPr>
            <w:pStyle w:val="18"/>
            <w:tabs>
              <w:tab w:val="right" w:leader="dot" w:pos="8925"/>
            </w:tabs>
            <w:rPr>
              <w:color w:val="auto"/>
            </w:rPr>
          </w:pPr>
          <w:r>
            <w:fldChar w:fldCharType="begin"/>
          </w:r>
          <w:r>
            <w:instrText xml:space="preserve"> HYPERLINK \l "_Toc1741" </w:instrText>
          </w:r>
          <w:r>
            <w:fldChar w:fldCharType="separate"/>
          </w:r>
          <w:r>
            <w:rPr>
              <w:rFonts w:hint="eastAsia" w:ascii="宋体" w:hAnsi="宋体" w:eastAsia="宋体" w:cs="宋体"/>
              <w:bCs/>
              <w:color w:val="auto"/>
              <w:szCs w:val="28"/>
            </w:rPr>
            <w:t>22</w:t>
          </w:r>
          <w:r>
            <w:rPr>
              <w:rFonts w:hint="eastAsia" w:ascii="宋体" w:hAnsi="宋体" w:eastAsia="宋体" w:cs="宋体"/>
              <w:bCs/>
              <w:color w:val="auto"/>
              <w:szCs w:val="28"/>
              <w:lang w:eastAsia="zh-CN"/>
            </w:rPr>
            <w:t xml:space="preserve"> </w:t>
          </w:r>
          <w:r>
            <w:rPr>
              <w:rFonts w:hint="eastAsia" w:ascii="宋体" w:hAnsi="宋体" w:eastAsia="宋体" w:cs="宋体"/>
              <w:bCs/>
              <w:color w:val="auto"/>
              <w:szCs w:val="28"/>
            </w:rPr>
            <w:t>钢闸门及启闭机安装</w:t>
          </w:r>
          <w:r>
            <w:rPr>
              <w:color w:val="auto"/>
            </w:rPr>
            <w:tab/>
          </w:r>
          <w:r>
            <w:rPr>
              <w:color w:val="auto"/>
            </w:rPr>
            <w:fldChar w:fldCharType="begin"/>
          </w:r>
          <w:r>
            <w:rPr>
              <w:color w:val="auto"/>
            </w:rPr>
            <w:instrText xml:space="preserve"> PAGEREF _Toc1741 \h </w:instrText>
          </w:r>
          <w:r>
            <w:rPr>
              <w:color w:val="auto"/>
            </w:rPr>
            <w:fldChar w:fldCharType="separate"/>
          </w:r>
          <w:r>
            <w:rPr>
              <w:color w:val="auto"/>
            </w:rPr>
            <w:t>- 362 -</w:t>
          </w:r>
          <w:r>
            <w:rPr>
              <w:color w:val="auto"/>
            </w:rPr>
            <w:fldChar w:fldCharType="end"/>
          </w:r>
          <w:r>
            <w:rPr>
              <w:color w:val="auto"/>
            </w:rPr>
            <w:fldChar w:fldCharType="end"/>
          </w:r>
        </w:p>
        <w:p w14:paraId="0588A94E">
          <w:pPr>
            <w:pStyle w:val="19"/>
            <w:tabs>
              <w:tab w:val="right" w:leader="dot" w:pos="8925"/>
            </w:tabs>
            <w:rPr>
              <w:color w:val="auto"/>
            </w:rPr>
          </w:pPr>
          <w:r>
            <w:fldChar w:fldCharType="begin"/>
          </w:r>
          <w:r>
            <w:instrText xml:space="preserve"> HYPERLINK \l "_Toc28510" </w:instrText>
          </w:r>
          <w:r>
            <w:fldChar w:fldCharType="separate"/>
          </w:r>
          <w:r>
            <w:rPr>
              <w:rFonts w:hint="eastAsia" w:ascii="宋体" w:hAnsi="宋体" w:eastAsia="宋体" w:cs="宋体"/>
              <w:bCs/>
              <w:color w:val="auto"/>
              <w:szCs w:val="24"/>
            </w:rPr>
            <w:t>22.1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_Toc28510 \h </w:instrText>
          </w:r>
          <w:r>
            <w:rPr>
              <w:color w:val="auto"/>
            </w:rPr>
            <w:fldChar w:fldCharType="separate"/>
          </w:r>
          <w:r>
            <w:rPr>
              <w:color w:val="auto"/>
            </w:rPr>
            <w:t>- 362 -</w:t>
          </w:r>
          <w:r>
            <w:rPr>
              <w:color w:val="auto"/>
            </w:rPr>
            <w:fldChar w:fldCharType="end"/>
          </w:r>
          <w:r>
            <w:rPr>
              <w:color w:val="auto"/>
            </w:rPr>
            <w:fldChar w:fldCharType="end"/>
          </w:r>
        </w:p>
        <w:p w14:paraId="66D3BB06">
          <w:pPr>
            <w:pStyle w:val="19"/>
            <w:tabs>
              <w:tab w:val="right" w:leader="dot" w:pos="8925"/>
            </w:tabs>
            <w:rPr>
              <w:color w:val="auto"/>
            </w:rPr>
          </w:pPr>
          <w:r>
            <w:fldChar w:fldCharType="begin"/>
          </w:r>
          <w:r>
            <w:instrText xml:space="preserve"> HYPERLINK \l "_Toc13136" </w:instrText>
          </w:r>
          <w:r>
            <w:fldChar w:fldCharType="separate"/>
          </w:r>
          <w:r>
            <w:rPr>
              <w:rFonts w:hint="eastAsia" w:ascii="宋体" w:hAnsi="宋体" w:eastAsia="宋体" w:cs="宋体"/>
              <w:bCs/>
              <w:color w:val="auto"/>
              <w:szCs w:val="24"/>
            </w:rPr>
            <w:t>22.2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一般技术要求</w:t>
          </w:r>
          <w:r>
            <w:rPr>
              <w:color w:val="auto"/>
            </w:rPr>
            <w:tab/>
          </w:r>
          <w:r>
            <w:rPr>
              <w:color w:val="auto"/>
            </w:rPr>
            <w:fldChar w:fldCharType="begin"/>
          </w:r>
          <w:r>
            <w:rPr>
              <w:color w:val="auto"/>
            </w:rPr>
            <w:instrText xml:space="preserve"> PAGEREF _Toc13136 \h </w:instrText>
          </w:r>
          <w:r>
            <w:rPr>
              <w:color w:val="auto"/>
            </w:rPr>
            <w:fldChar w:fldCharType="separate"/>
          </w:r>
          <w:r>
            <w:rPr>
              <w:color w:val="auto"/>
            </w:rPr>
            <w:t>- 364 -</w:t>
          </w:r>
          <w:r>
            <w:rPr>
              <w:color w:val="auto"/>
            </w:rPr>
            <w:fldChar w:fldCharType="end"/>
          </w:r>
          <w:r>
            <w:rPr>
              <w:color w:val="auto"/>
            </w:rPr>
            <w:fldChar w:fldCharType="end"/>
          </w:r>
        </w:p>
        <w:p w14:paraId="63BABD07">
          <w:pPr>
            <w:pStyle w:val="19"/>
            <w:tabs>
              <w:tab w:val="right" w:leader="dot" w:pos="8925"/>
            </w:tabs>
            <w:rPr>
              <w:color w:val="auto"/>
            </w:rPr>
          </w:pPr>
          <w:r>
            <w:fldChar w:fldCharType="begin"/>
          </w:r>
          <w:r>
            <w:instrText xml:space="preserve"> HYPERLINK \l "_Toc25081" </w:instrText>
          </w:r>
          <w:r>
            <w:fldChar w:fldCharType="separate"/>
          </w:r>
          <w:r>
            <w:rPr>
              <w:rFonts w:hint="eastAsia" w:ascii="宋体" w:hAnsi="宋体" w:eastAsia="宋体" w:cs="宋体"/>
              <w:bCs/>
              <w:color w:val="auto"/>
              <w:szCs w:val="24"/>
            </w:rPr>
            <w:t>22.3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闸门和拦污栅的安装</w:t>
          </w:r>
          <w:r>
            <w:rPr>
              <w:color w:val="auto"/>
            </w:rPr>
            <w:tab/>
          </w:r>
          <w:r>
            <w:rPr>
              <w:color w:val="auto"/>
            </w:rPr>
            <w:fldChar w:fldCharType="begin"/>
          </w:r>
          <w:r>
            <w:rPr>
              <w:color w:val="auto"/>
            </w:rPr>
            <w:instrText xml:space="preserve"> PAGEREF _Toc25081 \h </w:instrText>
          </w:r>
          <w:r>
            <w:rPr>
              <w:color w:val="auto"/>
            </w:rPr>
            <w:fldChar w:fldCharType="separate"/>
          </w:r>
          <w:r>
            <w:rPr>
              <w:color w:val="auto"/>
            </w:rPr>
            <w:t>- 367 -</w:t>
          </w:r>
          <w:r>
            <w:rPr>
              <w:color w:val="auto"/>
            </w:rPr>
            <w:fldChar w:fldCharType="end"/>
          </w:r>
          <w:r>
            <w:rPr>
              <w:color w:val="auto"/>
            </w:rPr>
            <w:fldChar w:fldCharType="end"/>
          </w:r>
        </w:p>
        <w:p w14:paraId="0DF2AC4F">
          <w:pPr>
            <w:pStyle w:val="19"/>
            <w:tabs>
              <w:tab w:val="right" w:leader="dot" w:pos="8925"/>
            </w:tabs>
            <w:rPr>
              <w:color w:val="auto"/>
            </w:rPr>
          </w:pPr>
          <w:r>
            <w:fldChar w:fldCharType="begin"/>
          </w:r>
          <w:r>
            <w:instrText xml:space="preserve"> HYPERLINK \l "_Toc19507" </w:instrText>
          </w:r>
          <w:r>
            <w:fldChar w:fldCharType="separate"/>
          </w:r>
          <w:r>
            <w:rPr>
              <w:rFonts w:hint="eastAsia" w:ascii="宋体" w:hAnsi="宋体" w:eastAsia="宋体" w:cs="宋体"/>
              <w:bCs/>
              <w:color w:val="auto"/>
              <w:szCs w:val="24"/>
            </w:rPr>
            <w:t>22.4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启闭机安装</w:t>
          </w:r>
          <w:r>
            <w:rPr>
              <w:color w:val="auto"/>
            </w:rPr>
            <w:tab/>
          </w:r>
          <w:r>
            <w:rPr>
              <w:color w:val="auto"/>
            </w:rPr>
            <w:fldChar w:fldCharType="begin"/>
          </w:r>
          <w:r>
            <w:rPr>
              <w:color w:val="auto"/>
            </w:rPr>
            <w:instrText xml:space="preserve"> PAGEREF _Toc19507 \h </w:instrText>
          </w:r>
          <w:r>
            <w:rPr>
              <w:color w:val="auto"/>
            </w:rPr>
            <w:fldChar w:fldCharType="separate"/>
          </w:r>
          <w:r>
            <w:rPr>
              <w:color w:val="auto"/>
            </w:rPr>
            <w:t>- 369 -</w:t>
          </w:r>
          <w:r>
            <w:rPr>
              <w:color w:val="auto"/>
            </w:rPr>
            <w:fldChar w:fldCharType="end"/>
          </w:r>
          <w:r>
            <w:rPr>
              <w:color w:val="auto"/>
            </w:rPr>
            <w:fldChar w:fldCharType="end"/>
          </w:r>
        </w:p>
        <w:p w14:paraId="31C9025B">
          <w:pPr>
            <w:pStyle w:val="19"/>
            <w:tabs>
              <w:tab w:val="right" w:leader="dot" w:pos="8925"/>
            </w:tabs>
            <w:rPr>
              <w:color w:val="auto"/>
            </w:rPr>
          </w:pPr>
          <w:r>
            <w:fldChar w:fldCharType="begin"/>
          </w:r>
          <w:r>
            <w:instrText xml:space="preserve"> HYPERLINK \l "_Toc14801" </w:instrText>
          </w:r>
          <w:r>
            <w:fldChar w:fldCharType="separate"/>
          </w:r>
          <w:r>
            <w:rPr>
              <w:rFonts w:hint="eastAsia" w:ascii="宋体" w:hAnsi="宋体" w:eastAsia="宋体" w:cs="宋体"/>
              <w:bCs/>
              <w:color w:val="auto"/>
              <w:szCs w:val="24"/>
            </w:rPr>
            <w:t>22.5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质量检查和验收</w:t>
          </w:r>
          <w:r>
            <w:rPr>
              <w:color w:val="auto"/>
            </w:rPr>
            <w:tab/>
          </w:r>
          <w:r>
            <w:rPr>
              <w:color w:val="auto"/>
            </w:rPr>
            <w:fldChar w:fldCharType="begin"/>
          </w:r>
          <w:r>
            <w:rPr>
              <w:color w:val="auto"/>
            </w:rPr>
            <w:instrText xml:space="preserve"> PAGEREF _Toc14801 \h </w:instrText>
          </w:r>
          <w:r>
            <w:rPr>
              <w:color w:val="auto"/>
            </w:rPr>
            <w:fldChar w:fldCharType="separate"/>
          </w:r>
          <w:r>
            <w:rPr>
              <w:color w:val="auto"/>
            </w:rPr>
            <w:t>- 371 -</w:t>
          </w:r>
          <w:r>
            <w:rPr>
              <w:color w:val="auto"/>
            </w:rPr>
            <w:fldChar w:fldCharType="end"/>
          </w:r>
          <w:r>
            <w:rPr>
              <w:color w:val="auto"/>
            </w:rPr>
            <w:fldChar w:fldCharType="end"/>
          </w:r>
        </w:p>
        <w:p w14:paraId="076C249E">
          <w:pPr>
            <w:pStyle w:val="19"/>
            <w:tabs>
              <w:tab w:val="right" w:leader="dot" w:pos="8925"/>
            </w:tabs>
            <w:rPr>
              <w:color w:val="auto"/>
            </w:rPr>
          </w:pPr>
          <w:r>
            <w:fldChar w:fldCharType="begin"/>
          </w:r>
          <w:r>
            <w:instrText xml:space="preserve"> HYPERLINK \l "_Toc32581" </w:instrText>
          </w:r>
          <w:r>
            <w:fldChar w:fldCharType="separate"/>
          </w:r>
          <w:r>
            <w:rPr>
              <w:rFonts w:hint="eastAsia" w:ascii="宋体" w:hAnsi="宋体" w:eastAsia="宋体" w:cs="宋体"/>
              <w:bCs/>
              <w:color w:val="auto"/>
              <w:szCs w:val="24"/>
            </w:rPr>
            <w:t>22.6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_Toc32581 \h </w:instrText>
          </w:r>
          <w:r>
            <w:rPr>
              <w:color w:val="auto"/>
            </w:rPr>
            <w:fldChar w:fldCharType="separate"/>
          </w:r>
          <w:r>
            <w:rPr>
              <w:color w:val="auto"/>
            </w:rPr>
            <w:t>- 372 -</w:t>
          </w:r>
          <w:r>
            <w:rPr>
              <w:color w:val="auto"/>
            </w:rPr>
            <w:fldChar w:fldCharType="end"/>
          </w:r>
          <w:r>
            <w:rPr>
              <w:color w:val="auto"/>
            </w:rPr>
            <w:fldChar w:fldCharType="end"/>
          </w:r>
        </w:p>
        <w:p w14:paraId="5AC586C8">
          <w:pPr>
            <w:pStyle w:val="18"/>
            <w:tabs>
              <w:tab w:val="right" w:leader="dot" w:pos="8925"/>
            </w:tabs>
            <w:rPr>
              <w:color w:val="auto"/>
            </w:rPr>
          </w:pPr>
          <w:r>
            <w:fldChar w:fldCharType="begin"/>
          </w:r>
          <w:r>
            <w:instrText xml:space="preserve"> HYPERLINK \l "_Toc2668" </w:instrText>
          </w:r>
          <w:r>
            <w:fldChar w:fldCharType="separate"/>
          </w:r>
          <w:r>
            <w:rPr>
              <w:rFonts w:hint="eastAsia" w:ascii="宋体" w:hAnsi="宋体" w:eastAsia="宋体" w:cs="宋体"/>
              <w:bCs/>
              <w:color w:val="auto"/>
              <w:szCs w:val="28"/>
            </w:rPr>
            <w:t>23</w:t>
          </w:r>
          <w:r>
            <w:rPr>
              <w:rFonts w:hint="eastAsia" w:ascii="宋体" w:hAnsi="宋体" w:eastAsia="宋体" w:cs="宋体"/>
              <w:bCs/>
              <w:color w:val="auto"/>
              <w:szCs w:val="28"/>
              <w:lang w:eastAsia="zh-CN"/>
            </w:rPr>
            <w:t xml:space="preserve"> </w:t>
          </w:r>
          <w:r>
            <w:rPr>
              <w:rFonts w:hint="eastAsia" w:ascii="宋体" w:hAnsi="宋体" w:eastAsia="宋体" w:cs="宋体"/>
              <w:bCs/>
              <w:color w:val="auto"/>
              <w:szCs w:val="28"/>
            </w:rPr>
            <w:t>预埋件埋设</w:t>
          </w:r>
          <w:r>
            <w:rPr>
              <w:color w:val="auto"/>
            </w:rPr>
            <w:tab/>
          </w:r>
          <w:r>
            <w:rPr>
              <w:color w:val="auto"/>
            </w:rPr>
            <w:fldChar w:fldCharType="begin"/>
          </w:r>
          <w:r>
            <w:rPr>
              <w:color w:val="auto"/>
            </w:rPr>
            <w:instrText xml:space="preserve"> PAGEREF _Toc2668 \h </w:instrText>
          </w:r>
          <w:r>
            <w:rPr>
              <w:color w:val="auto"/>
            </w:rPr>
            <w:fldChar w:fldCharType="separate"/>
          </w:r>
          <w:r>
            <w:rPr>
              <w:color w:val="auto"/>
            </w:rPr>
            <w:t>- 374 -</w:t>
          </w:r>
          <w:r>
            <w:rPr>
              <w:color w:val="auto"/>
            </w:rPr>
            <w:fldChar w:fldCharType="end"/>
          </w:r>
          <w:r>
            <w:rPr>
              <w:color w:val="auto"/>
            </w:rPr>
            <w:fldChar w:fldCharType="end"/>
          </w:r>
        </w:p>
        <w:p w14:paraId="66D08823">
          <w:pPr>
            <w:pStyle w:val="19"/>
            <w:tabs>
              <w:tab w:val="right" w:leader="dot" w:pos="8925"/>
            </w:tabs>
            <w:rPr>
              <w:color w:val="auto"/>
            </w:rPr>
          </w:pPr>
          <w:r>
            <w:fldChar w:fldCharType="begin"/>
          </w:r>
          <w:r>
            <w:instrText xml:space="preserve"> HYPERLINK \l "_Toc798" </w:instrText>
          </w:r>
          <w:r>
            <w:fldChar w:fldCharType="separate"/>
          </w:r>
          <w:r>
            <w:rPr>
              <w:rFonts w:hint="eastAsia" w:ascii="宋体" w:hAnsi="宋体" w:eastAsia="宋体" w:cs="宋体"/>
              <w:bCs/>
              <w:color w:val="auto"/>
              <w:szCs w:val="24"/>
            </w:rPr>
            <w:t>23.1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_Toc798 \h </w:instrText>
          </w:r>
          <w:r>
            <w:rPr>
              <w:color w:val="auto"/>
            </w:rPr>
            <w:fldChar w:fldCharType="separate"/>
          </w:r>
          <w:r>
            <w:rPr>
              <w:color w:val="auto"/>
            </w:rPr>
            <w:t>- 374 -</w:t>
          </w:r>
          <w:r>
            <w:rPr>
              <w:color w:val="auto"/>
            </w:rPr>
            <w:fldChar w:fldCharType="end"/>
          </w:r>
          <w:r>
            <w:rPr>
              <w:color w:val="auto"/>
            </w:rPr>
            <w:fldChar w:fldCharType="end"/>
          </w:r>
        </w:p>
        <w:p w14:paraId="69038C9D">
          <w:pPr>
            <w:pStyle w:val="19"/>
            <w:tabs>
              <w:tab w:val="right" w:leader="dot" w:pos="8925"/>
            </w:tabs>
            <w:rPr>
              <w:color w:val="auto"/>
            </w:rPr>
          </w:pPr>
          <w:r>
            <w:fldChar w:fldCharType="begin"/>
          </w:r>
          <w:r>
            <w:instrText xml:space="preserve"> HYPERLINK \l "_Toc1158" </w:instrText>
          </w:r>
          <w:r>
            <w:fldChar w:fldCharType="separate"/>
          </w:r>
          <w:r>
            <w:rPr>
              <w:rFonts w:hint="eastAsia" w:ascii="宋体" w:hAnsi="宋体" w:eastAsia="宋体" w:cs="宋体"/>
              <w:bCs/>
              <w:color w:val="auto"/>
              <w:szCs w:val="24"/>
            </w:rPr>
            <w:t>23.2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预埋件埋设的一般技术要求</w:t>
          </w:r>
          <w:r>
            <w:rPr>
              <w:color w:val="auto"/>
            </w:rPr>
            <w:tab/>
          </w:r>
          <w:r>
            <w:rPr>
              <w:color w:val="auto"/>
            </w:rPr>
            <w:fldChar w:fldCharType="begin"/>
          </w:r>
          <w:r>
            <w:rPr>
              <w:color w:val="auto"/>
            </w:rPr>
            <w:instrText xml:space="preserve"> PAGEREF _Toc1158 \h </w:instrText>
          </w:r>
          <w:r>
            <w:rPr>
              <w:color w:val="auto"/>
            </w:rPr>
            <w:fldChar w:fldCharType="separate"/>
          </w:r>
          <w:r>
            <w:rPr>
              <w:color w:val="auto"/>
            </w:rPr>
            <w:t>- 375 -</w:t>
          </w:r>
          <w:r>
            <w:rPr>
              <w:color w:val="auto"/>
            </w:rPr>
            <w:fldChar w:fldCharType="end"/>
          </w:r>
          <w:r>
            <w:rPr>
              <w:color w:val="auto"/>
            </w:rPr>
            <w:fldChar w:fldCharType="end"/>
          </w:r>
        </w:p>
        <w:p w14:paraId="48366470">
          <w:pPr>
            <w:pStyle w:val="19"/>
            <w:tabs>
              <w:tab w:val="right" w:leader="dot" w:pos="8925"/>
            </w:tabs>
            <w:rPr>
              <w:color w:val="auto"/>
            </w:rPr>
          </w:pPr>
          <w:r>
            <w:fldChar w:fldCharType="begin"/>
          </w:r>
          <w:r>
            <w:instrText xml:space="preserve"> HYPERLINK \l "_Toc20482" </w:instrText>
          </w:r>
          <w:r>
            <w:fldChar w:fldCharType="separate"/>
          </w:r>
          <w:r>
            <w:rPr>
              <w:rFonts w:hint="eastAsia" w:ascii="宋体" w:hAnsi="宋体" w:eastAsia="宋体" w:cs="宋体"/>
              <w:bCs/>
              <w:color w:val="auto"/>
              <w:szCs w:val="24"/>
            </w:rPr>
            <w:t>23.3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预埋管道的安装和埋设</w:t>
          </w:r>
          <w:r>
            <w:rPr>
              <w:color w:val="auto"/>
            </w:rPr>
            <w:tab/>
          </w:r>
          <w:r>
            <w:rPr>
              <w:color w:val="auto"/>
            </w:rPr>
            <w:fldChar w:fldCharType="begin"/>
          </w:r>
          <w:r>
            <w:rPr>
              <w:color w:val="auto"/>
            </w:rPr>
            <w:instrText xml:space="preserve"> PAGEREF _Toc20482 \h </w:instrText>
          </w:r>
          <w:r>
            <w:rPr>
              <w:color w:val="auto"/>
            </w:rPr>
            <w:fldChar w:fldCharType="separate"/>
          </w:r>
          <w:r>
            <w:rPr>
              <w:color w:val="auto"/>
            </w:rPr>
            <w:t>- 375 -</w:t>
          </w:r>
          <w:r>
            <w:rPr>
              <w:color w:val="auto"/>
            </w:rPr>
            <w:fldChar w:fldCharType="end"/>
          </w:r>
          <w:r>
            <w:rPr>
              <w:color w:val="auto"/>
            </w:rPr>
            <w:fldChar w:fldCharType="end"/>
          </w:r>
        </w:p>
        <w:p w14:paraId="69B7EAC3">
          <w:pPr>
            <w:pStyle w:val="19"/>
            <w:tabs>
              <w:tab w:val="right" w:leader="dot" w:pos="8925"/>
            </w:tabs>
            <w:rPr>
              <w:color w:val="auto"/>
            </w:rPr>
          </w:pPr>
          <w:r>
            <w:fldChar w:fldCharType="begin"/>
          </w:r>
          <w:r>
            <w:instrText xml:space="preserve"> HYPERLINK \l "_Toc2019" </w:instrText>
          </w:r>
          <w:r>
            <w:fldChar w:fldCharType="separate"/>
          </w:r>
          <w:r>
            <w:rPr>
              <w:rFonts w:hint="eastAsia" w:ascii="宋体" w:hAnsi="宋体" w:eastAsia="宋体" w:cs="宋体"/>
              <w:bCs/>
              <w:color w:val="auto"/>
              <w:szCs w:val="24"/>
            </w:rPr>
            <w:t>23.4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固定件埋设</w:t>
          </w:r>
          <w:r>
            <w:rPr>
              <w:color w:val="auto"/>
            </w:rPr>
            <w:tab/>
          </w:r>
          <w:r>
            <w:rPr>
              <w:color w:val="auto"/>
            </w:rPr>
            <w:fldChar w:fldCharType="begin"/>
          </w:r>
          <w:r>
            <w:rPr>
              <w:color w:val="auto"/>
            </w:rPr>
            <w:instrText xml:space="preserve"> PAGEREF _Toc2019 \h </w:instrText>
          </w:r>
          <w:r>
            <w:rPr>
              <w:color w:val="auto"/>
            </w:rPr>
            <w:fldChar w:fldCharType="separate"/>
          </w:r>
          <w:r>
            <w:rPr>
              <w:color w:val="auto"/>
            </w:rPr>
            <w:t>- 379 -</w:t>
          </w:r>
          <w:r>
            <w:rPr>
              <w:color w:val="auto"/>
            </w:rPr>
            <w:fldChar w:fldCharType="end"/>
          </w:r>
          <w:r>
            <w:rPr>
              <w:color w:val="auto"/>
            </w:rPr>
            <w:fldChar w:fldCharType="end"/>
          </w:r>
        </w:p>
        <w:p w14:paraId="4FB61F05">
          <w:pPr>
            <w:pStyle w:val="19"/>
            <w:tabs>
              <w:tab w:val="right" w:leader="dot" w:pos="8925"/>
            </w:tabs>
            <w:rPr>
              <w:color w:val="auto"/>
            </w:rPr>
          </w:pPr>
          <w:r>
            <w:fldChar w:fldCharType="begin"/>
          </w:r>
          <w:r>
            <w:instrText xml:space="preserve"> HYPERLINK \l "_Toc13555" </w:instrText>
          </w:r>
          <w:r>
            <w:fldChar w:fldCharType="separate"/>
          </w:r>
          <w:r>
            <w:rPr>
              <w:rFonts w:hint="eastAsia" w:ascii="宋体" w:hAnsi="宋体" w:eastAsia="宋体" w:cs="宋体"/>
              <w:bCs/>
              <w:color w:val="auto"/>
              <w:szCs w:val="24"/>
            </w:rPr>
            <w:t>23.5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接地装置埋设</w:t>
          </w:r>
          <w:r>
            <w:rPr>
              <w:color w:val="auto"/>
            </w:rPr>
            <w:tab/>
          </w:r>
          <w:r>
            <w:rPr>
              <w:color w:val="auto"/>
            </w:rPr>
            <w:fldChar w:fldCharType="begin"/>
          </w:r>
          <w:r>
            <w:rPr>
              <w:color w:val="auto"/>
            </w:rPr>
            <w:instrText xml:space="preserve"> PAGEREF _Toc13555 \h </w:instrText>
          </w:r>
          <w:r>
            <w:rPr>
              <w:color w:val="auto"/>
            </w:rPr>
            <w:fldChar w:fldCharType="separate"/>
          </w:r>
          <w:r>
            <w:rPr>
              <w:color w:val="auto"/>
            </w:rPr>
            <w:t>- 379 -</w:t>
          </w:r>
          <w:r>
            <w:rPr>
              <w:color w:val="auto"/>
            </w:rPr>
            <w:fldChar w:fldCharType="end"/>
          </w:r>
          <w:r>
            <w:rPr>
              <w:color w:val="auto"/>
            </w:rPr>
            <w:fldChar w:fldCharType="end"/>
          </w:r>
        </w:p>
        <w:p w14:paraId="18D0D70A">
          <w:pPr>
            <w:pStyle w:val="19"/>
            <w:tabs>
              <w:tab w:val="right" w:leader="dot" w:pos="8925"/>
            </w:tabs>
            <w:rPr>
              <w:color w:val="auto"/>
            </w:rPr>
          </w:pPr>
          <w:r>
            <w:fldChar w:fldCharType="begin"/>
          </w:r>
          <w:r>
            <w:instrText xml:space="preserve"> HYPERLINK \l "_Toc1185" </w:instrText>
          </w:r>
          <w:r>
            <w:fldChar w:fldCharType="separate"/>
          </w:r>
          <w:r>
            <w:rPr>
              <w:rFonts w:hint="eastAsia" w:ascii="宋体" w:hAnsi="宋体" w:eastAsia="宋体" w:cs="宋体"/>
              <w:bCs/>
              <w:color w:val="auto"/>
              <w:szCs w:val="24"/>
            </w:rPr>
            <w:t>23.6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预埋件埋设的验收</w:t>
          </w:r>
          <w:r>
            <w:rPr>
              <w:color w:val="auto"/>
            </w:rPr>
            <w:tab/>
          </w:r>
          <w:r>
            <w:rPr>
              <w:color w:val="auto"/>
            </w:rPr>
            <w:fldChar w:fldCharType="begin"/>
          </w:r>
          <w:r>
            <w:rPr>
              <w:color w:val="auto"/>
            </w:rPr>
            <w:instrText xml:space="preserve"> PAGEREF _Toc1185 \h </w:instrText>
          </w:r>
          <w:r>
            <w:rPr>
              <w:color w:val="auto"/>
            </w:rPr>
            <w:fldChar w:fldCharType="separate"/>
          </w:r>
          <w:r>
            <w:rPr>
              <w:color w:val="auto"/>
            </w:rPr>
            <w:t>- 380 -</w:t>
          </w:r>
          <w:r>
            <w:rPr>
              <w:color w:val="auto"/>
            </w:rPr>
            <w:fldChar w:fldCharType="end"/>
          </w:r>
          <w:r>
            <w:rPr>
              <w:color w:val="auto"/>
            </w:rPr>
            <w:fldChar w:fldCharType="end"/>
          </w:r>
        </w:p>
        <w:p w14:paraId="1ED65468">
          <w:pPr>
            <w:pStyle w:val="19"/>
            <w:tabs>
              <w:tab w:val="right" w:leader="dot" w:pos="8925"/>
            </w:tabs>
            <w:rPr>
              <w:color w:val="auto"/>
            </w:rPr>
          </w:pPr>
          <w:r>
            <w:fldChar w:fldCharType="begin"/>
          </w:r>
          <w:r>
            <w:instrText xml:space="preserve"> HYPERLINK \l "_Toc21035" </w:instrText>
          </w:r>
          <w:r>
            <w:fldChar w:fldCharType="separate"/>
          </w:r>
          <w:r>
            <w:rPr>
              <w:rFonts w:hint="eastAsia" w:ascii="宋体" w:hAnsi="宋体" w:eastAsia="宋体" w:cs="宋体"/>
              <w:bCs/>
              <w:color w:val="auto"/>
              <w:szCs w:val="24"/>
            </w:rPr>
            <w:t>23.7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_Toc21035 \h </w:instrText>
          </w:r>
          <w:r>
            <w:rPr>
              <w:color w:val="auto"/>
            </w:rPr>
            <w:fldChar w:fldCharType="separate"/>
          </w:r>
          <w:r>
            <w:rPr>
              <w:color w:val="auto"/>
            </w:rPr>
            <w:t>- 380 -</w:t>
          </w:r>
          <w:r>
            <w:rPr>
              <w:color w:val="auto"/>
            </w:rPr>
            <w:fldChar w:fldCharType="end"/>
          </w:r>
          <w:r>
            <w:rPr>
              <w:color w:val="auto"/>
            </w:rPr>
            <w:fldChar w:fldCharType="end"/>
          </w:r>
        </w:p>
        <w:p w14:paraId="1F70CEFC">
          <w:pPr>
            <w:pStyle w:val="18"/>
            <w:tabs>
              <w:tab w:val="right" w:leader="dot" w:pos="8925"/>
            </w:tabs>
            <w:rPr>
              <w:color w:val="auto"/>
            </w:rPr>
          </w:pPr>
          <w:r>
            <w:fldChar w:fldCharType="begin"/>
          </w:r>
          <w:r>
            <w:instrText xml:space="preserve"> HYPERLINK \l "_Toc12351" </w:instrText>
          </w:r>
          <w:r>
            <w:fldChar w:fldCharType="separate"/>
          </w:r>
          <w:r>
            <w:rPr>
              <w:rFonts w:hint="eastAsia" w:ascii="宋体" w:hAnsi="宋体" w:eastAsia="宋体" w:cs="宋体"/>
              <w:bCs/>
              <w:color w:val="auto"/>
              <w:szCs w:val="28"/>
            </w:rPr>
            <w:t>24</w:t>
          </w:r>
          <w:r>
            <w:rPr>
              <w:rFonts w:hint="eastAsia" w:ascii="宋体" w:hAnsi="宋体" w:eastAsia="宋体" w:cs="宋体"/>
              <w:bCs/>
              <w:color w:val="auto"/>
              <w:szCs w:val="28"/>
              <w:lang w:eastAsia="zh-CN"/>
            </w:rPr>
            <w:t xml:space="preserve"> </w:t>
          </w:r>
          <w:r>
            <w:rPr>
              <w:rFonts w:hint="eastAsia" w:ascii="宋体" w:hAnsi="宋体" w:eastAsia="宋体" w:cs="宋体"/>
              <w:bCs/>
              <w:color w:val="auto"/>
              <w:szCs w:val="28"/>
            </w:rPr>
            <w:t>机电设备安装</w:t>
          </w:r>
          <w:r>
            <w:rPr>
              <w:color w:val="auto"/>
            </w:rPr>
            <w:tab/>
          </w:r>
          <w:r>
            <w:rPr>
              <w:color w:val="auto"/>
            </w:rPr>
            <w:fldChar w:fldCharType="begin"/>
          </w:r>
          <w:r>
            <w:rPr>
              <w:color w:val="auto"/>
            </w:rPr>
            <w:instrText xml:space="preserve"> PAGEREF _Toc12351 \h </w:instrText>
          </w:r>
          <w:r>
            <w:rPr>
              <w:color w:val="auto"/>
            </w:rPr>
            <w:fldChar w:fldCharType="separate"/>
          </w:r>
          <w:r>
            <w:rPr>
              <w:color w:val="auto"/>
            </w:rPr>
            <w:t>- 382 -</w:t>
          </w:r>
          <w:r>
            <w:rPr>
              <w:color w:val="auto"/>
            </w:rPr>
            <w:fldChar w:fldCharType="end"/>
          </w:r>
          <w:r>
            <w:rPr>
              <w:color w:val="auto"/>
            </w:rPr>
            <w:fldChar w:fldCharType="end"/>
          </w:r>
        </w:p>
        <w:p w14:paraId="45C14BAD">
          <w:pPr>
            <w:pStyle w:val="19"/>
            <w:tabs>
              <w:tab w:val="right" w:leader="dot" w:pos="8925"/>
            </w:tabs>
            <w:rPr>
              <w:color w:val="auto"/>
            </w:rPr>
          </w:pPr>
          <w:r>
            <w:fldChar w:fldCharType="begin"/>
          </w:r>
          <w:r>
            <w:instrText xml:space="preserve"> HYPERLINK \l "_Toc3226" </w:instrText>
          </w:r>
          <w:r>
            <w:fldChar w:fldCharType="separate"/>
          </w:r>
          <w:r>
            <w:rPr>
              <w:rFonts w:hint="eastAsia" w:ascii="宋体" w:hAnsi="宋体" w:eastAsia="宋体" w:cs="宋体"/>
              <w:bCs/>
              <w:color w:val="auto"/>
              <w:szCs w:val="24"/>
            </w:rPr>
            <w:t>24.1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_Toc3226 \h </w:instrText>
          </w:r>
          <w:r>
            <w:rPr>
              <w:color w:val="auto"/>
            </w:rPr>
            <w:fldChar w:fldCharType="separate"/>
          </w:r>
          <w:r>
            <w:rPr>
              <w:color w:val="auto"/>
            </w:rPr>
            <w:t>- 382 -</w:t>
          </w:r>
          <w:r>
            <w:rPr>
              <w:color w:val="auto"/>
            </w:rPr>
            <w:fldChar w:fldCharType="end"/>
          </w:r>
          <w:r>
            <w:rPr>
              <w:color w:val="auto"/>
            </w:rPr>
            <w:fldChar w:fldCharType="end"/>
          </w:r>
        </w:p>
        <w:p w14:paraId="2380F32E">
          <w:pPr>
            <w:pStyle w:val="19"/>
            <w:tabs>
              <w:tab w:val="right" w:leader="dot" w:pos="8925"/>
            </w:tabs>
            <w:rPr>
              <w:color w:val="auto"/>
            </w:rPr>
          </w:pPr>
          <w:r>
            <w:fldChar w:fldCharType="begin"/>
          </w:r>
          <w:r>
            <w:instrText xml:space="preserve"> HYPERLINK \l "_Toc29618" </w:instrText>
          </w:r>
          <w:r>
            <w:fldChar w:fldCharType="separate"/>
          </w:r>
          <w:r>
            <w:rPr>
              <w:rFonts w:hint="eastAsia" w:ascii="宋体" w:hAnsi="宋体" w:eastAsia="宋体" w:cs="宋体"/>
              <w:bCs/>
              <w:color w:val="auto"/>
              <w:szCs w:val="24"/>
            </w:rPr>
            <w:t>24.2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一般技术要求</w:t>
          </w:r>
          <w:r>
            <w:rPr>
              <w:color w:val="auto"/>
            </w:rPr>
            <w:tab/>
          </w:r>
          <w:r>
            <w:rPr>
              <w:color w:val="auto"/>
            </w:rPr>
            <w:fldChar w:fldCharType="begin"/>
          </w:r>
          <w:r>
            <w:rPr>
              <w:color w:val="auto"/>
            </w:rPr>
            <w:instrText xml:space="preserve"> PAGEREF _Toc29618 \h </w:instrText>
          </w:r>
          <w:r>
            <w:rPr>
              <w:color w:val="auto"/>
            </w:rPr>
            <w:fldChar w:fldCharType="separate"/>
          </w:r>
          <w:r>
            <w:rPr>
              <w:color w:val="auto"/>
            </w:rPr>
            <w:t>- 389 -</w:t>
          </w:r>
          <w:r>
            <w:rPr>
              <w:color w:val="auto"/>
            </w:rPr>
            <w:fldChar w:fldCharType="end"/>
          </w:r>
          <w:r>
            <w:rPr>
              <w:color w:val="auto"/>
            </w:rPr>
            <w:fldChar w:fldCharType="end"/>
          </w:r>
        </w:p>
        <w:p w14:paraId="24FE028E">
          <w:pPr>
            <w:pStyle w:val="19"/>
            <w:tabs>
              <w:tab w:val="right" w:leader="dot" w:pos="8925"/>
            </w:tabs>
            <w:rPr>
              <w:color w:val="auto"/>
            </w:rPr>
          </w:pPr>
          <w:r>
            <w:fldChar w:fldCharType="begin"/>
          </w:r>
          <w:r>
            <w:instrText xml:space="preserve"> HYPERLINK \l "_Toc27164" </w:instrText>
          </w:r>
          <w:r>
            <w:fldChar w:fldCharType="separate"/>
          </w:r>
          <w:r>
            <w:rPr>
              <w:rFonts w:hint="eastAsia" w:ascii="宋体" w:hAnsi="宋体" w:eastAsia="宋体" w:cs="宋体"/>
              <w:bCs/>
              <w:color w:val="auto"/>
              <w:szCs w:val="24"/>
            </w:rPr>
            <w:t>24.4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水力机械辅助设备系统安装</w:t>
          </w:r>
          <w:r>
            <w:rPr>
              <w:color w:val="auto"/>
            </w:rPr>
            <w:tab/>
          </w:r>
          <w:r>
            <w:rPr>
              <w:color w:val="auto"/>
            </w:rPr>
            <w:fldChar w:fldCharType="begin"/>
          </w:r>
          <w:r>
            <w:rPr>
              <w:color w:val="auto"/>
            </w:rPr>
            <w:instrText xml:space="preserve"> PAGEREF _Toc27164 \h </w:instrText>
          </w:r>
          <w:r>
            <w:rPr>
              <w:color w:val="auto"/>
            </w:rPr>
            <w:fldChar w:fldCharType="separate"/>
          </w:r>
          <w:r>
            <w:rPr>
              <w:color w:val="auto"/>
            </w:rPr>
            <w:t>- 396 -</w:t>
          </w:r>
          <w:r>
            <w:rPr>
              <w:color w:val="auto"/>
            </w:rPr>
            <w:fldChar w:fldCharType="end"/>
          </w:r>
          <w:r>
            <w:rPr>
              <w:color w:val="auto"/>
            </w:rPr>
            <w:fldChar w:fldCharType="end"/>
          </w:r>
        </w:p>
        <w:p w14:paraId="3FB4C911">
          <w:pPr>
            <w:pStyle w:val="19"/>
            <w:tabs>
              <w:tab w:val="right" w:leader="dot" w:pos="8925"/>
            </w:tabs>
            <w:rPr>
              <w:color w:val="auto"/>
            </w:rPr>
          </w:pPr>
          <w:r>
            <w:fldChar w:fldCharType="begin"/>
          </w:r>
          <w:r>
            <w:instrText xml:space="preserve"> HYPERLINK \l "_Toc25402" </w:instrText>
          </w:r>
          <w:r>
            <w:fldChar w:fldCharType="separate"/>
          </w:r>
          <w:r>
            <w:rPr>
              <w:rFonts w:hint="eastAsia" w:ascii="宋体" w:hAnsi="宋体" w:eastAsia="宋体" w:cs="宋体"/>
              <w:bCs/>
              <w:color w:val="auto"/>
              <w:szCs w:val="24"/>
            </w:rPr>
            <w:t>24.5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电动机电压配电设备安装</w:t>
          </w:r>
          <w:r>
            <w:rPr>
              <w:color w:val="auto"/>
            </w:rPr>
            <w:tab/>
          </w:r>
          <w:r>
            <w:rPr>
              <w:color w:val="auto"/>
            </w:rPr>
            <w:fldChar w:fldCharType="begin"/>
          </w:r>
          <w:r>
            <w:rPr>
              <w:color w:val="auto"/>
            </w:rPr>
            <w:instrText xml:space="preserve"> PAGEREF _Toc25402 \h </w:instrText>
          </w:r>
          <w:r>
            <w:rPr>
              <w:color w:val="auto"/>
            </w:rPr>
            <w:fldChar w:fldCharType="separate"/>
          </w:r>
          <w:r>
            <w:rPr>
              <w:color w:val="auto"/>
            </w:rPr>
            <w:t>- 397 -</w:t>
          </w:r>
          <w:r>
            <w:rPr>
              <w:color w:val="auto"/>
            </w:rPr>
            <w:fldChar w:fldCharType="end"/>
          </w:r>
          <w:r>
            <w:rPr>
              <w:color w:val="auto"/>
            </w:rPr>
            <w:fldChar w:fldCharType="end"/>
          </w:r>
        </w:p>
        <w:p w14:paraId="159275F5">
          <w:pPr>
            <w:pStyle w:val="19"/>
            <w:tabs>
              <w:tab w:val="right" w:leader="dot" w:pos="8925"/>
            </w:tabs>
            <w:rPr>
              <w:color w:val="auto"/>
            </w:rPr>
          </w:pPr>
          <w:r>
            <w:fldChar w:fldCharType="begin"/>
          </w:r>
          <w:r>
            <w:instrText xml:space="preserve"> HYPERLINK \l "_Toc1146" </w:instrText>
          </w:r>
          <w:r>
            <w:fldChar w:fldCharType="separate"/>
          </w:r>
          <w:r>
            <w:rPr>
              <w:rFonts w:hint="eastAsia" w:ascii="宋体" w:hAnsi="宋体" w:eastAsia="宋体" w:cs="宋体"/>
              <w:bCs/>
              <w:color w:val="auto"/>
              <w:szCs w:val="24"/>
            </w:rPr>
            <w:t>24.6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电力变压器</w:t>
          </w:r>
          <w:r>
            <w:rPr>
              <w:rFonts w:hint="eastAsia" w:ascii="宋体" w:hAnsi="宋体" w:eastAsia="宋体" w:cs="宋体"/>
              <w:bCs/>
              <w:color w:val="auto"/>
              <w:szCs w:val="24"/>
              <w:lang w:eastAsia="zh-CN"/>
            </w:rPr>
            <w:t>及其附属设备</w:t>
          </w:r>
          <w:r>
            <w:rPr>
              <w:rFonts w:hint="eastAsia" w:ascii="宋体" w:hAnsi="宋体" w:eastAsia="宋体" w:cs="宋体"/>
              <w:bCs/>
              <w:color w:val="auto"/>
              <w:szCs w:val="24"/>
            </w:rPr>
            <w:t>安装</w:t>
          </w:r>
          <w:r>
            <w:rPr>
              <w:color w:val="auto"/>
            </w:rPr>
            <w:tab/>
          </w:r>
          <w:r>
            <w:rPr>
              <w:color w:val="auto"/>
            </w:rPr>
            <w:fldChar w:fldCharType="begin"/>
          </w:r>
          <w:r>
            <w:rPr>
              <w:color w:val="auto"/>
            </w:rPr>
            <w:instrText xml:space="preserve"> PAGEREF _Toc1146 \h </w:instrText>
          </w:r>
          <w:r>
            <w:rPr>
              <w:color w:val="auto"/>
            </w:rPr>
            <w:fldChar w:fldCharType="separate"/>
          </w:r>
          <w:r>
            <w:rPr>
              <w:color w:val="auto"/>
            </w:rPr>
            <w:t>- 398 -</w:t>
          </w:r>
          <w:r>
            <w:rPr>
              <w:color w:val="auto"/>
            </w:rPr>
            <w:fldChar w:fldCharType="end"/>
          </w:r>
          <w:r>
            <w:rPr>
              <w:color w:val="auto"/>
            </w:rPr>
            <w:fldChar w:fldCharType="end"/>
          </w:r>
        </w:p>
        <w:p w14:paraId="2EC3F73F">
          <w:pPr>
            <w:pStyle w:val="19"/>
            <w:tabs>
              <w:tab w:val="right" w:leader="dot" w:pos="8925"/>
            </w:tabs>
            <w:rPr>
              <w:color w:val="auto"/>
            </w:rPr>
          </w:pPr>
          <w:r>
            <w:fldChar w:fldCharType="begin"/>
          </w:r>
          <w:r>
            <w:instrText xml:space="preserve"> HYPERLINK \l "_Toc21981" </w:instrText>
          </w:r>
          <w:r>
            <w:fldChar w:fldCharType="separate"/>
          </w:r>
          <w:r>
            <w:rPr>
              <w:rFonts w:hint="eastAsia" w:ascii="宋体" w:hAnsi="宋体" w:eastAsia="宋体" w:cs="宋体"/>
              <w:bCs/>
              <w:color w:val="auto"/>
              <w:szCs w:val="24"/>
            </w:rPr>
            <w:t>24.7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开关站及其进（出）线设备安装</w:t>
          </w:r>
          <w:r>
            <w:rPr>
              <w:color w:val="auto"/>
            </w:rPr>
            <w:tab/>
          </w:r>
          <w:r>
            <w:rPr>
              <w:color w:val="auto"/>
            </w:rPr>
            <w:fldChar w:fldCharType="begin"/>
          </w:r>
          <w:r>
            <w:rPr>
              <w:color w:val="auto"/>
            </w:rPr>
            <w:instrText xml:space="preserve"> PAGEREF _Toc21981 \h </w:instrText>
          </w:r>
          <w:r>
            <w:rPr>
              <w:color w:val="auto"/>
            </w:rPr>
            <w:fldChar w:fldCharType="separate"/>
          </w:r>
          <w:r>
            <w:rPr>
              <w:color w:val="auto"/>
            </w:rPr>
            <w:t>- 399 -</w:t>
          </w:r>
          <w:r>
            <w:rPr>
              <w:color w:val="auto"/>
            </w:rPr>
            <w:fldChar w:fldCharType="end"/>
          </w:r>
          <w:r>
            <w:rPr>
              <w:color w:val="auto"/>
            </w:rPr>
            <w:fldChar w:fldCharType="end"/>
          </w:r>
        </w:p>
        <w:p w14:paraId="2EF0EB0D">
          <w:pPr>
            <w:pStyle w:val="19"/>
            <w:tabs>
              <w:tab w:val="right" w:leader="dot" w:pos="8925"/>
            </w:tabs>
            <w:rPr>
              <w:color w:val="auto"/>
            </w:rPr>
          </w:pPr>
          <w:r>
            <w:fldChar w:fldCharType="begin"/>
          </w:r>
          <w:r>
            <w:instrText xml:space="preserve"> HYPERLINK \l "_Toc29055" </w:instrText>
          </w:r>
          <w:r>
            <w:fldChar w:fldCharType="separate"/>
          </w:r>
          <w:r>
            <w:rPr>
              <w:rFonts w:hint="eastAsia" w:ascii="宋体" w:hAnsi="宋体" w:eastAsia="宋体" w:cs="宋体"/>
              <w:bCs/>
              <w:color w:val="auto"/>
              <w:szCs w:val="24"/>
            </w:rPr>
            <w:t>24.8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厂用电系统安装</w:t>
          </w:r>
          <w:r>
            <w:rPr>
              <w:color w:val="auto"/>
            </w:rPr>
            <w:tab/>
          </w:r>
          <w:r>
            <w:rPr>
              <w:color w:val="auto"/>
            </w:rPr>
            <w:fldChar w:fldCharType="begin"/>
          </w:r>
          <w:r>
            <w:rPr>
              <w:color w:val="auto"/>
            </w:rPr>
            <w:instrText xml:space="preserve"> PAGEREF _Toc29055 \h </w:instrText>
          </w:r>
          <w:r>
            <w:rPr>
              <w:color w:val="auto"/>
            </w:rPr>
            <w:fldChar w:fldCharType="separate"/>
          </w:r>
          <w:r>
            <w:rPr>
              <w:color w:val="auto"/>
            </w:rPr>
            <w:t>- 403 -</w:t>
          </w:r>
          <w:r>
            <w:rPr>
              <w:color w:val="auto"/>
            </w:rPr>
            <w:fldChar w:fldCharType="end"/>
          </w:r>
          <w:r>
            <w:rPr>
              <w:color w:val="auto"/>
            </w:rPr>
            <w:fldChar w:fldCharType="end"/>
          </w:r>
        </w:p>
        <w:p w14:paraId="6B763048">
          <w:pPr>
            <w:pStyle w:val="19"/>
            <w:tabs>
              <w:tab w:val="right" w:leader="dot" w:pos="8925"/>
            </w:tabs>
            <w:rPr>
              <w:color w:val="auto"/>
            </w:rPr>
          </w:pPr>
          <w:r>
            <w:fldChar w:fldCharType="begin"/>
          </w:r>
          <w:r>
            <w:instrText xml:space="preserve"> HYPERLINK \l "_Toc8617" </w:instrText>
          </w:r>
          <w:r>
            <w:fldChar w:fldCharType="separate"/>
          </w:r>
          <w:r>
            <w:rPr>
              <w:rFonts w:hint="eastAsia" w:ascii="宋体" w:hAnsi="宋体" w:eastAsia="宋体" w:cs="宋体"/>
              <w:bCs/>
              <w:color w:val="auto"/>
              <w:szCs w:val="24"/>
            </w:rPr>
            <w:t>24.9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照明系统安装</w:t>
          </w:r>
          <w:r>
            <w:rPr>
              <w:color w:val="auto"/>
            </w:rPr>
            <w:tab/>
          </w:r>
          <w:r>
            <w:rPr>
              <w:color w:val="auto"/>
            </w:rPr>
            <w:fldChar w:fldCharType="begin"/>
          </w:r>
          <w:r>
            <w:rPr>
              <w:color w:val="auto"/>
            </w:rPr>
            <w:instrText xml:space="preserve"> PAGEREF _Toc8617 \h </w:instrText>
          </w:r>
          <w:r>
            <w:rPr>
              <w:color w:val="auto"/>
            </w:rPr>
            <w:fldChar w:fldCharType="separate"/>
          </w:r>
          <w:r>
            <w:rPr>
              <w:color w:val="auto"/>
            </w:rPr>
            <w:t>- 404 -</w:t>
          </w:r>
          <w:r>
            <w:rPr>
              <w:color w:val="auto"/>
            </w:rPr>
            <w:fldChar w:fldCharType="end"/>
          </w:r>
          <w:r>
            <w:rPr>
              <w:color w:val="auto"/>
            </w:rPr>
            <w:fldChar w:fldCharType="end"/>
          </w:r>
        </w:p>
        <w:p w14:paraId="30271CD7">
          <w:pPr>
            <w:pStyle w:val="19"/>
            <w:tabs>
              <w:tab w:val="right" w:leader="dot" w:pos="8925"/>
            </w:tabs>
            <w:rPr>
              <w:color w:val="auto"/>
            </w:rPr>
          </w:pPr>
          <w:r>
            <w:fldChar w:fldCharType="begin"/>
          </w:r>
          <w:r>
            <w:instrText xml:space="preserve"> HYPERLINK \l "_Toc12453" </w:instrText>
          </w:r>
          <w:r>
            <w:fldChar w:fldCharType="separate"/>
          </w:r>
          <w:r>
            <w:rPr>
              <w:rFonts w:hint="eastAsia" w:ascii="宋体" w:hAnsi="宋体" w:eastAsia="宋体" w:cs="宋体"/>
              <w:bCs/>
              <w:color w:val="auto"/>
              <w:szCs w:val="24"/>
            </w:rPr>
            <w:t>24.10</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接地系统安装</w:t>
          </w:r>
          <w:r>
            <w:rPr>
              <w:color w:val="auto"/>
            </w:rPr>
            <w:tab/>
          </w:r>
          <w:r>
            <w:rPr>
              <w:color w:val="auto"/>
            </w:rPr>
            <w:fldChar w:fldCharType="begin"/>
          </w:r>
          <w:r>
            <w:rPr>
              <w:color w:val="auto"/>
            </w:rPr>
            <w:instrText xml:space="preserve"> PAGEREF _Toc12453 \h </w:instrText>
          </w:r>
          <w:r>
            <w:rPr>
              <w:color w:val="auto"/>
            </w:rPr>
            <w:fldChar w:fldCharType="separate"/>
          </w:r>
          <w:r>
            <w:rPr>
              <w:color w:val="auto"/>
            </w:rPr>
            <w:t>- 404 -</w:t>
          </w:r>
          <w:r>
            <w:rPr>
              <w:color w:val="auto"/>
            </w:rPr>
            <w:fldChar w:fldCharType="end"/>
          </w:r>
          <w:r>
            <w:rPr>
              <w:color w:val="auto"/>
            </w:rPr>
            <w:fldChar w:fldCharType="end"/>
          </w:r>
        </w:p>
        <w:p w14:paraId="678A201F">
          <w:pPr>
            <w:pStyle w:val="19"/>
            <w:tabs>
              <w:tab w:val="right" w:leader="dot" w:pos="8925"/>
            </w:tabs>
            <w:rPr>
              <w:color w:val="auto"/>
            </w:rPr>
          </w:pPr>
          <w:r>
            <w:fldChar w:fldCharType="begin"/>
          </w:r>
          <w:r>
            <w:instrText xml:space="preserve"> HYPERLINK \l "_Toc27448" </w:instrText>
          </w:r>
          <w:r>
            <w:fldChar w:fldCharType="separate"/>
          </w:r>
          <w:r>
            <w:rPr>
              <w:rFonts w:hint="eastAsia" w:ascii="宋体" w:hAnsi="宋体" w:eastAsia="宋体" w:cs="宋体"/>
              <w:bCs/>
              <w:color w:val="auto"/>
              <w:szCs w:val="24"/>
            </w:rPr>
            <w:t>24.11</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控制保护系统安装</w:t>
          </w:r>
          <w:r>
            <w:rPr>
              <w:color w:val="auto"/>
            </w:rPr>
            <w:tab/>
          </w:r>
          <w:r>
            <w:rPr>
              <w:color w:val="auto"/>
            </w:rPr>
            <w:fldChar w:fldCharType="begin"/>
          </w:r>
          <w:r>
            <w:rPr>
              <w:color w:val="auto"/>
            </w:rPr>
            <w:instrText xml:space="preserve"> PAGEREF _Toc27448 \h </w:instrText>
          </w:r>
          <w:r>
            <w:rPr>
              <w:color w:val="auto"/>
            </w:rPr>
            <w:fldChar w:fldCharType="separate"/>
          </w:r>
          <w:r>
            <w:rPr>
              <w:color w:val="auto"/>
            </w:rPr>
            <w:t>- 405 -</w:t>
          </w:r>
          <w:r>
            <w:rPr>
              <w:color w:val="auto"/>
            </w:rPr>
            <w:fldChar w:fldCharType="end"/>
          </w:r>
          <w:r>
            <w:rPr>
              <w:color w:val="auto"/>
            </w:rPr>
            <w:fldChar w:fldCharType="end"/>
          </w:r>
        </w:p>
        <w:p w14:paraId="38FF320F">
          <w:pPr>
            <w:pStyle w:val="19"/>
            <w:tabs>
              <w:tab w:val="right" w:leader="dot" w:pos="8925"/>
            </w:tabs>
            <w:rPr>
              <w:color w:val="auto"/>
            </w:rPr>
          </w:pPr>
          <w:r>
            <w:fldChar w:fldCharType="begin"/>
          </w:r>
          <w:r>
            <w:instrText xml:space="preserve"> HYPERLINK \l "_Toc29470" </w:instrText>
          </w:r>
          <w:r>
            <w:fldChar w:fldCharType="separate"/>
          </w:r>
          <w:r>
            <w:rPr>
              <w:rFonts w:hint="eastAsia" w:ascii="宋体" w:hAnsi="宋体" w:eastAsia="宋体" w:cs="宋体"/>
              <w:bCs/>
              <w:color w:val="auto"/>
              <w:szCs w:val="24"/>
            </w:rPr>
            <w:t>24.12</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通信系统安装</w:t>
          </w:r>
          <w:r>
            <w:rPr>
              <w:color w:val="auto"/>
            </w:rPr>
            <w:tab/>
          </w:r>
          <w:r>
            <w:rPr>
              <w:color w:val="auto"/>
            </w:rPr>
            <w:fldChar w:fldCharType="begin"/>
          </w:r>
          <w:r>
            <w:rPr>
              <w:color w:val="auto"/>
            </w:rPr>
            <w:instrText xml:space="preserve"> PAGEREF _Toc29470 \h </w:instrText>
          </w:r>
          <w:r>
            <w:rPr>
              <w:color w:val="auto"/>
            </w:rPr>
            <w:fldChar w:fldCharType="separate"/>
          </w:r>
          <w:r>
            <w:rPr>
              <w:color w:val="auto"/>
            </w:rPr>
            <w:t>- 408 -</w:t>
          </w:r>
          <w:r>
            <w:rPr>
              <w:color w:val="auto"/>
            </w:rPr>
            <w:fldChar w:fldCharType="end"/>
          </w:r>
          <w:r>
            <w:rPr>
              <w:color w:val="auto"/>
            </w:rPr>
            <w:fldChar w:fldCharType="end"/>
          </w:r>
        </w:p>
        <w:p w14:paraId="31303966">
          <w:pPr>
            <w:pStyle w:val="19"/>
            <w:tabs>
              <w:tab w:val="right" w:leader="dot" w:pos="8925"/>
            </w:tabs>
            <w:rPr>
              <w:color w:val="auto"/>
            </w:rPr>
          </w:pPr>
          <w:r>
            <w:fldChar w:fldCharType="begin"/>
          </w:r>
          <w:r>
            <w:instrText xml:space="preserve"> HYPERLINK \l "_Toc10751" </w:instrText>
          </w:r>
          <w:r>
            <w:fldChar w:fldCharType="separate"/>
          </w:r>
          <w:r>
            <w:rPr>
              <w:rFonts w:hint="eastAsia" w:ascii="宋体" w:hAnsi="宋体" w:eastAsia="宋体" w:cs="宋体"/>
              <w:bCs/>
              <w:color w:val="auto"/>
              <w:szCs w:val="24"/>
            </w:rPr>
            <w:t>24.13</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电缆线路安装</w:t>
          </w:r>
          <w:r>
            <w:rPr>
              <w:color w:val="auto"/>
            </w:rPr>
            <w:tab/>
          </w:r>
          <w:r>
            <w:rPr>
              <w:color w:val="auto"/>
            </w:rPr>
            <w:fldChar w:fldCharType="begin"/>
          </w:r>
          <w:r>
            <w:rPr>
              <w:color w:val="auto"/>
            </w:rPr>
            <w:instrText xml:space="preserve"> PAGEREF _Toc10751 \h </w:instrText>
          </w:r>
          <w:r>
            <w:rPr>
              <w:color w:val="auto"/>
            </w:rPr>
            <w:fldChar w:fldCharType="separate"/>
          </w:r>
          <w:r>
            <w:rPr>
              <w:color w:val="auto"/>
            </w:rPr>
            <w:t>- 409 -</w:t>
          </w:r>
          <w:r>
            <w:rPr>
              <w:color w:val="auto"/>
            </w:rPr>
            <w:fldChar w:fldCharType="end"/>
          </w:r>
          <w:r>
            <w:rPr>
              <w:color w:val="auto"/>
            </w:rPr>
            <w:fldChar w:fldCharType="end"/>
          </w:r>
        </w:p>
        <w:p w14:paraId="2216D0A1">
          <w:pPr>
            <w:pStyle w:val="19"/>
            <w:tabs>
              <w:tab w:val="right" w:leader="dot" w:pos="8925"/>
            </w:tabs>
            <w:rPr>
              <w:color w:val="auto"/>
            </w:rPr>
          </w:pPr>
          <w:r>
            <w:fldChar w:fldCharType="begin"/>
          </w:r>
          <w:r>
            <w:instrText xml:space="preserve"> HYPERLINK \l "_Toc31055" </w:instrText>
          </w:r>
          <w:r>
            <w:fldChar w:fldCharType="separate"/>
          </w:r>
          <w:r>
            <w:rPr>
              <w:rFonts w:hint="eastAsia" w:ascii="宋体" w:hAnsi="宋体" w:eastAsia="宋体" w:cs="宋体"/>
              <w:bCs/>
              <w:color w:val="auto"/>
              <w:szCs w:val="24"/>
            </w:rPr>
            <w:t>24.14</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厂内起重设备安装</w:t>
          </w:r>
          <w:r>
            <w:rPr>
              <w:color w:val="auto"/>
            </w:rPr>
            <w:tab/>
          </w:r>
          <w:r>
            <w:rPr>
              <w:color w:val="auto"/>
            </w:rPr>
            <w:fldChar w:fldCharType="begin"/>
          </w:r>
          <w:r>
            <w:rPr>
              <w:color w:val="auto"/>
            </w:rPr>
            <w:instrText xml:space="preserve"> PAGEREF _Toc31055 \h </w:instrText>
          </w:r>
          <w:r>
            <w:rPr>
              <w:color w:val="auto"/>
            </w:rPr>
            <w:fldChar w:fldCharType="separate"/>
          </w:r>
          <w:r>
            <w:rPr>
              <w:color w:val="auto"/>
            </w:rPr>
            <w:t>- 410 -</w:t>
          </w:r>
          <w:r>
            <w:rPr>
              <w:color w:val="auto"/>
            </w:rPr>
            <w:fldChar w:fldCharType="end"/>
          </w:r>
          <w:r>
            <w:rPr>
              <w:color w:val="auto"/>
            </w:rPr>
            <w:fldChar w:fldCharType="end"/>
          </w:r>
        </w:p>
        <w:p w14:paraId="604E6A68">
          <w:pPr>
            <w:pStyle w:val="19"/>
            <w:tabs>
              <w:tab w:val="right" w:leader="dot" w:pos="8925"/>
            </w:tabs>
            <w:rPr>
              <w:color w:val="auto"/>
            </w:rPr>
          </w:pPr>
          <w:r>
            <w:fldChar w:fldCharType="begin"/>
          </w:r>
          <w:r>
            <w:instrText xml:space="preserve"> HYPERLINK \l "_Toc20596" </w:instrText>
          </w:r>
          <w:r>
            <w:fldChar w:fldCharType="separate"/>
          </w:r>
          <w:r>
            <w:rPr>
              <w:rFonts w:hint="eastAsia" w:ascii="宋体" w:hAnsi="宋体" w:eastAsia="宋体" w:cs="宋体"/>
              <w:bCs/>
              <w:color w:val="auto"/>
              <w:szCs w:val="24"/>
            </w:rPr>
            <w:t>24.15</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通风及空气调节系统安装</w:t>
          </w:r>
          <w:r>
            <w:rPr>
              <w:color w:val="auto"/>
            </w:rPr>
            <w:tab/>
          </w:r>
          <w:r>
            <w:rPr>
              <w:color w:val="auto"/>
            </w:rPr>
            <w:fldChar w:fldCharType="begin"/>
          </w:r>
          <w:r>
            <w:rPr>
              <w:color w:val="auto"/>
            </w:rPr>
            <w:instrText xml:space="preserve"> PAGEREF _Toc20596 \h </w:instrText>
          </w:r>
          <w:r>
            <w:rPr>
              <w:color w:val="auto"/>
            </w:rPr>
            <w:fldChar w:fldCharType="separate"/>
          </w:r>
          <w:r>
            <w:rPr>
              <w:color w:val="auto"/>
            </w:rPr>
            <w:t>- 410 -</w:t>
          </w:r>
          <w:r>
            <w:rPr>
              <w:color w:val="auto"/>
            </w:rPr>
            <w:fldChar w:fldCharType="end"/>
          </w:r>
          <w:r>
            <w:rPr>
              <w:color w:val="auto"/>
            </w:rPr>
            <w:fldChar w:fldCharType="end"/>
          </w:r>
        </w:p>
        <w:p w14:paraId="3B550148">
          <w:pPr>
            <w:pStyle w:val="19"/>
            <w:tabs>
              <w:tab w:val="right" w:leader="dot" w:pos="8925"/>
            </w:tabs>
            <w:rPr>
              <w:color w:val="auto"/>
            </w:rPr>
          </w:pPr>
          <w:r>
            <w:fldChar w:fldCharType="begin"/>
          </w:r>
          <w:r>
            <w:instrText xml:space="preserve"> HYPERLINK \l "_Toc22773" </w:instrText>
          </w:r>
          <w:r>
            <w:fldChar w:fldCharType="separate"/>
          </w:r>
          <w:r>
            <w:rPr>
              <w:rFonts w:hint="eastAsia" w:ascii="宋体" w:hAnsi="宋体" w:eastAsia="宋体" w:cs="宋体"/>
              <w:bCs/>
              <w:color w:val="auto"/>
              <w:szCs w:val="24"/>
            </w:rPr>
            <w:t>24.16</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建筑给排水系统安装</w:t>
          </w:r>
          <w:r>
            <w:rPr>
              <w:color w:val="auto"/>
            </w:rPr>
            <w:tab/>
          </w:r>
          <w:r>
            <w:rPr>
              <w:color w:val="auto"/>
            </w:rPr>
            <w:fldChar w:fldCharType="begin"/>
          </w:r>
          <w:r>
            <w:rPr>
              <w:color w:val="auto"/>
            </w:rPr>
            <w:instrText xml:space="preserve"> PAGEREF _Toc22773 \h </w:instrText>
          </w:r>
          <w:r>
            <w:rPr>
              <w:color w:val="auto"/>
            </w:rPr>
            <w:fldChar w:fldCharType="separate"/>
          </w:r>
          <w:r>
            <w:rPr>
              <w:color w:val="auto"/>
            </w:rPr>
            <w:t>- 412 -</w:t>
          </w:r>
          <w:r>
            <w:rPr>
              <w:color w:val="auto"/>
            </w:rPr>
            <w:fldChar w:fldCharType="end"/>
          </w:r>
          <w:r>
            <w:rPr>
              <w:color w:val="auto"/>
            </w:rPr>
            <w:fldChar w:fldCharType="end"/>
          </w:r>
        </w:p>
        <w:p w14:paraId="471EF768">
          <w:pPr>
            <w:pStyle w:val="19"/>
            <w:tabs>
              <w:tab w:val="right" w:leader="dot" w:pos="8925"/>
            </w:tabs>
            <w:rPr>
              <w:color w:val="auto"/>
            </w:rPr>
          </w:pPr>
          <w:r>
            <w:fldChar w:fldCharType="begin"/>
          </w:r>
          <w:r>
            <w:instrText xml:space="preserve"> HYPERLINK \l "_Toc15891" </w:instrText>
          </w:r>
          <w:r>
            <w:fldChar w:fldCharType="separate"/>
          </w:r>
          <w:r>
            <w:rPr>
              <w:rFonts w:hint="eastAsia" w:ascii="宋体" w:hAnsi="宋体" w:eastAsia="宋体" w:cs="宋体"/>
              <w:bCs/>
              <w:color w:val="auto"/>
              <w:szCs w:val="24"/>
            </w:rPr>
            <w:t>24.17</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消防系统安装</w:t>
          </w:r>
          <w:r>
            <w:rPr>
              <w:color w:val="auto"/>
            </w:rPr>
            <w:tab/>
          </w:r>
          <w:r>
            <w:rPr>
              <w:color w:val="auto"/>
            </w:rPr>
            <w:fldChar w:fldCharType="begin"/>
          </w:r>
          <w:r>
            <w:rPr>
              <w:color w:val="auto"/>
            </w:rPr>
            <w:instrText xml:space="preserve"> PAGEREF _Toc15891 \h </w:instrText>
          </w:r>
          <w:r>
            <w:rPr>
              <w:color w:val="auto"/>
            </w:rPr>
            <w:fldChar w:fldCharType="separate"/>
          </w:r>
          <w:r>
            <w:rPr>
              <w:color w:val="auto"/>
            </w:rPr>
            <w:t>- 412 -</w:t>
          </w:r>
          <w:r>
            <w:rPr>
              <w:color w:val="auto"/>
            </w:rPr>
            <w:fldChar w:fldCharType="end"/>
          </w:r>
          <w:r>
            <w:rPr>
              <w:color w:val="auto"/>
            </w:rPr>
            <w:fldChar w:fldCharType="end"/>
          </w:r>
        </w:p>
        <w:p w14:paraId="0A0618DE">
          <w:pPr>
            <w:pStyle w:val="19"/>
            <w:tabs>
              <w:tab w:val="right" w:leader="dot" w:pos="8925"/>
            </w:tabs>
            <w:rPr>
              <w:color w:val="auto"/>
            </w:rPr>
          </w:pPr>
          <w:r>
            <w:fldChar w:fldCharType="begin"/>
          </w:r>
          <w:r>
            <w:instrText xml:space="preserve"> HYPERLINK \l "_Toc22917" </w:instrText>
          </w:r>
          <w:r>
            <w:fldChar w:fldCharType="separate"/>
          </w:r>
          <w:r>
            <w:rPr>
              <w:rFonts w:hint="eastAsia" w:ascii="宋体" w:hAnsi="宋体" w:eastAsia="宋体" w:cs="宋体"/>
              <w:bCs/>
              <w:color w:val="auto"/>
              <w:szCs w:val="24"/>
            </w:rPr>
            <w:t>24.18</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机组启动试运行</w:t>
          </w:r>
          <w:r>
            <w:rPr>
              <w:color w:val="auto"/>
            </w:rPr>
            <w:tab/>
          </w:r>
          <w:r>
            <w:rPr>
              <w:color w:val="auto"/>
            </w:rPr>
            <w:fldChar w:fldCharType="begin"/>
          </w:r>
          <w:r>
            <w:rPr>
              <w:color w:val="auto"/>
            </w:rPr>
            <w:instrText xml:space="preserve"> PAGEREF _Toc22917 \h </w:instrText>
          </w:r>
          <w:r>
            <w:rPr>
              <w:color w:val="auto"/>
            </w:rPr>
            <w:fldChar w:fldCharType="separate"/>
          </w:r>
          <w:r>
            <w:rPr>
              <w:color w:val="auto"/>
            </w:rPr>
            <w:t>- 415 -</w:t>
          </w:r>
          <w:r>
            <w:rPr>
              <w:color w:val="auto"/>
            </w:rPr>
            <w:fldChar w:fldCharType="end"/>
          </w:r>
          <w:r>
            <w:rPr>
              <w:color w:val="auto"/>
            </w:rPr>
            <w:fldChar w:fldCharType="end"/>
          </w:r>
        </w:p>
        <w:p w14:paraId="26F4A616">
          <w:pPr>
            <w:pStyle w:val="19"/>
            <w:tabs>
              <w:tab w:val="right" w:leader="dot" w:pos="8925"/>
            </w:tabs>
            <w:rPr>
              <w:color w:val="auto"/>
            </w:rPr>
          </w:pPr>
          <w:r>
            <w:fldChar w:fldCharType="begin"/>
          </w:r>
          <w:r>
            <w:instrText xml:space="preserve"> HYPERLINK \l "_Toc4800" </w:instrText>
          </w:r>
          <w:r>
            <w:fldChar w:fldCharType="separate"/>
          </w:r>
          <w:r>
            <w:rPr>
              <w:rFonts w:hint="eastAsia" w:ascii="宋体" w:hAnsi="宋体" w:eastAsia="宋体" w:cs="宋体"/>
              <w:bCs/>
              <w:color w:val="auto"/>
              <w:szCs w:val="24"/>
            </w:rPr>
            <w:t>24.19</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完工验收</w:t>
          </w:r>
          <w:r>
            <w:rPr>
              <w:color w:val="auto"/>
            </w:rPr>
            <w:tab/>
          </w:r>
          <w:r>
            <w:rPr>
              <w:color w:val="auto"/>
            </w:rPr>
            <w:fldChar w:fldCharType="begin"/>
          </w:r>
          <w:r>
            <w:rPr>
              <w:color w:val="auto"/>
            </w:rPr>
            <w:instrText xml:space="preserve"> PAGEREF _Toc4800 \h </w:instrText>
          </w:r>
          <w:r>
            <w:rPr>
              <w:color w:val="auto"/>
            </w:rPr>
            <w:fldChar w:fldCharType="separate"/>
          </w:r>
          <w:r>
            <w:rPr>
              <w:color w:val="auto"/>
            </w:rPr>
            <w:t>- 416 -</w:t>
          </w:r>
          <w:r>
            <w:rPr>
              <w:color w:val="auto"/>
            </w:rPr>
            <w:fldChar w:fldCharType="end"/>
          </w:r>
          <w:r>
            <w:rPr>
              <w:color w:val="auto"/>
            </w:rPr>
            <w:fldChar w:fldCharType="end"/>
          </w:r>
        </w:p>
        <w:p w14:paraId="12945EA1">
          <w:pPr>
            <w:pStyle w:val="19"/>
            <w:tabs>
              <w:tab w:val="right" w:leader="dot" w:pos="8925"/>
            </w:tabs>
            <w:rPr>
              <w:color w:val="auto"/>
            </w:rPr>
          </w:pPr>
          <w:r>
            <w:fldChar w:fldCharType="begin"/>
          </w:r>
          <w:r>
            <w:instrText xml:space="preserve"> HYPERLINK \l "_Toc16524" </w:instrText>
          </w:r>
          <w:r>
            <w:fldChar w:fldCharType="separate"/>
          </w:r>
          <w:r>
            <w:rPr>
              <w:rFonts w:hint="eastAsia" w:ascii="宋体" w:hAnsi="宋体" w:eastAsia="宋体" w:cs="宋体"/>
              <w:bCs/>
              <w:color w:val="auto"/>
              <w:szCs w:val="24"/>
            </w:rPr>
            <w:t>24.20</w:t>
          </w:r>
          <w:r>
            <w:rPr>
              <w:rFonts w:hint="eastAsia" w:ascii="宋体" w:hAnsi="宋体" w:eastAsia="宋体" w:cs="宋体"/>
              <w:bCs/>
              <w:color w:val="auto"/>
              <w:szCs w:val="24"/>
              <w:lang w:eastAsia="zh-CN"/>
            </w:rPr>
            <w:t xml:space="preserve"> </w:t>
          </w:r>
          <w:r>
            <w:rPr>
              <w:rFonts w:hint="eastAsia" w:ascii="宋体" w:hAnsi="宋体" w:eastAsia="宋体" w:cs="宋体"/>
              <w:bCs/>
              <w:color w:val="auto"/>
              <w:szCs w:val="24"/>
            </w:rPr>
            <w:t>计量和支付</w:t>
          </w:r>
          <w:r>
            <w:rPr>
              <w:color w:val="auto"/>
            </w:rPr>
            <w:tab/>
          </w:r>
          <w:r>
            <w:rPr>
              <w:color w:val="auto"/>
            </w:rPr>
            <w:fldChar w:fldCharType="begin"/>
          </w:r>
          <w:r>
            <w:rPr>
              <w:color w:val="auto"/>
            </w:rPr>
            <w:instrText xml:space="preserve"> PAGEREF _Toc16524 \h </w:instrText>
          </w:r>
          <w:r>
            <w:rPr>
              <w:color w:val="auto"/>
            </w:rPr>
            <w:fldChar w:fldCharType="separate"/>
          </w:r>
          <w:r>
            <w:rPr>
              <w:color w:val="auto"/>
            </w:rPr>
            <w:t>- 416 -</w:t>
          </w:r>
          <w:r>
            <w:rPr>
              <w:color w:val="auto"/>
            </w:rPr>
            <w:fldChar w:fldCharType="end"/>
          </w:r>
          <w:r>
            <w:rPr>
              <w:color w:val="auto"/>
            </w:rPr>
            <w:fldChar w:fldCharType="end"/>
          </w:r>
        </w:p>
        <w:p w14:paraId="60FF08A6">
          <w:pPr>
            <w:pStyle w:val="18"/>
            <w:tabs>
              <w:tab w:val="right" w:leader="dot" w:pos="8925"/>
            </w:tabs>
            <w:rPr>
              <w:color w:val="auto"/>
            </w:rPr>
          </w:pPr>
          <w:r>
            <w:fldChar w:fldCharType="begin"/>
          </w:r>
          <w:r>
            <w:instrText xml:space="preserve"> HYPERLINK \l "_Toc30243" </w:instrText>
          </w:r>
          <w:r>
            <w:fldChar w:fldCharType="separate"/>
          </w:r>
          <w:r>
            <w:rPr>
              <w:rFonts w:hint="eastAsia" w:ascii="宋体" w:hAnsi="宋体" w:eastAsia="宋体" w:cs="宋体"/>
              <w:bCs/>
              <w:color w:val="auto"/>
              <w:szCs w:val="28"/>
              <w:lang w:eastAsia="zh-CN"/>
            </w:rPr>
            <w:t xml:space="preserve">25 </w:t>
          </w:r>
          <w:r>
            <w:rPr>
              <w:rFonts w:hint="eastAsia" w:ascii="宋体" w:hAnsi="宋体" w:eastAsia="宋体" w:cs="宋体"/>
              <w:bCs/>
              <w:color w:val="auto"/>
              <w:szCs w:val="28"/>
            </w:rPr>
            <w:t>电气设备</w:t>
          </w:r>
          <w:r>
            <w:rPr>
              <w:rFonts w:hint="eastAsia" w:ascii="宋体" w:hAnsi="宋体" w:eastAsia="宋体" w:cs="宋体"/>
              <w:bCs/>
              <w:color w:val="auto"/>
              <w:szCs w:val="28"/>
              <w:lang w:eastAsia="zh-CN"/>
            </w:rPr>
            <w:t>采购</w:t>
          </w:r>
          <w:r>
            <w:rPr>
              <w:color w:val="auto"/>
            </w:rPr>
            <w:tab/>
          </w:r>
          <w:r>
            <w:rPr>
              <w:color w:val="auto"/>
            </w:rPr>
            <w:fldChar w:fldCharType="begin"/>
          </w:r>
          <w:r>
            <w:rPr>
              <w:color w:val="auto"/>
            </w:rPr>
            <w:instrText xml:space="preserve"> PAGEREF _Toc30243 \h </w:instrText>
          </w:r>
          <w:r>
            <w:rPr>
              <w:color w:val="auto"/>
            </w:rPr>
            <w:fldChar w:fldCharType="separate"/>
          </w:r>
          <w:r>
            <w:rPr>
              <w:color w:val="auto"/>
            </w:rPr>
            <w:t>- 418 -</w:t>
          </w:r>
          <w:r>
            <w:rPr>
              <w:color w:val="auto"/>
            </w:rPr>
            <w:fldChar w:fldCharType="end"/>
          </w:r>
          <w:r>
            <w:rPr>
              <w:color w:val="auto"/>
            </w:rPr>
            <w:fldChar w:fldCharType="end"/>
          </w:r>
        </w:p>
        <w:p w14:paraId="32FBB10E">
          <w:pPr>
            <w:pStyle w:val="19"/>
            <w:tabs>
              <w:tab w:val="right" w:leader="dot" w:pos="8925"/>
            </w:tabs>
            <w:rPr>
              <w:color w:val="auto"/>
            </w:rPr>
          </w:pPr>
          <w:r>
            <w:fldChar w:fldCharType="begin"/>
          </w:r>
          <w:r>
            <w:instrText xml:space="preserve"> HYPERLINK \l "_Toc30236" </w:instrText>
          </w:r>
          <w:r>
            <w:fldChar w:fldCharType="separate"/>
          </w:r>
          <w:r>
            <w:rPr>
              <w:rFonts w:hint="eastAsia" w:ascii="宋体" w:hAnsi="宋体" w:eastAsia="宋体" w:cs="宋体"/>
              <w:bCs/>
              <w:color w:val="auto"/>
              <w:szCs w:val="24"/>
              <w:lang w:eastAsia="zh-CN"/>
            </w:rPr>
            <w:t>25.1</w:t>
          </w:r>
          <w:r>
            <w:rPr>
              <w:rFonts w:hint="eastAsia" w:ascii="宋体" w:hAnsi="宋体" w:eastAsia="宋体" w:cs="宋体"/>
              <w:bCs/>
              <w:color w:val="auto"/>
              <w:szCs w:val="24"/>
            </w:rPr>
            <w:t>一般规定</w:t>
          </w:r>
          <w:r>
            <w:rPr>
              <w:color w:val="auto"/>
            </w:rPr>
            <w:tab/>
          </w:r>
          <w:r>
            <w:rPr>
              <w:color w:val="auto"/>
            </w:rPr>
            <w:fldChar w:fldCharType="begin"/>
          </w:r>
          <w:r>
            <w:rPr>
              <w:color w:val="auto"/>
            </w:rPr>
            <w:instrText xml:space="preserve"> PAGEREF _Toc30236 \h </w:instrText>
          </w:r>
          <w:r>
            <w:rPr>
              <w:color w:val="auto"/>
            </w:rPr>
            <w:fldChar w:fldCharType="separate"/>
          </w:r>
          <w:r>
            <w:rPr>
              <w:color w:val="auto"/>
            </w:rPr>
            <w:t>- 418 -</w:t>
          </w:r>
          <w:r>
            <w:rPr>
              <w:color w:val="auto"/>
            </w:rPr>
            <w:fldChar w:fldCharType="end"/>
          </w:r>
          <w:r>
            <w:rPr>
              <w:color w:val="auto"/>
            </w:rPr>
            <w:fldChar w:fldCharType="end"/>
          </w:r>
        </w:p>
        <w:p w14:paraId="7CC43D60">
          <w:pPr>
            <w:pStyle w:val="19"/>
            <w:tabs>
              <w:tab w:val="right" w:leader="dot" w:pos="8925"/>
            </w:tabs>
            <w:rPr>
              <w:color w:val="auto"/>
            </w:rPr>
          </w:pPr>
          <w:r>
            <w:fldChar w:fldCharType="begin"/>
          </w:r>
          <w:r>
            <w:instrText xml:space="preserve"> HYPERLINK \l "_Toc15082" </w:instrText>
          </w:r>
          <w:r>
            <w:fldChar w:fldCharType="separate"/>
          </w:r>
          <w:r>
            <w:rPr>
              <w:rFonts w:hint="eastAsia" w:ascii="宋体" w:hAnsi="宋体" w:eastAsia="宋体" w:cs="宋体"/>
              <w:bCs/>
              <w:color w:val="auto"/>
              <w:szCs w:val="24"/>
              <w:lang w:eastAsia="zh-CN"/>
            </w:rPr>
            <w:t>25.2电气设备招标清单</w:t>
          </w:r>
          <w:r>
            <w:rPr>
              <w:color w:val="auto"/>
            </w:rPr>
            <w:tab/>
          </w:r>
          <w:r>
            <w:rPr>
              <w:color w:val="auto"/>
            </w:rPr>
            <w:fldChar w:fldCharType="begin"/>
          </w:r>
          <w:r>
            <w:rPr>
              <w:color w:val="auto"/>
            </w:rPr>
            <w:instrText xml:space="preserve"> PAGEREF _Toc15082 \h </w:instrText>
          </w:r>
          <w:r>
            <w:rPr>
              <w:color w:val="auto"/>
            </w:rPr>
            <w:fldChar w:fldCharType="separate"/>
          </w:r>
          <w:r>
            <w:rPr>
              <w:color w:val="auto"/>
            </w:rPr>
            <w:t>- 418 -</w:t>
          </w:r>
          <w:r>
            <w:rPr>
              <w:color w:val="auto"/>
            </w:rPr>
            <w:fldChar w:fldCharType="end"/>
          </w:r>
          <w:r>
            <w:rPr>
              <w:color w:val="auto"/>
            </w:rPr>
            <w:fldChar w:fldCharType="end"/>
          </w:r>
        </w:p>
        <w:p w14:paraId="0F737D2B">
          <w:pPr>
            <w:pStyle w:val="19"/>
            <w:tabs>
              <w:tab w:val="right" w:leader="dot" w:pos="8925"/>
            </w:tabs>
            <w:rPr>
              <w:color w:val="auto"/>
            </w:rPr>
          </w:pPr>
          <w:r>
            <w:fldChar w:fldCharType="begin"/>
          </w:r>
          <w:r>
            <w:instrText xml:space="preserve"> HYPERLINK \l "_Toc27012" </w:instrText>
          </w:r>
          <w:r>
            <w:fldChar w:fldCharType="separate"/>
          </w:r>
          <w:r>
            <w:rPr>
              <w:rFonts w:hint="eastAsia" w:ascii="宋体" w:hAnsi="宋体" w:eastAsia="宋体" w:cs="宋体"/>
              <w:bCs/>
              <w:color w:val="auto"/>
              <w:szCs w:val="24"/>
              <w:lang w:eastAsia="zh-CN"/>
            </w:rPr>
            <w:t>25.3</w:t>
          </w:r>
          <w:r>
            <w:rPr>
              <w:rFonts w:hint="eastAsia" w:ascii="宋体" w:hAnsi="宋体" w:eastAsia="宋体" w:cs="宋体"/>
              <w:bCs/>
              <w:color w:val="auto"/>
              <w:szCs w:val="24"/>
            </w:rPr>
            <w:t xml:space="preserve"> 高低压开关柜</w:t>
          </w:r>
          <w:r>
            <w:rPr>
              <w:color w:val="auto"/>
            </w:rPr>
            <w:tab/>
          </w:r>
          <w:r>
            <w:rPr>
              <w:color w:val="auto"/>
            </w:rPr>
            <w:fldChar w:fldCharType="begin"/>
          </w:r>
          <w:r>
            <w:rPr>
              <w:color w:val="auto"/>
            </w:rPr>
            <w:instrText xml:space="preserve"> PAGEREF _Toc27012 \h </w:instrText>
          </w:r>
          <w:r>
            <w:rPr>
              <w:color w:val="auto"/>
            </w:rPr>
            <w:fldChar w:fldCharType="separate"/>
          </w:r>
          <w:r>
            <w:rPr>
              <w:color w:val="auto"/>
            </w:rPr>
            <w:t>- 419 -</w:t>
          </w:r>
          <w:r>
            <w:rPr>
              <w:color w:val="auto"/>
            </w:rPr>
            <w:fldChar w:fldCharType="end"/>
          </w:r>
          <w:r>
            <w:rPr>
              <w:color w:val="auto"/>
            </w:rPr>
            <w:fldChar w:fldCharType="end"/>
          </w:r>
        </w:p>
        <w:p w14:paraId="5C95A6AC">
          <w:pPr>
            <w:pStyle w:val="19"/>
            <w:tabs>
              <w:tab w:val="right" w:leader="dot" w:pos="8925"/>
            </w:tabs>
            <w:rPr>
              <w:color w:val="auto"/>
            </w:rPr>
          </w:pPr>
          <w:r>
            <w:fldChar w:fldCharType="begin"/>
          </w:r>
          <w:r>
            <w:instrText xml:space="preserve"> HYPERLINK \l "_Toc17688" </w:instrText>
          </w:r>
          <w:r>
            <w:fldChar w:fldCharType="separate"/>
          </w:r>
          <w:r>
            <w:rPr>
              <w:rFonts w:hint="eastAsia" w:ascii="宋体" w:hAnsi="宋体" w:eastAsia="宋体" w:cs="宋体"/>
              <w:bCs/>
              <w:color w:val="auto"/>
              <w:szCs w:val="24"/>
              <w:lang w:eastAsia="zh-CN"/>
            </w:rPr>
            <w:t>25.4</w:t>
          </w:r>
          <w:r>
            <w:rPr>
              <w:rFonts w:hint="eastAsia" w:ascii="宋体" w:hAnsi="宋体" w:eastAsia="宋体" w:cs="宋体"/>
              <w:bCs/>
              <w:color w:val="auto"/>
              <w:szCs w:val="24"/>
            </w:rPr>
            <w:t>变压器</w:t>
          </w:r>
          <w:r>
            <w:rPr>
              <w:color w:val="auto"/>
            </w:rPr>
            <w:tab/>
          </w:r>
          <w:r>
            <w:rPr>
              <w:color w:val="auto"/>
            </w:rPr>
            <w:fldChar w:fldCharType="begin"/>
          </w:r>
          <w:r>
            <w:rPr>
              <w:color w:val="auto"/>
            </w:rPr>
            <w:instrText xml:space="preserve"> PAGEREF _Toc17688 \h </w:instrText>
          </w:r>
          <w:r>
            <w:rPr>
              <w:color w:val="auto"/>
            </w:rPr>
            <w:fldChar w:fldCharType="separate"/>
          </w:r>
          <w:r>
            <w:rPr>
              <w:color w:val="auto"/>
            </w:rPr>
            <w:t>- 442 -</w:t>
          </w:r>
          <w:r>
            <w:rPr>
              <w:color w:val="auto"/>
            </w:rPr>
            <w:fldChar w:fldCharType="end"/>
          </w:r>
          <w:r>
            <w:rPr>
              <w:color w:val="auto"/>
            </w:rPr>
            <w:fldChar w:fldCharType="end"/>
          </w:r>
        </w:p>
        <w:p w14:paraId="7427FC55">
          <w:pPr>
            <w:pStyle w:val="19"/>
            <w:tabs>
              <w:tab w:val="right" w:leader="dot" w:pos="8925"/>
            </w:tabs>
            <w:rPr>
              <w:color w:val="auto"/>
            </w:rPr>
          </w:pPr>
          <w:r>
            <w:fldChar w:fldCharType="begin"/>
          </w:r>
          <w:r>
            <w:instrText xml:space="preserve"> HYPERLINK \l "_Toc8423" </w:instrText>
          </w:r>
          <w:r>
            <w:fldChar w:fldCharType="separate"/>
          </w:r>
          <w:r>
            <w:rPr>
              <w:rFonts w:hint="eastAsia" w:ascii="宋体" w:hAnsi="宋体" w:eastAsia="宋体" w:cs="宋体"/>
              <w:bCs/>
              <w:color w:val="auto"/>
              <w:szCs w:val="24"/>
              <w:lang w:eastAsia="zh-CN"/>
            </w:rPr>
            <w:t>25.5</w:t>
          </w:r>
          <w:r>
            <w:rPr>
              <w:rFonts w:hint="eastAsia" w:ascii="宋体" w:hAnsi="宋体" w:eastAsia="宋体" w:cs="宋体"/>
              <w:bCs/>
              <w:color w:val="auto"/>
              <w:szCs w:val="24"/>
            </w:rPr>
            <w:t>计量与支付</w:t>
          </w:r>
          <w:r>
            <w:rPr>
              <w:color w:val="auto"/>
            </w:rPr>
            <w:tab/>
          </w:r>
          <w:r>
            <w:rPr>
              <w:color w:val="auto"/>
            </w:rPr>
            <w:fldChar w:fldCharType="begin"/>
          </w:r>
          <w:r>
            <w:rPr>
              <w:color w:val="auto"/>
            </w:rPr>
            <w:instrText xml:space="preserve"> PAGEREF _Toc8423 \h </w:instrText>
          </w:r>
          <w:r>
            <w:rPr>
              <w:color w:val="auto"/>
            </w:rPr>
            <w:fldChar w:fldCharType="separate"/>
          </w:r>
          <w:r>
            <w:rPr>
              <w:color w:val="auto"/>
            </w:rPr>
            <w:t>- 446 -</w:t>
          </w:r>
          <w:r>
            <w:rPr>
              <w:color w:val="auto"/>
            </w:rPr>
            <w:fldChar w:fldCharType="end"/>
          </w:r>
          <w:r>
            <w:rPr>
              <w:color w:val="auto"/>
            </w:rPr>
            <w:fldChar w:fldCharType="end"/>
          </w:r>
        </w:p>
        <w:p w14:paraId="3D083FA4">
          <w:pPr>
            <w:pStyle w:val="17"/>
            <w:tabs>
              <w:tab w:val="right" w:leader="dot" w:pos="8925"/>
            </w:tabs>
            <w:rPr>
              <w:color w:val="auto"/>
            </w:rPr>
          </w:pPr>
          <w:r>
            <w:fldChar w:fldCharType="begin"/>
          </w:r>
          <w:r>
            <w:instrText xml:space="preserve"> HYPERLINK \l "_Toc5063" </w:instrText>
          </w:r>
          <w:r>
            <w:fldChar w:fldCharType="separate"/>
          </w:r>
          <w:r>
            <w:rPr>
              <w:rFonts w:ascii="黑体" w:hAnsi="黑体" w:eastAsia="黑体" w:cs="黑体"/>
              <w:bCs/>
              <w:color w:val="auto"/>
              <w:szCs w:val="48"/>
              <w:lang w:eastAsia="zh-CN"/>
            </w:rPr>
            <w:t>第四卷</w:t>
          </w:r>
          <w:r>
            <w:rPr>
              <w:color w:val="auto"/>
            </w:rPr>
            <w:tab/>
          </w:r>
          <w:r>
            <w:rPr>
              <w:color w:val="auto"/>
            </w:rPr>
            <w:fldChar w:fldCharType="begin"/>
          </w:r>
          <w:r>
            <w:rPr>
              <w:color w:val="auto"/>
            </w:rPr>
            <w:instrText xml:space="preserve"> PAGEREF _Toc5063 \h </w:instrText>
          </w:r>
          <w:r>
            <w:rPr>
              <w:color w:val="auto"/>
            </w:rPr>
            <w:fldChar w:fldCharType="separate"/>
          </w:r>
          <w:r>
            <w:rPr>
              <w:color w:val="auto"/>
            </w:rPr>
            <w:t>- 448 -</w:t>
          </w:r>
          <w:r>
            <w:rPr>
              <w:color w:val="auto"/>
            </w:rPr>
            <w:fldChar w:fldCharType="end"/>
          </w:r>
          <w:r>
            <w:rPr>
              <w:color w:val="auto"/>
            </w:rPr>
            <w:fldChar w:fldCharType="end"/>
          </w:r>
        </w:p>
        <w:p w14:paraId="007E4CAD">
          <w:pPr>
            <w:pStyle w:val="17"/>
            <w:tabs>
              <w:tab w:val="right" w:leader="dot" w:pos="8925"/>
            </w:tabs>
            <w:rPr>
              <w:color w:val="auto"/>
            </w:rPr>
          </w:pPr>
          <w:r>
            <w:fldChar w:fldCharType="begin"/>
          </w:r>
          <w:r>
            <w:instrText xml:space="preserve"> HYPERLINK \l "_Toc29295" </w:instrText>
          </w:r>
          <w:r>
            <w:fldChar w:fldCharType="separate"/>
          </w:r>
          <w:r>
            <w:rPr>
              <w:rFonts w:ascii="宋体" w:hAnsi="宋体" w:eastAsia="宋体" w:cs="宋体"/>
              <w:bCs/>
              <w:color w:val="auto"/>
              <w:spacing w:val="-4"/>
              <w:szCs w:val="36"/>
              <w:lang w:eastAsia="zh-CN"/>
            </w:rPr>
            <w:t>第八章</w:t>
          </w:r>
          <w:r>
            <w:rPr>
              <w:rFonts w:hint="eastAsia" w:ascii="宋体" w:hAnsi="宋体" w:eastAsia="宋体" w:cs="宋体"/>
              <w:color w:val="auto"/>
              <w:spacing w:val="-4"/>
              <w:szCs w:val="36"/>
              <w:lang w:eastAsia="zh-CN"/>
            </w:rPr>
            <w:t>　</w:t>
          </w:r>
          <w:r>
            <w:rPr>
              <w:rFonts w:ascii="宋体" w:hAnsi="宋体" w:eastAsia="宋体" w:cs="宋体"/>
              <w:bCs/>
              <w:color w:val="auto"/>
              <w:spacing w:val="-4"/>
              <w:szCs w:val="36"/>
              <w:lang w:eastAsia="zh-CN"/>
            </w:rPr>
            <w:t>投标文件格式</w:t>
          </w:r>
          <w:r>
            <w:rPr>
              <w:color w:val="auto"/>
            </w:rPr>
            <w:tab/>
          </w:r>
          <w:r>
            <w:rPr>
              <w:color w:val="auto"/>
            </w:rPr>
            <w:fldChar w:fldCharType="begin"/>
          </w:r>
          <w:r>
            <w:rPr>
              <w:color w:val="auto"/>
            </w:rPr>
            <w:instrText xml:space="preserve"> PAGEREF _Toc29295 \h </w:instrText>
          </w:r>
          <w:r>
            <w:rPr>
              <w:color w:val="auto"/>
            </w:rPr>
            <w:fldChar w:fldCharType="separate"/>
          </w:r>
          <w:r>
            <w:rPr>
              <w:color w:val="auto"/>
            </w:rPr>
            <w:t>- 449 -</w:t>
          </w:r>
          <w:r>
            <w:rPr>
              <w:color w:val="auto"/>
            </w:rPr>
            <w:fldChar w:fldCharType="end"/>
          </w:r>
          <w:r>
            <w:rPr>
              <w:color w:val="auto"/>
            </w:rPr>
            <w:fldChar w:fldCharType="end"/>
          </w:r>
        </w:p>
        <w:p w14:paraId="08503103">
          <w:pPr>
            <w:pStyle w:val="18"/>
            <w:tabs>
              <w:tab w:val="right" w:leader="dot" w:pos="8925"/>
            </w:tabs>
            <w:rPr>
              <w:color w:val="auto"/>
            </w:rPr>
          </w:pPr>
          <w:r>
            <w:fldChar w:fldCharType="begin"/>
          </w:r>
          <w:r>
            <w:instrText xml:space="preserve"> HYPERLINK \l "_Toc4619" </w:instrText>
          </w:r>
          <w:r>
            <w:fldChar w:fldCharType="separate"/>
          </w:r>
          <w:r>
            <w:rPr>
              <w:rFonts w:ascii="宋体" w:hAnsi="宋体" w:eastAsia="宋体" w:cs="宋体"/>
              <w:color w:val="auto"/>
              <w:spacing w:val="-4"/>
              <w:szCs w:val="24"/>
              <w:lang w:eastAsia="zh-CN"/>
            </w:rPr>
            <w:t>（</w:t>
          </w:r>
          <w:r>
            <w:rPr>
              <w:rFonts w:hint="eastAsia" w:ascii="宋体" w:hAnsi="宋体" w:eastAsia="宋体" w:cs="宋体"/>
              <w:color w:val="auto"/>
              <w:spacing w:val="-4"/>
              <w:szCs w:val="24"/>
              <w:lang w:eastAsia="zh-CN"/>
            </w:rPr>
            <w:t>资格审查资料</w:t>
          </w:r>
          <w:r>
            <w:rPr>
              <w:rFonts w:ascii="宋体" w:hAnsi="宋体" w:eastAsia="宋体" w:cs="宋体"/>
              <w:color w:val="auto"/>
              <w:spacing w:val="-4"/>
              <w:szCs w:val="24"/>
              <w:lang w:eastAsia="zh-CN"/>
            </w:rPr>
            <w:t>）</w:t>
          </w:r>
          <w:r>
            <w:rPr>
              <w:color w:val="auto"/>
            </w:rPr>
            <w:tab/>
          </w:r>
          <w:r>
            <w:rPr>
              <w:color w:val="auto"/>
            </w:rPr>
            <w:fldChar w:fldCharType="begin"/>
          </w:r>
          <w:r>
            <w:rPr>
              <w:color w:val="auto"/>
            </w:rPr>
            <w:instrText xml:space="preserve"> PAGEREF _Toc4619 \h </w:instrText>
          </w:r>
          <w:r>
            <w:rPr>
              <w:color w:val="auto"/>
            </w:rPr>
            <w:fldChar w:fldCharType="separate"/>
          </w:r>
          <w:r>
            <w:rPr>
              <w:color w:val="auto"/>
            </w:rPr>
            <w:t>- 450 -</w:t>
          </w:r>
          <w:r>
            <w:rPr>
              <w:color w:val="auto"/>
            </w:rPr>
            <w:fldChar w:fldCharType="end"/>
          </w:r>
          <w:r>
            <w:rPr>
              <w:color w:val="auto"/>
            </w:rPr>
            <w:fldChar w:fldCharType="end"/>
          </w:r>
        </w:p>
        <w:p w14:paraId="0775015B">
          <w:pPr>
            <w:pStyle w:val="19"/>
            <w:tabs>
              <w:tab w:val="right" w:leader="dot" w:pos="8925"/>
            </w:tabs>
            <w:rPr>
              <w:color w:val="auto"/>
            </w:rPr>
          </w:pPr>
          <w:r>
            <w:fldChar w:fldCharType="begin"/>
          </w:r>
          <w:r>
            <w:instrText xml:space="preserve"> HYPERLINK \l "_Toc7213" </w:instrText>
          </w:r>
          <w:r>
            <w:fldChar w:fldCharType="separate"/>
          </w:r>
          <w:r>
            <w:rPr>
              <w:rFonts w:ascii="宋体" w:hAnsi="宋体" w:eastAsia="宋体" w:cs="宋体"/>
              <w:bCs/>
              <w:color w:val="auto"/>
              <w:spacing w:val="-6"/>
              <w:szCs w:val="28"/>
            </w:rPr>
            <w:t>资格审查目录</w:t>
          </w:r>
          <w:r>
            <w:rPr>
              <w:color w:val="auto"/>
            </w:rPr>
            <w:tab/>
          </w:r>
          <w:r>
            <w:rPr>
              <w:color w:val="auto"/>
            </w:rPr>
            <w:fldChar w:fldCharType="begin"/>
          </w:r>
          <w:r>
            <w:rPr>
              <w:color w:val="auto"/>
            </w:rPr>
            <w:instrText xml:space="preserve"> PAGEREF _Toc7213 \h </w:instrText>
          </w:r>
          <w:r>
            <w:rPr>
              <w:color w:val="auto"/>
            </w:rPr>
            <w:fldChar w:fldCharType="separate"/>
          </w:r>
          <w:r>
            <w:rPr>
              <w:color w:val="auto"/>
            </w:rPr>
            <w:t>- 453 -</w:t>
          </w:r>
          <w:r>
            <w:rPr>
              <w:color w:val="auto"/>
            </w:rPr>
            <w:fldChar w:fldCharType="end"/>
          </w:r>
          <w:r>
            <w:rPr>
              <w:color w:val="auto"/>
            </w:rPr>
            <w:fldChar w:fldCharType="end"/>
          </w:r>
        </w:p>
        <w:p w14:paraId="2EC1C70E">
          <w:pPr>
            <w:pStyle w:val="19"/>
            <w:tabs>
              <w:tab w:val="right" w:leader="dot" w:pos="8925"/>
            </w:tabs>
            <w:rPr>
              <w:color w:val="auto"/>
            </w:rPr>
          </w:pPr>
          <w:r>
            <w:fldChar w:fldCharType="begin"/>
          </w:r>
          <w:r>
            <w:instrText xml:space="preserve"> HYPERLINK \l "_Toc12246" </w:instrText>
          </w:r>
          <w:r>
            <w:fldChar w:fldCharType="separate"/>
          </w:r>
          <w:r>
            <w:rPr>
              <w:rFonts w:ascii="宋体" w:hAnsi="宋体" w:eastAsia="宋体" w:cs="宋体"/>
              <w:bCs/>
              <w:color w:val="auto"/>
              <w:spacing w:val="-4"/>
              <w:szCs w:val="28"/>
              <w:lang w:eastAsia="zh-CN"/>
            </w:rPr>
            <w:t>一、法定代表人身份证明、授权委托书（若有）</w:t>
          </w:r>
          <w:r>
            <w:rPr>
              <w:color w:val="auto"/>
            </w:rPr>
            <w:tab/>
          </w:r>
          <w:r>
            <w:rPr>
              <w:color w:val="auto"/>
            </w:rPr>
            <w:fldChar w:fldCharType="begin"/>
          </w:r>
          <w:r>
            <w:rPr>
              <w:color w:val="auto"/>
            </w:rPr>
            <w:instrText xml:space="preserve"> PAGEREF _Toc12246 \h </w:instrText>
          </w:r>
          <w:r>
            <w:rPr>
              <w:color w:val="auto"/>
            </w:rPr>
            <w:fldChar w:fldCharType="separate"/>
          </w:r>
          <w:r>
            <w:rPr>
              <w:color w:val="auto"/>
            </w:rPr>
            <w:t>- 454 -</w:t>
          </w:r>
          <w:r>
            <w:rPr>
              <w:color w:val="auto"/>
            </w:rPr>
            <w:fldChar w:fldCharType="end"/>
          </w:r>
          <w:r>
            <w:rPr>
              <w:color w:val="auto"/>
            </w:rPr>
            <w:fldChar w:fldCharType="end"/>
          </w:r>
        </w:p>
        <w:p w14:paraId="5AFE2EC0">
          <w:pPr>
            <w:pStyle w:val="19"/>
            <w:tabs>
              <w:tab w:val="right" w:leader="dot" w:pos="8925"/>
            </w:tabs>
            <w:rPr>
              <w:color w:val="auto"/>
            </w:rPr>
          </w:pPr>
          <w:r>
            <w:fldChar w:fldCharType="begin"/>
          </w:r>
          <w:r>
            <w:instrText xml:space="preserve"> HYPERLINK \l "_Toc22501" </w:instrText>
          </w:r>
          <w:r>
            <w:fldChar w:fldCharType="separate"/>
          </w:r>
          <w:r>
            <w:rPr>
              <w:rFonts w:ascii="宋体" w:hAnsi="宋体" w:eastAsia="宋体" w:cs="宋体"/>
              <w:bCs/>
              <w:strike/>
              <w:color w:val="auto"/>
              <w:szCs w:val="28"/>
              <w:lang w:eastAsia="zh-CN"/>
            </w:rPr>
            <w:t>二、联合体协议书</w:t>
          </w:r>
          <w:r>
            <w:rPr>
              <w:color w:val="auto"/>
            </w:rPr>
            <w:tab/>
          </w:r>
          <w:r>
            <w:rPr>
              <w:color w:val="auto"/>
            </w:rPr>
            <w:fldChar w:fldCharType="begin"/>
          </w:r>
          <w:r>
            <w:rPr>
              <w:color w:val="auto"/>
            </w:rPr>
            <w:instrText xml:space="preserve"> PAGEREF _Toc22501 \h </w:instrText>
          </w:r>
          <w:r>
            <w:rPr>
              <w:color w:val="auto"/>
            </w:rPr>
            <w:fldChar w:fldCharType="separate"/>
          </w:r>
          <w:r>
            <w:rPr>
              <w:color w:val="auto"/>
            </w:rPr>
            <w:t>- 456 -</w:t>
          </w:r>
          <w:r>
            <w:rPr>
              <w:color w:val="auto"/>
            </w:rPr>
            <w:fldChar w:fldCharType="end"/>
          </w:r>
          <w:r>
            <w:rPr>
              <w:color w:val="auto"/>
            </w:rPr>
            <w:fldChar w:fldCharType="end"/>
          </w:r>
        </w:p>
        <w:p w14:paraId="645468F5">
          <w:pPr>
            <w:pStyle w:val="19"/>
            <w:tabs>
              <w:tab w:val="right" w:leader="dot" w:pos="8925"/>
            </w:tabs>
            <w:rPr>
              <w:color w:val="auto"/>
            </w:rPr>
          </w:pPr>
          <w:r>
            <w:fldChar w:fldCharType="begin"/>
          </w:r>
          <w:r>
            <w:instrText xml:space="preserve"> HYPERLINK \l "_Toc2825" </w:instrText>
          </w:r>
          <w:r>
            <w:fldChar w:fldCharType="separate"/>
          </w:r>
          <w:r>
            <w:rPr>
              <w:rFonts w:ascii="宋体" w:hAnsi="宋体" w:eastAsia="宋体" w:cs="宋体"/>
              <w:bCs/>
              <w:color w:val="auto"/>
              <w:szCs w:val="28"/>
              <w:lang w:eastAsia="zh-CN"/>
            </w:rPr>
            <w:t>三、投标保证金</w:t>
          </w:r>
          <w:r>
            <w:rPr>
              <w:color w:val="auto"/>
            </w:rPr>
            <w:tab/>
          </w:r>
          <w:r>
            <w:rPr>
              <w:color w:val="auto"/>
            </w:rPr>
            <w:fldChar w:fldCharType="begin"/>
          </w:r>
          <w:r>
            <w:rPr>
              <w:color w:val="auto"/>
            </w:rPr>
            <w:instrText xml:space="preserve"> PAGEREF _Toc2825 \h </w:instrText>
          </w:r>
          <w:r>
            <w:rPr>
              <w:color w:val="auto"/>
            </w:rPr>
            <w:fldChar w:fldCharType="separate"/>
          </w:r>
          <w:r>
            <w:rPr>
              <w:color w:val="auto"/>
            </w:rPr>
            <w:t>- 457 -</w:t>
          </w:r>
          <w:r>
            <w:rPr>
              <w:color w:val="auto"/>
            </w:rPr>
            <w:fldChar w:fldCharType="end"/>
          </w:r>
          <w:r>
            <w:rPr>
              <w:color w:val="auto"/>
            </w:rPr>
            <w:fldChar w:fldCharType="end"/>
          </w:r>
        </w:p>
        <w:p w14:paraId="154B6210">
          <w:pPr>
            <w:pStyle w:val="19"/>
            <w:tabs>
              <w:tab w:val="right" w:leader="dot" w:pos="8925"/>
            </w:tabs>
            <w:rPr>
              <w:color w:val="auto"/>
            </w:rPr>
          </w:pPr>
          <w:r>
            <w:fldChar w:fldCharType="begin"/>
          </w:r>
          <w:r>
            <w:instrText xml:space="preserve"> HYPERLINK \l "_Toc12889" </w:instrText>
          </w:r>
          <w:r>
            <w:fldChar w:fldCharType="separate"/>
          </w:r>
          <w:r>
            <w:rPr>
              <w:rFonts w:hint="eastAsia" w:ascii="宋体" w:hAnsi="宋体" w:eastAsia="宋体" w:cs="宋体"/>
              <w:bCs/>
              <w:color w:val="auto"/>
              <w:spacing w:val="-5"/>
              <w:szCs w:val="28"/>
              <w:lang w:eastAsia="zh-CN"/>
            </w:rPr>
            <w:t>四、资格审查资料</w:t>
          </w:r>
          <w:r>
            <w:rPr>
              <w:color w:val="auto"/>
            </w:rPr>
            <w:tab/>
          </w:r>
          <w:r>
            <w:rPr>
              <w:color w:val="auto"/>
            </w:rPr>
            <w:fldChar w:fldCharType="begin"/>
          </w:r>
          <w:r>
            <w:rPr>
              <w:color w:val="auto"/>
            </w:rPr>
            <w:instrText xml:space="preserve"> PAGEREF _Toc12889 \h </w:instrText>
          </w:r>
          <w:r>
            <w:rPr>
              <w:color w:val="auto"/>
            </w:rPr>
            <w:fldChar w:fldCharType="separate"/>
          </w:r>
          <w:r>
            <w:rPr>
              <w:color w:val="auto"/>
            </w:rPr>
            <w:t>- 458 -</w:t>
          </w:r>
          <w:r>
            <w:rPr>
              <w:color w:val="auto"/>
            </w:rPr>
            <w:fldChar w:fldCharType="end"/>
          </w:r>
          <w:r>
            <w:rPr>
              <w:color w:val="auto"/>
            </w:rPr>
            <w:fldChar w:fldCharType="end"/>
          </w:r>
        </w:p>
        <w:p w14:paraId="07FDB83D">
          <w:pPr>
            <w:pStyle w:val="19"/>
            <w:tabs>
              <w:tab w:val="right" w:leader="dot" w:pos="8925"/>
            </w:tabs>
            <w:rPr>
              <w:color w:val="auto"/>
            </w:rPr>
          </w:pPr>
          <w:r>
            <w:fldChar w:fldCharType="begin"/>
          </w:r>
          <w:r>
            <w:instrText xml:space="preserve"> HYPERLINK \l "_Toc29216" </w:instrText>
          </w:r>
          <w:r>
            <w:fldChar w:fldCharType="separate"/>
          </w:r>
          <w:r>
            <w:rPr>
              <w:rFonts w:hint="eastAsia" w:ascii="宋体" w:hAnsi="宋体" w:eastAsia="宋体" w:cs="宋体"/>
              <w:bCs/>
              <w:color w:val="auto"/>
              <w:spacing w:val="-6"/>
              <w:szCs w:val="28"/>
              <w:lang w:eastAsia="zh-CN"/>
            </w:rPr>
            <w:t>五、其他材料</w:t>
          </w:r>
          <w:r>
            <w:rPr>
              <w:color w:val="auto"/>
            </w:rPr>
            <w:tab/>
          </w:r>
          <w:r>
            <w:rPr>
              <w:color w:val="auto"/>
            </w:rPr>
            <w:fldChar w:fldCharType="begin"/>
          </w:r>
          <w:r>
            <w:rPr>
              <w:color w:val="auto"/>
            </w:rPr>
            <w:instrText xml:space="preserve"> PAGEREF _Toc29216 \h </w:instrText>
          </w:r>
          <w:r>
            <w:rPr>
              <w:color w:val="auto"/>
            </w:rPr>
            <w:fldChar w:fldCharType="separate"/>
          </w:r>
          <w:r>
            <w:rPr>
              <w:color w:val="auto"/>
            </w:rPr>
            <w:t>- 480 -</w:t>
          </w:r>
          <w:r>
            <w:rPr>
              <w:color w:val="auto"/>
            </w:rPr>
            <w:fldChar w:fldCharType="end"/>
          </w:r>
          <w:r>
            <w:rPr>
              <w:color w:val="auto"/>
            </w:rPr>
            <w:fldChar w:fldCharType="end"/>
          </w:r>
        </w:p>
        <w:p w14:paraId="2B91A705">
          <w:pPr>
            <w:pStyle w:val="18"/>
            <w:tabs>
              <w:tab w:val="right" w:leader="dot" w:pos="8925"/>
            </w:tabs>
            <w:rPr>
              <w:color w:val="auto"/>
            </w:rPr>
          </w:pPr>
          <w:r>
            <w:fldChar w:fldCharType="begin"/>
          </w:r>
          <w:r>
            <w:instrText xml:space="preserve"> HYPERLINK \l "_Toc27092" </w:instrText>
          </w:r>
          <w:r>
            <w:fldChar w:fldCharType="separate"/>
          </w:r>
          <w:r>
            <w:rPr>
              <w:rFonts w:ascii="宋体" w:hAnsi="宋体" w:eastAsia="宋体" w:cs="宋体"/>
              <w:color w:val="auto"/>
              <w:spacing w:val="-4"/>
              <w:szCs w:val="24"/>
              <w:lang w:eastAsia="zh-CN"/>
            </w:rPr>
            <w:t>（技术标）</w:t>
          </w:r>
          <w:r>
            <w:rPr>
              <w:color w:val="auto"/>
            </w:rPr>
            <w:tab/>
          </w:r>
          <w:r>
            <w:rPr>
              <w:color w:val="auto"/>
            </w:rPr>
            <w:fldChar w:fldCharType="begin"/>
          </w:r>
          <w:r>
            <w:rPr>
              <w:color w:val="auto"/>
            </w:rPr>
            <w:instrText xml:space="preserve"> PAGEREF _Toc27092 \h </w:instrText>
          </w:r>
          <w:r>
            <w:rPr>
              <w:color w:val="auto"/>
            </w:rPr>
            <w:fldChar w:fldCharType="separate"/>
          </w:r>
          <w:r>
            <w:rPr>
              <w:color w:val="auto"/>
            </w:rPr>
            <w:t>- 485 -</w:t>
          </w:r>
          <w:r>
            <w:rPr>
              <w:color w:val="auto"/>
            </w:rPr>
            <w:fldChar w:fldCharType="end"/>
          </w:r>
          <w:r>
            <w:rPr>
              <w:color w:val="auto"/>
            </w:rPr>
            <w:fldChar w:fldCharType="end"/>
          </w:r>
        </w:p>
        <w:p w14:paraId="0DC140C3">
          <w:pPr>
            <w:pStyle w:val="19"/>
            <w:tabs>
              <w:tab w:val="right" w:leader="dot" w:pos="8925"/>
            </w:tabs>
            <w:rPr>
              <w:color w:val="auto"/>
            </w:rPr>
          </w:pPr>
          <w:r>
            <w:fldChar w:fldCharType="begin"/>
          </w:r>
          <w:r>
            <w:instrText xml:space="preserve"> HYPERLINK \l "_Toc5395" </w:instrText>
          </w:r>
          <w:r>
            <w:fldChar w:fldCharType="separate"/>
          </w:r>
          <w:r>
            <w:rPr>
              <w:rFonts w:ascii="宋体" w:hAnsi="宋体" w:eastAsia="宋体" w:cs="宋体"/>
              <w:bCs/>
              <w:color w:val="auto"/>
              <w:spacing w:val="-5"/>
              <w:szCs w:val="28"/>
              <w:lang w:eastAsia="zh-CN"/>
            </w:rPr>
            <w:t>技术标目录</w:t>
          </w:r>
          <w:r>
            <w:rPr>
              <w:color w:val="auto"/>
            </w:rPr>
            <w:tab/>
          </w:r>
          <w:r>
            <w:rPr>
              <w:color w:val="auto"/>
            </w:rPr>
            <w:fldChar w:fldCharType="begin"/>
          </w:r>
          <w:r>
            <w:rPr>
              <w:color w:val="auto"/>
            </w:rPr>
            <w:instrText xml:space="preserve"> PAGEREF _Toc5395 \h </w:instrText>
          </w:r>
          <w:r>
            <w:rPr>
              <w:color w:val="auto"/>
            </w:rPr>
            <w:fldChar w:fldCharType="separate"/>
          </w:r>
          <w:r>
            <w:rPr>
              <w:color w:val="auto"/>
            </w:rPr>
            <w:t>- 487 -</w:t>
          </w:r>
          <w:r>
            <w:rPr>
              <w:color w:val="auto"/>
            </w:rPr>
            <w:fldChar w:fldCharType="end"/>
          </w:r>
          <w:r>
            <w:rPr>
              <w:color w:val="auto"/>
            </w:rPr>
            <w:fldChar w:fldCharType="end"/>
          </w:r>
        </w:p>
        <w:p w14:paraId="49DE396E">
          <w:pPr>
            <w:pStyle w:val="19"/>
            <w:tabs>
              <w:tab w:val="right" w:leader="dot" w:pos="8925"/>
            </w:tabs>
            <w:rPr>
              <w:color w:val="auto"/>
            </w:rPr>
          </w:pPr>
          <w:r>
            <w:fldChar w:fldCharType="begin"/>
          </w:r>
          <w:r>
            <w:instrText xml:space="preserve"> HYPERLINK \l "_Toc30196" </w:instrText>
          </w:r>
          <w:r>
            <w:fldChar w:fldCharType="separate"/>
          </w:r>
          <w:r>
            <w:rPr>
              <w:rFonts w:hint="eastAsia" w:ascii="宋体" w:hAnsi="宋体" w:eastAsia="宋体" w:cs="宋体"/>
              <w:bCs/>
              <w:color w:val="auto"/>
              <w:spacing w:val="-7"/>
              <w:szCs w:val="28"/>
              <w:lang w:eastAsia="zh-CN"/>
            </w:rPr>
            <w:t>一</w:t>
          </w:r>
          <w:r>
            <w:rPr>
              <w:rFonts w:ascii="宋体" w:hAnsi="宋体" w:eastAsia="宋体" w:cs="宋体"/>
              <w:bCs/>
              <w:color w:val="auto"/>
              <w:spacing w:val="-7"/>
              <w:szCs w:val="28"/>
              <w:lang w:eastAsia="zh-CN"/>
            </w:rPr>
            <w:t>、施工组织设计</w:t>
          </w:r>
          <w:r>
            <w:rPr>
              <w:color w:val="auto"/>
            </w:rPr>
            <w:tab/>
          </w:r>
          <w:r>
            <w:rPr>
              <w:color w:val="auto"/>
            </w:rPr>
            <w:fldChar w:fldCharType="begin"/>
          </w:r>
          <w:r>
            <w:rPr>
              <w:color w:val="auto"/>
            </w:rPr>
            <w:instrText xml:space="preserve"> PAGEREF _Toc30196 \h </w:instrText>
          </w:r>
          <w:r>
            <w:rPr>
              <w:color w:val="auto"/>
            </w:rPr>
            <w:fldChar w:fldCharType="separate"/>
          </w:r>
          <w:r>
            <w:rPr>
              <w:color w:val="auto"/>
            </w:rPr>
            <w:t>- 488 -</w:t>
          </w:r>
          <w:r>
            <w:rPr>
              <w:color w:val="auto"/>
            </w:rPr>
            <w:fldChar w:fldCharType="end"/>
          </w:r>
          <w:r>
            <w:rPr>
              <w:color w:val="auto"/>
            </w:rPr>
            <w:fldChar w:fldCharType="end"/>
          </w:r>
        </w:p>
        <w:p w14:paraId="6D4DFA77">
          <w:pPr>
            <w:pStyle w:val="19"/>
            <w:tabs>
              <w:tab w:val="right" w:leader="dot" w:pos="8925"/>
            </w:tabs>
            <w:rPr>
              <w:color w:val="auto"/>
            </w:rPr>
          </w:pPr>
          <w:r>
            <w:fldChar w:fldCharType="begin"/>
          </w:r>
          <w:r>
            <w:instrText xml:space="preserve"> HYPERLINK \l "_Toc7778" </w:instrText>
          </w:r>
          <w:r>
            <w:fldChar w:fldCharType="separate"/>
          </w:r>
          <w:r>
            <w:rPr>
              <w:rFonts w:hint="eastAsia" w:ascii="宋体" w:hAnsi="宋体" w:eastAsia="宋体" w:cs="宋体"/>
              <w:bCs/>
              <w:color w:val="auto"/>
              <w:spacing w:val="-5"/>
              <w:szCs w:val="28"/>
              <w:lang w:eastAsia="zh-CN"/>
            </w:rPr>
            <w:t>二</w:t>
          </w:r>
          <w:r>
            <w:rPr>
              <w:rFonts w:ascii="宋体" w:hAnsi="宋体" w:eastAsia="宋体" w:cs="宋体"/>
              <w:bCs/>
              <w:color w:val="auto"/>
              <w:spacing w:val="-5"/>
              <w:szCs w:val="28"/>
            </w:rPr>
            <w:t>、拟分包项目情况表</w:t>
          </w:r>
          <w:r>
            <w:rPr>
              <w:color w:val="auto"/>
            </w:rPr>
            <w:tab/>
          </w:r>
          <w:r>
            <w:rPr>
              <w:color w:val="auto"/>
            </w:rPr>
            <w:fldChar w:fldCharType="begin"/>
          </w:r>
          <w:r>
            <w:rPr>
              <w:color w:val="auto"/>
            </w:rPr>
            <w:instrText xml:space="preserve"> PAGEREF _Toc7778 \h </w:instrText>
          </w:r>
          <w:r>
            <w:rPr>
              <w:color w:val="auto"/>
            </w:rPr>
            <w:fldChar w:fldCharType="separate"/>
          </w:r>
          <w:r>
            <w:rPr>
              <w:color w:val="auto"/>
            </w:rPr>
            <w:t>- 496 -</w:t>
          </w:r>
          <w:r>
            <w:rPr>
              <w:color w:val="auto"/>
            </w:rPr>
            <w:fldChar w:fldCharType="end"/>
          </w:r>
          <w:r>
            <w:rPr>
              <w:color w:val="auto"/>
            </w:rPr>
            <w:fldChar w:fldCharType="end"/>
          </w:r>
        </w:p>
        <w:p w14:paraId="638E8856">
          <w:pPr>
            <w:pStyle w:val="18"/>
            <w:tabs>
              <w:tab w:val="right" w:leader="dot" w:pos="8925"/>
            </w:tabs>
            <w:rPr>
              <w:color w:val="auto"/>
            </w:rPr>
          </w:pPr>
          <w:r>
            <w:fldChar w:fldCharType="begin"/>
          </w:r>
          <w:r>
            <w:instrText xml:space="preserve"> HYPERLINK \l "_Toc11031" </w:instrText>
          </w:r>
          <w:r>
            <w:fldChar w:fldCharType="separate"/>
          </w:r>
          <w:r>
            <w:rPr>
              <w:rFonts w:ascii="宋体" w:hAnsi="宋体" w:eastAsia="宋体" w:cs="宋体"/>
              <w:color w:val="auto"/>
              <w:spacing w:val="-4"/>
              <w:szCs w:val="24"/>
              <w:lang w:eastAsia="zh-CN"/>
            </w:rPr>
            <w:t>（资信标）</w:t>
          </w:r>
          <w:r>
            <w:rPr>
              <w:color w:val="auto"/>
            </w:rPr>
            <w:tab/>
          </w:r>
          <w:r>
            <w:rPr>
              <w:color w:val="auto"/>
            </w:rPr>
            <w:fldChar w:fldCharType="begin"/>
          </w:r>
          <w:r>
            <w:rPr>
              <w:color w:val="auto"/>
            </w:rPr>
            <w:instrText xml:space="preserve"> PAGEREF _Toc11031 \h </w:instrText>
          </w:r>
          <w:r>
            <w:rPr>
              <w:color w:val="auto"/>
            </w:rPr>
            <w:fldChar w:fldCharType="separate"/>
          </w:r>
          <w:r>
            <w:rPr>
              <w:color w:val="auto"/>
            </w:rPr>
            <w:t>- 497 -</w:t>
          </w:r>
          <w:r>
            <w:rPr>
              <w:color w:val="auto"/>
            </w:rPr>
            <w:fldChar w:fldCharType="end"/>
          </w:r>
          <w:r>
            <w:rPr>
              <w:color w:val="auto"/>
            </w:rPr>
            <w:fldChar w:fldCharType="end"/>
          </w:r>
        </w:p>
        <w:p w14:paraId="6E1134AA">
          <w:pPr>
            <w:pStyle w:val="19"/>
            <w:tabs>
              <w:tab w:val="right" w:leader="dot" w:pos="8925"/>
            </w:tabs>
            <w:rPr>
              <w:color w:val="auto"/>
            </w:rPr>
          </w:pPr>
          <w:r>
            <w:fldChar w:fldCharType="begin"/>
          </w:r>
          <w:r>
            <w:instrText xml:space="preserve"> HYPERLINK \l "_Toc32105" </w:instrText>
          </w:r>
          <w:r>
            <w:fldChar w:fldCharType="separate"/>
          </w:r>
          <w:r>
            <w:rPr>
              <w:rFonts w:ascii="宋体" w:hAnsi="宋体" w:eastAsia="宋体" w:cs="宋体"/>
              <w:bCs/>
              <w:color w:val="auto"/>
              <w:spacing w:val="-7"/>
              <w:szCs w:val="28"/>
            </w:rPr>
            <w:t>资信标目录</w:t>
          </w:r>
          <w:r>
            <w:rPr>
              <w:color w:val="auto"/>
            </w:rPr>
            <w:tab/>
          </w:r>
          <w:r>
            <w:rPr>
              <w:color w:val="auto"/>
            </w:rPr>
            <w:fldChar w:fldCharType="begin"/>
          </w:r>
          <w:r>
            <w:rPr>
              <w:color w:val="auto"/>
            </w:rPr>
            <w:instrText xml:space="preserve"> PAGEREF _Toc32105 \h </w:instrText>
          </w:r>
          <w:r>
            <w:rPr>
              <w:color w:val="auto"/>
            </w:rPr>
            <w:fldChar w:fldCharType="separate"/>
          </w:r>
          <w:r>
            <w:rPr>
              <w:color w:val="auto"/>
            </w:rPr>
            <w:t>- 499 -</w:t>
          </w:r>
          <w:r>
            <w:rPr>
              <w:color w:val="auto"/>
            </w:rPr>
            <w:fldChar w:fldCharType="end"/>
          </w:r>
          <w:r>
            <w:rPr>
              <w:color w:val="auto"/>
            </w:rPr>
            <w:fldChar w:fldCharType="end"/>
          </w:r>
        </w:p>
        <w:p w14:paraId="251E4D67">
          <w:pPr>
            <w:pStyle w:val="19"/>
            <w:tabs>
              <w:tab w:val="right" w:leader="dot" w:pos="8925"/>
            </w:tabs>
            <w:rPr>
              <w:color w:val="auto"/>
            </w:rPr>
          </w:pPr>
          <w:r>
            <w:fldChar w:fldCharType="begin"/>
          </w:r>
          <w:r>
            <w:instrText xml:space="preserve"> HYPERLINK \l "_Toc15825" </w:instrText>
          </w:r>
          <w:r>
            <w:fldChar w:fldCharType="separate"/>
          </w:r>
          <w:r>
            <w:rPr>
              <w:rFonts w:ascii="宋体" w:hAnsi="宋体" w:eastAsia="宋体" w:cs="宋体"/>
              <w:bCs/>
              <w:color w:val="auto"/>
              <w:spacing w:val="-6"/>
              <w:szCs w:val="28"/>
              <w:lang w:eastAsia="zh-CN"/>
            </w:rPr>
            <w:t>一、企业信用等级</w:t>
          </w:r>
          <w:r>
            <w:rPr>
              <w:color w:val="auto"/>
            </w:rPr>
            <w:tab/>
          </w:r>
          <w:r>
            <w:rPr>
              <w:color w:val="auto"/>
            </w:rPr>
            <w:fldChar w:fldCharType="begin"/>
          </w:r>
          <w:r>
            <w:rPr>
              <w:color w:val="auto"/>
            </w:rPr>
            <w:instrText xml:space="preserve"> PAGEREF _Toc15825 \h </w:instrText>
          </w:r>
          <w:r>
            <w:rPr>
              <w:color w:val="auto"/>
            </w:rPr>
            <w:fldChar w:fldCharType="separate"/>
          </w:r>
          <w:r>
            <w:rPr>
              <w:color w:val="auto"/>
            </w:rPr>
            <w:t>- 500 -</w:t>
          </w:r>
          <w:r>
            <w:rPr>
              <w:color w:val="auto"/>
            </w:rPr>
            <w:fldChar w:fldCharType="end"/>
          </w:r>
          <w:r>
            <w:rPr>
              <w:color w:val="auto"/>
            </w:rPr>
            <w:fldChar w:fldCharType="end"/>
          </w:r>
        </w:p>
        <w:p w14:paraId="168C34C6">
          <w:pPr>
            <w:pStyle w:val="19"/>
            <w:tabs>
              <w:tab w:val="right" w:leader="dot" w:pos="8925"/>
            </w:tabs>
            <w:rPr>
              <w:color w:val="auto"/>
            </w:rPr>
          </w:pPr>
          <w:r>
            <w:fldChar w:fldCharType="begin"/>
          </w:r>
          <w:r>
            <w:instrText xml:space="preserve"> HYPERLINK \l "_Toc13422" </w:instrText>
          </w:r>
          <w:r>
            <w:fldChar w:fldCharType="separate"/>
          </w:r>
          <w:r>
            <w:rPr>
              <w:rFonts w:ascii="宋体" w:hAnsi="宋体" w:eastAsia="宋体" w:cs="宋体"/>
              <w:bCs/>
              <w:color w:val="auto"/>
              <w:spacing w:val="-4"/>
              <w:szCs w:val="28"/>
            </w:rPr>
            <w:t>三、其他材料</w:t>
          </w:r>
          <w:r>
            <w:rPr>
              <w:color w:val="auto"/>
            </w:rPr>
            <w:tab/>
          </w:r>
          <w:r>
            <w:rPr>
              <w:color w:val="auto"/>
            </w:rPr>
            <w:fldChar w:fldCharType="begin"/>
          </w:r>
          <w:r>
            <w:rPr>
              <w:color w:val="auto"/>
            </w:rPr>
            <w:instrText xml:space="preserve"> PAGEREF _Toc13422 \h </w:instrText>
          </w:r>
          <w:r>
            <w:rPr>
              <w:color w:val="auto"/>
            </w:rPr>
            <w:fldChar w:fldCharType="separate"/>
          </w:r>
          <w:r>
            <w:rPr>
              <w:color w:val="auto"/>
            </w:rPr>
            <w:t>- 503 -</w:t>
          </w:r>
          <w:r>
            <w:rPr>
              <w:color w:val="auto"/>
            </w:rPr>
            <w:fldChar w:fldCharType="end"/>
          </w:r>
          <w:r>
            <w:rPr>
              <w:color w:val="auto"/>
            </w:rPr>
            <w:fldChar w:fldCharType="end"/>
          </w:r>
        </w:p>
        <w:p w14:paraId="1BD146EE">
          <w:pPr>
            <w:pStyle w:val="19"/>
            <w:tabs>
              <w:tab w:val="right" w:leader="dot" w:pos="8925"/>
            </w:tabs>
            <w:rPr>
              <w:color w:val="auto"/>
            </w:rPr>
          </w:pPr>
          <w:r>
            <w:fldChar w:fldCharType="begin"/>
          </w:r>
          <w:r>
            <w:instrText xml:space="preserve"> HYPERLINK \l "_Toc20298" </w:instrText>
          </w:r>
          <w:r>
            <w:fldChar w:fldCharType="separate"/>
          </w:r>
          <w:r>
            <w:rPr>
              <w:rFonts w:ascii="宋体" w:hAnsi="宋体" w:eastAsia="宋体" w:cs="宋体"/>
              <w:bCs/>
              <w:color w:val="auto"/>
              <w:spacing w:val="-7"/>
              <w:szCs w:val="28"/>
            </w:rPr>
            <w:t>四、原件的复制件</w:t>
          </w:r>
          <w:r>
            <w:rPr>
              <w:color w:val="auto"/>
            </w:rPr>
            <w:tab/>
          </w:r>
          <w:r>
            <w:rPr>
              <w:color w:val="auto"/>
            </w:rPr>
            <w:fldChar w:fldCharType="begin"/>
          </w:r>
          <w:r>
            <w:rPr>
              <w:color w:val="auto"/>
            </w:rPr>
            <w:instrText xml:space="preserve"> PAGEREF _Toc20298 \h </w:instrText>
          </w:r>
          <w:r>
            <w:rPr>
              <w:color w:val="auto"/>
            </w:rPr>
            <w:fldChar w:fldCharType="separate"/>
          </w:r>
          <w:r>
            <w:rPr>
              <w:color w:val="auto"/>
            </w:rPr>
            <w:t>- 504 -</w:t>
          </w:r>
          <w:r>
            <w:rPr>
              <w:color w:val="auto"/>
            </w:rPr>
            <w:fldChar w:fldCharType="end"/>
          </w:r>
          <w:r>
            <w:rPr>
              <w:color w:val="auto"/>
            </w:rPr>
            <w:fldChar w:fldCharType="end"/>
          </w:r>
        </w:p>
        <w:p w14:paraId="469AD860">
          <w:pPr>
            <w:pStyle w:val="18"/>
            <w:tabs>
              <w:tab w:val="right" w:leader="dot" w:pos="8925"/>
            </w:tabs>
            <w:rPr>
              <w:color w:val="auto"/>
            </w:rPr>
          </w:pPr>
          <w:r>
            <w:fldChar w:fldCharType="begin"/>
          </w:r>
          <w:r>
            <w:instrText xml:space="preserve"> HYPERLINK \l "_Toc20489" </w:instrText>
          </w:r>
          <w:r>
            <w:fldChar w:fldCharType="separate"/>
          </w:r>
          <w:r>
            <w:rPr>
              <w:rFonts w:ascii="宋体" w:hAnsi="宋体" w:eastAsia="宋体" w:cs="宋体"/>
              <w:color w:val="auto"/>
              <w:spacing w:val="-4"/>
              <w:szCs w:val="24"/>
              <w:lang w:eastAsia="zh-CN"/>
            </w:rPr>
            <w:t>（商务标）</w:t>
          </w:r>
          <w:r>
            <w:rPr>
              <w:color w:val="auto"/>
            </w:rPr>
            <w:tab/>
          </w:r>
          <w:r>
            <w:rPr>
              <w:color w:val="auto"/>
            </w:rPr>
            <w:fldChar w:fldCharType="begin"/>
          </w:r>
          <w:r>
            <w:rPr>
              <w:color w:val="auto"/>
            </w:rPr>
            <w:instrText xml:space="preserve"> PAGEREF _Toc20489 \h </w:instrText>
          </w:r>
          <w:r>
            <w:rPr>
              <w:color w:val="auto"/>
            </w:rPr>
            <w:fldChar w:fldCharType="separate"/>
          </w:r>
          <w:r>
            <w:rPr>
              <w:color w:val="auto"/>
            </w:rPr>
            <w:t>- 508 -</w:t>
          </w:r>
          <w:r>
            <w:rPr>
              <w:color w:val="auto"/>
            </w:rPr>
            <w:fldChar w:fldCharType="end"/>
          </w:r>
          <w:r>
            <w:rPr>
              <w:color w:val="auto"/>
            </w:rPr>
            <w:fldChar w:fldCharType="end"/>
          </w:r>
        </w:p>
        <w:p w14:paraId="3D6BB264">
          <w:pPr>
            <w:pStyle w:val="19"/>
            <w:tabs>
              <w:tab w:val="right" w:leader="dot" w:pos="8925"/>
            </w:tabs>
            <w:rPr>
              <w:color w:val="auto"/>
            </w:rPr>
          </w:pPr>
          <w:r>
            <w:fldChar w:fldCharType="begin"/>
          </w:r>
          <w:r>
            <w:instrText xml:space="preserve"> HYPERLINK \l "_Toc12679" </w:instrText>
          </w:r>
          <w:r>
            <w:fldChar w:fldCharType="separate"/>
          </w:r>
          <w:r>
            <w:rPr>
              <w:rFonts w:ascii="宋体" w:hAnsi="宋体" w:eastAsia="宋体" w:cs="宋体"/>
              <w:bCs/>
              <w:color w:val="auto"/>
              <w:spacing w:val="-5"/>
              <w:szCs w:val="28"/>
              <w:lang w:eastAsia="zh-CN"/>
            </w:rPr>
            <w:t>商务标目录</w:t>
          </w:r>
          <w:r>
            <w:rPr>
              <w:color w:val="auto"/>
            </w:rPr>
            <w:tab/>
          </w:r>
          <w:r>
            <w:rPr>
              <w:color w:val="auto"/>
            </w:rPr>
            <w:fldChar w:fldCharType="begin"/>
          </w:r>
          <w:r>
            <w:rPr>
              <w:color w:val="auto"/>
            </w:rPr>
            <w:instrText xml:space="preserve"> PAGEREF _Toc12679 \h </w:instrText>
          </w:r>
          <w:r>
            <w:rPr>
              <w:color w:val="auto"/>
            </w:rPr>
            <w:fldChar w:fldCharType="separate"/>
          </w:r>
          <w:r>
            <w:rPr>
              <w:color w:val="auto"/>
            </w:rPr>
            <w:t>- 509 -</w:t>
          </w:r>
          <w:r>
            <w:rPr>
              <w:color w:val="auto"/>
            </w:rPr>
            <w:fldChar w:fldCharType="end"/>
          </w:r>
          <w:r>
            <w:rPr>
              <w:color w:val="auto"/>
            </w:rPr>
            <w:fldChar w:fldCharType="end"/>
          </w:r>
        </w:p>
        <w:p w14:paraId="67A78629">
          <w:pPr>
            <w:pStyle w:val="19"/>
            <w:tabs>
              <w:tab w:val="right" w:leader="dot" w:pos="8925"/>
            </w:tabs>
            <w:rPr>
              <w:color w:val="auto"/>
            </w:rPr>
          </w:pPr>
          <w:r>
            <w:fldChar w:fldCharType="begin"/>
          </w:r>
          <w:r>
            <w:instrText xml:space="preserve"> HYPERLINK \l "_Toc6863" </w:instrText>
          </w:r>
          <w:r>
            <w:fldChar w:fldCharType="separate"/>
          </w:r>
          <w:r>
            <w:rPr>
              <w:rFonts w:ascii="宋体" w:hAnsi="宋体" w:eastAsia="宋体" w:cs="宋体"/>
              <w:bCs/>
              <w:color w:val="auto"/>
              <w:spacing w:val="-5"/>
              <w:szCs w:val="28"/>
              <w:lang w:eastAsia="zh-CN"/>
            </w:rPr>
            <w:t>一、投标函及投标函附录</w:t>
          </w:r>
          <w:r>
            <w:rPr>
              <w:color w:val="auto"/>
            </w:rPr>
            <w:tab/>
          </w:r>
          <w:r>
            <w:rPr>
              <w:color w:val="auto"/>
            </w:rPr>
            <w:fldChar w:fldCharType="begin"/>
          </w:r>
          <w:r>
            <w:rPr>
              <w:color w:val="auto"/>
            </w:rPr>
            <w:instrText xml:space="preserve"> PAGEREF _Toc6863 \h </w:instrText>
          </w:r>
          <w:r>
            <w:rPr>
              <w:color w:val="auto"/>
            </w:rPr>
            <w:fldChar w:fldCharType="separate"/>
          </w:r>
          <w:r>
            <w:rPr>
              <w:color w:val="auto"/>
            </w:rPr>
            <w:t>- 510 -</w:t>
          </w:r>
          <w:r>
            <w:rPr>
              <w:color w:val="auto"/>
            </w:rPr>
            <w:fldChar w:fldCharType="end"/>
          </w:r>
          <w:r>
            <w:rPr>
              <w:color w:val="auto"/>
            </w:rPr>
            <w:fldChar w:fldCharType="end"/>
          </w:r>
        </w:p>
        <w:p w14:paraId="20D2B8F3">
          <w:pPr>
            <w:pStyle w:val="19"/>
            <w:tabs>
              <w:tab w:val="right" w:leader="dot" w:pos="8925"/>
            </w:tabs>
            <w:rPr>
              <w:color w:val="auto"/>
            </w:rPr>
          </w:pPr>
          <w:r>
            <w:fldChar w:fldCharType="begin"/>
          </w:r>
          <w:r>
            <w:instrText xml:space="preserve"> HYPERLINK \l "_Toc19165" </w:instrText>
          </w:r>
          <w:r>
            <w:fldChar w:fldCharType="separate"/>
          </w:r>
          <w:r>
            <w:rPr>
              <w:rFonts w:ascii="宋体" w:hAnsi="宋体" w:eastAsia="宋体" w:cs="宋体"/>
              <w:bCs/>
              <w:color w:val="auto"/>
              <w:spacing w:val="-5"/>
              <w:szCs w:val="28"/>
            </w:rPr>
            <w:t>二、已标价工程量清单</w:t>
          </w:r>
          <w:r>
            <w:rPr>
              <w:color w:val="auto"/>
            </w:rPr>
            <w:tab/>
          </w:r>
          <w:r>
            <w:rPr>
              <w:color w:val="auto"/>
            </w:rPr>
            <w:fldChar w:fldCharType="begin"/>
          </w:r>
          <w:r>
            <w:rPr>
              <w:color w:val="auto"/>
            </w:rPr>
            <w:instrText xml:space="preserve"> PAGEREF _Toc19165 \h </w:instrText>
          </w:r>
          <w:r>
            <w:rPr>
              <w:color w:val="auto"/>
            </w:rPr>
            <w:fldChar w:fldCharType="separate"/>
          </w:r>
          <w:r>
            <w:rPr>
              <w:color w:val="auto"/>
            </w:rPr>
            <w:t>- 513 -</w:t>
          </w:r>
          <w:r>
            <w:rPr>
              <w:color w:val="auto"/>
            </w:rPr>
            <w:fldChar w:fldCharType="end"/>
          </w:r>
          <w:r>
            <w:rPr>
              <w:color w:val="auto"/>
            </w:rPr>
            <w:fldChar w:fldCharType="end"/>
          </w:r>
        </w:p>
        <w:p w14:paraId="4F0E04E3">
          <w:pPr>
            <w:pStyle w:val="19"/>
            <w:tabs>
              <w:tab w:val="right" w:leader="dot" w:pos="8925"/>
            </w:tabs>
            <w:rPr>
              <w:color w:val="auto"/>
            </w:rPr>
          </w:pPr>
          <w:r>
            <w:fldChar w:fldCharType="begin"/>
          </w:r>
          <w:r>
            <w:instrText xml:space="preserve"> HYPERLINK \l "_Toc30578" </w:instrText>
          </w:r>
          <w:r>
            <w:fldChar w:fldCharType="separate"/>
          </w:r>
          <w:r>
            <w:rPr>
              <w:rFonts w:ascii="宋体" w:hAnsi="宋体" w:eastAsia="宋体" w:cs="宋体"/>
              <w:bCs/>
              <w:color w:val="auto"/>
              <w:spacing w:val="-4"/>
              <w:szCs w:val="28"/>
            </w:rPr>
            <w:t>三、其他材料</w:t>
          </w:r>
          <w:r>
            <w:rPr>
              <w:color w:val="auto"/>
            </w:rPr>
            <w:tab/>
          </w:r>
          <w:r>
            <w:rPr>
              <w:color w:val="auto"/>
            </w:rPr>
            <w:fldChar w:fldCharType="begin"/>
          </w:r>
          <w:r>
            <w:rPr>
              <w:color w:val="auto"/>
            </w:rPr>
            <w:instrText xml:space="preserve"> PAGEREF _Toc30578 \h </w:instrText>
          </w:r>
          <w:r>
            <w:rPr>
              <w:color w:val="auto"/>
            </w:rPr>
            <w:fldChar w:fldCharType="separate"/>
          </w:r>
          <w:r>
            <w:rPr>
              <w:color w:val="auto"/>
            </w:rPr>
            <w:t>- 533 -</w:t>
          </w:r>
          <w:r>
            <w:rPr>
              <w:color w:val="auto"/>
            </w:rPr>
            <w:fldChar w:fldCharType="end"/>
          </w:r>
          <w:r>
            <w:rPr>
              <w:color w:val="auto"/>
            </w:rPr>
            <w:fldChar w:fldCharType="end"/>
          </w:r>
        </w:p>
        <w:p w14:paraId="67DE64A9">
          <w:pPr>
            <w:pStyle w:val="19"/>
            <w:ind w:left="0" w:leftChars="0"/>
            <w:rPr>
              <w:color w:val="auto"/>
            </w:rPr>
          </w:pPr>
          <w:r>
            <w:rPr>
              <w:color w:val="auto"/>
            </w:rPr>
            <w:fldChar w:fldCharType="end"/>
          </w:r>
        </w:p>
      </w:sdtContent>
    </w:sdt>
    <w:p w14:paraId="59C88C52">
      <w:pPr>
        <w:rPr>
          <w:color w:val="auto"/>
        </w:rPr>
      </w:pPr>
    </w:p>
    <w:p w14:paraId="7DBC1953">
      <w:pPr>
        <w:pStyle w:val="8"/>
        <w:spacing w:line="247" w:lineRule="auto"/>
        <w:rPr>
          <w:color w:val="auto"/>
        </w:rPr>
        <w:sectPr>
          <w:footerReference r:id="rId4" w:type="default"/>
          <w:pgSz w:w="11907" w:h="16841"/>
          <w:pgMar w:top="1431" w:right="1358" w:bottom="1254" w:left="1624" w:header="0" w:footer="1093" w:gutter="0"/>
          <w:pgNumType w:fmt="upperRoman" w:start="1"/>
          <w:cols w:space="720" w:num="1"/>
        </w:sectPr>
      </w:pPr>
    </w:p>
    <w:p w14:paraId="342488CD">
      <w:pPr>
        <w:pStyle w:val="8"/>
        <w:spacing w:line="247" w:lineRule="auto"/>
        <w:rPr>
          <w:color w:val="auto"/>
        </w:rPr>
      </w:pPr>
    </w:p>
    <w:p w14:paraId="78A0FFDA">
      <w:pPr>
        <w:pStyle w:val="8"/>
        <w:spacing w:line="247" w:lineRule="auto"/>
        <w:rPr>
          <w:color w:val="auto"/>
        </w:rPr>
      </w:pPr>
    </w:p>
    <w:p w14:paraId="5384572A">
      <w:pPr>
        <w:pStyle w:val="8"/>
        <w:spacing w:line="247" w:lineRule="auto"/>
        <w:rPr>
          <w:color w:val="auto"/>
        </w:rPr>
      </w:pPr>
    </w:p>
    <w:p w14:paraId="1710C199">
      <w:pPr>
        <w:pStyle w:val="8"/>
        <w:spacing w:line="247" w:lineRule="auto"/>
        <w:rPr>
          <w:color w:val="auto"/>
        </w:rPr>
      </w:pPr>
    </w:p>
    <w:p w14:paraId="78DFCE2A">
      <w:pPr>
        <w:pStyle w:val="8"/>
        <w:spacing w:line="247" w:lineRule="auto"/>
        <w:rPr>
          <w:color w:val="auto"/>
        </w:rPr>
      </w:pPr>
    </w:p>
    <w:p w14:paraId="3CF51B51">
      <w:pPr>
        <w:pStyle w:val="8"/>
        <w:spacing w:line="247" w:lineRule="auto"/>
        <w:rPr>
          <w:color w:val="auto"/>
        </w:rPr>
      </w:pPr>
    </w:p>
    <w:p w14:paraId="2225C839">
      <w:pPr>
        <w:pStyle w:val="8"/>
        <w:spacing w:line="247" w:lineRule="auto"/>
        <w:rPr>
          <w:color w:val="auto"/>
        </w:rPr>
      </w:pPr>
    </w:p>
    <w:p w14:paraId="1E7EE55C">
      <w:pPr>
        <w:pStyle w:val="8"/>
        <w:spacing w:line="247" w:lineRule="auto"/>
        <w:rPr>
          <w:color w:val="auto"/>
        </w:rPr>
      </w:pPr>
    </w:p>
    <w:p w14:paraId="0531CC2C">
      <w:pPr>
        <w:pStyle w:val="8"/>
        <w:spacing w:line="247" w:lineRule="auto"/>
        <w:rPr>
          <w:color w:val="auto"/>
        </w:rPr>
      </w:pPr>
    </w:p>
    <w:p w14:paraId="62726DFA">
      <w:pPr>
        <w:pStyle w:val="8"/>
        <w:spacing w:line="247" w:lineRule="auto"/>
        <w:rPr>
          <w:color w:val="auto"/>
        </w:rPr>
      </w:pPr>
    </w:p>
    <w:p w14:paraId="5AF20049">
      <w:pPr>
        <w:pStyle w:val="8"/>
        <w:spacing w:line="248" w:lineRule="auto"/>
        <w:rPr>
          <w:color w:val="auto"/>
        </w:rPr>
      </w:pPr>
    </w:p>
    <w:p w14:paraId="1101E303">
      <w:pPr>
        <w:pStyle w:val="8"/>
        <w:spacing w:line="248" w:lineRule="auto"/>
        <w:rPr>
          <w:color w:val="auto"/>
        </w:rPr>
      </w:pPr>
    </w:p>
    <w:p w14:paraId="106EB28C">
      <w:pPr>
        <w:pStyle w:val="8"/>
        <w:spacing w:line="248" w:lineRule="auto"/>
        <w:rPr>
          <w:color w:val="auto"/>
        </w:rPr>
      </w:pPr>
    </w:p>
    <w:p w14:paraId="01C47124">
      <w:pPr>
        <w:pStyle w:val="8"/>
        <w:spacing w:line="248" w:lineRule="auto"/>
        <w:rPr>
          <w:color w:val="auto"/>
        </w:rPr>
      </w:pPr>
    </w:p>
    <w:p w14:paraId="6835221B">
      <w:pPr>
        <w:pStyle w:val="8"/>
        <w:spacing w:line="248" w:lineRule="auto"/>
        <w:rPr>
          <w:color w:val="auto"/>
        </w:rPr>
      </w:pPr>
    </w:p>
    <w:p w14:paraId="596A5035">
      <w:pPr>
        <w:pStyle w:val="8"/>
        <w:spacing w:line="248" w:lineRule="auto"/>
        <w:rPr>
          <w:color w:val="auto"/>
        </w:rPr>
      </w:pPr>
    </w:p>
    <w:p w14:paraId="5E93EF66">
      <w:pPr>
        <w:pStyle w:val="8"/>
        <w:spacing w:line="248" w:lineRule="auto"/>
        <w:rPr>
          <w:color w:val="auto"/>
        </w:rPr>
      </w:pPr>
    </w:p>
    <w:p w14:paraId="6C53F657">
      <w:pPr>
        <w:pStyle w:val="8"/>
        <w:spacing w:line="248" w:lineRule="auto"/>
        <w:rPr>
          <w:color w:val="auto"/>
        </w:rPr>
      </w:pPr>
    </w:p>
    <w:p w14:paraId="6C1E6316">
      <w:pPr>
        <w:pStyle w:val="8"/>
        <w:spacing w:line="248" w:lineRule="auto"/>
        <w:rPr>
          <w:color w:val="auto"/>
        </w:rPr>
      </w:pPr>
    </w:p>
    <w:p w14:paraId="64CC2A04">
      <w:pPr>
        <w:pStyle w:val="8"/>
        <w:spacing w:line="248" w:lineRule="auto"/>
        <w:rPr>
          <w:color w:val="auto"/>
        </w:rPr>
      </w:pPr>
    </w:p>
    <w:p w14:paraId="0774D25E">
      <w:pPr>
        <w:spacing w:before="156" w:line="360" w:lineRule="auto"/>
        <w:jc w:val="center"/>
        <w:outlineLvl w:val="0"/>
        <w:rPr>
          <w:rFonts w:hint="eastAsia" w:ascii="黑体" w:hAnsi="黑体" w:eastAsia="黑体" w:cs="黑体"/>
          <w:color w:val="auto"/>
          <w:sz w:val="48"/>
          <w:szCs w:val="48"/>
          <w:lang w:eastAsia="zh-CN"/>
        </w:rPr>
      </w:pPr>
      <w:bookmarkStart w:id="0" w:name="bookmark2"/>
      <w:bookmarkEnd w:id="0"/>
      <w:bookmarkStart w:id="1" w:name="_Toc19095"/>
      <w:bookmarkStart w:id="2" w:name="_Toc28971"/>
      <w:bookmarkStart w:id="3" w:name="_Toc28180"/>
      <w:bookmarkStart w:id="4" w:name="_Toc30976"/>
      <w:r>
        <w:rPr>
          <w:rFonts w:ascii="黑体" w:hAnsi="黑体" w:eastAsia="黑体" w:cs="黑体"/>
          <w:b/>
          <w:bCs/>
          <w:color w:val="auto"/>
          <w:sz w:val="48"/>
          <w:szCs w:val="48"/>
          <w:lang w:eastAsia="zh-CN"/>
        </w:rPr>
        <w:t>第一卷</w:t>
      </w:r>
      <w:bookmarkEnd w:id="1"/>
      <w:bookmarkEnd w:id="2"/>
      <w:bookmarkEnd w:id="3"/>
      <w:bookmarkEnd w:id="4"/>
    </w:p>
    <w:p w14:paraId="27B71DBE">
      <w:pPr>
        <w:rPr>
          <w:rFonts w:hint="eastAsia" w:ascii="黑体" w:hAnsi="黑体" w:eastAsia="黑体" w:cs="黑体"/>
          <w:color w:val="auto"/>
          <w:sz w:val="48"/>
          <w:szCs w:val="48"/>
          <w:lang w:eastAsia="zh-CN"/>
        </w:rPr>
      </w:pPr>
      <w:r>
        <w:rPr>
          <w:rFonts w:ascii="黑体" w:hAnsi="黑体" w:eastAsia="黑体" w:cs="黑体"/>
          <w:color w:val="auto"/>
          <w:sz w:val="48"/>
          <w:szCs w:val="48"/>
          <w:lang w:eastAsia="zh-CN"/>
        </w:rPr>
        <w:br w:type="page"/>
      </w:r>
    </w:p>
    <w:p w14:paraId="36FCC157">
      <w:pPr>
        <w:widowControl w:val="0"/>
        <w:kinsoku/>
        <w:wordWrap w:val="0"/>
        <w:topLinePunct/>
        <w:autoSpaceDE/>
        <w:autoSpaceDN/>
        <w:spacing w:line="360" w:lineRule="auto"/>
        <w:jc w:val="center"/>
        <w:outlineLvl w:val="0"/>
        <w:rPr>
          <w:rFonts w:hint="eastAsia" w:ascii="宋体" w:hAnsi="宋体" w:eastAsia="宋体" w:cs="宋体"/>
          <w:b/>
          <w:bCs/>
          <w:color w:val="auto"/>
          <w:sz w:val="36"/>
          <w:szCs w:val="36"/>
          <w:lang w:eastAsia="zh-CN"/>
        </w:rPr>
      </w:pPr>
      <w:bookmarkStart w:id="5" w:name="bookmark3"/>
      <w:bookmarkEnd w:id="5"/>
      <w:bookmarkStart w:id="6" w:name="bookmark4"/>
      <w:bookmarkEnd w:id="6"/>
      <w:bookmarkStart w:id="7" w:name="_Toc10905"/>
      <w:bookmarkStart w:id="8" w:name="_Toc27625"/>
      <w:bookmarkStart w:id="9" w:name="_Toc13209"/>
      <w:bookmarkStart w:id="10" w:name="_Toc31327"/>
      <w:r>
        <w:rPr>
          <w:rFonts w:ascii="宋体" w:hAnsi="宋体" w:eastAsia="宋体" w:cs="宋体"/>
          <w:b/>
          <w:bCs/>
          <w:color w:val="auto"/>
          <w:sz w:val="36"/>
          <w:szCs w:val="36"/>
          <w:lang w:eastAsia="zh-CN"/>
        </w:rPr>
        <w:t>第一章</w:t>
      </w:r>
      <w:r>
        <w:rPr>
          <w:rFonts w:hint="eastAsia" w:ascii="宋体" w:hAnsi="宋体" w:eastAsia="宋体" w:cs="宋体"/>
          <w:b/>
          <w:bCs/>
          <w:color w:val="auto"/>
          <w:sz w:val="36"/>
          <w:szCs w:val="36"/>
          <w:lang w:eastAsia="zh-CN"/>
        </w:rPr>
        <w:t>　</w:t>
      </w:r>
      <w:r>
        <w:rPr>
          <w:rFonts w:ascii="宋体" w:hAnsi="宋体" w:eastAsia="宋体" w:cs="宋体"/>
          <w:b/>
          <w:bCs/>
          <w:color w:val="auto"/>
          <w:sz w:val="36"/>
          <w:szCs w:val="36"/>
          <w:lang w:eastAsia="zh-CN"/>
        </w:rPr>
        <w:t>招标公告（适用于资格后审招标）</w:t>
      </w:r>
      <w:bookmarkEnd w:id="7"/>
      <w:bookmarkEnd w:id="8"/>
      <w:bookmarkEnd w:id="9"/>
      <w:bookmarkEnd w:id="10"/>
    </w:p>
    <w:p w14:paraId="1991ECBE">
      <w:pPr>
        <w:tabs>
          <w:tab w:val="left" w:pos="2622"/>
        </w:tabs>
        <w:spacing w:line="360" w:lineRule="auto"/>
        <w:jc w:val="center"/>
        <w:rPr>
          <w:rFonts w:hint="eastAsia" w:ascii="宋体" w:hAnsi="宋体" w:eastAsia="宋体" w:cs="宋体"/>
          <w:b/>
          <w:bCs/>
          <w:i/>
          <w:iCs/>
          <w:color w:val="auto"/>
          <w:sz w:val="24"/>
          <w:szCs w:val="24"/>
          <w:lang w:eastAsia="zh-CN"/>
        </w:rPr>
      </w:pPr>
      <w:r>
        <w:rPr>
          <w:rFonts w:hint="eastAsia" w:ascii="宋体" w:hAnsi="宋体" w:eastAsia="宋体" w:cs="宋体"/>
          <w:b/>
          <w:bCs/>
          <w:color w:val="auto"/>
          <w:sz w:val="24"/>
          <w:szCs w:val="24"/>
          <w:u w:val="single"/>
          <w:lang w:eastAsia="zh-CN"/>
        </w:rPr>
        <w:t>绍兴市柯桥区新三江闸排涝泵站及配套河道拓浚工程</w:t>
      </w:r>
      <w:r>
        <w:rPr>
          <w:rFonts w:hint="eastAsia" w:ascii="宋体" w:hAnsi="宋体" w:eastAsia="宋体" w:cs="宋体"/>
          <w:b/>
          <w:bCs/>
          <w:i/>
          <w:iCs/>
          <w:color w:val="auto"/>
          <w:sz w:val="24"/>
          <w:szCs w:val="24"/>
          <w:lang w:eastAsia="zh-CN"/>
        </w:rPr>
        <w:t>（项目名称）</w:t>
      </w:r>
    </w:p>
    <w:p w14:paraId="0E33E91A">
      <w:pPr>
        <w:tabs>
          <w:tab w:val="left" w:pos="2622"/>
        </w:tabs>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u w:val="single"/>
          <w:lang w:eastAsia="zh-CN"/>
        </w:rPr>
        <w:t>泵站施工标</w:t>
      </w:r>
      <w:r>
        <w:rPr>
          <w:rFonts w:hint="eastAsia" w:ascii="宋体" w:hAnsi="宋体" w:eastAsia="宋体" w:cs="宋体"/>
          <w:b/>
          <w:bCs/>
          <w:i/>
          <w:iCs/>
          <w:color w:val="auto"/>
          <w:sz w:val="24"/>
          <w:szCs w:val="24"/>
          <w:u w:val="single"/>
          <w:lang w:eastAsia="zh-CN"/>
        </w:rPr>
        <w:t>（标段名称）</w:t>
      </w:r>
      <w:r>
        <w:rPr>
          <w:rFonts w:ascii="宋体" w:hAnsi="宋体" w:eastAsia="宋体" w:cs="宋体"/>
          <w:b/>
          <w:bCs/>
          <w:color w:val="auto"/>
          <w:sz w:val="24"/>
          <w:szCs w:val="24"/>
          <w:lang w:eastAsia="zh-CN"/>
        </w:rPr>
        <w:t>招标公告</w:t>
      </w:r>
    </w:p>
    <w:p w14:paraId="78824722">
      <w:pPr>
        <w:pStyle w:val="8"/>
        <w:widowControl w:val="0"/>
        <w:kinsoku/>
        <w:topLinePunct/>
        <w:autoSpaceDE/>
        <w:autoSpaceDN/>
        <w:spacing w:line="480" w:lineRule="exact"/>
        <w:jc w:val="both"/>
        <w:rPr>
          <w:color w:val="auto"/>
          <w:lang w:eastAsia="zh-CN"/>
        </w:rPr>
      </w:pPr>
    </w:p>
    <w:p w14:paraId="38EFE880">
      <w:pPr>
        <w:widowControl w:val="0"/>
        <w:kinsoku/>
        <w:topLinePunct/>
        <w:autoSpaceDE/>
        <w:autoSpaceDN/>
        <w:spacing w:line="480" w:lineRule="exact"/>
        <w:jc w:val="both"/>
        <w:outlineLvl w:val="1"/>
        <w:rPr>
          <w:rFonts w:hint="eastAsia" w:ascii="宋体" w:hAnsi="宋体" w:eastAsia="宋体" w:cs="宋体"/>
          <w:color w:val="auto"/>
          <w:sz w:val="28"/>
          <w:szCs w:val="28"/>
          <w:lang w:eastAsia="zh-CN"/>
        </w:rPr>
      </w:pPr>
      <w:bookmarkStart w:id="11" w:name="bookmark663"/>
      <w:bookmarkEnd w:id="11"/>
      <w:bookmarkStart w:id="12" w:name="_Toc5237"/>
      <w:bookmarkStart w:id="13" w:name="_Toc11202"/>
      <w:bookmarkStart w:id="14" w:name="_Toc6784"/>
      <w:bookmarkStart w:id="15" w:name="_Toc1823"/>
      <w:r>
        <w:rPr>
          <w:rFonts w:ascii="Times New Roman" w:hAnsi="Times New Roman" w:eastAsia="Times New Roman" w:cs="Times New Roman"/>
          <w:b/>
          <w:bCs/>
          <w:color w:val="auto"/>
          <w:sz w:val="28"/>
          <w:szCs w:val="28"/>
          <w:lang w:eastAsia="zh-CN"/>
        </w:rPr>
        <w:t>1</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招标条件</w:t>
      </w:r>
      <w:bookmarkEnd w:id="12"/>
      <w:bookmarkEnd w:id="13"/>
      <w:bookmarkEnd w:id="14"/>
      <w:bookmarkEnd w:id="15"/>
    </w:p>
    <w:p w14:paraId="66B747CC">
      <w:pPr>
        <w:widowControl w:val="0"/>
        <w:kinsoku/>
        <w:topLinePunct/>
        <w:autoSpaceDE/>
        <w:autoSpaceDN/>
        <w:spacing w:line="480" w:lineRule="exact"/>
        <w:ind w:firstLine="476"/>
        <w:jc w:val="both"/>
        <w:rPr>
          <w:rFonts w:hint="eastAsia" w:ascii="宋体" w:hAnsi="宋体" w:eastAsia="宋体" w:cs="宋体"/>
          <w:color w:val="auto"/>
          <w:sz w:val="24"/>
          <w:szCs w:val="24"/>
          <w:u w:val="single"/>
          <w:lang w:eastAsia="zh-CN"/>
        </w:rPr>
      </w:pPr>
      <w:r>
        <w:rPr>
          <w:rFonts w:ascii="宋体" w:hAnsi="宋体" w:eastAsia="宋体" w:cs="宋体"/>
          <w:color w:val="auto"/>
          <w:sz w:val="24"/>
          <w:szCs w:val="24"/>
          <w:lang w:eastAsia="zh-CN"/>
        </w:rPr>
        <w:t>本招标项目</w:t>
      </w:r>
      <w:r>
        <w:rPr>
          <w:rFonts w:hint="eastAsia" w:ascii="宋体" w:hAnsi="宋体" w:eastAsia="宋体" w:cs="宋体"/>
          <w:color w:val="auto"/>
          <w:sz w:val="24"/>
          <w:szCs w:val="24"/>
          <w:u w:val="single"/>
          <w:lang w:eastAsia="zh-CN"/>
        </w:rPr>
        <w:t>绍兴市柯桥区新三江闸排涝泵站及配套河道拓浚工程</w:t>
      </w:r>
      <w:r>
        <w:rPr>
          <w:rFonts w:hint="eastAsia" w:ascii="宋体" w:hAnsi="宋体" w:eastAsia="宋体" w:cs="宋体"/>
          <w:i/>
          <w:iCs/>
          <w:color w:val="auto"/>
          <w:sz w:val="24"/>
          <w:szCs w:val="24"/>
          <w:lang w:eastAsia="zh-CN"/>
        </w:rPr>
        <w:t>（项目名称）</w:t>
      </w:r>
      <w:r>
        <w:rPr>
          <w:rFonts w:ascii="宋体" w:hAnsi="宋体" w:eastAsia="宋体" w:cs="宋体"/>
          <w:color w:val="auto"/>
          <w:sz w:val="24"/>
          <w:szCs w:val="24"/>
          <w:lang w:eastAsia="zh-CN"/>
        </w:rPr>
        <w:t>已由</w:t>
      </w:r>
      <w:r>
        <w:rPr>
          <w:rFonts w:hint="eastAsia" w:ascii="宋体" w:hAnsi="宋体" w:eastAsia="宋体" w:cs="宋体"/>
          <w:color w:val="auto"/>
          <w:sz w:val="24"/>
          <w:szCs w:val="24"/>
          <w:u w:val="single"/>
          <w:lang w:eastAsia="zh-CN"/>
        </w:rPr>
        <w:t>浙江省发展和改革委员会</w:t>
      </w:r>
      <w:r>
        <w:rPr>
          <w:rFonts w:hint="eastAsia" w:ascii="宋体" w:hAnsi="宋体" w:eastAsia="宋体" w:cs="宋体"/>
          <w:i/>
          <w:iCs/>
          <w:color w:val="auto"/>
          <w:sz w:val="24"/>
          <w:szCs w:val="24"/>
          <w:lang w:eastAsia="zh-CN"/>
        </w:rPr>
        <w:t>（项目审批、核准或备案机关名称）</w:t>
      </w:r>
      <w:r>
        <w:rPr>
          <w:rFonts w:ascii="宋体" w:hAnsi="宋体" w:eastAsia="宋体" w:cs="宋体"/>
          <w:color w:val="auto"/>
          <w:sz w:val="24"/>
          <w:szCs w:val="24"/>
          <w:lang w:eastAsia="zh-CN"/>
        </w:rPr>
        <w:t>以</w:t>
      </w:r>
      <w:r>
        <w:rPr>
          <w:rFonts w:hint="eastAsia" w:ascii="宋体" w:hAnsi="宋体" w:eastAsia="宋体" w:cs="宋体"/>
          <w:color w:val="auto"/>
          <w:sz w:val="24"/>
          <w:szCs w:val="24"/>
          <w:u w:val="single"/>
          <w:lang w:eastAsia="zh-CN"/>
        </w:rPr>
        <w:t>浙发改项字〔2025〕207号</w:t>
      </w:r>
      <w:r>
        <w:rPr>
          <w:rFonts w:hint="eastAsia" w:ascii="宋体" w:hAnsi="宋体" w:eastAsia="宋体" w:cs="宋体"/>
          <w:i/>
          <w:iCs/>
          <w:color w:val="auto"/>
          <w:sz w:val="24"/>
          <w:szCs w:val="24"/>
          <w:lang w:eastAsia="zh-CN"/>
        </w:rPr>
        <w:t>（批文名称及编号）</w:t>
      </w:r>
      <w:r>
        <w:rPr>
          <w:rFonts w:ascii="宋体" w:hAnsi="宋体" w:eastAsia="宋体" w:cs="宋体"/>
          <w:color w:val="auto"/>
          <w:sz w:val="24"/>
          <w:szCs w:val="24"/>
          <w:lang w:eastAsia="zh-CN"/>
        </w:rPr>
        <w:t>批准建设，建设资金来自</w:t>
      </w:r>
      <w:r>
        <w:rPr>
          <w:rFonts w:hint="eastAsia" w:ascii="宋体" w:hAnsi="宋体" w:eastAsia="宋体" w:cs="宋体"/>
          <w:color w:val="auto"/>
          <w:sz w:val="24"/>
          <w:szCs w:val="24"/>
          <w:u w:val="single"/>
          <w:lang w:eastAsia="zh-CN"/>
        </w:rPr>
        <w:t>财政资金</w:t>
      </w:r>
      <w:r>
        <w:rPr>
          <w:rFonts w:hint="eastAsia" w:ascii="宋体" w:hAnsi="宋体" w:eastAsia="宋体" w:cs="宋体"/>
          <w:i/>
          <w:iCs/>
          <w:color w:val="auto"/>
          <w:sz w:val="24"/>
          <w:szCs w:val="24"/>
          <w:lang w:eastAsia="zh-CN"/>
        </w:rPr>
        <w:t>（资金来源）</w:t>
      </w:r>
      <w:r>
        <w:rPr>
          <w:rFonts w:ascii="宋体" w:hAnsi="宋体" w:eastAsia="宋体" w:cs="宋体"/>
          <w:color w:val="auto"/>
          <w:sz w:val="24"/>
          <w:szCs w:val="24"/>
          <w:lang w:eastAsia="zh-CN"/>
        </w:rPr>
        <w:t>，项目出资比例为</w:t>
      </w:r>
      <w:r>
        <w:rPr>
          <w:rFonts w:hint="eastAsia" w:ascii="宋体" w:hAnsi="宋体" w:eastAsia="宋体" w:cs="宋体"/>
          <w:color w:val="auto"/>
          <w:sz w:val="24"/>
          <w:szCs w:val="24"/>
          <w:u w:val="single"/>
          <w:lang w:eastAsia="zh-CN"/>
        </w:rPr>
        <w:t>100%</w:t>
      </w:r>
      <w:r>
        <w:rPr>
          <w:rFonts w:ascii="宋体" w:hAnsi="宋体" w:eastAsia="宋体" w:cs="宋体"/>
          <w:color w:val="auto"/>
          <w:sz w:val="24"/>
          <w:szCs w:val="24"/>
          <w:lang w:eastAsia="zh-CN"/>
        </w:rPr>
        <w:t>，项目法人为</w:t>
      </w:r>
      <w:r>
        <w:rPr>
          <w:rFonts w:hint="eastAsia" w:ascii="宋体" w:hAnsi="宋体" w:eastAsia="宋体" w:cs="宋体"/>
          <w:color w:val="auto"/>
          <w:sz w:val="24"/>
          <w:szCs w:val="24"/>
          <w:u w:val="single"/>
          <w:lang w:eastAsia="zh-CN"/>
        </w:rPr>
        <w:t>绍兴市柯桥区水利投资开发有限公司</w:t>
      </w:r>
      <w:r>
        <w:rPr>
          <w:rFonts w:ascii="宋体" w:hAnsi="宋体" w:eastAsia="宋体" w:cs="宋体"/>
          <w:color w:val="auto"/>
          <w:sz w:val="24"/>
          <w:szCs w:val="24"/>
          <w:lang w:eastAsia="zh-CN"/>
        </w:rPr>
        <w:t>，招标人为</w:t>
      </w:r>
      <w:r>
        <w:rPr>
          <w:rFonts w:hint="eastAsia" w:ascii="宋体" w:hAnsi="宋体" w:eastAsia="宋体" w:cs="宋体"/>
          <w:color w:val="auto"/>
          <w:sz w:val="24"/>
          <w:szCs w:val="24"/>
          <w:u w:val="single"/>
          <w:lang w:eastAsia="zh-CN"/>
        </w:rPr>
        <w:t>绍兴市柯桥区水利投资开发有限公司</w:t>
      </w:r>
      <w:r>
        <w:rPr>
          <w:rFonts w:ascii="宋体" w:hAnsi="宋体" w:eastAsia="宋体" w:cs="宋体"/>
          <w:color w:val="auto"/>
          <w:sz w:val="24"/>
          <w:szCs w:val="24"/>
          <w:lang w:eastAsia="zh-CN"/>
        </w:rPr>
        <w:t>，招标代理机构为</w:t>
      </w:r>
      <w:r>
        <w:rPr>
          <w:rFonts w:hint="eastAsia" w:ascii="宋体" w:hAnsi="宋体" w:eastAsia="宋体" w:cs="宋体"/>
          <w:color w:val="auto"/>
          <w:sz w:val="24"/>
          <w:szCs w:val="24"/>
          <w:u w:val="single"/>
          <w:lang w:eastAsia="zh-CN"/>
        </w:rPr>
        <w:t>浙江中际工程项目管理有限公司</w:t>
      </w:r>
      <w:r>
        <w:rPr>
          <w:rFonts w:ascii="宋体" w:hAnsi="宋体" w:eastAsia="宋体" w:cs="宋体"/>
          <w:color w:val="auto"/>
          <w:sz w:val="24"/>
          <w:szCs w:val="24"/>
          <w:lang w:eastAsia="zh-CN"/>
        </w:rPr>
        <w:t>。项目已具备招标条件，现对该项目</w:t>
      </w:r>
      <w:r>
        <w:rPr>
          <w:rFonts w:hint="eastAsia" w:ascii="宋体" w:hAnsi="宋体" w:eastAsia="宋体" w:cs="宋体"/>
          <w:color w:val="auto"/>
          <w:sz w:val="24"/>
          <w:szCs w:val="24"/>
          <w:u w:val="single"/>
          <w:lang w:eastAsia="zh-CN"/>
        </w:rPr>
        <w:t>泵站施工标</w:t>
      </w:r>
      <w:r>
        <w:rPr>
          <w:rFonts w:hint="eastAsia" w:ascii="宋体" w:hAnsi="宋体" w:eastAsia="宋体" w:cs="宋体"/>
          <w:i/>
          <w:iCs/>
          <w:color w:val="auto"/>
          <w:sz w:val="24"/>
          <w:szCs w:val="24"/>
          <w:lang w:eastAsia="zh-CN"/>
        </w:rPr>
        <w:t>（标段名称）</w:t>
      </w:r>
      <w:r>
        <w:rPr>
          <w:rFonts w:ascii="宋体" w:hAnsi="宋体" w:eastAsia="宋体" w:cs="宋体"/>
          <w:color w:val="auto"/>
          <w:sz w:val="24"/>
          <w:szCs w:val="24"/>
          <w:lang w:eastAsia="zh-CN"/>
        </w:rPr>
        <w:t>进行公开招标。</w:t>
      </w:r>
    </w:p>
    <w:p w14:paraId="204A3A06">
      <w:pPr>
        <w:widowControl w:val="0"/>
        <w:kinsoku/>
        <w:topLinePunct/>
        <w:autoSpaceDE/>
        <w:autoSpaceDN/>
        <w:spacing w:line="480" w:lineRule="exact"/>
        <w:ind w:left="35"/>
        <w:jc w:val="both"/>
        <w:outlineLvl w:val="1"/>
        <w:rPr>
          <w:rFonts w:hint="eastAsia" w:ascii="宋体" w:hAnsi="宋体" w:eastAsia="宋体" w:cs="宋体"/>
          <w:color w:val="auto"/>
          <w:sz w:val="28"/>
          <w:szCs w:val="28"/>
          <w:lang w:eastAsia="zh-CN"/>
        </w:rPr>
      </w:pPr>
      <w:bookmarkStart w:id="16" w:name="bookmark5"/>
      <w:bookmarkEnd w:id="16"/>
      <w:bookmarkStart w:id="17" w:name="_Toc24285"/>
      <w:bookmarkStart w:id="18" w:name="_Toc3766"/>
      <w:bookmarkStart w:id="19" w:name="_Toc938"/>
      <w:bookmarkStart w:id="20" w:name="_Toc4651"/>
      <w:r>
        <w:rPr>
          <w:rFonts w:ascii="Times New Roman" w:hAnsi="Times New Roman" w:eastAsia="Times New Roman" w:cs="Times New Roman"/>
          <w:b/>
          <w:bCs/>
          <w:color w:val="auto"/>
          <w:sz w:val="28"/>
          <w:szCs w:val="28"/>
          <w:lang w:eastAsia="zh-CN"/>
        </w:rPr>
        <w:t>2</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项目概况与招标范围</w:t>
      </w:r>
      <w:bookmarkEnd w:id="17"/>
      <w:bookmarkEnd w:id="18"/>
      <w:bookmarkEnd w:id="19"/>
      <w:bookmarkEnd w:id="20"/>
    </w:p>
    <w:p w14:paraId="5AA0B4A5">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项目概况：</w:t>
      </w:r>
      <w:r>
        <w:rPr>
          <w:rFonts w:hint="eastAsia" w:ascii="宋体" w:hAnsi="宋体" w:eastAsia="宋体" w:cs="宋体"/>
          <w:color w:val="auto"/>
          <w:sz w:val="24"/>
          <w:szCs w:val="24"/>
          <w:u w:val="single"/>
          <w:lang w:eastAsia="zh-CN"/>
        </w:rPr>
        <w:t>绍兴市柯桥区新三江闸排涝泵站及配套河道拓浚工程位于绍兴市柯桥区马鞍、华舍街道。工程任务以防洪排涝为主，兼顾区域水生态改善。工程主要建设内容及规模：1.水利部分：新建新三江闸排涝泵站1座，设计排涝流量300m</w:t>
      </w:r>
      <w:r>
        <w:rPr>
          <w:rFonts w:hint="eastAsia" w:ascii="宋体" w:hAnsi="宋体" w:eastAsia="宋体" w:cs="宋体"/>
          <w:color w:val="auto"/>
          <w:sz w:val="24"/>
          <w:szCs w:val="24"/>
          <w:u w:val="single"/>
          <w:vertAlign w:val="superscript"/>
          <w:lang w:eastAsia="zh-CN"/>
        </w:rPr>
        <w:t>3</w:t>
      </w:r>
      <w:r>
        <w:rPr>
          <w:rFonts w:hint="eastAsia" w:ascii="宋体" w:hAnsi="宋体" w:eastAsia="宋体" w:cs="宋体"/>
          <w:color w:val="auto"/>
          <w:sz w:val="24"/>
          <w:szCs w:val="24"/>
          <w:u w:val="single"/>
          <w:lang w:eastAsia="zh-CN"/>
        </w:rPr>
        <w:t>/s；拓浚大坂湖直江6.7km，其中拓宽段0.64km；整治余渚桥涵卡口0.42km，疏浚三江大河2.63km；新建水利管理房1座（建筑面积1786m</w:t>
      </w:r>
      <w:r>
        <w:rPr>
          <w:rFonts w:hint="eastAsia" w:ascii="宋体" w:hAnsi="宋体" w:eastAsia="宋体" w:cs="宋体"/>
          <w:color w:val="auto"/>
          <w:sz w:val="24"/>
          <w:szCs w:val="24"/>
          <w:u w:val="single"/>
          <w:vertAlign w:val="superscript"/>
          <w:lang w:eastAsia="zh-CN"/>
        </w:rPr>
        <w:t>2</w:t>
      </w:r>
      <w:r>
        <w:rPr>
          <w:rFonts w:hint="eastAsia" w:ascii="宋体" w:hAnsi="宋体" w:eastAsia="宋体" w:cs="宋体"/>
          <w:color w:val="auto"/>
          <w:sz w:val="24"/>
          <w:szCs w:val="24"/>
          <w:u w:val="single"/>
          <w:lang w:eastAsia="zh-CN"/>
        </w:rPr>
        <w:t>）。2.非水利部分：绿化苗木及种植约15400m</w:t>
      </w:r>
      <w:r>
        <w:rPr>
          <w:rFonts w:hint="eastAsia" w:ascii="宋体" w:hAnsi="宋体" w:eastAsia="宋体" w:cs="宋体"/>
          <w:color w:val="auto"/>
          <w:sz w:val="24"/>
          <w:szCs w:val="24"/>
          <w:u w:val="single"/>
          <w:vertAlign w:val="superscript"/>
          <w:lang w:eastAsia="zh-CN"/>
        </w:rPr>
        <w:t>2</w:t>
      </w:r>
      <w:r>
        <w:rPr>
          <w:rFonts w:hint="eastAsia" w:ascii="宋体" w:hAnsi="宋体" w:eastAsia="宋体" w:cs="宋体"/>
          <w:color w:val="auto"/>
          <w:sz w:val="24"/>
          <w:szCs w:val="24"/>
          <w:u w:val="single"/>
          <w:lang w:eastAsia="zh-CN"/>
        </w:rPr>
        <w:t>，铺装平台2500m</w:t>
      </w:r>
      <w:r>
        <w:rPr>
          <w:rFonts w:hint="eastAsia" w:ascii="宋体" w:hAnsi="宋体" w:eastAsia="宋体" w:cs="宋体"/>
          <w:color w:val="auto"/>
          <w:sz w:val="24"/>
          <w:szCs w:val="24"/>
          <w:u w:val="single"/>
          <w:vertAlign w:val="superscript"/>
          <w:lang w:eastAsia="zh-CN"/>
        </w:rPr>
        <w:t>2</w:t>
      </w:r>
      <w:r>
        <w:rPr>
          <w:rFonts w:hint="eastAsia" w:ascii="宋体" w:hAnsi="宋体" w:eastAsia="宋体" w:cs="宋体"/>
          <w:color w:val="auto"/>
          <w:sz w:val="24"/>
          <w:szCs w:val="24"/>
          <w:u w:val="single"/>
          <w:lang w:eastAsia="zh-CN"/>
        </w:rPr>
        <w:t>等。本工程等别为Ⅰ等。排涝泵站主要建筑物级别为1级，设计洪水标准为100年一遇，校核洪水标准为300年一遇；进水渠建筑物级别为3级，设计洪水标准30年一遇；河道护岸建筑物级别为4级，设计洪水标准为20年一遇。本项目施工工期36个月。</w:t>
      </w:r>
      <w:r>
        <w:rPr>
          <w:rFonts w:hint="eastAsia" w:ascii="宋体" w:hAnsi="宋体" w:eastAsia="宋体" w:cs="宋体"/>
          <w:i/>
          <w:iCs/>
          <w:color w:val="auto"/>
          <w:sz w:val="24"/>
          <w:szCs w:val="24"/>
          <w:u w:val="single"/>
          <w:lang w:eastAsia="zh-CN"/>
        </w:rPr>
        <w:t>（说明项目建设地点、规模、计划工期等）</w:t>
      </w:r>
      <w:r>
        <w:rPr>
          <w:rFonts w:hint="eastAsia" w:ascii="宋体" w:hAnsi="宋体" w:eastAsia="宋体" w:cs="宋体"/>
          <w:color w:val="auto"/>
          <w:sz w:val="24"/>
          <w:szCs w:val="24"/>
          <w:lang w:eastAsia="zh-CN"/>
        </w:rPr>
        <w:t>，</w:t>
      </w:r>
      <w:r>
        <w:rPr>
          <w:rFonts w:ascii="宋体" w:hAnsi="宋体" w:eastAsia="宋体" w:cs="宋体"/>
          <w:color w:val="auto"/>
          <w:sz w:val="24"/>
          <w:szCs w:val="24"/>
          <w:lang w:eastAsia="zh-CN"/>
        </w:rPr>
        <w:t>项目概算静态总投资为</w:t>
      </w:r>
      <w:r>
        <w:rPr>
          <w:rFonts w:hint="eastAsia" w:ascii="宋体" w:hAnsi="宋体" w:eastAsia="宋体" w:cs="宋体"/>
          <w:color w:val="auto"/>
          <w:sz w:val="24"/>
          <w:szCs w:val="24"/>
          <w:u w:val="single"/>
          <w:lang w:eastAsia="zh-CN"/>
        </w:rPr>
        <w:t>126133</w:t>
      </w:r>
      <w:r>
        <w:rPr>
          <w:rFonts w:ascii="宋体" w:hAnsi="宋体" w:eastAsia="宋体" w:cs="宋体"/>
          <w:color w:val="auto"/>
          <w:sz w:val="24"/>
          <w:szCs w:val="24"/>
          <w:lang w:eastAsia="zh-CN"/>
        </w:rPr>
        <w:t>万元。</w:t>
      </w:r>
    </w:p>
    <w:p w14:paraId="623F0E2F">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本标段招标范围为</w:t>
      </w:r>
      <w:r>
        <w:rPr>
          <w:rFonts w:hint="eastAsia" w:ascii="宋体" w:hAnsi="宋体" w:eastAsia="宋体" w:cs="宋体"/>
          <w:color w:val="auto"/>
          <w:sz w:val="24"/>
          <w:szCs w:val="24"/>
          <w:u w:val="single"/>
          <w:lang w:eastAsia="zh-CN"/>
        </w:rPr>
        <w:t>泵站土建工程、生态改善工程，机电、金属结构等设备的采购制作安装（其中拦污设备、泵组设备、启闭机和起重机设备等另行采购），具体以工程量清单为准。</w:t>
      </w:r>
      <w:r>
        <w:rPr>
          <w:rFonts w:ascii="宋体" w:hAnsi="宋体" w:eastAsia="宋体" w:cs="宋体"/>
          <w:color w:val="auto"/>
          <w:sz w:val="24"/>
          <w:szCs w:val="24"/>
          <w:lang w:eastAsia="zh-CN"/>
        </w:rPr>
        <w:t>相应概算投资约</w:t>
      </w:r>
      <w:r>
        <w:rPr>
          <w:rFonts w:hint="eastAsia" w:ascii="宋体" w:hAnsi="宋体" w:eastAsia="宋体" w:cs="宋体"/>
          <w:color w:val="auto"/>
          <w:sz w:val="24"/>
          <w:szCs w:val="24"/>
          <w:u w:val="single"/>
          <w:lang w:eastAsia="zh-CN"/>
        </w:rPr>
        <w:t xml:space="preserve"> 64798.7051</w:t>
      </w:r>
      <w:r>
        <w:rPr>
          <w:rFonts w:ascii="宋体" w:hAnsi="宋体" w:eastAsia="宋体" w:cs="宋体"/>
          <w:color w:val="auto"/>
          <w:sz w:val="24"/>
          <w:szCs w:val="24"/>
          <w:lang w:eastAsia="zh-CN"/>
        </w:rPr>
        <w:t>万元，</w:t>
      </w:r>
      <w:r>
        <w:rPr>
          <w:rFonts w:hint="eastAsia" w:ascii="宋体" w:hAnsi="宋体" w:eastAsia="宋体" w:cs="宋体"/>
          <w:color w:val="auto"/>
          <w:sz w:val="24"/>
          <w:szCs w:val="24"/>
          <w:lang w:eastAsia="zh-CN"/>
        </w:rPr>
        <w:t>本标段</w:t>
      </w:r>
      <w:r>
        <w:rPr>
          <w:rFonts w:ascii="宋体" w:hAnsi="宋体" w:eastAsia="宋体" w:cs="宋体"/>
          <w:color w:val="auto"/>
          <w:sz w:val="24"/>
          <w:szCs w:val="24"/>
          <w:lang w:eastAsia="zh-CN"/>
        </w:rPr>
        <w:t>计划工期</w:t>
      </w:r>
      <w:r>
        <w:rPr>
          <w:rFonts w:hint="eastAsia" w:ascii="宋体" w:hAnsi="宋体" w:eastAsia="宋体" w:cs="宋体"/>
          <w:color w:val="auto"/>
          <w:sz w:val="24"/>
          <w:szCs w:val="24"/>
          <w:u w:val="single"/>
          <w:lang w:eastAsia="zh-CN"/>
        </w:rPr>
        <w:t>33</w:t>
      </w:r>
      <w:r>
        <w:rPr>
          <w:rFonts w:ascii="宋体" w:hAnsi="宋体" w:eastAsia="宋体" w:cs="宋体"/>
          <w:color w:val="auto"/>
          <w:sz w:val="24"/>
          <w:szCs w:val="24"/>
          <w:lang w:eastAsia="zh-CN"/>
        </w:rPr>
        <w:t>个月。</w:t>
      </w:r>
    </w:p>
    <w:p w14:paraId="280FFEA9">
      <w:pPr>
        <w:widowControl w:val="0"/>
        <w:kinsoku/>
        <w:topLinePunct/>
        <w:autoSpaceDE/>
        <w:autoSpaceDN/>
        <w:spacing w:line="480" w:lineRule="exact"/>
        <w:ind w:left="522"/>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是否属于政府采购工程</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是</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否</w:t>
      </w:r>
    </w:p>
    <w:p w14:paraId="08A96E38">
      <w:pPr>
        <w:widowControl w:val="0"/>
        <w:kinsoku/>
        <w:topLinePunct/>
        <w:autoSpaceDE/>
        <w:autoSpaceDN/>
        <w:spacing w:line="480" w:lineRule="exact"/>
        <w:ind w:left="522"/>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是否专门面向中小企业预留</w:t>
      </w:r>
    </w:p>
    <w:p w14:paraId="66F5FF22">
      <w:pPr>
        <w:widowControl w:val="0"/>
        <w:kinsoku/>
        <w:topLinePunct/>
        <w:autoSpaceDE/>
        <w:autoSpaceDN/>
        <w:spacing w:line="480" w:lineRule="exact"/>
        <w:ind w:left="1022"/>
        <w:jc w:val="both"/>
        <w:rPr>
          <w:rFonts w:hint="eastAsia" w:ascii="宋体" w:hAnsi="宋体" w:eastAsia="宋体" w:cs="宋体"/>
          <w:color w:val="auto"/>
          <w:sz w:val="25"/>
          <w:szCs w:val="25"/>
          <w:lang w:eastAsia="zh-CN"/>
        </w:rPr>
      </w:pPr>
      <w:r>
        <w:rPr>
          <w:rFonts w:ascii="宋体" w:hAnsi="宋体" w:eastAsia="宋体" w:cs="宋体"/>
          <w:color w:val="auto"/>
          <w:sz w:val="24"/>
          <w:szCs w:val="24"/>
          <w:lang w:eastAsia="zh-CN"/>
        </w:rPr>
        <w:t>□是</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否</w:t>
      </w:r>
      <w:r>
        <w:rPr>
          <w:rFonts w:ascii="宋体" w:hAnsi="宋体" w:eastAsia="宋体" w:cs="宋体"/>
          <w:i/>
          <w:iCs/>
          <w:color w:val="auto"/>
          <w:sz w:val="25"/>
          <w:szCs w:val="25"/>
          <w:u w:val="single"/>
          <w:lang w:eastAsia="zh-CN"/>
        </w:rPr>
        <w:t>（不专门面向中小企业采购的原因及适用情形）</w:t>
      </w:r>
    </w:p>
    <w:p w14:paraId="06499C50">
      <w:pPr>
        <w:widowControl w:val="0"/>
        <w:kinsoku/>
        <w:topLinePunct/>
        <w:autoSpaceDE/>
        <w:autoSpaceDN/>
        <w:spacing w:line="480" w:lineRule="exact"/>
        <w:ind w:left="519"/>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专门面向中小企业预留的实施方式</w:t>
      </w:r>
    </w:p>
    <w:p w14:paraId="50FE5E30">
      <w:pPr>
        <w:widowControl w:val="0"/>
        <w:kinsoku/>
        <w:topLinePunct/>
        <w:autoSpaceDE/>
        <w:autoSpaceDN/>
        <w:spacing w:line="480" w:lineRule="exact"/>
        <w:ind w:left="1022"/>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□本标段整体面向中小企业；</w:t>
      </w:r>
    </w:p>
    <w:p w14:paraId="497028F6">
      <w:pPr>
        <w:widowControl w:val="0"/>
        <w:kinsoku/>
        <w:topLinePunct/>
        <w:autoSpaceDE/>
        <w:autoSpaceDN/>
        <w:spacing w:line="480" w:lineRule="exact"/>
        <w:ind w:left="60" w:right="30" w:firstLine="961"/>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□本标段联合体形式面向中小企业，以联合体形式参加本次投标的，联合体中中小企业承担的合同份额需达到</w:t>
      </w:r>
      <w:r>
        <w:rPr>
          <w:rFonts w:ascii="宋体" w:hAnsi="宋体" w:eastAsia="宋体" w:cs="宋体"/>
          <w:i/>
          <w:iCs/>
          <w:color w:val="auto"/>
          <w:sz w:val="25"/>
          <w:szCs w:val="25"/>
          <w:u w:val="single"/>
          <w:lang w:eastAsia="zh-CN"/>
        </w:rPr>
        <w:t>（不低于</w:t>
      </w:r>
      <w:r>
        <w:rPr>
          <w:rFonts w:ascii="Times New Roman" w:hAnsi="Times New Roman" w:eastAsia="Times New Roman" w:cs="Times New Roman"/>
          <w:i/>
          <w:iCs/>
          <w:color w:val="auto"/>
          <w:sz w:val="24"/>
          <w:szCs w:val="24"/>
          <w:u w:val="single"/>
          <w:lang w:eastAsia="zh-CN"/>
        </w:rPr>
        <w:t>40%</w:t>
      </w:r>
      <w:r>
        <w:rPr>
          <w:rFonts w:ascii="宋体" w:hAnsi="宋体" w:eastAsia="宋体" w:cs="宋体"/>
          <w:i/>
          <w:iCs/>
          <w:color w:val="auto"/>
          <w:sz w:val="25"/>
          <w:szCs w:val="25"/>
          <w:u w:val="single"/>
          <w:lang w:eastAsia="zh-CN"/>
        </w:rPr>
        <w:t>）</w:t>
      </w:r>
      <w:r>
        <w:rPr>
          <w:rFonts w:ascii="宋体" w:hAnsi="宋体" w:eastAsia="宋体" w:cs="宋体"/>
          <w:color w:val="auto"/>
          <w:sz w:val="24"/>
          <w:szCs w:val="24"/>
          <w:lang w:eastAsia="zh-CN"/>
        </w:rPr>
        <w:t>以上。</w:t>
      </w:r>
    </w:p>
    <w:p w14:paraId="6EE030D1">
      <w:pPr>
        <w:widowControl w:val="0"/>
        <w:kinsoku/>
        <w:topLinePunct/>
        <w:autoSpaceDE/>
        <w:autoSpaceDN/>
        <w:spacing w:line="480" w:lineRule="exact"/>
        <w:ind w:left="33"/>
        <w:jc w:val="both"/>
        <w:outlineLvl w:val="1"/>
        <w:rPr>
          <w:rFonts w:hint="eastAsia" w:ascii="宋体" w:hAnsi="宋体" w:eastAsia="宋体" w:cs="宋体"/>
          <w:color w:val="auto"/>
          <w:sz w:val="28"/>
          <w:szCs w:val="28"/>
          <w:lang w:eastAsia="zh-CN"/>
        </w:rPr>
      </w:pPr>
      <w:bookmarkStart w:id="21" w:name="bookmark6"/>
      <w:bookmarkEnd w:id="21"/>
      <w:bookmarkStart w:id="22" w:name="_Toc20867"/>
      <w:bookmarkStart w:id="23" w:name="_Toc14742"/>
      <w:bookmarkStart w:id="24" w:name="_Toc7254"/>
      <w:bookmarkStart w:id="25" w:name="_Toc2233"/>
      <w:r>
        <w:rPr>
          <w:rFonts w:ascii="Times New Roman" w:hAnsi="Times New Roman" w:eastAsia="Times New Roman" w:cs="Times New Roman"/>
          <w:b/>
          <w:bCs/>
          <w:color w:val="auto"/>
          <w:sz w:val="28"/>
          <w:szCs w:val="28"/>
          <w:lang w:eastAsia="zh-CN"/>
        </w:rPr>
        <w:t>3</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投标人资格要求</w:t>
      </w:r>
      <w:bookmarkEnd w:id="22"/>
      <w:bookmarkEnd w:id="23"/>
      <w:bookmarkEnd w:id="24"/>
      <w:bookmarkEnd w:id="25"/>
    </w:p>
    <w:p w14:paraId="29BDBEC2">
      <w:pPr>
        <w:widowControl w:val="0"/>
        <w:kinsoku/>
        <w:topLinePunct/>
        <w:autoSpaceDE/>
        <w:autoSpaceDN/>
        <w:spacing w:line="480" w:lineRule="exact"/>
        <w:ind w:left="518"/>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3.1</w:t>
      </w:r>
      <w:r>
        <w:rPr>
          <w:rFonts w:hint="eastAsia" w:ascii="Times New Roman" w:hAnsi="Times New Roman" w:eastAsia="宋体" w:cs="Times New Roman"/>
          <w:color w:val="auto"/>
          <w:sz w:val="24"/>
          <w:szCs w:val="24"/>
          <w:lang w:eastAsia="zh-CN"/>
        </w:rPr>
        <w:t>　</w:t>
      </w:r>
      <w:r>
        <w:rPr>
          <w:rFonts w:ascii="宋体" w:hAnsi="宋体" w:eastAsia="宋体" w:cs="宋体"/>
          <w:color w:val="auto"/>
          <w:sz w:val="24"/>
          <w:szCs w:val="24"/>
          <w:lang w:eastAsia="zh-CN"/>
        </w:rPr>
        <w:t>本次招标要求投标人具备</w:t>
      </w:r>
      <w:r>
        <w:rPr>
          <w:rFonts w:hint="eastAsia" w:ascii="宋体" w:hAnsi="宋体" w:eastAsia="宋体" w:cs="宋体"/>
          <w:color w:val="auto"/>
          <w:sz w:val="24"/>
          <w:szCs w:val="24"/>
          <w:u w:val="single"/>
          <w:lang w:eastAsia="zh-CN"/>
        </w:rPr>
        <w:t>水利水电工程施工总承包资质壹级及以上</w:t>
      </w:r>
      <w:r>
        <w:rPr>
          <w:rFonts w:ascii="宋体" w:hAnsi="宋体" w:eastAsia="宋体" w:cs="宋体"/>
          <w:color w:val="auto"/>
          <w:sz w:val="24"/>
          <w:szCs w:val="24"/>
          <w:lang w:eastAsia="zh-CN"/>
        </w:rPr>
        <w:t>资质，其他条件详见附表。</w:t>
      </w:r>
    </w:p>
    <w:p w14:paraId="6F4BE3A1">
      <w:pPr>
        <w:widowControl w:val="0"/>
        <w:kinsoku/>
        <w:topLinePunct/>
        <w:autoSpaceDE/>
        <w:autoSpaceDN/>
        <w:spacing w:line="480" w:lineRule="exact"/>
        <w:ind w:left="39" w:right="52" w:firstLine="479"/>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3.2</w:t>
      </w:r>
      <w:r>
        <w:rPr>
          <w:rFonts w:hint="eastAsia" w:ascii="Times New Roman" w:hAnsi="Times New Roman" w:eastAsia="宋体" w:cs="Times New Roman"/>
          <w:color w:val="auto"/>
          <w:sz w:val="24"/>
          <w:szCs w:val="24"/>
          <w:lang w:eastAsia="zh-CN"/>
        </w:rPr>
        <w:t>　</w:t>
      </w:r>
      <w:r>
        <w:rPr>
          <w:rFonts w:ascii="宋体" w:hAnsi="宋体" w:eastAsia="宋体" w:cs="宋体"/>
          <w:color w:val="auto"/>
          <w:sz w:val="24"/>
          <w:szCs w:val="24"/>
          <w:lang w:eastAsia="zh-CN"/>
        </w:rPr>
        <w:t>本次招标</w:t>
      </w:r>
      <w:r>
        <w:rPr>
          <w:rFonts w:hint="eastAsia" w:ascii="宋体" w:hAnsi="宋体" w:eastAsia="宋体" w:cs="宋体"/>
          <w:color w:val="auto"/>
          <w:sz w:val="24"/>
          <w:szCs w:val="24"/>
          <w:u w:val="single"/>
          <w:lang w:eastAsia="zh-CN"/>
        </w:rPr>
        <w:t>不接受</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接受或不接受</w:t>
      </w:r>
      <w:r>
        <w:rPr>
          <w:rFonts w:ascii="宋体" w:hAnsi="宋体" w:eastAsia="宋体" w:cs="宋体"/>
          <w:color w:val="auto"/>
          <w:sz w:val="24"/>
          <w:szCs w:val="24"/>
          <w:lang w:eastAsia="zh-CN"/>
        </w:rPr>
        <w:t>）联合体投标。接受联合体投标，应满足下列要求：</w:t>
      </w:r>
    </w:p>
    <w:p w14:paraId="4D687872">
      <w:pPr>
        <w:widowControl w:val="0"/>
        <w:kinsoku/>
        <w:topLinePunct/>
        <w:autoSpaceDE/>
        <w:autoSpaceDN/>
        <w:spacing w:line="480" w:lineRule="exact"/>
        <w:ind w:firstLine="638" w:firstLineChars="266"/>
        <w:jc w:val="both"/>
        <w:rPr>
          <w:rFonts w:ascii="Times New Roman" w:hAnsi="Times New Roman" w:eastAsia="Times New Roman" w:cs="Times New Roman"/>
          <w:strike/>
          <w:color w:val="auto"/>
          <w:sz w:val="24"/>
          <w:szCs w:val="24"/>
          <w:lang w:eastAsia="zh-CN"/>
        </w:rPr>
      </w:pPr>
      <w:r>
        <w:rPr>
          <w:rFonts w:ascii="Times New Roman" w:hAnsi="Times New Roman" w:eastAsia="Times New Roman" w:cs="Times New Roman"/>
          <w:strike/>
          <w:color w:val="auto"/>
          <w:sz w:val="24"/>
          <w:szCs w:val="24"/>
          <w:lang w:eastAsia="zh-CN"/>
        </w:rPr>
        <w:t>（1）联合体所有成员数量不得超过</w:t>
      </w:r>
      <w:r>
        <w:rPr>
          <w:rFonts w:ascii="Times New Roman" w:hAnsi="Times New Roman" w:eastAsia="Times New Roman" w:cs="Times New Roman"/>
          <w:strike/>
          <w:color w:val="auto"/>
          <w:sz w:val="24"/>
          <w:szCs w:val="24"/>
          <w:u w:val="single"/>
          <w:lang w:eastAsia="zh-CN"/>
        </w:rPr>
        <w:t>　　</w:t>
      </w:r>
      <w:r>
        <w:rPr>
          <w:rFonts w:ascii="Times New Roman" w:hAnsi="Times New Roman" w:eastAsia="Times New Roman" w:cs="Times New Roman"/>
          <w:strike/>
          <w:color w:val="auto"/>
          <w:sz w:val="24"/>
          <w:szCs w:val="24"/>
          <w:lang w:eastAsia="zh-CN"/>
        </w:rPr>
        <w:t>个；</w:t>
      </w:r>
    </w:p>
    <w:p w14:paraId="3BE1890D">
      <w:pPr>
        <w:widowControl w:val="0"/>
        <w:kinsoku/>
        <w:topLinePunct/>
        <w:autoSpaceDE/>
        <w:autoSpaceDN/>
        <w:spacing w:line="480" w:lineRule="exact"/>
        <w:ind w:firstLine="638" w:firstLineChars="266"/>
        <w:jc w:val="both"/>
        <w:rPr>
          <w:rFonts w:ascii="Times New Roman" w:hAnsi="Times New Roman" w:eastAsia="Times New Roman" w:cs="Times New Roman"/>
          <w:strike/>
          <w:color w:val="auto"/>
          <w:sz w:val="24"/>
          <w:szCs w:val="24"/>
          <w:lang w:eastAsia="zh-CN"/>
        </w:rPr>
      </w:pPr>
      <w:r>
        <w:rPr>
          <w:rFonts w:ascii="Times New Roman" w:hAnsi="Times New Roman" w:eastAsia="Times New Roman" w:cs="Times New Roman"/>
          <w:strike/>
          <w:color w:val="auto"/>
          <w:sz w:val="24"/>
          <w:szCs w:val="24"/>
          <w:lang w:eastAsia="zh-CN"/>
        </w:rPr>
        <w:t>（2）以</w:t>
      </w:r>
      <w:r>
        <w:rPr>
          <w:rFonts w:hint="eastAsia" w:ascii="Times New Roman" w:hAnsi="Times New Roman" w:eastAsia="Times New Roman" w:cs="Times New Roman"/>
          <w:strike/>
          <w:color w:val="auto"/>
          <w:sz w:val="24"/>
          <w:szCs w:val="24"/>
          <w:u w:val="single"/>
          <w:lang w:eastAsia="zh-CN"/>
        </w:rPr>
        <w:t>　　</w:t>
      </w:r>
      <w:r>
        <w:rPr>
          <w:rFonts w:ascii="Times New Roman" w:hAnsi="Times New Roman" w:eastAsia="Times New Roman" w:cs="Times New Roman"/>
          <w:strike/>
          <w:color w:val="auto"/>
          <w:sz w:val="24"/>
          <w:szCs w:val="24"/>
          <w:lang w:eastAsia="zh-CN"/>
        </w:rPr>
        <w:t>方作为联合体牵头人；</w:t>
      </w:r>
    </w:p>
    <w:p w14:paraId="5653972E">
      <w:pPr>
        <w:widowControl w:val="0"/>
        <w:kinsoku/>
        <w:topLinePunct/>
        <w:autoSpaceDE/>
        <w:autoSpaceDN/>
        <w:spacing w:line="480" w:lineRule="exact"/>
        <w:ind w:firstLine="638" w:firstLineChars="266"/>
        <w:jc w:val="both"/>
        <w:rPr>
          <w:rFonts w:ascii="Times New Roman" w:hAnsi="Times New Roman" w:eastAsia="Times New Roman" w:cs="Times New Roman"/>
          <w:strike/>
          <w:color w:val="auto"/>
          <w:sz w:val="24"/>
          <w:szCs w:val="24"/>
          <w:lang w:eastAsia="zh-CN"/>
        </w:rPr>
      </w:pPr>
      <w:r>
        <w:rPr>
          <w:rFonts w:ascii="Times New Roman" w:hAnsi="Times New Roman" w:eastAsia="Times New Roman" w:cs="Times New Roman"/>
          <w:strike/>
          <w:color w:val="auto"/>
          <w:sz w:val="24"/>
          <w:szCs w:val="24"/>
          <w:lang w:eastAsia="zh-CN"/>
        </w:rPr>
        <w:t>（</w:t>
      </w:r>
      <w:r>
        <w:rPr>
          <w:rFonts w:hint="eastAsia" w:ascii="Times New Roman" w:hAnsi="Times New Roman" w:eastAsia="宋体" w:cs="Times New Roman"/>
          <w:strike/>
          <w:color w:val="auto"/>
          <w:sz w:val="24"/>
          <w:szCs w:val="24"/>
          <w:lang w:eastAsia="zh-CN"/>
        </w:rPr>
        <w:t>3</w:t>
      </w:r>
      <w:r>
        <w:rPr>
          <w:rFonts w:ascii="Times New Roman" w:hAnsi="Times New Roman" w:eastAsia="Times New Roman" w:cs="Times New Roman"/>
          <w:strike/>
          <w:color w:val="auto"/>
          <w:sz w:val="24"/>
          <w:szCs w:val="24"/>
          <w:lang w:eastAsia="zh-CN"/>
        </w:rPr>
        <w:t>）拟派项目主要成员的委派要求：</w:t>
      </w:r>
      <w:r>
        <w:rPr>
          <w:rFonts w:hint="eastAsia" w:ascii="Times New Roman" w:hAnsi="Times New Roman" w:eastAsia="Times New Roman" w:cs="Times New Roman"/>
          <w:strike/>
          <w:color w:val="auto"/>
          <w:sz w:val="24"/>
          <w:szCs w:val="24"/>
          <w:u w:val="single"/>
          <w:lang w:eastAsia="zh-CN"/>
        </w:rPr>
        <w:t>　　　</w:t>
      </w:r>
      <w:r>
        <w:rPr>
          <w:rFonts w:ascii="Times New Roman" w:hAnsi="Times New Roman" w:eastAsia="Times New Roman" w:cs="Times New Roman"/>
          <w:strike/>
          <w:color w:val="auto"/>
          <w:sz w:val="24"/>
          <w:szCs w:val="24"/>
          <w:lang w:eastAsia="zh-CN"/>
        </w:rPr>
        <w:t>；</w:t>
      </w:r>
    </w:p>
    <w:p w14:paraId="5FDBA949">
      <w:pPr>
        <w:widowControl w:val="0"/>
        <w:kinsoku/>
        <w:topLinePunct/>
        <w:autoSpaceDE/>
        <w:autoSpaceDN/>
        <w:spacing w:line="480" w:lineRule="exact"/>
        <w:ind w:firstLine="638" w:firstLineChars="266"/>
        <w:jc w:val="both"/>
        <w:rPr>
          <w:rFonts w:ascii="Times New Roman" w:hAnsi="Times New Roman" w:eastAsia="Times New Roman" w:cs="Times New Roman"/>
          <w:strike/>
          <w:color w:val="auto"/>
          <w:sz w:val="24"/>
          <w:szCs w:val="24"/>
          <w:lang w:eastAsia="zh-CN"/>
        </w:rPr>
      </w:pPr>
      <w:bookmarkStart w:id="26" w:name="EBc9aad1a6574f414e800b700a93fb80e4"/>
      <w:r>
        <w:rPr>
          <w:rFonts w:hint="eastAsia" w:ascii="Times New Roman" w:hAnsi="Times New Roman" w:eastAsia="宋体" w:cs="Times New Roman"/>
          <w:strike/>
          <w:color w:val="auto"/>
          <w:sz w:val="24"/>
          <w:szCs w:val="24"/>
          <w:lang w:eastAsia="zh-CN"/>
        </w:rPr>
        <w:t>……</w:t>
      </w:r>
      <w:bookmarkEnd w:id="26"/>
    </w:p>
    <w:p w14:paraId="08FA2CBD">
      <w:pPr>
        <w:widowControl w:val="0"/>
        <w:kinsoku/>
        <w:topLinePunct/>
        <w:autoSpaceDE/>
        <w:autoSpaceDN/>
        <w:spacing w:line="480" w:lineRule="exact"/>
        <w:jc w:val="both"/>
        <w:outlineLvl w:val="1"/>
        <w:rPr>
          <w:rFonts w:hint="eastAsia" w:ascii="宋体" w:hAnsi="宋体" w:eastAsia="宋体" w:cs="宋体"/>
          <w:color w:val="auto"/>
          <w:sz w:val="28"/>
          <w:szCs w:val="28"/>
          <w:lang w:eastAsia="zh-CN"/>
        </w:rPr>
      </w:pPr>
      <w:bookmarkStart w:id="27" w:name="bookmark7"/>
      <w:bookmarkEnd w:id="27"/>
      <w:bookmarkStart w:id="28" w:name="_Toc21112"/>
      <w:bookmarkStart w:id="29" w:name="_Toc5215"/>
      <w:bookmarkStart w:id="30" w:name="_Toc10579"/>
      <w:bookmarkStart w:id="31" w:name="_Toc27100"/>
      <w:r>
        <w:rPr>
          <w:rFonts w:ascii="Times New Roman" w:hAnsi="Times New Roman" w:eastAsia="Times New Roman" w:cs="Times New Roman"/>
          <w:b/>
          <w:bCs/>
          <w:color w:val="auto"/>
          <w:sz w:val="28"/>
          <w:szCs w:val="28"/>
          <w:lang w:eastAsia="zh-CN"/>
        </w:rPr>
        <w:t>4</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招标文件的获取</w:t>
      </w:r>
      <w:bookmarkEnd w:id="28"/>
      <w:bookmarkEnd w:id="29"/>
      <w:bookmarkEnd w:id="30"/>
      <w:bookmarkEnd w:id="31"/>
    </w:p>
    <w:p w14:paraId="009312A0">
      <w:pPr>
        <w:widowControl w:val="0"/>
        <w:kinsoku/>
        <w:topLinePunct/>
        <w:autoSpaceDE/>
        <w:autoSpaceDN/>
        <w:spacing w:line="480" w:lineRule="exact"/>
        <w:ind w:left="3" w:right="199" w:firstLine="483"/>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凡有意参加投标者，</w:t>
      </w:r>
      <w:r>
        <w:rPr>
          <w:rFonts w:hint="eastAsia" w:ascii="宋体" w:hAnsi="宋体" w:eastAsia="宋体" w:cs="宋体"/>
          <w:color w:val="auto"/>
          <w:sz w:val="24"/>
          <w:szCs w:val="24"/>
          <w:lang w:eastAsia="zh-CN"/>
        </w:rPr>
        <w:t>招标公告发布之日起至投标文件递交截止时间</w:t>
      </w:r>
      <w:r>
        <w:rPr>
          <w:rFonts w:ascii="宋体" w:hAnsi="宋体" w:eastAsia="宋体" w:cs="宋体"/>
          <w:color w:val="auto"/>
          <w:sz w:val="24"/>
          <w:szCs w:val="24"/>
          <w:lang w:eastAsia="zh-CN"/>
        </w:rPr>
        <w:t>，登录</w:t>
      </w:r>
      <w:r>
        <w:rPr>
          <w:rFonts w:hint="eastAsia" w:ascii="宋体" w:hAnsi="宋体" w:eastAsia="宋体" w:cs="宋体"/>
          <w:color w:val="auto"/>
          <w:sz w:val="24"/>
          <w:szCs w:val="24"/>
          <w:u w:val="single"/>
          <w:lang w:eastAsia="zh-CN"/>
        </w:rPr>
        <w:t>绍兴市公共资源交易中心电子招投标交易平台（https：//sxsggzy.cn/TPBidder-ztk/memberLogin）</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电子招标投标交易平台名称</w:t>
      </w:r>
      <w:r>
        <w:rPr>
          <w:rFonts w:ascii="宋体" w:hAnsi="宋体" w:eastAsia="宋体" w:cs="宋体"/>
          <w:color w:val="auto"/>
          <w:sz w:val="24"/>
          <w:szCs w:val="24"/>
          <w:lang w:eastAsia="zh-CN"/>
        </w:rPr>
        <w:t>）下载电子招标文件。</w:t>
      </w:r>
      <w:r>
        <w:rPr>
          <w:rFonts w:hint="eastAsia" w:ascii="宋体" w:hAnsi="宋体" w:eastAsia="宋体" w:cs="宋体"/>
          <w:color w:val="auto"/>
          <w:sz w:val="24"/>
          <w:szCs w:val="24"/>
          <w:lang w:eastAsia="zh-CN"/>
        </w:rPr>
        <w:t>截止期后交易平台不再提供下载服务；未在规定时间内获取招标文件的，不接受其投标。</w:t>
      </w:r>
    </w:p>
    <w:p w14:paraId="253E2DF0">
      <w:pPr>
        <w:widowControl w:val="0"/>
        <w:kinsoku/>
        <w:topLinePunct/>
        <w:autoSpaceDE/>
        <w:autoSpaceDN/>
        <w:spacing w:line="480" w:lineRule="exact"/>
        <w:ind w:left="2"/>
        <w:jc w:val="both"/>
        <w:outlineLvl w:val="1"/>
        <w:rPr>
          <w:rFonts w:hint="eastAsia" w:ascii="宋体" w:hAnsi="宋体" w:eastAsia="宋体" w:cs="宋体"/>
          <w:color w:val="auto"/>
          <w:sz w:val="28"/>
          <w:szCs w:val="28"/>
          <w:lang w:eastAsia="zh-CN"/>
        </w:rPr>
      </w:pPr>
      <w:bookmarkStart w:id="32" w:name="bookmark8"/>
      <w:bookmarkEnd w:id="32"/>
      <w:bookmarkStart w:id="33" w:name="_Toc21348"/>
      <w:bookmarkStart w:id="34" w:name="_Toc9184"/>
      <w:bookmarkStart w:id="35" w:name="_Toc18268"/>
      <w:bookmarkStart w:id="36" w:name="_Toc24573"/>
      <w:r>
        <w:rPr>
          <w:rFonts w:ascii="Times New Roman" w:hAnsi="Times New Roman" w:eastAsia="Times New Roman" w:cs="Times New Roman"/>
          <w:b/>
          <w:bCs/>
          <w:color w:val="auto"/>
          <w:sz w:val="28"/>
          <w:szCs w:val="28"/>
          <w:lang w:eastAsia="zh-CN"/>
        </w:rPr>
        <w:t>5</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投标文件的递交</w:t>
      </w:r>
      <w:bookmarkEnd w:id="33"/>
      <w:bookmarkEnd w:id="34"/>
      <w:bookmarkEnd w:id="35"/>
      <w:bookmarkEnd w:id="36"/>
    </w:p>
    <w:p w14:paraId="5D75114D">
      <w:pPr>
        <w:widowControl w:val="0"/>
        <w:kinsoku/>
        <w:topLinePunct/>
        <w:autoSpaceDE/>
        <w:autoSpaceDN/>
        <w:spacing w:line="480" w:lineRule="exact"/>
        <w:ind w:left="13" w:right="207" w:firstLine="478"/>
        <w:jc w:val="both"/>
        <w:rPr>
          <w:rFonts w:hint="eastAsia" w:ascii="宋体" w:hAnsi="宋体" w:eastAsia="宋体" w:cs="宋体"/>
          <w:color w:val="auto"/>
          <w:spacing w:val="-20"/>
          <w:sz w:val="24"/>
          <w:szCs w:val="24"/>
          <w:lang w:eastAsia="zh-CN"/>
        </w:rPr>
      </w:pPr>
      <w:r>
        <w:rPr>
          <w:rFonts w:ascii="Times New Roman" w:hAnsi="Times New Roman" w:eastAsia="Times New Roman" w:cs="Times New Roman"/>
          <w:color w:val="auto"/>
          <w:sz w:val="24"/>
          <w:szCs w:val="24"/>
          <w:lang w:eastAsia="zh-CN"/>
        </w:rPr>
        <w:t>5.1</w:t>
      </w:r>
      <w:r>
        <w:rPr>
          <w:rFonts w:hint="eastAsia" w:ascii="Times New Roman" w:hAnsi="Times New Roman" w:eastAsia="宋体" w:cs="Times New Roman"/>
          <w:color w:val="auto"/>
          <w:sz w:val="24"/>
          <w:szCs w:val="24"/>
          <w:lang w:eastAsia="zh-CN"/>
        </w:rPr>
        <w:t>　</w:t>
      </w:r>
      <w:r>
        <w:rPr>
          <w:rFonts w:ascii="宋体" w:hAnsi="宋体" w:eastAsia="宋体" w:cs="宋体"/>
          <w:color w:val="auto"/>
          <w:sz w:val="24"/>
          <w:szCs w:val="24"/>
          <w:lang w:eastAsia="zh-CN"/>
        </w:rPr>
        <w:t>投标文件递交的截止时间（投标截止时间，下同）为</w:t>
      </w:r>
      <w:r>
        <w:rPr>
          <w:rFonts w:hint="eastAsia" w:ascii="宋体" w:hAnsi="宋体" w:eastAsia="宋体" w:cs="宋体"/>
          <w:color w:val="auto"/>
          <w:sz w:val="24"/>
          <w:szCs w:val="24"/>
          <w:u w:val="single"/>
          <w:lang w:eastAsia="zh-CN"/>
        </w:rPr>
        <w:t>2026</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6</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25</w:t>
      </w:r>
      <w:r>
        <w:rPr>
          <w:rFonts w:ascii="宋体" w:hAnsi="宋体" w:eastAsia="宋体" w:cs="宋体"/>
          <w:color w:val="auto"/>
          <w:sz w:val="24"/>
          <w:szCs w:val="24"/>
          <w:lang w:eastAsia="zh-CN"/>
        </w:rPr>
        <w:t>日</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u w:val="single"/>
          <w:lang w:eastAsia="zh-CN"/>
        </w:rPr>
        <w:t>14</w:t>
      </w:r>
      <w:r>
        <w:rPr>
          <w:rFonts w:ascii="宋体" w:hAnsi="宋体" w:eastAsia="宋体" w:cs="宋体"/>
          <w:color w:val="auto"/>
          <w:sz w:val="24"/>
          <w:szCs w:val="24"/>
          <w:lang w:eastAsia="zh-CN"/>
        </w:rPr>
        <w:t>时</w:t>
      </w:r>
      <w:r>
        <w:rPr>
          <w:rFonts w:hint="eastAsia" w:ascii="宋体" w:hAnsi="宋体" w:eastAsia="宋体" w:cs="宋体"/>
          <w:color w:val="auto"/>
          <w:sz w:val="24"/>
          <w:szCs w:val="24"/>
          <w:u w:val="single"/>
          <w:lang w:eastAsia="zh-CN"/>
        </w:rPr>
        <w:t>30</w:t>
      </w:r>
      <w:r>
        <w:rPr>
          <w:rFonts w:ascii="宋体" w:hAnsi="宋体" w:eastAsia="宋体" w:cs="宋体"/>
          <w:color w:val="auto"/>
          <w:sz w:val="24"/>
          <w:szCs w:val="24"/>
          <w:lang w:eastAsia="zh-CN"/>
        </w:rPr>
        <w:t>分，</w:t>
      </w:r>
      <w:r>
        <w:rPr>
          <w:rFonts w:hint="eastAsia" w:ascii="宋体" w:hAnsi="宋体" w:eastAsia="宋体" w:cs="宋体"/>
          <w:color w:val="auto"/>
          <w:spacing w:val="-20"/>
          <w:sz w:val="24"/>
          <w:szCs w:val="24"/>
          <w:lang w:eastAsia="zh-CN"/>
        </w:rPr>
        <w:t>地点为绍兴市公共资源交易中心指定开标室。</w:t>
      </w:r>
      <w:r>
        <w:rPr>
          <w:rFonts w:ascii="宋体" w:hAnsi="宋体" w:eastAsia="宋体" w:cs="宋体"/>
          <w:color w:val="auto"/>
          <w:spacing w:val="-20"/>
          <w:sz w:val="24"/>
          <w:szCs w:val="24"/>
          <w:lang w:eastAsia="zh-CN"/>
        </w:rPr>
        <w:t>投标人应在截止时间前通过</w:t>
      </w:r>
      <w:r>
        <w:rPr>
          <w:rFonts w:hint="eastAsia" w:ascii="宋体" w:hAnsi="宋体" w:eastAsia="宋体" w:cs="宋体"/>
          <w:color w:val="auto"/>
          <w:spacing w:val="-20"/>
          <w:sz w:val="24"/>
          <w:szCs w:val="24"/>
          <w:u w:val="single"/>
          <w:lang w:eastAsia="zh-CN"/>
        </w:rPr>
        <w:t>绍兴市公共资源交易中心电子招投标交易平台（https：//sxsggzy.cn/TPBidder-ztk/memberLogin）</w:t>
      </w:r>
      <w:r>
        <w:rPr>
          <w:rFonts w:ascii="宋体" w:hAnsi="宋体" w:eastAsia="宋体" w:cs="宋体"/>
          <w:color w:val="auto"/>
          <w:spacing w:val="-20"/>
          <w:sz w:val="24"/>
          <w:szCs w:val="24"/>
          <w:lang w:eastAsia="zh-CN"/>
        </w:rPr>
        <w:t>（</w:t>
      </w:r>
      <w:r>
        <w:rPr>
          <w:rFonts w:ascii="宋体" w:hAnsi="宋体" w:eastAsia="宋体" w:cs="宋体"/>
          <w:i/>
          <w:iCs/>
          <w:color w:val="auto"/>
          <w:spacing w:val="-20"/>
          <w:sz w:val="25"/>
          <w:szCs w:val="25"/>
          <w:lang w:eastAsia="zh-CN"/>
        </w:rPr>
        <w:t>电子招标投标交易平台名称</w:t>
      </w:r>
      <w:r>
        <w:rPr>
          <w:rFonts w:ascii="宋体" w:hAnsi="宋体" w:eastAsia="宋体" w:cs="宋体"/>
          <w:color w:val="auto"/>
          <w:spacing w:val="-20"/>
          <w:sz w:val="24"/>
          <w:szCs w:val="24"/>
          <w:lang w:eastAsia="zh-CN"/>
        </w:rPr>
        <w:t>）上传加密电子投标文件。</w:t>
      </w:r>
    </w:p>
    <w:p w14:paraId="6F259664">
      <w:pPr>
        <w:widowControl w:val="0"/>
        <w:kinsoku/>
        <w:topLinePunct/>
        <w:autoSpaceDE/>
        <w:autoSpaceDN/>
        <w:spacing w:line="480" w:lineRule="exact"/>
        <w:ind w:left="4" w:right="328" w:firstLine="45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本项目采用网上远程开标方式，无需提供纸质投标文件、样品等材料，投标人无需至开标现场。开标网址：</w:t>
      </w:r>
      <w:r>
        <w:rPr>
          <w:rFonts w:hint="eastAsia" w:ascii="宋体" w:hAnsi="宋体" w:eastAsia="宋体" w:cs="宋体"/>
          <w:color w:val="auto"/>
          <w:spacing w:val="20"/>
          <w:sz w:val="24"/>
          <w:szCs w:val="24"/>
          <w:u w:val="single"/>
          <w:lang w:eastAsia="zh-CN"/>
        </w:rPr>
        <w:t>绍兴市公共资源交易中心电子招投标交易平台（https：//sxsggzy.cn/TPBidder-ztk/memberLogin）</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电子招标投标交易平台网址</w:t>
      </w:r>
      <w:r>
        <w:rPr>
          <w:rFonts w:ascii="宋体" w:hAnsi="宋体" w:eastAsia="宋体" w:cs="宋体"/>
          <w:color w:val="auto"/>
          <w:sz w:val="24"/>
          <w:szCs w:val="24"/>
          <w:lang w:eastAsia="zh-CN"/>
        </w:rPr>
        <w:t>）</w:t>
      </w:r>
    </w:p>
    <w:p w14:paraId="10077391">
      <w:pPr>
        <w:widowControl w:val="0"/>
        <w:kinsoku/>
        <w:topLinePunct/>
        <w:autoSpaceDE/>
        <w:autoSpaceDN/>
        <w:spacing w:line="480" w:lineRule="exact"/>
        <w:ind w:left="4" w:right="328" w:firstLine="45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5.2</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未按招标文件要求上传或未按规定加密的投标文件，招标人将予以拒收。</w:t>
      </w:r>
    </w:p>
    <w:p w14:paraId="08E93142">
      <w:pPr>
        <w:widowControl w:val="0"/>
        <w:kinsoku/>
        <w:topLinePunct/>
        <w:autoSpaceDE/>
        <w:autoSpaceDN/>
        <w:spacing w:line="480" w:lineRule="exact"/>
        <w:ind w:left="3"/>
        <w:jc w:val="both"/>
        <w:outlineLvl w:val="1"/>
        <w:rPr>
          <w:rFonts w:hint="eastAsia" w:ascii="宋体" w:hAnsi="宋体" w:eastAsia="宋体" w:cs="宋体"/>
          <w:color w:val="auto"/>
          <w:sz w:val="28"/>
          <w:szCs w:val="28"/>
          <w:lang w:eastAsia="zh-CN"/>
        </w:rPr>
      </w:pPr>
      <w:bookmarkStart w:id="37" w:name="bookmark9"/>
      <w:bookmarkEnd w:id="37"/>
      <w:bookmarkStart w:id="38" w:name="_Toc268"/>
      <w:bookmarkStart w:id="39" w:name="_Toc219"/>
      <w:bookmarkStart w:id="40" w:name="_Toc13509"/>
      <w:bookmarkStart w:id="41" w:name="_Toc7195"/>
      <w:r>
        <w:rPr>
          <w:rFonts w:ascii="Times New Roman" w:hAnsi="Times New Roman" w:eastAsia="Times New Roman" w:cs="Times New Roman"/>
          <w:b/>
          <w:bCs/>
          <w:color w:val="auto"/>
          <w:sz w:val="28"/>
          <w:szCs w:val="28"/>
          <w:lang w:eastAsia="zh-CN"/>
        </w:rPr>
        <w:t>6</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发布公告的媒介</w:t>
      </w:r>
      <w:bookmarkEnd w:id="38"/>
      <w:bookmarkEnd w:id="39"/>
      <w:bookmarkEnd w:id="40"/>
      <w:bookmarkEnd w:id="41"/>
    </w:p>
    <w:p w14:paraId="75137190">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本招标公告同时在</w:t>
      </w:r>
      <w:r>
        <w:rPr>
          <w:rFonts w:ascii="宋体" w:hAnsi="宋体" w:eastAsia="宋体" w:cs="宋体"/>
          <w:color w:val="auto"/>
          <w:spacing w:val="-2"/>
          <w:sz w:val="24"/>
          <w:szCs w:val="24"/>
          <w:lang w:eastAsia="zh-CN"/>
        </w:rPr>
        <w:t>浙江省公共资源交易服务平台、</w:t>
      </w:r>
      <w:r>
        <w:rPr>
          <w:rFonts w:hint="eastAsia" w:ascii="宋体" w:hAnsi="宋体" w:eastAsia="宋体" w:cs="宋体"/>
          <w:color w:val="auto"/>
          <w:sz w:val="24"/>
          <w:szCs w:val="24"/>
          <w:u w:val="single"/>
          <w:lang w:eastAsia="zh-CN"/>
        </w:rPr>
        <w:t>绍兴公共资源交易网</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发布公告的媒介名称</w:t>
      </w:r>
      <w:r>
        <w:rPr>
          <w:rFonts w:ascii="宋体" w:hAnsi="宋体" w:eastAsia="宋体" w:cs="宋体"/>
          <w:color w:val="auto"/>
          <w:sz w:val="24"/>
          <w:szCs w:val="24"/>
          <w:lang w:eastAsia="zh-CN"/>
        </w:rPr>
        <w:t>）上发布。</w:t>
      </w:r>
    </w:p>
    <w:p w14:paraId="05F8912F">
      <w:pPr>
        <w:widowControl w:val="0"/>
        <w:kinsoku/>
        <w:topLinePunct/>
        <w:autoSpaceDE/>
        <w:autoSpaceDN/>
        <w:spacing w:line="480" w:lineRule="exact"/>
        <w:ind w:left="2"/>
        <w:jc w:val="both"/>
        <w:outlineLvl w:val="1"/>
        <w:rPr>
          <w:rFonts w:hint="eastAsia" w:ascii="宋体" w:hAnsi="宋体" w:eastAsia="宋体" w:cs="宋体"/>
          <w:color w:val="auto"/>
          <w:sz w:val="28"/>
          <w:szCs w:val="28"/>
          <w:lang w:eastAsia="zh-CN"/>
        </w:rPr>
      </w:pPr>
      <w:bookmarkStart w:id="42" w:name="bookmark10"/>
      <w:bookmarkEnd w:id="42"/>
      <w:bookmarkStart w:id="43" w:name="_Toc21923"/>
      <w:bookmarkStart w:id="44" w:name="_Toc3115"/>
      <w:bookmarkStart w:id="45" w:name="_Toc17656"/>
      <w:bookmarkStart w:id="46" w:name="_Toc12342"/>
      <w:r>
        <w:rPr>
          <w:rFonts w:ascii="Times New Roman" w:hAnsi="Times New Roman" w:eastAsia="Times New Roman" w:cs="Times New Roman"/>
          <w:b/>
          <w:bCs/>
          <w:color w:val="auto"/>
          <w:sz w:val="28"/>
          <w:szCs w:val="28"/>
          <w:lang w:eastAsia="zh-CN"/>
        </w:rPr>
        <w:t>7</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行政监督部门</w:t>
      </w:r>
      <w:bookmarkEnd w:id="43"/>
      <w:bookmarkEnd w:id="44"/>
      <w:bookmarkEnd w:id="45"/>
      <w:bookmarkEnd w:id="46"/>
    </w:p>
    <w:p w14:paraId="2BE672E5">
      <w:pPr>
        <w:widowControl w:val="0"/>
        <w:kinsoku/>
        <w:topLinePunct/>
        <w:autoSpaceDE/>
        <w:autoSpaceDN/>
        <w:spacing w:line="480" w:lineRule="exact"/>
        <w:ind w:left="486"/>
        <w:jc w:val="both"/>
        <w:rPr>
          <w:rFonts w:ascii="Times New Roman" w:hAnsi="Times New Roman" w:eastAsia="宋体" w:cs="Times New Roman"/>
          <w:color w:val="auto"/>
          <w:sz w:val="24"/>
          <w:szCs w:val="24"/>
          <w:lang w:eastAsia="zh-CN"/>
        </w:rPr>
      </w:pPr>
      <w:r>
        <w:rPr>
          <w:rFonts w:ascii="宋体" w:hAnsi="宋体" w:eastAsia="宋体" w:cs="宋体"/>
          <w:color w:val="auto"/>
          <w:sz w:val="24"/>
          <w:szCs w:val="24"/>
          <w:lang w:eastAsia="zh-CN"/>
        </w:rPr>
        <w:t>行政监督：</w:t>
      </w:r>
      <w:r>
        <w:rPr>
          <w:rFonts w:hint="eastAsia" w:ascii="Times New Roman" w:hAnsi="Times New Roman" w:eastAsia="宋体" w:cs="Times New Roman"/>
          <w:color w:val="auto"/>
          <w:sz w:val="24"/>
          <w:szCs w:val="24"/>
          <w:u w:val="single"/>
          <w:lang w:eastAsia="zh-CN"/>
        </w:rPr>
        <w:t>绍兴市水利局</w:t>
      </w:r>
    </w:p>
    <w:p w14:paraId="42D28539">
      <w:pPr>
        <w:widowControl w:val="0"/>
        <w:kinsoku/>
        <w:topLinePunct/>
        <w:autoSpaceDE/>
        <w:autoSpaceDN/>
        <w:spacing w:line="480" w:lineRule="exact"/>
        <w:ind w:left="482"/>
        <w:jc w:val="both"/>
        <w:rPr>
          <w:rFonts w:ascii="Times New Roman" w:hAnsi="Times New Roman" w:eastAsia="宋体" w:cs="Times New Roman"/>
          <w:color w:val="auto"/>
          <w:sz w:val="24"/>
          <w:szCs w:val="24"/>
          <w:lang w:eastAsia="zh-CN"/>
        </w:rPr>
      </w:pPr>
      <w:r>
        <w:rPr>
          <w:rFonts w:ascii="宋体" w:hAnsi="宋体" w:eastAsia="宋体" w:cs="宋体"/>
          <w:color w:val="auto"/>
          <w:sz w:val="24"/>
          <w:szCs w:val="24"/>
          <w:lang w:eastAsia="zh-CN"/>
        </w:rPr>
        <w:t>地</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址：</w:t>
      </w:r>
      <w:r>
        <w:rPr>
          <w:rFonts w:hint="eastAsia" w:ascii="宋体" w:hAnsi="宋体" w:eastAsia="宋体" w:cs="宋体"/>
          <w:color w:val="auto"/>
          <w:sz w:val="24"/>
          <w:szCs w:val="24"/>
          <w:u w:val="single"/>
          <w:lang w:eastAsia="zh-CN"/>
        </w:rPr>
        <w:t>绍兴市行政中心9号楼（绍兴市越城区洋江西路589号）</w:t>
      </w:r>
    </w:p>
    <w:p w14:paraId="214DA0DE">
      <w:pPr>
        <w:widowControl w:val="0"/>
        <w:kinsoku/>
        <w:topLinePunct/>
        <w:autoSpaceDE/>
        <w:autoSpaceDN/>
        <w:spacing w:line="480" w:lineRule="exact"/>
        <w:ind w:left="500"/>
        <w:jc w:val="both"/>
        <w:rPr>
          <w:rFonts w:ascii="Times New Roman" w:hAnsi="Times New Roman" w:eastAsia="宋体" w:cs="Times New Roman"/>
          <w:color w:val="auto"/>
          <w:sz w:val="24"/>
          <w:szCs w:val="24"/>
          <w:lang w:eastAsia="zh-CN"/>
        </w:rPr>
      </w:pPr>
      <w:r>
        <w:rPr>
          <w:rFonts w:ascii="宋体" w:hAnsi="宋体" w:eastAsia="宋体" w:cs="宋体"/>
          <w:color w:val="auto"/>
          <w:sz w:val="24"/>
          <w:szCs w:val="24"/>
          <w:lang w:eastAsia="zh-CN"/>
        </w:rPr>
        <w:t>邮政编码：</w:t>
      </w:r>
      <w:r>
        <w:rPr>
          <w:rFonts w:hint="eastAsia" w:ascii="Times New Roman" w:hAnsi="Times New Roman" w:eastAsia="宋体" w:cs="Times New Roman"/>
          <w:color w:val="auto"/>
          <w:sz w:val="24"/>
          <w:szCs w:val="24"/>
          <w:u w:val="single"/>
          <w:lang w:eastAsia="zh-CN"/>
        </w:rPr>
        <w:t>312000</w:t>
      </w:r>
    </w:p>
    <w:p w14:paraId="3A21313A">
      <w:pPr>
        <w:widowControl w:val="0"/>
        <w:kinsoku/>
        <w:topLinePunct/>
        <w:autoSpaceDE/>
        <w:autoSpaceDN/>
        <w:spacing w:line="480" w:lineRule="exact"/>
        <w:ind w:left="510"/>
        <w:jc w:val="both"/>
        <w:rPr>
          <w:rFonts w:ascii="Times New Roman" w:hAnsi="Times New Roman" w:eastAsia="宋体" w:cs="Times New Roman"/>
          <w:color w:val="auto"/>
          <w:sz w:val="24"/>
          <w:szCs w:val="24"/>
          <w:lang w:eastAsia="zh-CN"/>
        </w:rPr>
      </w:pPr>
      <w:r>
        <w:rPr>
          <w:rFonts w:ascii="宋体" w:hAnsi="宋体" w:eastAsia="宋体" w:cs="宋体"/>
          <w:color w:val="auto"/>
          <w:sz w:val="24"/>
          <w:szCs w:val="24"/>
          <w:lang w:eastAsia="zh-CN"/>
        </w:rPr>
        <w:t>电</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话：</w:t>
      </w:r>
      <w:r>
        <w:rPr>
          <w:rFonts w:hint="eastAsia" w:ascii="宋体" w:hAnsi="宋体" w:eastAsia="宋体" w:cs="宋体"/>
          <w:color w:val="auto"/>
          <w:sz w:val="24"/>
          <w:szCs w:val="24"/>
          <w:u w:val="single"/>
          <w:lang w:eastAsia="zh-CN"/>
        </w:rPr>
        <w:t>0575-88796853</w:t>
      </w:r>
    </w:p>
    <w:p w14:paraId="266A49F9">
      <w:pPr>
        <w:widowControl w:val="0"/>
        <w:kinsoku/>
        <w:topLinePunct/>
        <w:autoSpaceDE/>
        <w:autoSpaceDN/>
        <w:spacing w:line="480" w:lineRule="exact"/>
        <w:ind w:left="485"/>
        <w:jc w:val="both"/>
        <w:rPr>
          <w:rFonts w:ascii="Times New Roman" w:hAnsi="Times New Roman" w:eastAsia="宋体" w:cs="Times New Roman"/>
          <w:color w:val="auto"/>
          <w:sz w:val="24"/>
          <w:szCs w:val="24"/>
          <w:lang w:eastAsia="zh-CN"/>
        </w:rPr>
      </w:pPr>
      <w:r>
        <w:rPr>
          <w:rFonts w:ascii="宋体" w:hAnsi="宋体" w:eastAsia="宋体" w:cs="宋体"/>
          <w:color w:val="auto"/>
          <w:sz w:val="24"/>
          <w:szCs w:val="24"/>
          <w:lang w:eastAsia="zh-CN"/>
        </w:rPr>
        <w:t>投诉受理部门：</w:t>
      </w:r>
      <w:r>
        <w:rPr>
          <w:rFonts w:hint="eastAsia" w:ascii="Times New Roman" w:hAnsi="Times New Roman" w:eastAsia="宋体" w:cs="Times New Roman"/>
          <w:color w:val="auto"/>
          <w:sz w:val="24"/>
          <w:szCs w:val="24"/>
          <w:u w:val="single"/>
          <w:lang w:eastAsia="zh-CN"/>
        </w:rPr>
        <w:t>绍兴市水利局</w:t>
      </w:r>
    </w:p>
    <w:p w14:paraId="56A4AF5F">
      <w:pPr>
        <w:widowControl w:val="0"/>
        <w:kinsoku/>
        <w:topLinePunct/>
        <w:autoSpaceDE/>
        <w:autoSpaceDN/>
        <w:spacing w:line="480" w:lineRule="exact"/>
        <w:ind w:left="482"/>
        <w:jc w:val="both"/>
        <w:rPr>
          <w:rFonts w:ascii="Times New Roman" w:hAnsi="Times New Roman" w:eastAsia="宋体" w:cs="Times New Roman"/>
          <w:color w:val="auto"/>
          <w:sz w:val="24"/>
          <w:szCs w:val="24"/>
          <w:lang w:eastAsia="zh-CN"/>
        </w:rPr>
      </w:pPr>
      <w:r>
        <w:rPr>
          <w:rFonts w:ascii="宋体" w:hAnsi="宋体" w:eastAsia="宋体" w:cs="宋体"/>
          <w:color w:val="auto"/>
          <w:sz w:val="24"/>
          <w:szCs w:val="24"/>
          <w:lang w:eastAsia="zh-CN"/>
        </w:rPr>
        <w:t>地</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址：</w:t>
      </w:r>
      <w:r>
        <w:rPr>
          <w:rFonts w:hint="eastAsia" w:ascii="宋体" w:hAnsi="宋体" w:eastAsia="宋体" w:cs="宋体"/>
          <w:color w:val="auto"/>
          <w:sz w:val="24"/>
          <w:szCs w:val="24"/>
          <w:u w:val="single"/>
          <w:lang w:eastAsia="zh-CN"/>
        </w:rPr>
        <w:t>绍兴市行政中心9号楼（绍兴市越城区洋江西路589号）</w:t>
      </w:r>
    </w:p>
    <w:p w14:paraId="06E8A828">
      <w:pPr>
        <w:widowControl w:val="0"/>
        <w:kinsoku/>
        <w:topLinePunct/>
        <w:autoSpaceDE/>
        <w:autoSpaceDN/>
        <w:spacing w:line="480" w:lineRule="exact"/>
        <w:ind w:left="510"/>
        <w:jc w:val="both"/>
        <w:rPr>
          <w:rFonts w:hint="eastAsia" w:ascii="宋体" w:hAnsi="宋体" w:eastAsia="宋体" w:cs="宋体"/>
          <w:color w:val="auto"/>
          <w:sz w:val="24"/>
          <w:szCs w:val="24"/>
          <w:u w:val="single"/>
          <w:lang w:eastAsia="zh-CN"/>
        </w:rPr>
      </w:pPr>
      <w:r>
        <w:rPr>
          <w:rFonts w:ascii="宋体" w:hAnsi="宋体" w:eastAsia="宋体" w:cs="宋体"/>
          <w:color w:val="auto"/>
          <w:sz w:val="24"/>
          <w:szCs w:val="24"/>
        </w:rPr>
        <w:t>电</w:t>
      </w:r>
      <w:r>
        <w:rPr>
          <w:rFonts w:hint="eastAsia" w:ascii="宋体" w:hAnsi="宋体" w:eastAsia="宋体" w:cs="宋体"/>
          <w:color w:val="auto"/>
          <w:sz w:val="24"/>
          <w:szCs w:val="24"/>
          <w:lang w:eastAsia="zh-CN"/>
        </w:rPr>
        <w:t>　　</w:t>
      </w:r>
      <w:r>
        <w:rPr>
          <w:rFonts w:ascii="宋体" w:hAnsi="宋体" w:eastAsia="宋体" w:cs="宋体"/>
          <w:color w:val="auto"/>
          <w:sz w:val="24"/>
          <w:szCs w:val="24"/>
        </w:rPr>
        <w:t>话：</w:t>
      </w:r>
      <w:r>
        <w:rPr>
          <w:rFonts w:hint="eastAsia" w:ascii="宋体" w:hAnsi="宋体" w:eastAsia="宋体" w:cs="宋体"/>
          <w:color w:val="auto"/>
          <w:sz w:val="24"/>
          <w:szCs w:val="24"/>
          <w:u w:val="single"/>
          <w:lang w:eastAsia="zh-CN"/>
        </w:rPr>
        <w:t>0575-88796853</w:t>
      </w:r>
    </w:p>
    <w:p w14:paraId="2687B570">
      <w:pPr>
        <w:widowControl w:val="0"/>
        <w:kinsoku/>
        <w:topLinePunct/>
        <w:autoSpaceDE/>
        <w:autoSpaceDN/>
        <w:spacing w:line="480" w:lineRule="exact"/>
        <w:ind w:left="2"/>
        <w:jc w:val="both"/>
        <w:outlineLvl w:val="1"/>
        <w:rPr>
          <w:rFonts w:hint="eastAsia" w:ascii="宋体" w:hAnsi="宋体" w:eastAsia="宋体" w:cs="宋体"/>
          <w:color w:val="auto"/>
          <w:sz w:val="28"/>
          <w:szCs w:val="28"/>
        </w:rPr>
      </w:pPr>
      <w:bookmarkStart w:id="47" w:name="bookmark11"/>
      <w:bookmarkEnd w:id="47"/>
      <w:bookmarkStart w:id="48" w:name="_Toc20859"/>
      <w:bookmarkStart w:id="49" w:name="_Toc1851"/>
      <w:bookmarkStart w:id="50" w:name="_Toc494"/>
      <w:bookmarkStart w:id="51" w:name="_Toc31269"/>
      <w:r>
        <w:rPr>
          <w:rFonts w:ascii="Times New Roman" w:hAnsi="Times New Roman" w:eastAsia="Times New Roman" w:cs="Times New Roman"/>
          <w:b/>
          <w:bCs/>
          <w:color w:val="auto"/>
          <w:sz w:val="28"/>
          <w:szCs w:val="28"/>
        </w:rPr>
        <w:t>8</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rPr>
        <w:t>联系方式</w:t>
      </w:r>
      <w:bookmarkEnd w:id="48"/>
      <w:bookmarkEnd w:id="49"/>
      <w:bookmarkEnd w:id="50"/>
      <w:bookmarkEnd w:id="51"/>
    </w:p>
    <w:tbl>
      <w:tblPr>
        <w:tblStyle w:val="1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53"/>
        <w:gridCol w:w="1570"/>
        <w:gridCol w:w="1485"/>
        <w:gridCol w:w="1510"/>
        <w:gridCol w:w="3018"/>
      </w:tblGrid>
      <w:tr w14:paraId="649AA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453" w:type="dxa"/>
            <w:vAlign w:val="center"/>
          </w:tcPr>
          <w:p w14:paraId="3F48584A">
            <w:pPr>
              <w:widowControl w:val="0"/>
              <w:jc w:val="distribute"/>
              <w:rPr>
                <w:rFonts w:hint="eastAsia" w:ascii="宋体" w:hAnsi="宋体" w:eastAsia="宋体" w:cs="宋体"/>
                <w:color w:val="auto"/>
              </w:rPr>
            </w:pPr>
            <w:r>
              <w:rPr>
                <w:rFonts w:hint="eastAsia" w:ascii="宋体" w:hAnsi="宋体" w:eastAsia="宋体" w:cs="宋体"/>
                <w:color w:val="auto"/>
                <w:spacing w:val="-2"/>
                <w:sz w:val="24"/>
                <w:szCs w:val="24"/>
              </w:rPr>
              <w:t>招标人：</w:t>
            </w:r>
          </w:p>
        </w:tc>
        <w:tc>
          <w:tcPr>
            <w:tcW w:w="3055" w:type="dxa"/>
            <w:gridSpan w:val="2"/>
            <w:vAlign w:val="center"/>
          </w:tcPr>
          <w:p w14:paraId="556FD71D">
            <w:pPr>
              <w:widowControl w:val="0"/>
              <w:jc w:val="both"/>
              <w:rPr>
                <w:rFonts w:hint="eastAsia" w:ascii="宋体" w:hAnsi="宋体" w:eastAsia="宋体" w:cs="宋体"/>
                <w:color w:val="auto"/>
                <w:lang w:eastAsia="zh-CN"/>
              </w:rPr>
            </w:pPr>
            <w:r>
              <w:rPr>
                <w:rFonts w:hint="eastAsia" w:ascii="宋体" w:hAnsi="宋体" w:eastAsia="宋体" w:cs="宋体"/>
                <w:color w:val="auto"/>
                <w:spacing w:val="-2"/>
                <w:sz w:val="24"/>
                <w:szCs w:val="24"/>
                <w:u w:val="single"/>
                <w:lang w:eastAsia="zh-CN"/>
              </w:rPr>
              <w:t>绍兴市柯桥区水利投资开发有限公司</w:t>
            </w:r>
          </w:p>
        </w:tc>
        <w:tc>
          <w:tcPr>
            <w:tcW w:w="1510" w:type="dxa"/>
            <w:vAlign w:val="center"/>
          </w:tcPr>
          <w:p w14:paraId="3E9C5145">
            <w:pPr>
              <w:widowControl w:val="0"/>
              <w:jc w:val="distribute"/>
              <w:rPr>
                <w:rFonts w:hint="eastAsia" w:ascii="宋体" w:hAnsi="宋体" w:eastAsia="宋体" w:cs="宋体"/>
                <w:color w:val="auto"/>
              </w:rPr>
            </w:pPr>
            <w:r>
              <w:rPr>
                <w:rFonts w:hint="eastAsia" w:ascii="宋体" w:hAnsi="宋体" w:eastAsia="宋体" w:cs="宋体"/>
                <w:color w:val="auto"/>
                <w:spacing w:val="-1"/>
                <w:sz w:val="24"/>
                <w:szCs w:val="24"/>
              </w:rPr>
              <w:t>代理机构：</w:t>
            </w:r>
          </w:p>
        </w:tc>
        <w:tc>
          <w:tcPr>
            <w:tcW w:w="3018" w:type="dxa"/>
            <w:vAlign w:val="center"/>
          </w:tcPr>
          <w:p w14:paraId="0DE6A6D3">
            <w:pPr>
              <w:widowControl w:val="0"/>
              <w:jc w:val="both"/>
              <w:rPr>
                <w:rFonts w:hint="eastAsia" w:ascii="宋体" w:hAnsi="宋体" w:eastAsia="宋体" w:cs="宋体"/>
                <w:color w:val="auto"/>
                <w:lang w:eastAsia="zh-CN"/>
              </w:rPr>
            </w:pPr>
            <w:r>
              <w:rPr>
                <w:rFonts w:hint="eastAsia" w:ascii="宋体" w:hAnsi="宋体" w:eastAsia="宋体" w:cs="宋体"/>
                <w:color w:val="auto"/>
                <w:spacing w:val="-1"/>
                <w:sz w:val="24"/>
                <w:szCs w:val="24"/>
                <w:u w:val="single"/>
                <w:lang w:eastAsia="zh-CN"/>
              </w:rPr>
              <w:t>浙江中际工程项目管理有限公司</w:t>
            </w:r>
          </w:p>
        </w:tc>
      </w:tr>
      <w:tr w14:paraId="07D24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453" w:type="dxa"/>
            <w:vAlign w:val="center"/>
          </w:tcPr>
          <w:p w14:paraId="1D4E0905">
            <w:pPr>
              <w:widowControl w:val="0"/>
              <w:jc w:val="distribute"/>
              <w:rPr>
                <w:rFonts w:hint="eastAsia" w:ascii="宋体" w:hAnsi="宋体" w:eastAsia="宋体" w:cs="宋体"/>
                <w:color w:val="auto"/>
              </w:rPr>
            </w:pPr>
            <w:r>
              <w:rPr>
                <w:rFonts w:hint="eastAsia" w:ascii="宋体" w:hAnsi="宋体" w:eastAsia="宋体" w:cs="宋体"/>
                <w:color w:val="auto"/>
                <w:spacing w:val="-2"/>
                <w:sz w:val="24"/>
                <w:szCs w:val="24"/>
              </w:rPr>
              <w:t>地址：</w:t>
            </w:r>
          </w:p>
        </w:tc>
        <w:tc>
          <w:tcPr>
            <w:tcW w:w="3055" w:type="dxa"/>
            <w:gridSpan w:val="2"/>
            <w:vAlign w:val="center"/>
          </w:tcPr>
          <w:p w14:paraId="55BCD942">
            <w:pPr>
              <w:widowControl w:val="0"/>
              <w:jc w:val="both"/>
              <w:rPr>
                <w:rFonts w:hint="eastAsia" w:ascii="宋体" w:hAnsi="宋体" w:eastAsia="宋体" w:cs="宋体"/>
                <w:color w:val="auto"/>
                <w:lang w:eastAsia="zh-CN"/>
              </w:rPr>
            </w:pPr>
            <w:r>
              <w:rPr>
                <w:rFonts w:hint="eastAsia" w:ascii="宋体" w:hAnsi="宋体" w:eastAsia="宋体" w:cs="宋体"/>
                <w:color w:val="auto"/>
                <w:spacing w:val="-2"/>
                <w:sz w:val="24"/>
                <w:szCs w:val="24"/>
                <w:u w:val="single"/>
                <w:lang w:eastAsia="zh-CN"/>
              </w:rPr>
              <w:t>绍兴市柯桥区纺都路1066号区公共服务大楼18楼</w:t>
            </w:r>
          </w:p>
        </w:tc>
        <w:tc>
          <w:tcPr>
            <w:tcW w:w="1510" w:type="dxa"/>
            <w:vAlign w:val="center"/>
          </w:tcPr>
          <w:p w14:paraId="48E7AE04">
            <w:pPr>
              <w:widowControl w:val="0"/>
              <w:jc w:val="distribute"/>
              <w:rPr>
                <w:rFonts w:hint="eastAsia" w:ascii="宋体" w:hAnsi="宋体" w:eastAsia="宋体" w:cs="宋体"/>
                <w:color w:val="auto"/>
              </w:rPr>
            </w:pPr>
            <w:r>
              <w:rPr>
                <w:rFonts w:hint="eastAsia" w:ascii="宋体" w:hAnsi="宋体" w:eastAsia="宋体" w:cs="宋体"/>
                <w:color w:val="auto"/>
                <w:spacing w:val="-2"/>
                <w:sz w:val="24"/>
                <w:szCs w:val="24"/>
              </w:rPr>
              <w:t>地址：</w:t>
            </w:r>
          </w:p>
        </w:tc>
        <w:tc>
          <w:tcPr>
            <w:tcW w:w="3018" w:type="dxa"/>
            <w:vAlign w:val="center"/>
          </w:tcPr>
          <w:p w14:paraId="7B0B9EA6">
            <w:pPr>
              <w:widowControl w:val="0"/>
              <w:jc w:val="both"/>
              <w:rPr>
                <w:rFonts w:hint="eastAsia" w:ascii="宋体" w:hAnsi="宋体" w:eastAsia="宋体" w:cs="宋体"/>
                <w:color w:val="auto"/>
                <w:lang w:eastAsia="zh-CN"/>
              </w:rPr>
            </w:pPr>
            <w:r>
              <w:rPr>
                <w:rFonts w:hint="eastAsia" w:ascii="宋体" w:hAnsi="宋体" w:eastAsia="宋体" w:cs="宋体"/>
                <w:color w:val="auto"/>
                <w:spacing w:val="-7"/>
                <w:sz w:val="24"/>
                <w:szCs w:val="24"/>
                <w:u w:val="single"/>
                <w:lang w:eastAsia="zh-CN"/>
              </w:rPr>
              <w:t>杭州市上城区富春路308号华成国际发展大厦8楼</w:t>
            </w:r>
          </w:p>
        </w:tc>
      </w:tr>
      <w:tr w14:paraId="1BF7E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453" w:type="dxa"/>
            <w:vAlign w:val="center"/>
          </w:tcPr>
          <w:p w14:paraId="28DF1B4A">
            <w:pPr>
              <w:widowControl w:val="0"/>
              <w:jc w:val="distribute"/>
              <w:rPr>
                <w:rFonts w:hint="eastAsia" w:ascii="宋体" w:hAnsi="宋体" w:eastAsia="宋体" w:cs="宋体"/>
                <w:color w:val="auto"/>
              </w:rPr>
            </w:pPr>
            <w:r>
              <w:rPr>
                <w:rFonts w:hint="eastAsia" w:ascii="宋体" w:hAnsi="宋体" w:eastAsia="宋体" w:cs="宋体"/>
                <w:color w:val="auto"/>
                <w:spacing w:val="-2"/>
                <w:sz w:val="24"/>
                <w:szCs w:val="24"/>
              </w:rPr>
              <w:t>联系人：</w:t>
            </w:r>
          </w:p>
        </w:tc>
        <w:tc>
          <w:tcPr>
            <w:tcW w:w="3055" w:type="dxa"/>
            <w:gridSpan w:val="2"/>
            <w:vAlign w:val="center"/>
          </w:tcPr>
          <w:p w14:paraId="1226A546">
            <w:pPr>
              <w:widowControl w:val="0"/>
              <w:jc w:val="both"/>
              <w:rPr>
                <w:rFonts w:hint="eastAsia" w:ascii="宋体" w:hAnsi="宋体" w:eastAsia="宋体" w:cs="宋体"/>
                <w:color w:val="auto"/>
              </w:rPr>
            </w:pPr>
            <w:r>
              <w:rPr>
                <w:rFonts w:hint="eastAsia" w:ascii="宋体" w:hAnsi="宋体" w:eastAsia="宋体" w:cs="宋体"/>
                <w:color w:val="auto"/>
                <w:spacing w:val="-2"/>
                <w:sz w:val="24"/>
                <w:szCs w:val="24"/>
                <w:u w:val="single"/>
                <w:lang w:eastAsia="zh-CN"/>
              </w:rPr>
              <w:t>胡</w:t>
            </w:r>
            <w:r>
              <w:rPr>
                <w:rFonts w:hint="eastAsia" w:ascii="宋体" w:hAnsi="宋体" w:eastAsia="宋体" w:cs="宋体"/>
                <w:color w:val="auto"/>
                <w:spacing w:val="-2"/>
                <w:sz w:val="24"/>
                <w:szCs w:val="24"/>
                <w:u w:val="single"/>
              </w:rPr>
              <w:t>工</w:t>
            </w:r>
          </w:p>
        </w:tc>
        <w:tc>
          <w:tcPr>
            <w:tcW w:w="1510" w:type="dxa"/>
            <w:vAlign w:val="center"/>
          </w:tcPr>
          <w:p w14:paraId="6F9F3B87">
            <w:pPr>
              <w:widowControl w:val="0"/>
              <w:jc w:val="distribute"/>
              <w:rPr>
                <w:rFonts w:hint="eastAsia" w:ascii="宋体" w:hAnsi="宋体" w:eastAsia="宋体" w:cs="宋体"/>
                <w:color w:val="auto"/>
              </w:rPr>
            </w:pPr>
            <w:r>
              <w:rPr>
                <w:rFonts w:hint="eastAsia" w:ascii="宋体" w:hAnsi="宋体" w:eastAsia="宋体" w:cs="宋体"/>
                <w:color w:val="auto"/>
                <w:spacing w:val="-2"/>
                <w:sz w:val="24"/>
                <w:szCs w:val="24"/>
              </w:rPr>
              <w:t>联系人：</w:t>
            </w:r>
          </w:p>
        </w:tc>
        <w:tc>
          <w:tcPr>
            <w:tcW w:w="3018" w:type="dxa"/>
            <w:vAlign w:val="center"/>
          </w:tcPr>
          <w:p w14:paraId="4ABBA6B9">
            <w:pPr>
              <w:widowControl w:val="0"/>
              <w:jc w:val="both"/>
              <w:rPr>
                <w:rFonts w:hint="eastAsia" w:ascii="宋体" w:hAnsi="宋体" w:eastAsia="宋体" w:cs="宋体"/>
                <w:color w:val="auto"/>
              </w:rPr>
            </w:pPr>
            <w:r>
              <w:rPr>
                <w:rFonts w:hint="eastAsia" w:ascii="宋体" w:hAnsi="宋体" w:eastAsia="宋体" w:cs="宋体"/>
                <w:color w:val="auto"/>
                <w:spacing w:val="-7"/>
                <w:sz w:val="24"/>
                <w:szCs w:val="24"/>
                <w:u w:val="single"/>
                <w:lang w:eastAsia="zh-CN"/>
              </w:rPr>
              <w:t>吴工</w:t>
            </w:r>
          </w:p>
        </w:tc>
      </w:tr>
      <w:tr w14:paraId="00659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453" w:type="dxa"/>
            <w:vAlign w:val="center"/>
          </w:tcPr>
          <w:p w14:paraId="10F14A7B">
            <w:pPr>
              <w:widowControl w:val="0"/>
              <w:jc w:val="distribute"/>
              <w:rPr>
                <w:rFonts w:hint="eastAsia" w:ascii="宋体" w:hAnsi="宋体" w:eastAsia="宋体" w:cs="宋体"/>
                <w:color w:val="auto"/>
              </w:rPr>
            </w:pPr>
            <w:r>
              <w:rPr>
                <w:rFonts w:hint="eastAsia" w:ascii="宋体" w:hAnsi="宋体" w:eastAsia="宋体" w:cs="宋体"/>
                <w:color w:val="auto"/>
                <w:spacing w:val="-3"/>
                <w:sz w:val="24"/>
                <w:szCs w:val="24"/>
              </w:rPr>
              <w:t>电话：</w:t>
            </w:r>
          </w:p>
        </w:tc>
        <w:tc>
          <w:tcPr>
            <w:tcW w:w="3055" w:type="dxa"/>
            <w:gridSpan w:val="2"/>
            <w:vAlign w:val="center"/>
          </w:tcPr>
          <w:p w14:paraId="13C30D4E">
            <w:pPr>
              <w:widowControl w:val="0"/>
              <w:jc w:val="both"/>
              <w:rPr>
                <w:rFonts w:hint="eastAsia" w:ascii="宋体" w:hAnsi="宋体" w:eastAsia="宋体" w:cs="宋体"/>
                <w:color w:val="auto"/>
              </w:rPr>
            </w:pPr>
            <w:r>
              <w:rPr>
                <w:rFonts w:hint="eastAsia" w:ascii="宋体" w:hAnsi="宋体" w:eastAsia="宋体" w:cs="宋体"/>
                <w:color w:val="auto"/>
                <w:spacing w:val="-3"/>
                <w:sz w:val="24"/>
                <w:szCs w:val="24"/>
                <w:u w:val="single"/>
              </w:rPr>
              <w:t>0575-81163302</w:t>
            </w:r>
          </w:p>
        </w:tc>
        <w:tc>
          <w:tcPr>
            <w:tcW w:w="1510" w:type="dxa"/>
            <w:vAlign w:val="center"/>
          </w:tcPr>
          <w:p w14:paraId="3CE21ACA">
            <w:pPr>
              <w:widowControl w:val="0"/>
              <w:jc w:val="distribute"/>
              <w:rPr>
                <w:rFonts w:hint="eastAsia" w:ascii="宋体" w:hAnsi="宋体" w:eastAsia="宋体" w:cs="宋体"/>
                <w:color w:val="auto"/>
              </w:rPr>
            </w:pPr>
            <w:r>
              <w:rPr>
                <w:rFonts w:hint="eastAsia" w:ascii="宋体" w:hAnsi="宋体" w:eastAsia="宋体" w:cs="宋体"/>
                <w:color w:val="auto"/>
                <w:spacing w:val="-3"/>
                <w:sz w:val="24"/>
                <w:szCs w:val="24"/>
              </w:rPr>
              <w:t>电话：</w:t>
            </w:r>
          </w:p>
        </w:tc>
        <w:tc>
          <w:tcPr>
            <w:tcW w:w="3018" w:type="dxa"/>
            <w:vAlign w:val="center"/>
          </w:tcPr>
          <w:p w14:paraId="492A8CBA">
            <w:pPr>
              <w:widowControl w:val="0"/>
              <w:jc w:val="both"/>
              <w:rPr>
                <w:rFonts w:hint="eastAsia" w:ascii="宋体" w:hAnsi="宋体" w:eastAsia="宋体" w:cs="宋体"/>
                <w:color w:val="auto"/>
                <w:spacing w:val="-7"/>
                <w:sz w:val="24"/>
                <w:szCs w:val="24"/>
                <w:u w:val="single"/>
                <w:lang w:eastAsia="zh-CN"/>
              </w:rPr>
            </w:pPr>
            <w:r>
              <w:rPr>
                <w:rFonts w:hint="eastAsia" w:ascii="宋体" w:hAnsi="宋体" w:eastAsia="宋体" w:cs="宋体"/>
                <w:color w:val="auto"/>
                <w:spacing w:val="-7"/>
                <w:sz w:val="24"/>
                <w:szCs w:val="24"/>
                <w:u w:val="single"/>
                <w:lang w:eastAsia="zh-CN"/>
              </w:rPr>
              <w:t>15824491413</w:t>
            </w:r>
          </w:p>
        </w:tc>
      </w:tr>
      <w:tr w14:paraId="2188E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453" w:type="dxa"/>
            <w:vAlign w:val="center"/>
          </w:tcPr>
          <w:p w14:paraId="537DD630">
            <w:pPr>
              <w:widowControl w:val="0"/>
              <w:jc w:val="distribute"/>
              <w:rPr>
                <w:rFonts w:hint="eastAsia" w:ascii="宋体" w:hAnsi="宋体" w:eastAsia="宋体" w:cs="宋体"/>
                <w:color w:val="auto"/>
              </w:rPr>
            </w:pPr>
            <w:r>
              <w:rPr>
                <w:rFonts w:hint="eastAsia" w:ascii="宋体" w:hAnsi="宋体" w:eastAsia="宋体" w:cs="宋体"/>
                <w:color w:val="auto"/>
                <w:spacing w:val="-3"/>
                <w:sz w:val="24"/>
                <w:szCs w:val="24"/>
              </w:rPr>
              <w:t>传真：</w:t>
            </w:r>
          </w:p>
        </w:tc>
        <w:tc>
          <w:tcPr>
            <w:tcW w:w="3055" w:type="dxa"/>
            <w:gridSpan w:val="2"/>
            <w:vAlign w:val="center"/>
          </w:tcPr>
          <w:p w14:paraId="1D8ECD8D">
            <w:pPr>
              <w:widowControl w:val="0"/>
              <w:jc w:val="both"/>
              <w:rPr>
                <w:rFonts w:hint="eastAsia" w:ascii="宋体" w:hAnsi="宋体" w:eastAsia="宋体" w:cs="宋体"/>
                <w:color w:val="auto"/>
                <w:lang w:eastAsia="zh-CN"/>
              </w:rPr>
            </w:pPr>
            <w:r>
              <w:rPr>
                <w:rFonts w:hint="eastAsia" w:ascii="宋体" w:hAnsi="宋体" w:eastAsia="宋体" w:cs="宋体"/>
                <w:color w:val="auto"/>
                <w:lang w:eastAsia="zh-CN"/>
              </w:rPr>
              <w:t>/</w:t>
            </w:r>
          </w:p>
        </w:tc>
        <w:tc>
          <w:tcPr>
            <w:tcW w:w="1510" w:type="dxa"/>
            <w:vAlign w:val="center"/>
          </w:tcPr>
          <w:p w14:paraId="0A70617C">
            <w:pPr>
              <w:widowControl w:val="0"/>
              <w:jc w:val="distribute"/>
              <w:rPr>
                <w:rFonts w:hint="eastAsia" w:ascii="宋体" w:hAnsi="宋体" w:eastAsia="宋体" w:cs="宋体"/>
                <w:color w:val="auto"/>
              </w:rPr>
            </w:pPr>
            <w:r>
              <w:rPr>
                <w:rFonts w:hint="eastAsia" w:ascii="宋体" w:hAnsi="宋体" w:eastAsia="宋体" w:cs="宋体"/>
                <w:color w:val="auto"/>
                <w:spacing w:val="-3"/>
                <w:sz w:val="24"/>
                <w:szCs w:val="24"/>
              </w:rPr>
              <w:t>传真：</w:t>
            </w:r>
          </w:p>
        </w:tc>
        <w:tc>
          <w:tcPr>
            <w:tcW w:w="3018" w:type="dxa"/>
            <w:vAlign w:val="center"/>
          </w:tcPr>
          <w:p w14:paraId="14587B8F">
            <w:pPr>
              <w:widowControl w:val="0"/>
              <w:jc w:val="both"/>
              <w:rPr>
                <w:rFonts w:hint="eastAsia" w:ascii="宋体" w:hAnsi="宋体" w:eastAsia="宋体" w:cs="宋体"/>
                <w:color w:val="auto"/>
                <w:spacing w:val="-7"/>
                <w:sz w:val="24"/>
                <w:szCs w:val="24"/>
                <w:u w:val="single"/>
                <w:lang w:eastAsia="zh-CN"/>
              </w:rPr>
            </w:pPr>
            <w:r>
              <w:rPr>
                <w:rFonts w:hint="eastAsia" w:ascii="宋体" w:hAnsi="宋体" w:eastAsia="宋体" w:cs="宋体"/>
                <w:color w:val="auto"/>
                <w:spacing w:val="-7"/>
                <w:sz w:val="24"/>
                <w:szCs w:val="24"/>
                <w:u w:val="single"/>
                <w:lang w:eastAsia="zh-CN"/>
              </w:rPr>
              <w:t>/</w:t>
            </w:r>
          </w:p>
        </w:tc>
      </w:tr>
      <w:tr w14:paraId="49CB3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453" w:type="dxa"/>
            <w:vAlign w:val="center"/>
          </w:tcPr>
          <w:p w14:paraId="1C4E4DA1">
            <w:pPr>
              <w:widowControl w:val="0"/>
              <w:jc w:val="distribute"/>
              <w:rPr>
                <w:rFonts w:hint="eastAsia" w:ascii="宋体" w:hAnsi="宋体" w:eastAsia="宋体" w:cs="宋体"/>
                <w:color w:val="auto"/>
              </w:rPr>
            </w:pPr>
            <w:r>
              <w:rPr>
                <w:rFonts w:hint="eastAsia" w:ascii="宋体" w:hAnsi="宋体" w:eastAsia="宋体" w:cs="宋体"/>
                <w:color w:val="auto"/>
                <w:spacing w:val="-8"/>
                <w:sz w:val="24"/>
                <w:szCs w:val="24"/>
              </w:rPr>
              <w:t>电子信箱：</w:t>
            </w:r>
          </w:p>
        </w:tc>
        <w:tc>
          <w:tcPr>
            <w:tcW w:w="3055" w:type="dxa"/>
            <w:gridSpan w:val="2"/>
            <w:vAlign w:val="center"/>
          </w:tcPr>
          <w:p w14:paraId="0304DC41">
            <w:pPr>
              <w:widowControl w:val="0"/>
              <w:jc w:val="both"/>
              <w:rPr>
                <w:rFonts w:hint="eastAsia" w:ascii="宋体" w:hAnsi="宋体" w:eastAsia="宋体" w:cs="宋体"/>
                <w:color w:val="auto"/>
                <w:lang w:eastAsia="zh-CN"/>
              </w:rPr>
            </w:pPr>
            <w:r>
              <w:rPr>
                <w:rFonts w:hint="eastAsia" w:ascii="宋体" w:hAnsi="宋体" w:eastAsia="宋体" w:cs="宋体"/>
                <w:color w:val="auto"/>
                <w:lang w:eastAsia="zh-CN"/>
              </w:rPr>
              <w:t>/</w:t>
            </w:r>
          </w:p>
        </w:tc>
        <w:tc>
          <w:tcPr>
            <w:tcW w:w="1510" w:type="dxa"/>
            <w:vAlign w:val="center"/>
          </w:tcPr>
          <w:p w14:paraId="6C825704">
            <w:pPr>
              <w:widowControl w:val="0"/>
              <w:jc w:val="distribute"/>
              <w:rPr>
                <w:rFonts w:hint="eastAsia" w:ascii="宋体" w:hAnsi="宋体" w:eastAsia="宋体" w:cs="宋体"/>
                <w:color w:val="auto"/>
              </w:rPr>
            </w:pPr>
            <w:r>
              <w:rPr>
                <w:rFonts w:hint="eastAsia" w:ascii="宋体" w:hAnsi="宋体" w:eastAsia="宋体" w:cs="宋体"/>
                <w:color w:val="auto"/>
                <w:spacing w:val="-8"/>
                <w:sz w:val="24"/>
                <w:szCs w:val="24"/>
              </w:rPr>
              <w:t>电子信箱：</w:t>
            </w:r>
          </w:p>
        </w:tc>
        <w:tc>
          <w:tcPr>
            <w:tcW w:w="3018" w:type="dxa"/>
            <w:vAlign w:val="center"/>
          </w:tcPr>
          <w:p w14:paraId="5F513781">
            <w:pPr>
              <w:widowControl w:val="0"/>
              <w:jc w:val="both"/>
              <w:rPr>
                <w:rFonts w:hint="eastAsia" w:ascii="宋体" w:hAnsi="宋体" w:eastAsia="宋体" w:cs="宋体"/>
                <w:color w:val="auto"/>
                <w:spacing w:val="-7"/>
                <w:sz w:val="24"/>
                <w:szCs w:val="24"/>
                <w:u w:val="single"/>
                <w:lang w:eastAsia="zh-CN"/>
              </w:rPr>
            </w:pPr>
            <w:r>
              <w:rPr>
                <w:rFonts w:hint="eastAsia" w:ascii="宋体" w:hAnsi="宋体" w:eastAsia="宋体" w:cs="宋体"/>
                <w:color w:val="auto"/>
                <w:spacing w:val="-7"/>
                <w:sz w:val="24"/>
                <w:szCs w:val="24"/>
                <w:u w:val="single"/>
                <w:lang w:eastAsia="zh-CN"/>
              </w:rPr>
              <w:t>231845135@qq.com</w:t>
            </w:r>
          </w:p>
        </w:tc>
      </w:tr>
      <w:tr w14:paraId="62754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023" w:type="dxa"/>
            <w:gridSpan w:val="2"/>
          </w:tcPr>
          <w:p w14:paraId="13B51CED">
            <w:pPr>
              <w:widowControl w:val="0"/>
              <w:jc w:val="both"/>
              <w:rPr>
                <w:rFonts w:hint="eastAsia" w:ascii="宋体" w:hAnsi="宋体" w:eastAsia="宋体" w:cs="宋体"/>
                <w:color w:val="auto"/>
              </w:rPr>
            </w:pPr>
          </w:p>
        </w:tc>
        <w:tc>
          <w:tcPr>
            <w:tcW w:w="2995" w:type="dxa"/>
            <w:gridSpan w:val="2"/>
            <w:vAlign w:val="center"/>
          </w:tcPr>
          <w:p w14:paraId="26236706">
            <w:pPr>
              <w:widowControl w:val="0"/>
              <w:jc w:val="both"/>
              <w:rPr>
                <w:rFonts w:hint="eastAsia" w:ascii="宋体" w:hAnsi="宋体" w:eastAsia="宋体" w:cs="宋体"/>
                <w:color w:val="auto"/>
              </w:rPr>
            </w:pPr>
          </w:p>
        </w:tc>
        <w:tc>
          <w:tcPr>
            <w:tcW w:w="3018" w:type="dxa"/>
            <w:vAlign w:val="center"/>
          </w:tcPr>
          <w:p w14:paraId="37340A20">
            <w:pPr>
              <w:widowControl w:val="0"/>
              <w:jc w:val="both"/>
              <w:rPr>
                <w:rFonts w:hint="eastAsia" w:ascii="宋体" w:hAnsi="宋体" w:eastAsia="宋体" w:cs="宋体"/>
                <w:color w:val="auto"/>
                <w:lang w:eastAsia="zh-CN"/>
              </w:rPr>
            </w:pPr>
            <w:r>
              <w:rPr>
                <w:rFonts w:hint="eastAsia" w:ascii="宋体" w:hAnsi="宋体" w:eastAsia="宋体" w:cs="宋体"/>
                <w:color w:val="auto"/>
                <w:spacing w:val="-7"/>
                <w:sz w:val="24"/>
                <w:szCs w:val="24"/>
                <w:u w:val="single"/>
                <w:lang w:eastAsia="zh-CN"/>
              </w:rPr>
              <w:t>2026年6月2日</w:t>
            </w:r>
          </w:p>
        </w:tc>
      </w:tr>
    </w:tbl>
    <w:p w14:paraId="48886ECC">
      <w:pPr>
        <w:rPr>
          <w:rFonts w:hint="eastAsia" w:ascii="宋体" w:hAnsi="宋体" w:eastAsia="宋体" w:cs="宋体"/>
          <w:color w:val="auto"/>
          <w:sz w:val="24"/>
          <w:szCs w:val="24"/>
        </w:rPr>
      </w:pPr>
      <w:r>
        <w:rPr>
          <w:rFonts w:ascii="宋体" w:hAnsi="宋体" w:eastAsia="宋体" w:cs="宋体"/>
          <w:color w:val="auto"/>
          <w:sz w:val="24"/>
          <w:szCs w:val="24"/>
        </w:rPr>
        <w:br w:type="page"/>
      </w:r>
    </w:p>
    <w:p w14:paraId="350F71AF">
      <w:pPr>
        <w:spacing w:line="360" w:lineRule="auto"/>
        <w:jc w:val="center"/>
        <w:outlineLvl w:val="1"/>
        <w:rPr>
          <w:rFonts w:hint="eastAsia" w:ascii="黑体" w:hAnsi="黑体" w:eastAsia="黑体" w:cs="黑体"/>
          <w:color w:val="auto"/>
          <w:sz w:val="28"/>
          <w:szCs w:val="28"/>
          <w:lang w:eastAsia="zh-CN"/>
        </w:rPr>
      </w:pPr>
      <w:bookmarkStart w:id="52" w:name="bookmark12"/>
      <w:bookmarkEnd w:id="52"/>
      <w:bookmarkStart w:id="53" w:name="_Toc22294"/>
      <w:bookmarkStart w:id="54" w:name="_Toc30012"/>
      <w:bookmarkStart w:id="55" w:name="_Toc24064"/>
      <w:bookmarkStart w:id="56" w:name="_Toc19531"/>
      <w:r>
        <w:rPr>
          <w:rFonts w:ascii="黑体" w:hAnsi="黑体" w:eastAsia="黑体" w:cs="黑体"/>
          <w:b/>
          <w:bCs/>
          <w:color w:val="auto"/>
          <w:sz w:val="28"/>
          <w:szCs w:val="28"/>
          <w:lang w:eastAsia="zh-CN"/>
        </w:rPr>
        <w:t>投标人资格条件要求附表</w:t>
      </w:r>
      <w:bookmarkEnd w:id="53"/>
      <w:bookmarkEnd w:id="54"/>
      <w:bookmarkEnd w:id="55"/>
      <w:bookmarkEnd w:id="56"/>
    </w:p>
    <w:p w14:paraId="2C891DCB">
      <w:pPr>
        <w:spacing w:line="165" w:lineRule="exact"/>
        <w:rPr>
          <w:color w:val="auto"/>
          <w:lang w:eastAsia="zh-CN"/>
        </w:rPr>
      </w:pPr>
    </w:p>
    <w:tbl>
      <w:tblPr>
        <w:tblStyle w:val="20"/>
        <w:tblW w:w="9208"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1"/>
        <w:gridCol w:w="8477"/>
      </w:tblGrid>
      <w:tr w14:paraId="121CB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top w:val="single" w:color="000000" w:sz="6" w:space="0"/>
              <w:left w:val="single" w:color="000000" w:sz="6" w:space="0"/>
            </w:tcBorders>
            <w:vAlign w:val="center"/>
          </w:tcPr>
          <w:p w14:paraId="2348B8B5">
            <w:pPr>
              <w:pStyle w:val="21"/>
              <w:widowControl w:val="0"/>
              <w:kinsoku/>
              <w:wordWrap w:val="0"/>
              <w:topLinePunct/>
              <w:autoSpaceDE/>
              <w:autoSpaceDN/>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序号</w:t>
            </w:r>
          </w:p>
        </w:tc>
        <w:tc>
          <w:tcPr>
            <w:tcW w:w="8477" w:type="dxa"/>
            <w:tcBorders>
              <w:top w:val="single" w:color="000000" w:sz="6" w:space="0"/>
              <w:right w:val="single" w:color="000000" w:sz="6" w:space="0"/>
            </w:tcBorders>
            <w:vAlign w:val="center"/>
          </w:tcPr>
          <w:p w14:paraId="37E2C7EE">
            <w:pPr>
              <w:pStyle w:val="21"/>
              <w:widowControl w:val="0"/>
              <w:kinsoku/>
              <w:wordWrap w:val="0"/>
              <w:topLinePunct/>
              <w:autoSpaceDE/>
              <w:autoSpaceDN/>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资格条件内容</w:t>
            </w:r>
          </w:p>
        </w:tc>
      </w:tr>
      <w:tr w14:paraId="6AC90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7294F952">
            <w:pPr>
              <w:pStyle w:val="21"/>
              <w:widowControl w:val="0"/>
              <w:kinsoku/>
              <w:wordWrap w:val="0"/>
              <w:topLinePunct/>
              <w:autoSpaceDE/>
              <w:autoSpaceDN/>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一</w:t>
            </w:r>
          </w:p>
        </w:tc>
        <w:tc>
          <w:tcPr>
            <w:tcW w:w="8477" w:type="dxa"/>
            <w:tcBorders>
              <w:right w:val="single" w:color="000000" w:sz="6" w:space="0"/>
            </w:tcBorders>
            <w:vAlign w:val="center"/>
          </w:tcPr>
          <w:p w14:paraId="582DA969">
            <w:pPr>
              <w:pStyle w:val="21"/>
              <w:widowControl w:val="0"/>
              <w:kinsoku/>
              <w:wordWrap w:val="0"/>
              <w:topLinePunct/>
              <w:autoSpaceDE/>
              <w:autoSpaceDN/>
              <w:ind w:firstLine="211" w:firstLineChars="100"/>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企业</w:t>
            </w:r>
          </w:p>
        </w:tc>
      </w:tr>
      <w:tr w14:paraId="56BEB4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3E0EC7AA">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8477" w:type="dxa"/>
            <w:tcBorders>
              <w:right w:val="single" w:color="000000" w:sz="6" w:space="0"/>
            </w:tcBorders>
            <w:vAlign w:val="center"/>
          </w:tcPr>
          <w:p w14:paraId="580E9634">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应具备</w:t>
            </w:r>
            <w:r>
              <w:rPr>
                <w:rFonts w:hint="eastAsia" w:asciiTheme="minorEastAsia" w:hAnsiTheme="minorEastAsia" w:eastAsiaTheme="minorEastAsia" w:cstheme="minorEastAsia"/>
                <w:b/>
                <w:bCs/>
                <w:color w:val="auto"/>
                <w:sz w:val="21"/>
                <w:szCs w:val="21"/>
                <w:u w:val="single"/>
                <w:lang w:eastAsia="zh-CN"/>
              </w:rPr>
              <w:t>水利水电工程施工总承包壹级及以上</w:t>
            </w:r>
            <w:r>
              <w:rPr>
                <w:rFonts w:hint="eastAsia" w:asciiTheme="minorEastAsia" w:hAnsiTheme="minorEastAsia" w:eastAsiaTheme="minorEastAsia" w:cstheme="minorEastAsia"/>
                <w:color w:val="auto"/>
                <w:sz w:val="21"/>
                <w:szCs w:val="21"/>
                <w:lang w:eastAsia="zh-CN"/>
              </w:rPr>
              <w:t>资质，具有有效的营业执照和安全生产许可证。</w:t>
            </w:r>
          </w:p>
          <w:p w14:paraId="42A533BD">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提供投标人自公告发布之日至投标截止日之间在“浙江省建筑市场监管公共服务系统”上公布的参与投标施工资质的任意一期“资质动态核查结果证明”。（对应资质应在“浙江省建筑市场监管公共服务系统”上资质动态核查结果处于“合格”状态。</w:t>
            </w:r>
            <w:r>
              <w:rPr>
                <w:rFonts w:hint="eastAsia" w:asciiTheme="minorEastAsia" w:hAnsiTheme="minorEastAsia" w:eastAsiaTheme="minorEastAsia" w:cstheme="minorEastAsia"/>
                <w:color w:val="auto"/>
                <w:sz w:val="21"/>
                <w:szCs w:val="21"/>
              </w:rPr>
              <w:t>）</w:t>
            </w:r>
          </w:p>
        </w:tc>
      </w:tr>
      <w:tr w14:paraId="179DD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6D15C5E0">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p>
        </w:tc>
        <w:tc>
          <w:tcPr>
            <w:tcW w:w="8477" w:type="dxa"/>
            <w:tcBorders>
              <w:right w:val="single" w:color="000000" w:sz="6" w:space="0"/>
            </w:tcBorders>
            <w:vAlign w:val="center"/>
          </w:tcPr>
          <w:p w14:paraId="77551F47">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本次招标</w:t>
            </w:r>
            <w:r>
              <w:rPr>
                <w:rFonts w:hint="eastAsia" w:asciiTheme="minorEastAsia" w:hAnsiTheme="minorEastAsia" w:eastAsiaTheme="minorEastAsia" w:cstheme="minorEastAsia"/>
                <w:color w:val="auto"/>
                <w:sz w:val="21"/>
                <w:szCs w:val="21"/>
                <w:u w:val="single"/>
                <w:lang w:eastAsia="zh-CN"/>
              </w:rPr>
              <w:t>不接受</w:t>
            </w:r>
            <w:r>
              <w:rPr>
                <w:rFonts w:hint="eastAsia" w:asciiTheme="minorEastAsia" w:hAnsiTheme="minorEastAsia" w:eastAsiaTheme="minorEastAsia" w:cstheme="minorEastAsia"/>
                <w:i/>
                <w:iCs/>
                <w:color w:val="auto"/>
                <w:sz w:val="21"/>
                <w:szCs w:val="21"/>
                <w:lang w:eastAsia="zh-CN"/>
              </w:rPr>
              <w:t>（接受或不接受）</w:t>
            </w:r>
            <w:r>
              <w:rPr>
                <w:rFonts w:hint="eastAsia" w:asciiTheme="minorEastAsia" w:hAnsiTheme="minorEastAsia" w:eastAsiaTheme="minorEastAsia" w:cstheme="minorEastAsia"/>
                <w:color w:val="auto"/>
                <w:sz w:val="21"/>
                <w:szCs w:val="21"/>
                <w:lang w:eastAsia="zh-CN"/>
              </w:rPr>
              <w:t>联合体投标</w:t>
            </w:r>
            <w:r>
              <w:rPr>
                <w:rFonts w:hint="eastAsia" w:asciiTheme="minorEastAsia" w:hAnsiTheme="minorEastAsia" w:eastAsiaTheme="minorEastAsia" w:cstheme="minorEastAsia"/>
                <w:color w:val="auto"/>
                <w:sz w:val="21"/>
                <w:szCs w:val="21"/>
                <w:vertAlign w:val="superscript"/>
                <w:lang w:eastAsia="zh-CN"/>
              </w:rPr>
              <w:t>①</w:t>
            </w:r>
            <w:r>
              <w:rPr>
                <w:rFonts w:hint="eastAsia" w:asciiTheme="minorEastAsia" w:hAnsiTheme="minorEastAsia" w:eastAsiaTheme="minorEastAsia" w:cstheme="minorEastAsia"/>
                <w:color w:val="auto"/>
                <w:sz w:val="21"/>
                <w:szCs w:val="21"/>
                <w:lang w:eastAsia="zh-CN"/>
              </w:rPr>
              <w:t>。</w:t>
            </w:r>
          </w:p>
        </w:tc>
      </w:tr>
      <w:tr w14:paraId="182CC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1E88A3D6">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w:t>
            </w:r>
          </w:p>
        </w:tc>
        <w:tc>
          <w:tcPr>
            <w:tcW w:w="8477" w:type="dxa"/>
            <w:tcBorders>
              <w:right w:val="single" w:color="000000" w:sz="6" w:space="0"/>
            </w:tcBorders>
            <w:vAlign w:val="center"/>
          </w:tcPr>
          <w:p w14:paraId="7B020954">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投标人及其法定代表人自</w:t>
            </w:r>
            <w:r>
              <w:rPr>
                <w:rFonts w:hint="eastAsia" w:asciiTheme="minorEastAsia" w:hAnsiTheme="minorEastAsia" w:eastAsiaTheme="minorEastAsia" w:cstheme="minorEastAsia"/>
                <w:b/>
                <w:bCs/>
                <w:color w:val="auto"/>
                <w:sz w:val="21"/>
                <w:szCs w:val="21"/>
                <w:u w:val="single"/>
                <w:lang w:eastAsia="zh-CN"/>
              </w:rPr>
              <w:t>2023</w:t>
            </w:r>
            <w:r>
              <w:rPr>
                <w:rFonts w:hint="eastAsia" w:asciiTheme="minorEastAsia" w:hAnsiTheme="minorEastAsia" w:eastAsiaTheme="minorEastAsia" w:cstheme="minorEastAsia"/>
                <w:color w:val="auto"/>
                <w:sz w:val="21"/>
                <w:szCs w:val="21"/>
              </w:rPr>
              <w:t>年</w:t>
            </w:r>
            <w:r>
              <w:rPr>
                <w:rFonts w:hint="eastAsia" w:asciiTheme="minorEastAsia" w:hAnsiTheme="minorEastAsia" w:eastAsiaTheme="minorEastAsia" w:cstheme="minorEastAsia"/>
                <w:color w:val="auto"/>
                <w:sz w:val="21"/>
                <w:szCs w:val="21"/>
                <w:u w:val="single"/>
                <w:lang w:eastAsia="zh-CN"/>
              </w:rPr>
              <w:t>1</w:t>
            </w:r>
            <w:r>
              <w:rPr>
                <w:rFonts w:hint="eastAsia" w:asciiTheme="minorEastAsia" w:hAnsiTheme="minorEastAsia" w:eastAsiaTheme="minorEastAsia" w:cstheme="minorEastAsia"/>
                <w:color w:val="auto"/>
                <w:sz w:val="21"/>
                <w:szCs w:val="21"/>
              </w:rPr>
              <w:t>月</w:t>
            </w:r>
            <w:r>
              <w:rPr>
                <w:rFonts w:hint="eastAsia" w:asciiTheme="minorEastAsia" w:hAnsiTheme="minorEastAsia" w:eastAsiaTheme="minorEastAsia" w:cstheme="minorEastAsia"/>
                <w:color w:val="auto"/>
                <w:sz w:val="21"/>
                <w:szCs w:val="21"/>
                <w:u w:val="single"/>
                <w:lang w:eastAsia="zh-CN"/>
              </w:rPr>
              <w:t>1</w:t>
            </w:r>
            <w:r>
              <w:rPr>
                <w:rFonts w:hint="eastAsia" w:asciiTheme="minorEastAsia" w:hAnsiTheme="minorEastAsia" w:eastAsiaTheme="minorEastAsia" w:cstheme="minorEastAsia"/>
                <w:color w:val="auto"/>
                <w:sz w:val="21"/>
                <w:szCs w:val="21"/>
              </w:rPr>
              <w:t>日至投标截止时间</w:t>
            </w:r>
            <w:r>
              <w:rPr>
                <w:rFonts w:hint="eastAsia" w:asciiTheme="minorEastAsia" w:hAnsiTheme="minorEastAsia" w:eastAsiaTheme="minorEastAsia" w:cstheme="minorEastAsia"/>
                <w:i/>
                <w:iCs/>
                <w:color w:val="auto"/>
                <w:sz w:val="21"/>
                <w:szCs w:val="21"/>
              </w:rPr>
              <w:t>（不得少于</w:t>
            </w:r>
            <w:r>
              <w:rPr>
                <w:rFonts w:asciiTheme="minorEastAsia" w:hAnsiTheme="minorEastAsia" w:eastAsiaTheme="minorEastAsia" w:cstheme="minorEastAsia"/>
                <w:i/>
                <w:iCs/>
                <w:color w:val="auto"/>
                <w:sz w:val="21"/>
                <w:szCs w:val="21"/>
              </w:rPr>
              <w:t>3</w:t>
            </w:r>
            <w:r>
              <w:rPr>
                <w:rFonts w:hint="eastAsia" w:asciiTheme="minorEastAsia" w:hAnsiTheme="minorEastAsia" w:eastAsiaTheme="minorEastAsia" w:cstheme="minorEastAsia"/>
                <w:i/>
                <w:iCs/>
                <w:color w:val="auto"/>
                <w:sz w:val="21"/>
                <w:szCs w:val="21"/>
              </w:rPr>
              <w:t>年）</w:t>
            </w:r>
            <w:r>
              <w:rPr>
                <w:rFonts w:hint="eastAsia" w:asciiTheme="minorEastAsia" w:hAnsiTheme="minorEastAsia" w:eastAsiaTheme="minorEastAsia" w:cstheme="minorEastAsia"/>
                <w:color w:val="auto"/>
                <w:sz w:val="21"/>
                <w:szCs w:val="21"/>
              </w:rPr>
              <w:t>无行贿犯罪记录（以中国裁判文书网（</w:t>
            </w:r>
            <w:r>
              <w:fldChar w:fldCharType="begin"/>
            </w:r>
            <w:r>
              <w:instrText xml:space="preserve"> HYPERLINK "http://wenshu.court.gov.cn/" </w:instrText>
            </w:r>
            <w:r>
              <w:fldChar w:fldCharType="separate"/>
            </w:r>
            <w:r>
              <w:rPr>
                <w:rFonts w:hint="eastAsia" w:asciiTheme="minorEastAsia" w:hAnsiTheme="minorEastAsia" w:eastAsiaTheme="minorEastAsia" w:cstheme="minorEastAsia"/>
                <w:color w:val="auto"/>
                <w:sz w:val="21"/>
                <w:szCs w:val="21"/>
              </w:rPr>
              <w:t>http</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//wenshu.court.gov.cn/</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t>）查询结果为准）。</w:t>
            </w:r>
            <w:r>
              <w:rPr>
                <w:rFonts w:hint="eastAsia" w:asciiTheme="minorEastAsia" w:hAnsiTheme="minorEastAsia" w:eastAsiaTheme="minorEastAsia" w:cstheme="minorEastAsia"/>
                <w:strike/>
                <w:color w:val="auto"/>
                <w:sz w:val="21"/>
                <w:szCs w:val="21"/>
              </w:rPr>
              <w:t>（联合体投标的，联合体各方均应满足）</w:t>
            </w:r>
          </w:p>
        </w:tc>
      </w:tr>
      <w:tr w14:paraId="5AAFA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09834FCA">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p>
        </w:tc>
        <w:tc>
          <w:tcPr>
            <w:tcW w:w="8477" w:type="dxa"/>
            <w:tcBorders>
              <w:right w:val="single" w:color="000000" w:sz="6" w:space="0"/>
            </w:tcBorders>
            <w:vAlign w:val="center"/>
          </w:tcPr>
          <w:p w14:paraId="0D989C0D">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color w:val="auto"/>
                <w:sz w:val="21"/>
                <w:szCs w:val="21"/>
                <w:lang w:eastAsia="zh-CN"/>
              </w:rPr>
              <w:t>投标人自2021年1月1日至投标截止时间，</w:t>
            </w:r>
            <w:r>
              <w:rPr>
                <w:rFonts w:hint="eastAsia" w:asciiTheme="minorEastAsia" w:hAnsiTheme="minorEastAsia" w:eastAsiaTheme="minorEastAsia" w:cstheme="minorEastAsia"/>
                <w:color w:val="auto"/>
                <w:spacing w:val="-20"/>
                <w:sz w:val="21"/>
                <w:szCs w:val="21"/>
                <w:lang w:eastAsia="zh-CN"/>
              </w:rPr>
              <w:t>完成过</w:t>
            </w:r>
            <w:r>
              <w:rPr>
                <w:rFonts w:hint="eastAsia" w:asciiTheme="minorEastAsia" w:hAnsiTheme="minorEastAsia" w:eastAsiaTheme="minorEastAsia" w:cstheme="minorEastAsia"/>
                <w:color w:val="auto"/>
                <w:spacing w:val="-20"/>
                <w:sz w:val="21"/>
                <w:szCs w:val="21"/>
                <w:u w:val="single"/>
                <w:lang w:eastAsia="zh-CN"/>
              </w:rPr>
              <w:t>单站新增设计流量100m</w:t>
            </w:r>
            <w:r>
              <w:rPr>
                <w:rFonts w:hint="eastAsia" w:asciiTheme="minorEastAsia" w:hAnsiTheme="minorEastAsia" w:eastAsiaTheme="minorEastAsia" w:cstheme="minorEastAsia"/>
                <w:color w:val="auto"/>
                <w:spacing w:val="-20"/>
                <w:sz w:val="21"/>
                <w:szCs w:val="21"/>
                <w:u w:val="single"/>
                <w:vertAlign w:val="superscript"/>
                <w:lang w:eastAsia="zh-CN"/>
              </w:rPr>
              <w:t>3</w:t>
            </w:r>
            <w:r>
              <w:rPr>
                <w:rFonts w:hint="eastAsia" w:asciiTheme="minorEastAsia" w:hAnsiTheme="minorEastAsia" w:eastAsiaTheme="minorEastAsia" w:cstheme="minorEastAsia"/>
                <w:color w:val="auto"/>
                <w:spacing w:val="-20"/>
                <w:sz w:val="21"/>
                <w:szCs w:val="21"/>
                <w:u w:val="single"/>
                <w:lang w:eastAsia="zh-CN"/>
              </w:rPr>
              <w:t>/s及以上的泵站施工</w:t>
            </w:r>
            <w:r>
              <w:rPr>
                <w:rFonts w:hint="eastAsia" w:asciiTheme="minorEastAsia" w:hAnsiTheme="minorEastAsia" w:eastAsiaTheme="minorEastAsia" w:cstheme="minorEastAsia"/>
                <w:color w:val="auto"/>
                <w:spacing w:val="-20"/>
                <w:sz w:val="21"/>
                <w:szCs w:val="21"/>
                <w:lang w:eastAsia="zh-CN"/>
              </w:rPr>
              <w:t>业绩</w:t>
            </w:r>
            <w:r>
              <w:rPr>
                <w:rFonts w:hint="eastAsia" w:asciiTheme="minorEastAsia" w:hAnsiTheme="minorEastAsia" w:eastAsiaTheme="minorEastAsia" w:cstheme="minorEastAsia"/>
                <w:color w:val="auto"/>
                <w:sz w:val="21"/>
                <w:szCs w:val="21"/>
                <w:vertAlign w:val="superscript"/>
                <w:lang w:eastAsia="zh-CN"/>
              </w:rPr>
              <w:t>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b/>
                <w:bCs/>
                <w:strike/>
                <w:color w:val="auto"/>
                <w:sz w:val="21"/>
                <w:szCs w:val="21"/>
                <w:lang w:eastAsia="zh-CN"/>
              </w:rPr>
              <w:t>注：若采用联合体投标的，投标人业绩须为联合体牵头人的业绩。</w:t>
            </w:r>
          </w:p>
          <w:p w14:paraId="32A763E2">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业绩证明材料见下文。</w:t>
            </w:r>
          </w:p>
        </w:tc>
      </w:tr>
      <w:tr w14:paraId="11277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1EDA5C1E">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w:t>
            </w:r>
          </w:p>
        </w:tc>
        <w:tc>
          <w:tcPr>
            <w:tcW w:w="8477" w:type="dxa"/>
            <w:tcBorders>
              <w:right w:val="single" w:color="000000" w:sz="6" w:space="0"/>
            </w:tcBorders>
            <w:vAlign w:val="center"/>
          </w:tcPr>
          <w:p w14:paraId="3A0C9E73">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□面向中小企业招标的，投标人（或联合体中的中小企业）应提交《中小企业声明函》。</w:t>
            </w:r>
          </w:p>
        </w:tc>
      </w:tr>
      <w:tr w14:paraId="1AFB12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32903024">
            <w:pPr>
              <w:pStyle w:val="21"/>
              <w:widowControl w:val="0"/>
              <w:kinsoku/>
              <w:wordWrap w:val="0"/>
              <w:topLinePunct/>
              <w:autoSpaceDE/>
              <w:autoSpaceDN/>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二</w:t>
            </w:r>
          </w:p>
        </w:tc>
        <w:tc>
          <w:tcPr>
            <w:tcW w:w="8477" w:type="dxa"/>
            <w:tcBorders>
              <w:right w:val="single" w:color="000000" w:sz="6" w:space="0"/>
            </w:tcBorders>
            <w:vAlign w:val="center"/>
          </w:tcPr>
          <w:p w14:paraId="6093A3AD">
            <w:pPr>
              <w:pStyle w:val="21"/>
              <w:widowControl w:val="0"/>
              <w:kinsoku/>
              <w:wordWrap w:val="0"/>
              <w:topLinePunct/>
              <w:autoSpaceDE/>
              <w:autoSpaceDN/>
              <w:ind w:left="210" w:leftChars="100" w:right="210" w:rightChars="100" w:firstLine="211" w:firstLineChars="100"/>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拟派项目组主要人员</w:t>
            </w:r>
          </w:p>
        </w:tc>
      </w:tr>
      <w:tr w14:paraId="5CE87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2CFF56CA">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8477" w:type="dxa"/>
            <w:tcBorders>
              <w:right w:val="single" w:color="000000" w:sz="6" w:space="0"/>
            </w:tcBorders>
            <w:vAlign w:val="center"/>
          </w:tcPr>
          <w:p w14:paraId="5AB13FC6">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项目负责人应持有注册在投标人单位的</w:t>
            </w:r>
            <w:r>
              <w:rPr>
                <w:rFonts w:hint="eastAsia" w:asciiTheme="minorEastAsia" w:hAnsiTheme="minorEastAsia" w:eastAsiaTheme="minorEastAsia" w:cstheme="minorEastAsia"/>
                <w:b/>
                <w:bCs/>
                <w:color w:val="auto"/>
                <w:sz w:val="21"/>
                <w:szCs w:val="21"/>
                <w:u w:val="single"/>
                <w:lang w:eastAsia="zh-CN"/>
              </w:rPr>
              <w:t>水利水电工程专业一级建造师注册</w:t>
            </w:r>
            <w:r>
              <w:rPr>
                <w:rFonts w:hint="eastAsia" w:asciiTheme="minorEastAsia" w:hAnsiTheme="minorEastAsia" w:eastAsiaTheme="minorEastAsia" w:cstheme="minorEastAsia"/>
                <w:color w:val="auto"/>
                <w:sz w:val="21"/>
                <w:szCs w:val="21"/>
                <w:lang w:eastAsia="zh-CN"/>
              </w:rPr>
              <w:t>证书</w:t>
            </w:r>
            <w:r>
              <w:rPr>
                <w:rFonts w:hint="eastAsia" w:asciiTheme="minorEastAsia" w:hAnsiTheme="minorEastAsia" w:eastAsiaTheme="minorEastAsia" w:cstheme="minorEastAsia"/>
                <w:color w:val="auto"/>
                <w:sz w:val="21"/>
                <w:szCs w:val="21"/>
                <w:vertAlign w:val="superscript"/>
                <w:lang w:eastAsia="zh-CN"/>
              </w:rPr>
              <w:t>③</w:t>
            </w:r>
            <w:r>
              <w:rPr>
                <w:rFonts w:hint="eastAsia" w:asciiTheme="minorEastAsia" w:hAnsiTheme="minorEastAsia" w:eastAsiaTheme="minorEastAsia" w:cstheme="minorEastAsia"/>
                <w:color w:val="auto"/>
                <w:sz w:val="21"/>
                <w:szCs w:val="21"/>
                <w:lang w:eastAsia="zh-CN"/>
              </w:rPr>
              <w:t>。投标人拟派的项目负责人在投标截止时间不得在其他任何在建合同工程中担任项目负责人（包括工程总承包项目中的施工负责人）。在建合同工程的开始时间为合同工程中标通知书发出之日（不通过招标方式的，开始时间为合同签订之日），结束时间为该合同工程通过验收或合同解除之日。</w:t>
            </w:r>
          </w:p>
        </w:tc>
      </w:tr>
      <w:tr w14:paraId="7658B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5D584498">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p>
        </w:tc>
        <w:tc>
          <w:tcPr>
            <w:tcW w:w="8477" w:type="dxa"/>
            <w:tcBorders>
              <w:right w:val="single" w:color="000000" w:sz="6" w:space="0"/>
            </w:tcBorders>
            <w:vAlign w:val="center"/>
          </w:tcPr>
          <w:p w14:paraId="1E4C7607">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项目技术负责人应持有</w:t>
            </w:r>
            <w:r>
              <w:rPr>
                <w:rFonts w:hint="eastAsia" w:asciiTheme="minorEastAsia" w:hAnsiTheme="minorEastAsia" w:eastAsiaTheme="minorEastAsia" w:cstheme="minorEastAsia"/>
                <w:b/>
                <w:bCs/>
                <w:color w:val="auto"/>
                <w:sz w:val="21"/>
                <w:szCs w:val="21"/>
                <w:u w:val="single"/>
                <w:lang w:eastAsia="zh-CN"/>
              </w:rPr>
              <w:t>水利水电工程专业的建造师注册证书或水利水电工程相关专业高级工程师及以上职称</w:t>
            </w:r>
            <w:r>
              <w:rPr>
                <w:rFonts w:hint="eastAsia" w:asciiTheme="minorEastAsia" w:hAnsiTheme="minorEastAsia" w:eastAsiaTheme="minorEastAsia" w:cstheme="minorEastAsia"/>
                <w:color w:val="auto"/>
                <w:sz w:val="21"/>
                <w:szCs w:val="21"/>
                <w:lang w:eastAsia="zh-CN"/>
              </w:rPr>
              <w:t>证书③。</w:t>
            </w:r>
          </w:p>
        </w:tc>
      </w:tr>
      <w:tr w14:paraId="5A251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44C6688B">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w:t>
            </w:r>
          </w:p>
        </w:tc>
        <w:tc>
          <w:tcPr>
            <w:tcW w:w="8477" w:type="dxa"/>
            <w:tcBorders>
              <w:right w:val="single" w:color="000000" w:sz="6" w:space="0"/>
            </w:tcBorders>
            <w:vAlign w:val="center"/>
          </w:tcPr>
          <w:p w14:paraId="0AA57630">
            <w:pPr>
              <w:pStyle w:val="21"/>
              <w:widowControl w:val="0"/>
              <w:tabs>
                <w:tab w:val="left" w:pos="577"/>
              </w:tabs>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□项目负责人自</w:t>
            </w:r>
            <w:r>
              <w:rPr>
                <w:rFonts w:hint="eastAsia" w:asciiTheme="minorEastAsia" w:hAnsiTheme="minorEastAsia" w:eastAsiaTheme="minorEastAsia" w:cstheme="minorEastAsia"/>
                <w:b/>
                <w:bCs/>
                <w:color w:val="auto"/>
                <w:sz w:val="21"/>
                <w:szCs w:val="21"/>
                <w:u w:val="single"/>
                <w:lang w:eastAsia="zh-CN"/>
              </w:rPr>
              <w:t>　　　　</w:t>
            </w:r>
            <w:r>
              <w:rPr>
                <w:rFonts w:hint="eastAsia" w:asciiTheme="minorEastAsia" w:hAnsiTheme="minorEastAsia" w:eastAsiaTheme="minorEastAsia" w:cstheme="minorEastAsia"/>
                <w:color w:val="auto"/>
                <w:sz w:val="21"/>
                <w:szCs w:val="21"/>
                <w:lang w:eastAsia="zh-CN"/>
              </w:rPr>
              <w:t>年</w:t>
            </w:r>
            <w:r>
              <w:rPr>
                <w:rFonts w:hint="eastAsia" w:asciiTheme="minorEastAsia" w:hAnsiTheme="minorEastAsia" w:eastAsiaTheme="minorEastAsia" w:cstheme="minorEastAsia"/>
                <w:b/>
                <w:bCs/>
                <w:color w:val="auto"/>
                <w:sz w:val="21"/>
                <w:szCs w:val="21"/>
                <w:u w:val="single"/>
                <w:lang w:eastAsia="zh-CN"/>
              </w:rPr>
              <w:t>　　</w:t>
            </w:r>
            <w:r>
              <w:rPr>
                <w:rFonts w:hint="eastAsia" w:asciiTheme="minorEastAsia" w:hAnsiTheme="minorEastAsia" w:eastAsiaTheme="minorEastAsia" w:cstheme="minorEastAsia"/>
                <w:color w:val="auto"/>
                <w:sz w:val="21"/>
                <w:szCs w:val="21"/>
                <w:lang w:eastAsia="zh-CN"/>
              </w:rPr>
              <w:t>月</w:t>
            </w:r>
            <w:r>
              <w:rPr>
                <w:rFonts w:hint="eastAsia" w:asciiTheme="minorEastAsia" w:hAnsiTheme="minorEastAsia" w:eastAsiaTheme="minorEastAsia" w:cstheme="minorEastAsia"/>
                <w:b/>
                <w:bCs/>
                <w:color w:val="auto"/>
                <w:sz w:val="21"/>
                <w:szCs w:val="21"/>
                <w:u w:val="single"/>
                <w:lang w:eastAsia="zh-CN"/>
              </w:rPr>
              <w:t>　　</w:t>
            </w:r>
            <w:r>
              <w:rPr>
                <w:rFonts w:hint="eastAsia" w:asciiTheme="minorEastAsia" w:hAnsiTheme="minorEastAsia" w:eastAsiaTheme="minorEastAsia" w:cstheme="minorEastAsia"/>
                <w:color w:val="auto"/>
                <w:sz w:val="21"/>
                <w:szCs w:val="21"/>
                <w:lang w:eastAsia="zh-CN"/>
              </w:rPr>
              <w:t>日至投标截止时间，以项目负责人或技术负责人或副项目负责人（包括工程总承包项目中的施工负责人或施工技术负责人或施工副负责人）身份完成过</w:t>
            </w:r>
            <w:r>
              <w:rPr>
                <w:rFonts w:hint="eastAsia" w:asciiTheme="minorEastAsia" w:hAnsiTheme="minorEastAsia" w:eastAsiaTheme="minorEastAsia" w:cstheme="minorEastAsia"/>
                <w:b/>
                <w:bCs/>
                <w:color w:val="auto"/>
                <w:sz w:val="21"/>
                <w:szCs w:val="21"/>
                <w:u w:val="single"/>
                <w:lang w:eastAsia="zh-CN"/>
              </w:rPr>
              <w:t>　　　　</w:t>
            </w:r>
            <w:r>
              <w:rPr>
                <w:rFonts w:hint="eastAsia" w:asciiTheme="minorEastAsia" w:hAnsiTheme="minorEastAsia" w:eastAsiaTheme="minorEastAsia" w:cstheme="minorEastAsia"/>
                <w:color w:val="auto"/>
                <w:sz w:val="21"/>
                <w:szCs w:val="21"/>
                <w:lang w:eastAsia="zh-CN"/>
              </w:rPr>
              <w:t>业绩</w:t>
            </w:r>
            <w:r>
              <w:rPr>
                <w:rFonts w:hint="eastAsia" w:asciiTheme="minorEastAsia" w:hAnsiTheme="minorEastAsia" w:eastAsiaTheme="minorEastAsia" w:cstheme="minorEastAsia"/>
                <w:color w:val="auto"/>
                <w:sz w:val="21"/>
                <w:szCs w:val="21"/>
                <w:vertAlign w:val="superscript"/>
                <w:lang w:eastAsia="zh-CN"/>
              </w:rPr>
              <w:t>②</w:t>
            </w:r>
            <w:r>
              <w:rPr>
                <w:rFonts w:hint="eastAsia" w:asciiTheme="minorEastAsia" w:hAnsiTheme="minorEastAsia" w:eastAsiaTheme="minorEastAsia" w:cstheme="minorEastAsia"/>
                <w:color w:val="auto"/>
                <w:sz w:val="21"/>
                <w:szCs w:val="21"/>
                <w:lang w:eastAsia="zh-CN"/>
              </w:rPr>
              <w:t>。</w:t>
            </w:r>
          </w:p>
          <w:p w14:paraId="08B3D32D">
            <w:pPr>
              <w:pStyle w:val="21"/>
              <w:widowControl w:val="0"/>
              <w:tabs>
                <w:tab w:val="left" w:pos="577"/>
              </w:tabs>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□项目负责人自</w:t>
            </w:r>
            <w:r>
              <w:rPr>
                <w:rFonts w:hint="eastAsia" w:asciiTheme="minorEastAsia" w:hAnsiTheme="minorEastAsia" w:eastAsiaTheme="minorEastAsia" w:cstheme="minorEastAsia"/>
                <w:color w:val="auto"/>
                <w:sz w:val="21"/>
                <w:szCs w:val="21"/>
                <w:u w:val="single"/>
                <w:lang w:eastAsia="zh-CN"/>
              </w:rPr>
              <w:t>　　</w:t>
            </w:r>
            <w:r>
              <w:rPr>
                <w:rFonts w:hint="eastAsia" w:asciiTheme="minorEastAsia" w:hAnsiTheme="minorEastAsia" w:eastAsiaTheme="minorEastAsia" w:cstheme="minorEastAsia"/>
                <w:color w:val="auto"/>
                <w:sz w:val="21"/>
                <w:szCs w:val="21"/>
                <w:lang w:eastAsia="zh-CN"/>
              </w:rPr>
              <w:t>年</w:t>
            </w:r>
            <w:r>
              <w:rPr>
                <w:rFonts w:hint="eastAsia" w:asciiTheme="minorEastAsia" w:hAnsiTheme="minorEastAsia" w:eastAsiaTheme="minorEastAsia" w:cstheme="minorEastAsia"/>
                <w:color w:val="auto"/>
                <w:sz w:val="21"/>
                <w:szCs w:val="21"/>
                <w:u w:val="single"/>
                <w:lang w:eastAsia="zh-CN"/>
              </w:rPr>
              <w:t>　　</w:t>
            </w:r>
            <w:r>
              <w:rPr>
                <w:rFonts w:hint="eastAsia" w:asciiTheme="minorEastAsia" w:hAnsiTheme="minorEastAsia" w:eastAsiaTheme="minorEastAsia" w:cstheme="minorEastAsia"/>
                <w:color w:val="auto"/>
                <w:sz w:val="21"/>
                <w:szCs w:val="21"/>
                <w:lang w:eastAsia="zh-CN"/>
              </w:rPr>
              <w:t>月</w:t>
            </w:r>
            <w:r>
              <w:rPr>
                <w:rFonts w:hint="eastAsia" w:asciiTheme="minorEastAsia" w:hAnsiTheme="minorEastAsia" w:eastAsiaTheme="minorEastAsia" w:cstheme="minorEastAsia"/>
                <w:color w:val="auto"/>
                <w:sz w:val="21"/>
                <w:szCs w:val="21"/>
                <w:u w:val="single"/>
                <w:lang w:eastAsia="zh-CN"/>
              </w:rPr>
              <w:t>　　</w:t>
            </w:r>
            <w:r>
              <w:rPr>
                <w:rFonts w:hint="eastAsia" w:asciiTheme="minorEastAsia" w:hAnsiTheme="minorEastAsia" w:eastAsiaTheme="minorEastAsia" w:cstheme="minorEastAsia"/>
                <w:color w:val="auto"/>
                <w:sz w:val="21"/>
                <w:szCs w:val="21"/>
                <w:lang w:eastAsia="zh-CN"/>
              </w:rPr>
              <w:t>日至投标截止时间，以项目负责人或技术负责人或副项目负责人（包括工程总承包项目中的施工负责人或施工技术负责人或施工副负责人）身份完成过</w:t>
            </w:r>
            <w:r>
              <w:rPr>
                <w:rFonts w:hint="eastAsia" w:asciiTheme="minorEastAsia" w:hAnsiTheme="minorEastAsia" w:eastAsiaTheme="minorEastAsia" w:cstheme="minorEastAsia"/>
                <w:color w:val="auto"/>
                <w:sz w:val="21"/>
                <w:szCs w:val="21"/>
                <w:u w:val="single"/>
                <w:lang w:eastAsia="zh-CN"/>
              </w:rPr>
              <w:t>　　　　</w:t>
            </w:r>
            <w:r>
              <w:rPr>
                <w:rFonts w:hint="eastAsia" w:asciiTheme="minorEastAsia" w:hAnsiTheme="minorEastAsia" w:eastAsiaTheme="minorEastAsia" w:cstheme="minorEastAsia"/>
                <w:color w:val="auto"/>
                <w:sz w:val="21"/>
                <w:szCs w:val="21"/>
                <w:lang w:eastAsia="zh-CN"/>
              </w:rPr>
              <w:t>业绩或2项</w:t>
            </w:r>
            <w:r>
              <w:rPr>
                <w:rFonts w:hint="eastAsia" w:asciiTheme="minorEastAsia" w:hAnsiTheme="minorEastAsia" w:eastAsiaTheme="minorEastAsia" w:cstheme="minorEastAsia"/>
                <w:i/>
                <w:iCs/>
                <w:color w:val="auto"/>
                <w:sz w:val="21"/>
                <w:szCs w:val="21"/>
                <w:u w:val="single"/>
                <w:lang w:eastAsia="zh-CN"/>
              </w:rPr>
              <w:t>（前述业绩指标的80%）</w:t>
            </w:r>
            <w:r>
              <w:rPr>
                <w:rFonts w:hint="eastAsia" w:asciiTheme="minorEastAsia" w:hAnsiTheme="minorEastAsia" w:eastAsiaTheme="minorEastAsia" w:cstheme="minorEastAsia"/>
                <w:color w:val="auto"/>
                <w:sz w:val="21"/>
                <w:szCs w:val="21"/>
                <w:lang w:eastAsia="zh-CN"/>
              </w:rPr>
              <w:t>业绩②。</w:t>
            </w:r>
          </w:p>
          <w:p w14:paraId="75B9209D">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业绩证明材料见下文。</w:t>
            </w:r>
          </w:p>
        </w:tc>
      </w:tr>
      <w:tr w14:paraId="0F32C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5C84D652">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p>
        </w:tc>
        <w:tc>
          <w:tcPr>
            <w:tcW w:w="8477" w:type="dxa"/>
            <w:tcBorders>
              <w:right w:val="single" w:color="000000" w:sz="6" w:space="0"/>
            </w:tcBorders>
            <w:vAlign w:val="center"/>
          </w:tcPr>
          <w:p w14:paraId="6F1EE48C">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□本项目需设置1位副项目负责人</w:t>
            </w:r>
            <w:r>
              <w:rPr>
                <w:rFonts w:hint="eastAsia" w:asciiTheme="minorEastAsia" w:hAnsiTheme="minorEastAsia" w:eastAsiaTheme="minorEastAsia" w:cstheme="minorEastAsia"/>
                <w:color w:val="auto"/>
                <w:sz w:val="21"/>
                <w:szCs w:val="21"/>
                <w:vertAlign w:val="superscript"/>
                <w:lang w:eastAsia="zh-CN"/>
              </w:rPr>
              <w:t>④</w:t>
            </w:r>
            <w:r>
              <w:rPr>
                <w:rFonts w:hint="eastAsia" w:asciiTheme="minorEastAsia" w:hAnsiTheme="minorEastAsia" w:eastAsiaTheme="minorEastAsia" w:cstheme="minorEastAsia"/>
                <w:color w:val="auto"/>
                <w:sz w:val="21"/>
                <w:szCs w:val="21"/>
                <w:lang w:eastAsia="zh-CN"/>
              </w:rPr>
              <w:t>。副项目负责人应持有水利水电工程相关专业中级工程师及以上职称或注册建造师（水利水电工程）。</w:t>
            </w:r>
          </w:p>
        </w:tc>
      </w:tr>
      <w:tr w14:paraId="52B98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2A80B319">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w:t>
            </w:r>
          </w:p>
        </w:tc>
        <w:tc>
          <w:tcPr>
            <w:tcW w:w="8477" w:type="dxa"/>
            <w:tcBorders>
              <w:right w:val="single" w:color="000000" w:sz="6" w:space="0"/>
            </w:tcBorders>
            <w:vAlign w:val="center"/>
          </w:tcPr>
          <w:p w14:paraId="26638386">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拟派项目组主要人员（指项目负责人、项目技术负责人、□副项目负责人、专职安全生产管理人员，下同）必须已在浙江省水利厅“浙江省水利建设市场信息”上公示。</w:t>
            </w:r>
          </w:p>
        </w:tc>
      </w:tr>
      <w:tr w14:paraId="5062F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31F3949C">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w:t>
            </w:r>
          </w:p>
        </w:tc>
        <w:tc>
          <w:tcPr>
            <w:tcW w:w="8477" w:type="dxa"/>
            <w:tcBorders>
              <w:right w:val="single" w:color="000000" w:sz="6" w:space="0"/>
            </w:tcBorders>
            <w:vAlign w:val="center"/>
          </w:tcPr>
          <w:p w14:paraId="6898FE5C">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投标人的“三类人员”（企业主要负责人、项目负责人、专职安全生产管理人员，下同）必须持有省级及以上水行政主管部门颁发的安全生产考核合格证书（A、B、C证），其中企业经理、企业技术负责人、企业分管安全生产的副总经理应有任命文件；专职安全生产管理人员不少于</w:t>
            </w:r>
            <w:r>
              <w:rPr>
                <w:rFonts w:hint="eastAsia" w:asciiTheme="minorEastAsia" w:hAnsiTheme="minorEastAsia" w:eastAsiaTheme="minorEastAsia" w:cstheme="minorEastAsia"/>
                <w:b/>
                <w:bCs/>
                <w:color w:val="auto"/>
                <w:sz w:val="21"/>
                <w:szCs w:val="21"/>
                <w:u w:val="single"/>
                <w:lang w:eastAsia="zh-CN"/>
              </w:rPr>
              <w:t>3</w:t>
            </w:r>
            <w:r>
              <w:rPr>
                <w:rFonts w:hint="eastAsia" w:asciiTheme="minorEastAsia" w:hAnsiTheme="minorEastAsia" w:eastAsiaTheme="minorEastAsia" w:cstheme="minorEastAsia"/>
                <w:color w:val="auto"/>
                <w:sz w:val="21"/>
                <w:szCs w:val="21"/>
                <w:lang w:eastAsia="zh-CN"/>
              </w:rPr>
              <w:t>人</w:t>
            </w:r>
            <w:r>
              <w:rPr>
                <w:rFonts w:hint="eastAsia" w:asciiTheme="minorEastAsia" w:hAnsiTheme="minorEastAsia" w:eastAsiaTheme="minorEastAsia" w:cstheme="minorEastAsia"/>
                <w:color w:val="auto"/>
                <w:sz w:val="21"/>
                <w:szCs w:val="21"/>
                <w:vertAlign w:val="superscript"/>
                <w:lang w:eastAsia="zh-CN"/>
              </w:rPr>
              <w:t>⑤</w:t>
            </w:r>
            <w:r>
              <w:rPr>
                <w:rFonts w:hint="eastAsia" w:asciiTheme="minorEastAsia" w:hAnsiTheme="minorEastAsia" w:eastAsiaTheme="minorEastAsia" w:cstheme="minorEastAsia"/>
                <w:color w:val="auto"/>
                <w:sz w:val="21"/>
                <w:szCs w:val="21"/>
                <w:lang w:eastAsia="zh-CN"/>
              </w:rPr>
              <w:t>,且不得与拟派项目组其他主要人员相互兼任。</w:t>
            </w:r>
          </w:p>
        </w:tc>
      </w:tr>
      <w:tr w14:paraId="60411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000B44F4">
            <w:pPr>
              <w:pStyle w:val="21"/>
              <w:widowControl w:val="0"/>
              <w:kinsoku/>
              <w:wordWrap w:val="0"/>
              <w:topLinePunct/>
              <w:autoSpaceDE/>
              <w:autoSpaceDN/>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三</w:t>
            </w:r>
          </w:p>
        </w:tc>
        <w:tc>
          <w:tcPr>
            <w:tcW w:w="8477" w:type="dxa"/>
            <w:tcBorders>
              <w:right w:val="single" w:color="000000" w:sz="6" w:space="0"/>
            </w:tcBorders>
            <w:vAlign w:val="center"/>
          </w:tcPr>
          <w:p w14:paraId="4B60EBC1">
            <w:pPr>
              <w:pStyle w:val="21"/>
              <w:widowControl w:val="0"/>
              <w:kinsoku/>
              <w:wordWrap w:val="0"/>
              <w:topLinePunct/>
              <w:autoSpaceDE/>
              <w:autoSpaceDN/>
              <w:ind w:left="210" w:leftChars="100" w:right="210" w:rightChars="100" w:firstLine="211" w:firstLineChars="100"/>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其他</w:t>
            </w:r>
          </w:p>
        </w:tc>
      </w:tr>
      <w:tr w14:paraId="31776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3D25501B">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8477" w:type="dxa"/>
            <w:tcBorders>
              <w:right w:val="single" w:color="000000" w:sz="6" w:space="0"/>
            </w:tcBorders>
            <w:vAlign w:val="center"/>
          </w:tcPr>
          <w:p w14:paraId="5B7EFB31">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法定代表人的委托代理人（若有）及拟派项目组主要人员应为投标人本单位正式员工。</w:t>
            </w:r>
          </w:p>
        </w:tc>
      </w:tr>
      <w:tr w14:paraId="6A0EE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4D13961E">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p>
        </w:tc>
        <w:tc>
          <w:tcPr>
            <w:tcW w:w="8477" w:type="dxa"/>
            <w:tcBorders>
              <w:right w:val="single" w:color="000000" w:sz="6" w:space="0"/>
            </w:tcBorders>
            <w:vAlign w:val="center"/>
          </w:tcPr>
          <w:p w14:paraId="0372E6DA">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项目负责人自</w:t>
            </w:r>
            <w:r>
              <w:rPr>
                <w:rFonts w:hint="eastAsia" w:asciiTheme="minorEastAsia" w:hAnsiTheme="minorEastAsia" w:eastAsiaTheme="minorEastAsia" w:cstheme="minorEastAsia"/>
                <w:b/>
                <w:bCs/>
                <w:color w:val="auto"/>
                <w:sz w:val="21"/>
                <w:szCs w:val="21"/>
                <w:u w:val="single"/>
                <w:lang w:eastAsia="zh-CN"/>
              </w:rPr>
              <w:t>2023</w:t>
            </w:r>
            <w:r>
              <w:rPr>
                <w:rFonts w:hint="eastAsia" w:asciiTheme="minorEastAsia" w:hAnsiTheme="minorEastAsia" w:eastAsiaTheme="minorEastAsia" w:cstheme="minorEastAsia"/>
                <w:color w:val="auto"/>
                <w:sz w:val="21"/>
                <w:szCs w:val="21"/>
              </w:rPr>
              <w:t>年</w:t>
            </w:r>
            <w:r>
              <w:rPr>
                <w:rFonts w:hint="eastAsia" w:asciiTheme="minorEastAsia" w:hAnsiTheme="minorEastAsia" w:eastAsiaTheme="minorEastAsia" w:cstheme="minorEastAsia"/>
                <w:b/>
                <w:bCs/>
                <w:color w:val="auto"/>
                <w:sz w:val="21"/>
                <w:szCs w:val="21"/>
                <w:u w:val="single"/>
                <w:lang w:eastAsia="zh-CN"/>
              </w:rPr>
              <w:t>1</w:t>
            </w:r>
            <w:r>
              <w:rPr>
                <w:rFonts w:hint="eastAsia" w:asciiTheme="minorEastAsia" w:hAnsiTheme="minorEastAsia" w:eastAsiaTheme="minorEastAsia" w:cstheme="minorEastAsia"/>
                <w:color w:val="auto"/>
                <w:sz w:val="21"/>
                <w:szCs w:val="21"/>
              </w:rPr>
              <w:t>月</w:t>
            </w:r>
            <w:r>
              <w:rPr>
                <w:rFonts w:hint="eastAsia" w:asciiTheme="minorEastAsia" w:hAnsiTheme="minorEastAsia" w:eastAsiaTheme="minorEastAsia" w:cstheme="minorEastAsia"/>
                <w:b/>
                <w:bCs/>
                <w:color w:val="auto"/>
                <w:sz w:val="21"/>
                <w:szCs w:val="21"/>
                <w:u w:val="single"/>
                <w:lang w:eastAsia="zh-CN"/>
              </w:rPr>
              <w:t>1</w:t>
            </w:r>
            <w:r>
              <w:rPr>
                <w:rFonts w:hint="eastAsia" w:asciiTheme="minorEastAsia" w:hAnsiTheme="minorEastAsia" w:eastAsiaTheme="minorEastAsia" w:cstheme="minorEastAsia"/>
                <w:color w:val="auto"/>
                <w:sz w:val="21"/>
                <w:szCs w:val="21"/>
              </w:rPr>
              <w:t>日至投标截止时间</w:t>
            </w:r>
            <w:r>
              <w:rPr>
                <w:rFonts w:hint="eastAsia" w:asciiTheme="minorEastAsia" w:hAnsiTheme="minorEastAsia" w:eastAsiaTheme="minorEastAsia" w:cstheme="minorEastAsia"/>
                <w:i/>
                <w:iCs/>
                <w:color w:val="auto"/>
                <w:sz w:val="21"/>
                <w:szCs w:val="21"/>
              </w:rPr>
              <w:t>（不得少于</w:t>
            </w:r>
            <w:r>
              <w:rPr>
                <w:rFonts w:asciiTheme="minorEastAsia" w:hAnsiTheme="minorEastAsia" w:eastAsiaTheme="minorEastAsia" w:cstheme="minorEastAsia"/>
                <w:i/>
                <w:iCs/>
                <w:color w:val="auto"/>
                <w:sz w:val="21"/>
                <w:szCs w:val="21"/>
              </w:rPr>
              <w:t>3</w:t>
            </w:r>
            <w:r>
              <w:rPr>
                <w:rFonts w:hint="eastAsia" w:asciiTheme="minorEastAsia" w:hAnsiTheme="minorEastAsia" w:eastAsiaTheme="minorEastAsia" w:cstheme="minorEastAsia"/>
                <w:i/>
                <w:iCs/>
                <w:color w:val="auto"/>
                <w:sz w:val="21"/>
                <w:szCs w:val="21"/>
              </w:rPr>
              <w:t>年）</w:t>
            </w:r>
            <w:r>
              <w:rPr>
                <w:rFonts w:hint="eastAsia" w:asciiTheme="minorEastAsia" w:hAnsiTheme="minorEastAsia" w:eastAsiaTheme="minorEastAsia" w:cstheme="minorEastAsia"/>
                <w:color w:val="auto"/>
                <w:sz w:val="21"/>
                <w:szCs w:val="21"/>
              </w:rPr>
              <w:t>无行贿犯罪记录（以中国裁判文书网（</w:t>
            </w:r>
            <w:r>
              <w:fldChar w:fldCharType="begin"/>
            </w:r>
            <w:r>
              <w:instrText xml:space="preserve"> HYPERLINK "http://wenshu.court.gov.cn/" </w:instrText>
            </w:r>
            <w:r>
              <w:fldChar w:fldCharType="separate"/>
            </w:r>
            <w:r>
              <w:rPr>
                <w:rFonts w:hint="eastAsia" w:asciiTheme="minorEastAsia" w:hAnsiTheme="minorEastAsia" w:eastAsiaTheme="minorEastAsia" w:cstheme="minorEastAsia"/>
                <w:color w:val="auto"/>
                <w:sz w:val="21"/>
                <w:szCs w:val="21"/>
              </w:rPr>
              <w:t>http</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//wenshu.court.gov.cn/</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t>）查询结果为准）。</w:t>
            </w:r>
          </w:p>
        </w:tc>
      </w:tr>
      <w:tr w14:paraId="24B08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tcBorders>
            <w:vAlign w:val="center"/>
          </w:tcPr>
          <w:p w14:paraId="58AE9EC2">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w:t>
            </w:r>
          </w:p>
        </w:tc>
        <w:tc>
          <w:tcPr>
            <w:tcW w:w="8477" w:type="dxa"/>
            <w:tcBorders>
              <w:right w:val="single" w:color="000000" w:sz="6" w:space="0"/>
            </w:tcBorders>
            <w:vAlign w:val="center"/>
          </w:tcPr>
          <w:p w14:paraId="3E0D70E3">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投标人及其法定代表人、拟派项目负责人未被列入失信被执行人名单（以“信用中国”网站（</w:t>
            </w:r>
            <w:r>
              <w:fldChar w:fldCharType="begin"/>
            </w:r>
            <w:r>
              <w:instrText xml:space="preserve"> HYPERLINK "http://www.creditchina.gov.cn/" </w:instrText>
            </w:r>
            <w:r>
              <w:fldChar w:fldCharType="separate"/>
            </w:r>
            <w:r>
              <w:rPr>
                <w:rFonts w:hint="eastAsia" w:asciiTheme="minorEastAsia" w:hAnsiTheme="minorEastAsia" w:eastAsiaTheme="minorEastAsia" w:cstheme="minorEastAsia"/>
                <w:color w:val="auto"/>
                <w:sz w:val="21"/>
                <w:szCs w:val="21"/>
              </w:rPr>
              <w:t>www.creditchina.gov.cn</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t>）查询为准）</w:t>
            </w:r>
          </w:p>
        </w:tc>
      </w:tr>
      <w:tr w14:paraId="404A5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1" w:type="dxa"/>
            <w:tcBorders>
              <w:left w:val="single" w:color="000000" w:sz="6" w:space="0"/>
              <w:bottom w:val="single" w:color="000000" w:sz="6" w:space="0"/>
            </w:tcBorders>
            <w:vAlign w:val="center"/>
          </w:tcPr>
          <w:p w14:paraId="23B7BEDD">
            <w:pPr>
              <w:widowControl w:val="0"/>
              <w:kinsoku/>
              <w:wordWrap w:val="0"/>
              <w:topLinePunct/>
              <w:autoSpaceDE/>
              <w:autoSpaceDN/>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p>
        </w:tc>
        <w:tc>
          <w:tcPr>
            <w:tcW w:w="8477" w:type="dxa"/>
            <w:tcBorders>
              <w:bottom w:val="single" w:color="000000" w:sz="6" w:space="0"/>
              <w:right w:val="single" w:color="000000" w:sz="6" w:space="0"/>
            </w:tcBorders>
            <w:vAlign w:val="center"/>
          </w:tcPr>
          <w:p w14:paraId="5B21F1E9">
            <w:pPr>
              <w:pStyle w:val="21"/>
              <w:widowControl w:val="0"/>
              <w:kinsoku/>
              <w:wordWrap w:val="0"/>
              <w:topLinePunct/>
              <w:autoSpaceDE/>
              <w:autoSpaceDN/>
              <w:ind w:left="210" w:leftChars="100" w:right="210" w:rightChars="100" w:firstLine="210" w:firstLine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项目负责人和项目技术负责人两个岗位不得相互兼任。</w:t>
            </w:r>
          </w:p>
        </w:tc>
      </w:tr>
    </w:tbl>
    <w:p w14:paraId="7F2D47D1">
      <w:pPr>
        <w:widowControl w:val="0"/>
        <w:kinsoku/>
        <w:topLinePunct/>
        <w:autoSpaceDE/>
        <w:autoSpaceDN/>
        <w:spacing w:line="480" w:lineRule="exact"/>
        <w:ind w:firstLine="420" w:firstLineChars="200"/>
        <w:jc w:val="both"/>
        <w:rPr>
          <w:rFonts w:hint="eastAsia" w:ascii="隶书" w:hAnsi="隶书" w:eastAsia="隶书" w:cs="隶书"/>
          <w:color w:val="auto"/>
          <w:lang w:eastAsia="zh-CN"/>
        </w:rPr>
      </w:pPr>
      <w:r>
        <w:rPr>
          <w:rFonts w:hint="eastAsia" w:ascii="隶书" w:hAnsi="隶书" w:eastAsia="隶书" w:cs="隶书"/>
          <w:color w:val="auto"/>
          <w:lang w:eastAsia="zh-CN"/>
        </w:rPr>
        <w:t>投标人及其拟派项目负责人的类似项目业绩要求详见上表，该业绩须已在浙江省水利厅“浙江省水利建设市场信息”上公示。</w:t>
      </w:r>
    </w:p>
    <w:p w14:paraId="0729212E">
      <w:pPr>
        <w:widowControl w:val="0"/>
        <w:kinsoku/>
        <w:topLinePunct/>
        <w:autoSpaceDE/>
        <w:autoSpaceDN/>
        <w:spacing w:line="480" w:lineRule="exact"/>
        <w:ind w:firstLine="420" w:firstLineChars="200"/>
        <w:jc w:val="both"/>
        <w:rPr>
          <w:rFonts w:hint="eastAsia" w:ascii="隶书" w:hAnsi="隶书" w:eastAsia="隶书" w:cs="隶书"/>
          <w:color w:val="auto"/>
          <w:lang w:eastAsia="zh-CN"/>
        </w:rPr>
      </w:pPr>
      <w:r>
        <w:rPr>
          <w:rFonts w:hint="eastAsia" w:ascii="隶书" w:hAnsi="隶书" w:eastAsia="隶书" w:cs="隶书"/>
          <w:color w:val="auto"/>
          <w:lang w:eastAsia="zh-CN"/>
        </w:rPr>
        <w:t>类似项目业绩证明材料指：（1）合同，以及由项目法人或行政主管部门出具的完工（竣工）验收鉴定书〔或质量监督机构出具对应的完工（竣工）质量（安全）监督报告〕，若工程规模、特征等无法认定的，以初步设计批复文件（包括设计变更批复）或施工图纸为依据；（2）浙江省水利厅</w:t>
      </w:r>
      <w:r>
        <w:rPr>
          <w:rFonts w:hint="eastAsia" w:ascii="隶书" w:hAnsi="隶书" w:eastAsia="隶书" w:cs="隶书"/>
          <w:b/>
          <w:bCs/>
          <w:color w:val="auto"/>
          <w:lang w:eastAsia="zh-CN"/>
        </w:rPr>
        <w:t>“</w:t>
      </w:r>
      <w:r>
        <w:rPr>
          <w:rFonts w:hint="eastAsia" w:ascii="隶书" w:hAnsi="隶书" w:eastAsia="隶书" w:cs="隶书"/>
          <w:color w:val="auto"/>
          <w:lang w:eastAsia="zh-CN"/>
        </w:rPr>
        <w:t>浙江省水利工程建设管理系统（透明工程）”下载业绩打印件，打印件应含有“浙江水利透明工程”水印。（上述（1）、（2）项须同时提供）。日期以完工（竣工）验收鉴定书或工程质量（安全）监督报告中明确的完工（竣工）日期为准。</w:t>
      </w:r>
    </w:p>
    <w:p w14:paraId="4FEA85C0">
      <w:pPr>
        <w:widowControl w:val="0"/>
        <w:kinsoku/>
        <w:topLinePunct/>
        <w:autoSpaceDE/>
        <w:autoSpaceDN/>
        <w:spacing w:line="480" w:lineRule="exact"/>
        <w:ind w:firstLine="420" w:firstLineChars="200"/>
        <w:jc w:val="both"/>
        <w:rPr>
          <w:rFonts w:hint="eastAsia" w:ascii="隶书" w:hAnsi="隶书" w:eastAsia="隶书" w:cs="隶书"/>
          <w:color w:val="auto"/>
          <w:lang w:eastAsia="zh-CN"/>
        </w:rPr>
      </w:pPr>
      <w:r>
        <w:rPr>
          <w:rFonts w:hint="eastAsia" w:ascii="隶书" w:hAnsi="隶书" w:eastAsia="隶书" w:cs="隶书"/>
          <w:color w:val="auto"/>
          <w:lang w:eastAsia="zh-CN"/>
        </w:rPr>
        <w:t>业绩要求的项目负责人或技术负责人的身份以</w:t>
      </w:r>
      <w:r>
        <w:rPr>
          <w:rFonts w:hint="eastAsia" w:ascii="隶书" w:hAnsi="隶书" w:eastAsia="隶书" w:cs="隶书"/>
          <w:b/>
          <w:bCs/>
          <w:color w:val="auto"/>
          <w:lang w:eastAsia="zh-CN"/>
        </w:rPr>
        <w:t>“</w:t>
      </w:r>
      <w:r>
        <w:rPr>
          <w:rFonts w:hint="eastAsia" w:ascii="隶书" w:hAnsi="隶书" w:eastAsia="隶书" w:cs="隶书"/>
          <w:color w:val="auto"/>
          <w:lang w:eastAsia="zh-CN"/>
        </w:rPr>
        <w:t>浙江省水利工程建设管理系统（透明工程）”业绩打印件（指完工或竣工人员）为准。业绩打印件应与项目法人或行政主管部门出具的完工（竣工）验收鉴定书〔或质量监督机构出具对应的完工（竣工）质量（安全）监督报告〕的内容一致；不一致的，该业绩不予认可。</w:t>
      </w:r>
    </w:p>
    <w:p w14:paraId="7319FEBF">
      <w:pPr>
        <w:widowControl w:val="0"/>
        <w:kinsoku/>
        <w:topLinePunct/>
        <w:autoSpaceDE/>
        <w:autoSpaceDN/>
        <w:spacing w:line="480" w:lineRule="exact"/>
        <w:ind w:firstLine="420" w:firstLineChars="200"/>
        <w:jc w:val="both"/>
        <w:rPr>
          <w:rFonts w:hint="eastAsia" w:ascii="隶书" w:hAnsi="隶书" w:eastAsia="隶书" w:cs="隶书"/>
          <w:color w:val="auto"/>
          <w:lang w:eastAsia="zh-CN"/>
        </w:rPr>
      </w:pPr>
      <w:r>
        <w:rPr>
          <w:rFonts w:hint="eastAsia" w:ascii="隶书" w:hAnsi="隶书" w:eastAsia="隶书" w:cs="隶书"/>
          <w:color w:val="auto"/>
          <w:lang w:eastAsia="zh-CN"/>
        </w:rPr>
        <w:t>业绩要求的副项目负责人的身份以</w:t>
      </w:r>
      <w:r>
        <w:rPr>
          <w:rFonts w:hint="eastAsia" w:ascii="隶书" w:hAnsi="隶书" w:eastAsia="隶书" w:cs="隶书"/>
          <w:b/>
          <w:bCs/>
          <w:color w:val="auto"/>
          <w:lang w:eastAsia="zh-CN"/>
        </w:rPr>
        <w:t>“</w:t>
      </w:r>
      <w:r>
        <w:rPr>
          <w:rFonts w:hint="eastAsia" w:ascii="隶书" w:hAnsi="隶书" w:eastAsia="隶书" w:cs="隶书"/>
          <w:color w:val="auto"/>
          <w:lang w:eastAsia="zh-CN"/>
        </w:rPr>
        <w:t>浙江省水利工程建设管理系统（透明工程）”业绩打印件为准。业绩打印件与合同、以及由项目法人或行政主管部门出具的完工（竣工）验收鉴定书〔或质量监督机构出具对应的完工（竣工）质量（安全）监督报告〕均一致的，该业绩予以认可；其余情况，该业绩不予认可。</w:t>
      </w:r>
    </w:p>
    <w:p w14:paraId="474EEA16">
      <w:pPr>
        <w:widowControl w:val="0"/>
        <w:kinsoku/>
        <w:topLinePunct/>
        <w:autoSpaceDE/>
        <w:autoSpaceDN/>
        <w:spacing w:line="480" w:lineRule="exact"/>
        <w:ind w:firstLine="420" w:firstLineChars="200"/>
        <w:jc w:val="both"/>
        <w:rPr>
          <w:rFonts w:hint="eastAsia" w:ascii="隶书" w:hAnsi="隶书" w:eastAsia="隶书" w:cs="隶书"/>
          <w:color w:val="auto"/>
          <w:lang w:eastAsia="zh-CN"/>
        </w:rPr>
      </w:pPr>
      <w:r>
        <w:rPr>
          <w:rFonts w:hint="eastAsia" w:ascii="隶书" w:hAnsi="隶书" w:eastAsia="隶书" w:cs="隶书"/>
          <w:color w:val="auto"/>
          <w:lang w:eastAsia="zh-CN"/>
        </w:rPr>
        <w:t>副项目负责人业绩，以2025年10月1日后签订合同，在合同以及由项目法人或行政主管部门出具的完工（竣工）验收鉴定书〔或质量监督机构出具对应的完工（竣工）质量（安全）监督报告〕能反映副项目负责人岗位的业绩予以认可。</w:t>
      </w:r>
    </w:p>
    <w:p w14:paraId="39771BD8">
      <w:pPr>
        <w:widowControl w:val="0"/>
        <w:kinsoku/>
        <w:topLinePunct/>
        <w:autoSpaceDE/>
        <w:autoSpaceDN/>
        <w:spacing w:line="480" w:lineRule="exact"/>
        <w:ind w:firstLine="420" w:firstLineChars="200"/>
        <w:jc w:val="both"/>
        <w:rPr>
          <w:rFonts w:hint="eastAsia" w:ascii="隶书" w:hAnsi="隶书" w:eastAsia="隶书" w:cs="隶书"/>
          <w:color w:val="auto"/>
          <w:lang w:eastAsia="zh-CN"/>
        </w:rPr>
      </w:pPr>
      <w:r>
        <w:rPr>
          <w:rFonts w:hint="eastAsia" w:ascii="隶书" w:hAnsi="隶书" w:eastAsia="隶书" w:cs="隶书"/>
          <w:color w:val="auto"/>
          <w:lang w:eastAsia="zh-CN"/>
        </w:rPr>
        <w:t>除业绩要求的项目负责人或技术负责人或副项目负责人的身份外，</w:t>
      </w:r>
      <w:r>
        <w:rPr>
          <w:rFonts w:hint="eastAsia" w:ascii="隶书" w:hAnsi="隶书" w:eastAsia="隶书" w:cs="隶书"/>
          <w:b/>
          <w:bCs/>
          <w:color w:val="auto"/>
          <w:lang w:eastAsia="zh-CN"/>
        </w:rPr>
        <w:t>“</w:t>
      </w:r>
      <w:r>
        <w:rPr>
          <w:rFonts w:hint="eastAsia" w:ascii="隶书" w:hAnsi="隶书" w:eastAsia="隶书" w:cs="隶书"/>
          <w:color w:val="auto"/>
          <w:lang w:eastAsia="zh-CN"/>
        </w:rPr>
        <w:t>浙江省水利工程建设管理系统（透明工程）”业绩打印件与项目法人出具的完工（竣工）验收鉴定书〔或质量监督机构出具对应的完工（竣工）质量（安全）监督报告〕中涉及资格审查的相关信息不一致的，该业绩不予认可。</w:t>
      </w:r>
    </w:p>
    <w:p w14:paraId="2973FCBF">
      <w:pPr>
        <w:widowControl w:val="0"/>
        <w:kinsoku/>
        <w:topLinePunct/>
        <w:autoSpaceDE/>
        <w:autoSpaceDN/>
        <w:spacing w:line="480" w:lineRule="exact"/>
        <w:ind w:firstLine="420" w:firstLineChars="200"/>
        <w:jc w:val="both"/>
        <w:rPr>
          <w:rFonts w:hint="eastAsia" w:ascii="隶书" w:hAnsi="隶书" w:eastAsia="隶书" w:cs="隶书"/>
          <w:color w:val="auto"/>
          <w:lang w:eastAsia="zh-CN"/>
        </w:rPr>
      </w:pPr>
      <w:r>
        <w:rPr>
          <w:rFonts w:hint="eastAsia" w:ascii="隶书" w:hAnsi="隶书" w:eastAsia="隶书" w:cs="隶书"/>
          <w:color w:val="auto"/>
          <w:lang w:eastAsia="zh-CN"/>
        </w:rPr>
        <w:t>水利水电工程相关专业职称包括水利水电工程建筑、水利工程施工、农田水利工程、水电站动力设备、电力系统及自动化、水力学及河流动力学、水文与水资源、工程地质及水文地质、水利机械、水利工程管理、水利工程造价、水利工程规划与设计、水利工程建设监理等水利水电类相关专业职称。</w:t>
      </w:r>
    </w:p>
    <w:p w14:paraId="61B3E59B">
      <w:pPr>
        <w:widowControl w:val="0"/>
        <w:kinsoku/>
        <w:topLinePunct/>
        <w:autoSpaceDE/>
        <w:autoSpaceDN/>
        <w:spacing w:line="480" w:lineRule="exact"/>
        <w:ind w:firstLine="440" w:firstLineChars="200"/>
        <w:jc w:val="both"/>
        <w:rPr>
          <w:rFonts w:hint="eastAsia" w:ascii="宋体" w:hAnsi="宋体" w:eastAsia="宋体" w:cs="宋体"/>
          <w:color w:val="auto"/>
          <w:sz w:val="22"/>
          <w:szCs w:val="22"/>
          <w:lang w:eastAsia="zh-CN"/>
        </w:rPr>
      </w:pPr>
      <w:r>
        <w:rPr>
          <w:rFonts w:ascii="宋体" w:hAnsi="宋体" w:eastAsia="宋体" w:cs="宋体"/>
          <w:i/>
          <w:iCs/>
          <w:color w:val="auto"/>
          <w:sz w:val="22"/>
          <w:szCs w:val="22"/>
          <w:lang w:eastAsia="zh-CN"/>
        </w:rPr>
        <w:t>①联合体：根据本次招标的实际情况进行约定，如工程需要投标人同时具备</w:t>
      </w:r>
      <w:r>
        <w:rPr>
          <w:rFonts w:ascii="Times New Roman" w:hAnsi="Times New Roman" w:eastAsia="Times New Roman" w:cs="Times New Roman"/>
          <w:i/>
          <w:iCs/>
          <w:color w:val="auto"/>
          <w:lang w:eastAsia="zh-CN"/>
        </w:rPr>
        <w:t>2</w:t>
      </w:r>
      <w:r>
        <w:rPr>
          <w:rFonts w:ascii="宋体" w:hAnsi="宋体" w:eastAsia="宋体" w:cs="宋体"/>
          <w:i/>
          <w:iCs/>
          <w:color w:val="auto"/>
          <w:sz w:val="22"/>
          <w:szCs w:val="22"/>
          <w:lang w:eastAsia="zh-CN"/>
        </w:rPr>
        <w:t>项及以上资质要求时，不得排斥联合体投标人。鼓励企业采用联合体方式承建项目。联合体投标的，由招标人明确业绩提供方。</w:t>
      </w:r>
    </w:p>
    <w:p w14:paraId="4D7C4A51">
      <w:pPr>
        <w:widowControl w:val="0"/>
        <w:kinsoku/>
        <w:topLinePunct/>
        <w:autoSpaceDE/>
        <w:autoSpaceDN/>
        <w:spacing w:line="480" w:lineRule="exact"/>
        <w:ind w:firstLine="440" w:firstLineChars="200"/>
        <w:jc w:val="both"/>
        <w:rPr>
          <w:rFonts w:hint="eastAsia" w:ascii="宋体" w:hAnsi="宋体" w:eastAsia="宋体" w:cs="宋体"/>
          <w:color w:val="auto"/>
          <w:sz w:val="22"/>
          <w:szCs w:val="22"/>
          <w:lang w:eastAsia="zh-CN"/>
        </w:rPr>
      </w:pPr>
      <w:r>
        <w:rPr>
          <w:rFonts w:ascii="宋体" w:hAnsi="宋体" w:eastAsia="宋体" w:cs="宋体"/>
          <w:i/>
          <w:iCs/>
          <w:color w:val="auto"/>
          <w:sz w:val="22"/>
          <w:szCs w:val="22"/>
          <w:lang w:eastAsia="zh-CN"/>
        </w:rPr>
        <w:t>②招标人可根据项目实际情况自行确定投标人及其拟派项目负责人的施工业绩要求，但设置的要求应与所招标标段规模、特点等适应，不得设置过高的要求。</w:t>
      </w:r>
    </w:p>
    <w:p w14:paraId="343BEB8E">
      <w:pPr>
        <w:widowControl w:val="0"/>
        <w:kinsoku/>
        <w:topLinePunct/>
        <w:autoSpaceDE/>
        <w:autoSpaceDN/>
        <w:spacing w:line="480" w:lineRule="exact"/>
        <w:ind w:firstLine="440" w:firstLineChars="200"/>
        <w:jc w:val="both"/>
        <w:rPr>
          <w:rFonts w:hint="eastAsia" w:ascii="宋体" w:hAnsi="宋体" w:eastAsia="宋体" w:cs="宋体"/>
          <w:color w:val="auto"/>
          <w:sz w:val="22"/>
          <w:szCs w:val="22"/>
          <w:lang w:eastAsia="zh-CN"/>
        </w:rPr>
      </w:pPr>
      <w:r>
        <w:rPr>
          <w:rFonts w:ascii="宋体" w:hAnsi="宋体" w:eastAsia="宋体" w:cs="宋体"/>
          <w:i/>
          <w:iCs/>
          <w:color w:val="auto"/>
          <w:sz w:val="22"/>
          <w:szCs w:val="22"/>
          <w:lang w:eastAsia="zh-CN"/>
        </w:rPr>
        <w:t>③</w:t>
      </w:r>
      <w:r>
        <w:rPr>
          <w:rFonts w:ascii="宋体" w:hAnsi="宋体" w:eastAsia="宋体" w:cs="宋体"/>
          <w:b/>
          <w:bCs/>
          <w:i/>
          <w:iCs/>
          <w:color w:val="auto"/>
          <w:sz w:val="22"/>
          <w:szCs w:val="22"/>
          <w:lang w:eastAsia="zh-CN"/>
        </w:rPr>
        <w:t>标段概算投资在</w:t>
      </w:r>
      <w:r>
        <w:rPr>
          <w:rFonts w:ascii="Times New Roman" w:hAnsi="Times New Roman" w:eastAsia="Times New Roman" w:cs="Times New Roman"/>
          <w:b/>
          <w:bCs/>
          <w:i/>
          <w:iCs/>
          <w:color w:val="auto"/>
          <w:lang w:eastAsia="zh-CN"/>
        </w:rPr>
        <w:t>1</w:t>
      </w:r>
      <w:r>
        <w:rPr>
          <w:rFonts w:ascii="宋体" w:hAnsi="宋体" w:eastAsia="宋体" w:cs="宋体"/>
          <w:b/>
          <w:bCs/>
          <w:i/>
          <w:iCs/>
          <w:color w:val="auto"/>
          <w:sz w:val="22"/>
          <w:szCs w:val="22"/>
          <w:lang w:eastAsia="zh-CN"/>
        </w:rPr>
        <w:t>亿元及以上的水利水电工程和标段概算投资在</w:t>
      </w:r>
      <w:r>
        <w:rPr>
          <w:rFonts w:ascii="Times New Roman" w:hAnsi="Times New Roman" w:eastAsia="Times New Roman" w:cs="Times New Roman"/>
          <w:b/>
          <w:bCs/>
          <w:i/>
          <w:iCs/>
          <w:color w:val="auto"/>
          <w:lang w:eastAsia="zh-CN"/>
        </w:rPr>
        <w:t>0.5</w:t>
      </w:r>
      <w:r>
        <w:rPr>
          <w:rFonts w:hint="eastAsia" w:ascii="Times New Roman" w:hAnsi="Times New Roman" w:eastAsia="宋体" w:cs="Times New Roman"/>
          <w:b/>
          <w:bCs/>
          <w:i/>
          <w:iCs/>
          <w:color w:val="auto"/>
          <w:lang w:eastAsia="zh-CN"/>
        </w:rPr>
        <w:t>～</w:t>
      </w:r>
      <w:r>
        <w:rPr>
          <w:rFonts w:ascii="Times New Roman" w:hAnsi="Times New Roman" w:eastAsia="Times New Roman" w:cs="Times New Roman"/>
          <w:b/>
          <w:bCs/>
          <w:i/>
          <w:iCs/>
          <w:color w:val="auto"/>
          <w:lang w:eastAsia="zh-CN"/>
        </w:rPr>
        <w:t>1</w:t>
      </w:r>
      <w:r>
        <w:rPr>
          <w:rFonts w:ascii="宋体" w:hAnsi="宋体" w:eastAsia="宋体" w:cs="宋体"/>
          <w:b/>
          <w:bCs/>
          <w:i/>
          <w:iCs/>
          <w:color w:val="auto"/>
          <w:sz w:val="22"/>
          <w:szCs w:val="22"/>
          <w:lang w:eastAsia="zh-CN"/>
        </w:rPr>
        <w:t>亿元的大中型水利水电枢纽工程</w:t>
      </w:r>
      <w:r>
        <w:rPr>
          <w:rFonts w:ascii="宋体" w:hAnsi="宋体" w:eastAsia="宋体" w:cs="宋体"/>
          <w:i/>
          <w:iCs/>
          <w:color w:val="auto"/>
          <w:sz w:val="22"/>
          <w:szCs w:val="22"/>
          <w:lang w:eastAsia="zh-CN"/>
        </w:rPr>
        <w:t>以及标段概算投资在</w:t>
      </w:r>
      <w:r>
        <w:rPr>
          <w:rFonts w:ascii="Times New Roman" w:hAnsi="Times New Roman" w:eastAsia="Times New Roman" w:cs="Times New Roman"/>
          <w:i/>
          <w:iCs/>
          <w:color w:val="auto"/>
          <w:lang w:eastAsia="zh-CN"/>
        </w:rPr>
        <w:t>0.5</w:t>
      </w:r>
      <w:r>
        <w:rPr>
          <w:rFonts w:hint="eastAsia" w:ascii="Times New Roman" w:hAnsi="Times New Roman" w:eastAsia="宋体" w:cs="Times New Roman"/>
          <w:i/>
          <w:iCs/>
          <w:color w:val="auto"/>
          <w:lang w:eastAsia="zh-CN"/>
        </w:rPr>
        <w:t>～</w:t>
      </w:r>
      <w:r>
        <w:rPr>
          <w:rFonts w:ascii="Times New Roman" w:hAnsi="Times New Roman" w:eastAsia="Times New Roman" w:cs="Times New Roman"/>
          <w:i/>
          <w:iCs/>
          <w:color w:val="auto"/>
          <w:lang w:eastAsia="zh-CN"/>
        </w:rPr>
        <w:t>1</w:t>
      </w:r>
      <w:r>
        <w:rPr>
          <w:rFonts w:ascii="宋体" w:hAnsi="宋体" w:eastAsia="宋体" w:cs="宋体"/>
          <w:i/>
          <w:iCs/>
          <w:color w:val="auto"/>
          <w:sz w:val="22"/>
          <w:szCs w:val="22"/>
          <w:lang w:eastAsia="zh-CN"/>
        </w:rPr>
        <w:t>亿元且施工难度较大的其他水利工程，投标人的项目负责人必须由水利水电工程专业的注册建造师担任，</w:t>
      </w:r>
      <w:r>
        <w:rPr>
          <w:rFonts w:ascii="宋体" w:hAnsi="宋体" w:eastAsia="宋体" w:cs="宋体"/>
          <w:b/>
          <w:bCs/>
          <w:i/>
          <w:iCs/>
          <w:color w:val="auto"/>
          <w:sz w:val="22"/>
          <w:szCs w:val="22"/>
          <w:lang w:eastAsia="zh-CN"/>
        </w:rPr>
        <w:t>技术负责人必须由水利水电工程专业的注册建造师或水利水电工程相关专业高级工程师及以上职称的人员担任</w:t>
      </w:r>
      <w:r>
        <w:rPr>
          <w:rFonts w:ascii="宋体" w:hAnsi="宋体" w:eastAsia="宋体" w:cs="宋体"/>
          <w:i/>
          <w:iCs/>
          <w:color w:val="auto"/>
          <w:sz w:val="22"/>
          <w:szCs w:val="22"/>
          <w:lang w:eastAsia="zh-CN"/>
        </w:rPr>
        <w:t>，且两个岗位不得相互兼任。</w:t>
      </w:r>
    </w:p>
    <w:p w14:paraId="79C8702A">
      <w:pPr>
        <w:widowControl w:val="0"/>
        <w:kinsoku/>
        <w:topLinePunct/>
        <w:autoSpaceDE/>
        <w:autoSpaceDN/>
        <w:spacing w:line="480" w:lineRule="exact"/>
        <w:ind w:firstLine="440" w:firstLineChars="200"/>
        <w:jc w:val="both"/>
        <w:rPr>
          <w:rFonts w:hint="eastAsia" w:ascii="宋体" w:hAnsi="宋体" w:eastAsia="宋体" w:cs="宋体"/>
          <w:color w:val="auto"/>
          <w:sz w:val="22"/>
          <w:szCs w:val="22"/>
          <w:lang w:eastAsia="zh-CN"/>
        </w:rPr>
      </w:pPr>
      <w:r>
        <w:rPr>
          <w:rFonts w:ascii="宋体" w:hAnsi="宋体" w:eastAsia="宋体" w:cs="宋体"/>
          <w:i/>
          <w:iCs/>
          <w:color w:val="auto"/>
          <w:sz w:val="22"/>
          <w:szCs w:val="22"/>
          <w:lang w:eastAsia="zh-CN"/>
        </w:rPr>
        <w:t>其他水利水电工程，投标人的项目负责人必须由水利水电工程专业的注册建造师担任，技术负责人必须由水利水电工程专业的注册建造师或水利水电工程相关专业工程师及以上职称的人员担任。</w:t>
      </w:r>
    </w:p>
    <w:p w14:paraId="1983E356">
      <w:pPr>
        <w:widowControl w:val="0"/>
        <w:kinsoku/>
        <w:topLinePunct/>
        <w:autoSpaceDE/>
        <w:autoSpaceDN/>
        <w:spacing w:line="480" w:lineRule="exact"/>
        <w:ind w:firstLine="440" w:firstLineChars="200"/>
        <w:jc w:val="both"/>
        <w:rPr>
          <w:rFonts w:hint="eastAsia" w:ascii="宋体" w:hAnsi="宋体" w:eastAsia="宋体" w:cs="宋体"/>
          <w:color w:val="auto"/>
          <w:sz w:val="22"/>
          <w:szCs w:val="22"/>
          <w:lang w:eastAsia="zh-CN"/>
        </w:rPr>
      </w:pPr>
      <w:r>
        <w:rPr>
          <w:rFonts w:ascii="宋体" w:hAnsi="宋体" w:eastAsia="宋体" w:cs="宋体"/>
          <w:i/>
          <w:iCs/>
          <w:color w:val="auto"/>
          <w:sz w:val="22"/>
          <w:szCs w:val="22"/>
          <w:lang w:eastAsia="zh-CN"/>
        </w:rPr>
        <w:t>④大型或标段概算投资在</w:t>
      </w:r>
      <w:r>
        <w:rPr>
          <w:rFonts w:ascii="Times New Roman" w:hAnsi="Times New Roman" w:eastAsia="Times New Roman" w:cs="Times New Roman"/>
          <w:i/>
          <w:iCs/>
          <w:color w:val="auto"/>
          <w:lang w:eastAsia="zh-CN"/>
        </w:rPr>
        <w:t>1</w:t>
      </w:r>
      <w:r>
        <w:rPr>
          <w:rFonts w:ascii="宋体" w:hAnsi="宋体" w:eastAsia="宋体" w:cs="宋体"/>
          <w:i/>
          <w:iCs/>
          <w:color w:val="auto"/>
          <w:sz w:val="22"/>
          <w:szCs w:val="22"/>
          <w:lang w:eastAsia="zh-CN"/>
        </w:rPr>
        <w:t>亿元及以上的水利水电工程可设置</w:t>
      </w:r>
      <w:r>
        <w:rPr>
          <w:rFonts w:ascii="Times New Roman" w:hAnsi="Times New Roman" w:eastAsia="Times New Roman" w:cs="Times New Roman"/>
          <w:i/>
          <w:iCs/>
          <w:color w:val="auto"/>
          <w:lang w:eastAsia="zh-CN"/>
        </w:rPr>
        <w:t>1</w:t>
      </w:r>
      <w:r>
        <w:rPr>
          <w:rFonts w:ascii="宋体" w:hAnsi="宋体" w:eastAsia="宋体" w:cs="宋体"/>
          <w:i/>
          <w:iCs/>
          <w:color w:val="auto"/>
          <w:sz w:val="22"/>
          <w:szCs w:val="22"/>
          <w:lang w:eastAsia="zh-CN"/>
        </w:rPr>
        <w:t>名副项目负责人。</w:t>
      </w:r>
    </w:p>
    <w:p w14:paraId="73B51941">
      <w:pPr>
        <w:widowControl w:val="0"/>
        <w:kinsoku/>
        <w:topLinePunct/>
        <w:autoSpaceDE/>
        <w:autoSpaceDN/>
        <w:spacing w:line="480" w:lineRule="exact"/>
        <w:ind w:firstLine="440" w:firstLineChars="200"/>
        <w:jc w:val="both"/>
        <w:rPr>
          <w:rFonts w:hint="eastAsia" w:ascii="宋体" w:hAnsi="宋体" w:eastAsia="宋体" w:cs="宋体"/>
          <w:color w:val="auto"/>
          <w:sz w:val="22"/>
          <w:szCs w:val="22"/>
          <w:lang w:eastAsia="zh-CN"/>
        </w:rPr>
      </w:pPr>
      <w:r>
        <w:rPr>
          <w:rFonts w:ascii="宋体" w:hAnsi="宋体" w:eastAsia="宋体" w:cs="宋体"/>
          <w:i/>
          <w:iCs/>
          <w:color w:val="auto"/>
          <w:sz w:val="22"/>
          <w:szCs w:val="22"/>
          <w:lang w:eastAsia="zh-CN"/>
        </w:rPr>
        <w:t>⑤</w:t>
      </w:r>
      <w:r>
        <w:rPr>
          <w:rFonts w:ascii="宋体" w:hAnsi="宋体" w:eastAsia="宋体" w:cs="宋体"/>
          <w:b/>
          <w:bCs/>
          <w:i/>
          <w:iCs/>
          <w:color w:val="auto"/>
          <w:sz w:val="22"/>
          <w:szCs w:val="22"/>
          <w:lang w:eastAsia="zh-CN"/>
        </w:rPr>
        <w:t>标段概算投资在</w:t>
      </w:r>
      <w:r>
        <w:rPr>
          <w:rFonts w:ascii="Times New Roman" w:hAnsi="Times New Roman" w:eastAsia="Times New Roman" w:cs="Times New Roman"/>
          <w:b/>
          <w:bCs/>
          <w:i/>
          <w:iCs/>
          <w:color w:val="auto"/>
          <w:lang w:eastAsia="zh-CN"/>
        </w:rPr>
        <w:t>1</w:t>
      </w:r>
      <w:r>
        <w:rPr>
          <w:rFonts w:ascii="宋体" w:hAnsi="宋体" w:eastAsia="宋体" w:cs="宋体"/>
          <w:b/>
          <w:bCs/>
          <w:i/>
          <w:iCs/>
          <w:color w:val="auto"/>
          <w:sz w:val="22"/>
          <w:szCs w:val="22"/>
          <w:lang w:eastAsia="zh-CN"/>
        </w:rPr>
        <w:t>亿元及以上的项目至少需要</w:t>
      </w:r>
      <w:r>
        <w:rPr>
          <w:rFonts w:ascii="Times New Roman" w:hAnsi="Times New Roman" w:eastAsia="Times New Roman" w:cs="Times New Roman"/>
          <w:b/>
          <w:bCs/>
          <w:i/>
          <w:iCs/>
          <w:color w:val="auto"/>
          <w:lang w:eastAsia="zh-CN"/>
        </w:rPr>
        <w:t>3</w:t>
      </w:r>
      <w:r>
        <w:rPr>
          <w:rFonts w:ascii="宋体" w:hAnsi="宋体" w:eastAsia="宋体" w:cs="宋体"/>
          <w:b/>
          <w:bCs/>
          <w:i/>
          <w:iCs/>
          <w:color w:val="auto"/>
          <w:sz w:val="22"/>
          <w:szCs w:val="22"/>
          <w:lang w:eastAsia="zh-CN"/>
        </w:rPr>
        <w:t>个专职安全生产管理人员</w:t>
      </w:r>
      <w:r>
        <w:rPr>
          <w:rFonts w:ascii="宋体" w:hAnsi="宋体" w:eastAsia="宋体" w:cs="宋体"/>
          <w:i/>
          <w:iCs/>
          <w:color w:val="auto"/>
          <w:sz w:val="22"/>
          <w:szCs w:val="22"/>
          <w:lang w:eastAsia="zh-CN"/>
        </w:rPr>
        <w:t>，</w:t>
      </w:r>
      <w:r>
        <w:rPr>
          <w:rFonts w:ascii="Times New Roman" w:hAnsi="Times New Roman" w:eastAsia="Times New Roman" w:cs="Times New Roman"/>
          <w:i/>
          <w:iCs/>
          <w:color w:val="auto"/>
          <w:lang w:eastAsia="zh-CN"/>
        </w:rPr>
        <w:t>0.5</w:t>
      </w:r>
      <w:r>
        <w:rPr>
          <w:rFonts w:ascii="宋体" w:hAnsi="宋体" w:eastAsia="宋体" w:cs="宋体"/>
          <w:i/>
          <w:iCs/>
          <w:color w:val="auto"/>
          <w:sz w:val="22"/>
          <w:szCs w:val="22"/>
          <w:lang w:eastAsia="zh-CN"/>
        </w:rPr>
        <w:t>～</w:t>
      </w:r>
      <w:r>
        <w:rPr>
          <w:rFonts w:ascii="Times New Roman" w:hAnsi="Times New Roman" w:eastAsia="Times New Roman" w:cs="Times New Roman"/>
          <w:i/>
          <w:iCs/>
          <w:color w:val="auto"/>
          <w:lang w:eastAsia="zh-CN"/>
        </w:rPr>
        <w:t>1</w:t>
      </w:r>
      <w:r>
        <w:rPr>
          <w:rFonts w:ascii="宋体" w:hAnsi="宋体" w:eastAsia="宋体" w:cs="宋体"/>
          <w:i/>
          <w:iCs/>
          <w:color w:val="auto"/>
          <w:sz w:val="22"/>
          <w:szCs w:val="22"/>
          <w:lang w:eastAsia="zh-CN"/>
        </w:rPr>
        <w:t>亿元的项目至少需要</w:t>
      </w:r>
      <w:r>
        <w:rPr>
          <w:rFonts w:ascii="Times New Roman" w:hAnsi="Times New Roman" w:eastAsia="Times New Roman" w:cs="Times New Roman"/>
          <w:i/>
          <w:iCs/>
          <w:color w:val="auto"/>
          <w:lang w:eastAsia="zh-CN"/>
        </w:rPr>
        <w:t>2</w:t>
      </w:r>
      <w:r>
        <w:rPr>
          <w:rFonts w:ascii="宋体" w:hAnsi="宋体" w:eastAsia="宋体" w:cs="宋体"/>
          <w:i/>
          <w:iCs/>
          <w:color w:val="auto"/>
          <w:sz w:val="22"/>
          <w:szCs w:val="22"/>
          <w:lang w:eastAsia="zh-CN"/>
        </w:rPr>
        <w:t>个专职安全生产管理人员，</w:t>
      </w:r>
      <w:r>
        <w:rPr>
          <w:rFonts w:ascii="Times New Roman" w:hAnsi="Times New Roman" w:eastAsia="Times New Roman" w:cs="Times New Roman"/>
          <w:i/>
          <w:iCs/>
          <w:color w:val="auto"/>
          <w:lang w:eastAsia="zh-CN"/>
        </w:rPr>
        <w:t>0.5</w:t>
      </w:r>
      <w:r>
        <w:rPr>
          <w:rFonts w:ascii="宋体" w:hAnsi="宋体" w:eastAsia="宋体" w:cs="宋体"/>
          <w:i/>
          <w:iCs/>
          <w:color w:val="auto"/>
          <w:sz w:val="22"/>
          <w:szCs w:val="22"/>
          <w:lang w:eastAsia="zh-CN"/>
        </w:rPr>
        <w:t>亿元以下的项目至少需要</w:t>
      </w:r>
      <w:r>
        <w:rPr>
          <w:rFonts w:ascii="Times New Roman" w:hAnsi="Times New Roman" w:eastAsia="Times New Roman" w:cs="Times New Roman"/>
          <w:i/>
          <w:iCs/>
          <w:color w:val="auto"/>
          <w:lang w:eastAsia="zh-CN"/>
        </w:rPr>
        <w:t>1</w:t>
      </w:r>
      <w:r>
        <w:rPr>
          <w:rFonts w:ascii="宋体" w:hAnsi="宋体" w:eastAsia="宋体" w:cs="宋体"/>
          <w:i/>
          <w:iCs/>
          <w:color w:val="auto"/>
          <w:sz w:val="22"/>
          <w:szCs w:val="22"/>
          <w:lang w:eastAsia="zh-CN"/>
        </w:rPr>
        <w:t>个专职安全生产管理人员。</w:t>
      </w:r>
    </w:p>
    <w:p w14:paraId="0596C99A">
      <w:pPr>
        <w:rPr>
          <w:rFonts w:hint="eastAsia" w:ascii="宋体" w:hAnsi="宋体" w:eastAsia="宋体" w:cs="宋体"/>
          <w:b/>
          <w:bCs/>
          <w:color w:val="auto"/>
          <w:sz w:val="36"/>
          <w:szCs w:val="36"/>
          <w:lang w:eastAsia="zh-CN"/>
        </w:rPr>
      </w:pPr>
      <w:bookmarkStart w:id="57" w:name="bookmark13"/>
      <w:bookmarkEnd w:id="57"/>
      <w:r>
        <w:rPr>
          <w:rFonts w:ascii="宋体" w:hAnsi="宋体" w:eastAsia="宋体" w:cs="宋体"/>
          <w:b/>
          <w:bCs/>
          <w:color w:val="auto"/>
          <w:sz w:val="36"/>
          <w:szCs w:val="36"/>
          <w:lang w:eastAsia="zh-CN"/>
        </w:rPr>
        <w:br w:type="page"/>
      </w:r>
    </w:p>
    <w:p w14:paraId="04C0DD82">
      <w:pPr>
        <w:widowControl w:val="0"/>
        <w:kinsoku/>
        <w:topLinePunct/>
        <w:autoSpaceDE/>
        <w:autoSpaceDN/>
        <w:spacing w:line="560" w:lineRule="exact"/>
        <w:jc w:val="center"/>
        <w:outlineLvl w:val="0"/>
        <w:rPr>
          <w:rFonts w:hint="eastAsia" w:ascii="宋体" w:hAnsi="宋体" w:eastAsia="宋体" w:cs="宋体"/>
          <w:b/>
          <w:bCs/>
          <w:color w:val="auto"/>
          <w:sz w:val="36"/>
          <w:szCs w:val="36"/>
          <w:lang w:eastAsia="zh-CN"/>
        </w:rPr>
      </w:pPr>
      <w:bookmarkStart w:id="58" w:name="bookmark22"/>
      <w:bookmarkEnd w:id="58"/>
      <w:bookmarkStart w:id="59" w:name="bookmark23"/>
      <w:bookmarkEnd w:id="59"/>
      <w:bookmarkStart w:id="60" w:name="bookmark24"/>
      <w:bookmarkEnd w:id="60"/>
      <w:bookmarkStart w:id="61" w:name="_Toc27717"/>
      <w:bookmarkStart w:id="62" w:name="_Toc12346"/>
      <w:bookmarkStart w:id="63" w:name="_Toc2687"/>
      <w:bookmarkStart w:id="64" w:name="_Toc26866"/>
      <w:r>
        <w:rPr>
          <w:rFonts w:ascii="宋体" w:hAnsi="宋体" w:eastAsia="宋体" w:cs="宋体"/>
          <w:b/>
          <w:bCs/>
          <w:color w:val="auto"/>
          <w:sz w:val="36"/>
          <w:szCs w:val="36"/>
          <w:lang w:eastAsia="zh-CN"/>
        </w:rPr>
        <w:t>第二章</w:t>
      </w:r>
      <w:r>
        <w:rPr>
          <w:rFonts w:hint="eastAsia" w:ascii="宋体" w:hAnsi="宋体" w:eastAsia="宋体" w:cs="宋体"/>
          <w:b/>
          <w:bCs/>
          <w:color w:val="auto"/>
          <w:sz w:val="36"/>
          <w:szCs w:val="36"/>
          <w:lang w:eastAsia="zh-CN"/>
        </w:rPr>
        <w:t>　</w:t>
      </w:r>
      <w:r>
        <w:rPr>
          <w:rFonts w:ascii="宋体" w:hAnsi="宋体" w:eastAsia="宋体" w:cs="宋体"/>
          <w:b/>
          <w:bCs/>
          <w:color w:val="auto"/>
          <w:sz w:val="36"/>
          <w:szCs w:val="36"/>
          <w:lang w:eastAsia="zh-CN"/>
        </w:rPr>
        <w:t>投标人须知</w:t>
      </w:r>
      <w:bookmarkEnd w:id="61"/>
      <w:bookmarkEnd w:id="62"/>
      <w:bookmarkEnd w:id="63"/>
      <w:bookmarkEnd w:id="64"/>
    </w:p>
    <w:p w14:paraId="75FE7F6B">
      <w:pPr>
        <w:widowControl w:val="0"/>
        <w:kinsoku/>
        <w:topLinePunct/>
        <w:autoSpaceDE/>
        <w:autoSpaceDN/>
        <w:spacing w:line="560" w:lineRule="exact"/>
        <w:jc w:val="center"/>
        <w:outlineLvl w:val="1"/>
        <w:rPr>
          <w:rFonts w:hint="eastAsia" w:ascii="宋体" w:hAnsi="宋体" w:eastAsia="宋体" w:cs="宋体"/>
          <w:color w:val="auto"/>
          <w:sz w:val="28"/>
          <w:szCs w:val="28"/>
          <w:lang w:eastAsia="zh-CN"/>
        </w:rPr>
      </w:pPr>
      <w:bookmarkStart w:id="65" w:name="bookmark664"/>
      <w:bookmarkEnd w:id="65"/>
      <w:bookmarkStart w:id="66" w:name="_Toc28291"/>
      <w:bookmarkStart w:id="67" w:name="_Toc30305"/>
      <w:bookmarkStart w:id="68" w:name="_Toc26712"/>
      <w:bookmarkStart w:id="69" w:name="_Toc2250"/>
      <w:r>
        <w:rPr>
          <w:rFonts w:ascii="宋体" w:hAnsi="宋体" w:eastAsia="宋体" w:cs="宋体"/>
          <w:b/>
          <w:bCs/>
          <w:color w:val="auto"/>
          <w:sz w:val="28"/>
          <w:szCs w:val="28"/>
          <w:lang w:eastAsia="zh-CN"/>
        </w:rPr>
        <w:t>投标人须知前附表</w:t>
      </w:r>
      <w:bookmarkEnd w:id="66"/>
      <w:bookmarkEnd w:id="67"/>
      <w:bookmarkEnd w:id="68"/>
      <w:bookmarkEnd w:id="69"/>
    </w:p>
    <w:p w14:paraId="3F6B18BE">
      <w:pPr>
        <w:spacing w:before="46"/>
        <w:rPr>
          <w:color w:val="auto"/>
          <w:lang w:eastAsia="zh-CN"/>
        </w:rPr>
      </w:pPr>
    </w:p>
    <w:tbl>
      <w:tblPr>
        <w:tblStyle w:val="20"/>
        <w:tblW w:w="9472"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3"/>
        <w:gridCol w:w="2276"/>
        <w:gridCol w:w="6243"/>
      </w:tblGrid>
      <w:tr w14:paraId="2EA23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top w:val="single" w:color="000000" w:sz="6" w:space="0"/>
              <w:left w:val="single" w:color="000000" w:sz="6" w:space="0"/>
            </w:tcBorders>
            <w:vAlign w:val="center"/>
          </w:tcPr>
          <w:p w14:paraId="0AA10805">
            <w:pPr>
              <w:pStyle w:val="21"/>
              <w:widowControl w:val="0"/>
              <w:kinsoku/>
              <w:topLinePunct/>
              <w:autoSpaceDE/>
              <w:autoSpaceDN/>
              <w:jc w:val="center"/>
              <w:rPr>
                <w:rFonts w:hint="eastAsia"/>
                <w:color w:val="auto"/>
                <w:sz w:val="21"/>
                <w:szCs w:val="21"/>
              </w:rPr>
            </w:pPr>
            <w:r>
              <w:rPr>
                <w:b/>
                <w:bCs/>
                <w:color w:val="auto"/>
                <w:sz w:val="21"/>
                <w:szCs w:val="21"/>
              </w:rPr>
              <w:t>条款号</w:t>
            </w:r>
          </w:p>
        </w:tc>
        <w:tc>
          <w:tcPr>
            <w:tcW w:w="2276" w:type="dxa"/>
            <w:tcBorders>
              <w:top w:val="single" w:color="000000" w:sz="6" w:space="0"/>
            </w:tcBorders>
            <w:vAlign w:val="center"/>
          </w:tcPr>
          <w:p w14:paraId="5EBD56DF">
            <w:pPr>
              <w:pStyle w:val="21"/>
              <w:widowControl w:val="0"/>
              <w:kinsoku/>
              <w:topLinePunct/>
              <w:autoSpaceDE/>
              <w:autoSpaceDN/>
              <w:jc w:val="center"/>
              <w:rPr>
                <w:rFonts w:hint="eastAsia"/>
                <w:color w:val="auto"/>
                <w:sz w:val="21"/>
                <w:szCs w:val="21"/>
              </w:rPr>
            </w:pPr>
            <w:r>
              <w:rPr>
                <w:b/>
                <w:bCs/>
                <w:color w:val="auto"/>
                <w:sz w:val="21"/>
                <w:szCs w:val="21"/>
              </w:rPr>
              <w:t>条款名称</w:t>
            </w:r>
          </w:p>
        </w:tc>
        <w:tc>
          <w:tcPr>
            <w:tcW w:w="6243" w:type="dxa"/>
            <w:tcBorders>
              <w:top w:val="single" w:color="000000" w:sz="6" w:space="0"/>
              <w:right w:val="single" w:color="000000" w:sz="6" w:space="0"/>
            </w:tcBorders>
            <w:vAlign w:val="center"/>
          </w:tcPr>
          <w:p w14:paraId="20BA858D">
            <w:pPr>
              <w:pStyle w:val="21"/>
              <w:widowControl w:val="0"/>
              <w:kinsoku/>
              <w:topLinePunct/>
              <w:autoSpaceDE/>
              <w:autoSpaceDN/>
              <w:ind w:left="105" w:leftChars="50" w:right="105" w:rightChars="50"/>
              <w:jc w:val="center"/>
              <w:rPr>
                <w:rFonts w:hint="eastAsia"/>
                <w:color w:val="auto"/>
                <w:sz w:val="21"/>
                <w:szCs w:val="21"/>
                <w:lang w:eastAsia="zh-CN"/>
              </w:rPr>
            </w:pPr>
            <w:r>
              <w:rPr>
                <w:b/>
                <w:bCs/>
                <w:color w:val="auto"/>
                <w:sz w:val="21"/>
                <w:szCs w:val="21"/>
                <w:lang w:eastAsia="zh-CN"/>
              </w:rPr>
              <w:t>编</w:t>
            </w:r>
            <w:r>
              <w:rPr>
                <w:rFonts w:hint="eastAsia"/>
                <w:color w:val="auto"/>
                <w:sz w:val="21"/>
                <w:szCs w:val="21"/>
                <w:lang w:eastAsia="zh-CN"/>
              </w:rPr>
              <w:t>　　</w:t>
            </w:r>
            <w:r>
              <w:rPr>
                <w:b/>
                <w:bCs/>
                <w:color w:val="auto"/>
                <w:sz w:val="21"/>
                <w:szCs w:val="21"/>
                <w:lang w:eastAsia="zh-CN"/>
              </w:rPr>
              <w:t>列</w:t>
            </w:r>
            <w:r>
              <w:rPr>
                <w:rFonts w:hint="eastAsia"/>
                <w:color w:val="auto"/>
                <w:sz w:val="21"/>
                <w:szCs w:val="21"/>
                <w:lang w:eastAsia="zh-CN"/>
              </w:rPr>
              <w:t>　　</w:t>
            </w:r>
            <w:r>
              <w:rPr>
                <w:b/>
                <w:bCs/>
                <w:color w:val="auto"/>
                <w:sz w:val="21"/>
                <w:szCs w:val="21"/>
                <w:lang w:eastAsia="zh-CN"/>
              </w:rPr>
              <w:t>内</w:t>
            </w:r>
            <w:r>
              <w:rPr>
                <w:rFonts w:hint="eastAsia"/>
                <w:color w:val="auto"/>
                <w:sz w:val="21"/>
                <w:szCs w:val="21"/>
                <w:lang w:eastAsia="zh-CN"/>
              </w:rPr>
              <w:t>　　</w:t>
            </w:r>
            <w:r>
              <w:rPr>
                <w:b/>
                <w:bCs/>
                <w:color w:val="auto"/>
                <w:sz w:val="21"/>
                <w:szCs w:val="21"/>
                <w:lang w:eastAsia="zh-CN"/>
              </w:rPr>
              <w:t>容</w:t>
            </w:r>
          </w:p>
        </w:tc>
      </w:tr>
      <w:tr w14:paraId="3EA86A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1F6D201B">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1.1.2</w:t>
            </w:r>
          </w:p>
        </w:tc>
        <w:tc>
          <w:tcPr>
            <w:tcW w:w="2276" w:type="dxa"/>
            <w:vAlign w:val="center"/>
          </w:tcPr>
          <w:p w14:paraId="38756129">
            <w:pPr>
              <w:pStyle w:val="21"/>
              <w:widowControl w:val="0"/>
              <w:kinsoku/>
              <w:topLinePunct/>
              <w:autoSpaceDE/>
              <w:autoSpaceDN/>
              <w:jc w:val="center"/>
              <w:rPr>
                <w:rFonts w:hint="eastAsia"/>
                <w:color w:val="auto"/>
                <w:sz w:val="21"/>
                <w:szCs w:val="21"/>
              </w:rPr>
            </w:pPr>
            <w:r>
              <w:rPr>
                <w:color w:val="auto"/>
                <w:sz w:val="21"/>
                <w:szCs w:val="21"/>
              </w:rPr>
              <w:t>招标人</w:t>
            </w:r>
          </w:p>
        </w:tc>
        <w:tc>
          <w:tcPr>
            <w:tcW w:w="6243" w:type="dxa"/>
            <w:tcBorders>
              <w:right w:val="single" w:color="000000" w:sz="6" w:space="0"/>
            </w:tcBorders>
            <w:vAlign w:val="center"/>
          </w:tcPr>
          <w:p w14:paraId="0A1D21F6">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名称：绍兴市柯桥区水利投资开发有限公司</w:t>
            </w:r>
          </w:p>
          <w:p w14:paraId="1AAC9976">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地址：绍兴市柯桥区纺都路1066号区公共服务大楼18楼</w:t>
            </w:r>
          </w:p>
          <w:p w14:paraId="6A87F518">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联系人：胡工</w:t>
            </w:r>
          </w:p>
          <w:p w14:paraId="7CD28084">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电话：0575-81163302</w:t>
            </w:r>
          </w:p>
          <w:p w14:paraId="32995040">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电子信箱：/</w:t>
            </w:r>
          </w:p>
        </w:tc>
      </w:tr>
      <w:tr w14:paraId="3E9D7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5E034857">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1.1.3</w:t>
            </w:r>
          </w:p>
        </w:tc>
        <w:tc>
          <w:tcPr>
            <w:tcW w:w="2276" w:type="dxa"/>
            <w:vAlign w:val="center"/>
          </w:tcPr>
          <w:p w14:paraId="3EFB242C">
            <w:pPr>
              <w:pStyle w:val="21"/>
              <w:widowControl w:val="0"/>
              <w:kinsoku/>
              <w:topLinePunct/>
              <w:autoSpaceDE/>
              <w:autoSpaceDN/>
              <w:jc w:val="center"/>
              <w:rPr>
                <w:rFonts w:hint="eastAsia"/>
                <w:color w:val="auto"/>
                <w:sz w:val="21"/>
                <w:szCs w:val="21"/>
              </w:rPr>
            </w:pPr>
            <w:r>
              <w:rPr>
                <w:color w:val="auto"/>
                <w:sz w:val="21"/>
                <w:szCs w:val="21"/>
              </w:rPr>
              <w:t>招标代理机构</w:t>
            </w:r>
          </w:p>
        </w:tc>
        <w:tc>
          <w:tcPr>
            <w:tcW w:w="6243" w:type="dxa"/>
            <w:tcBorders>
              <w:right w:val="single" w:color="000000" w:sz="6" w:space="0"/>
            </w:tcBorders>
            <w:vAlign w:val="center"/>
          </w:tcPr>
          <w:p w14:paraId="43A77B69">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名称：浙江中际工程项目管理有限公司</w:t>
            </w:r>
          </w:p>
          <w:p w14:paraId="0B36334E">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地址：杭州市富春路308号华成国际发展大厦8楼</w:t>
            </w:r>
          </w:p>
          <w:p w14:paraId="395AE7BE">
            <w:pPr>
              <w:pStyle w:val="21"/>
              <w:widowControl w:val="0"/>
              <w:kinsoku/>
              <w:topLinePunct/>
              <w:autoSpaceDE/>
              <w:autoSpaceDN/>
              <w:ind w:left="105" w:leftChars="50" w:right="105" w:rightChars="50"/>
              <w:jc w:val="both"/>
              <w:rPr>
                <w:rFonts w:hint="eastAsia"/>
                <w:color w:val="auto"/>
                <w:sz w:val="21"/>
                <w:szCs w:val="21"/>
              </w:rPr>
            </w:pPr>
            <w:r>
              <w:rPr>
                <w:rFonts w:hint="eastAsia"/>
                <w:color w:val="auto"/>
                <w:sz w:val="21"/>
                <w:szCs w:val="21"/>
              </w:rPr>
              <w:t>联系人：吴工</w:t>
            </w:r>
          </w:p>
          <w:p w14:paraId="6F792489">
            <w:pPr>
              <w:pStyle w:val="21"/>
              <w:widowControl w:val="0"/>
              <w:kinsoku/>
              <w:topLinePunct/>
              <w:autoSpaceDE/>
              <w:autoSpaceDN/>
              <w:ind w:left="105" w:leftChars="50" w:right="105" w:rightChars="50"/>
              <w:jc w:val="both"/>
              <w:rPr>
                <w:rFonts w:hint="eastAsia"/>
                <w:color w:val="auto"/>
                <w:sz w:val="21"/>
                <w:szCs w:val="21"/>
              </w:rPr>
            </w:pPr>
            <w:r>
              <w:rPr>
                <w:rFonts w:hint="eastAsia"/>
                <w:color w:val="auto"/>
                <w:sz w:val="21"/>
                <w:szCs w:val="21"/>
              </w:rPr>
              <w:t>电话：15824491413</w:t>
            </w:r>
          </w:p>
          <w:p w14:paraId="157B84AC">
            <w:pPr>
              <w:pStyle w:val="21"/>
              <w:widowControl w:val="0"/>
              <w:kinsoku/>
              <w:topLinePunct/>
              <w:autoSpaceDE/>
              <w:autoSpaceDN/>
              <w:ind w:left="105" w:leftChars="50" w:right="105" w:rightChars="50"/>
              <w:jc w:val="both"/>
              <w:rPr>
                <w:rFonts w:hint="eastAsia"/>
                <w:color w:val="auto"/>
                <w:sz w:val="21"/>
                <w:szCs w:val="21"/>
              </w:rPr>
            </w:pPr>
            <w:r>
              <w:rPr>
                <w:rFonts w:hint="eastAsia"/>
                <w:color w:val="auto"/>
                <w:sz w:val="21"/>
                <w:szCs w:val="21"/>
              </w:rPr>
              <w:t>电子信箱：231845135@qq.com</w:t>
            </w:r>
          </w:p>
        </w:tc>
      </w:tr>
      <w:tr w14:paraId="4F58E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3A453462">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1.1.4</w:t>
            </w:r>
          </w:p>
        </w:tc>
        <w:tc>
          <w:tcPr>
            <w:tcW w:w="2276" w:type="dxa"/>
            <w:vAlign w:val="center"/>
          </w:tcPr>
          <w:p w14:paraId="0BF76068">
            <w:pPr>
              <w:pStyle w:val="21"/>
              <w:widowControl w:val="0"/>
              <w:kinsoku/>
              <w:topLinePunct/>
              <w:autoSpaceDE/>
              <w:autoSpaceDN/>
              <w:jc w:val="center"/>
              <w:rPr>
                <w:rFonts w:hint="eastAsia"/>
                <w:color w:val="auto"/>
                <w:sz w:val="21"/>
                <w:szCs w:val="21"/>
              </w:rPr>
            </w:pPr>
            <w:r>
              <w:rPr>
                <w:color w:val="auto"/>
                <w:sz w:val="21"/>
                <w:szCs w:val="21"/>
              </w:rPr>
              <w:t>项目及标段名称</w:t>
            </w:r>
          </w:p>
        </w:tc>
        <w:tc>
          <w:tcPr>
            <w:tcW w:w="6243" w:type="dxa"/>
            <w:tcBorders>
              <w:right w:val="single" w:color="000000" w:sz="6" w:space="0"/>
            </w:tcBorders>
            <w:vAlign w:val="center"/>
          </w:tcPr>
          <w:p w14:paraId="2C3A303A">
            <w:pPr>
              <w:widowControl w:val="0"/>
              <w:kinsoku/>
              <w:topLinePunct/>
              <w:autoSpaceDE/>
              <w:autoSpaceDN/>
              <w:ind w:left="105" w:leftChars="50" w:right="105" w:rightChars="50"/>
              <w:jc w:val="both"/>
              <w:rPr>
                <w:color w:val="auto"/>
                <w:lang w:eastAsia="zh-CN"/>
              </w:rPr>
            </w:pPr>
            <w:r>
              <w:rPr>
                <w:rFonts w:hint="eastAsia"/>
                <w:color w:val="auto"/>
                <w:lang w:eastAsia="zh-CN"/>
              </w:rPr>
              <w:t>绍兴市柯桥区新三江闸排涝泵站及配套河道拓浚工程</w:t>
            </w:r>
            <w:r>
              <w:rPr>
                <w:rFonts w:hint="eastAsia"/>
                <w:i/>
                <w:iCs/>
                <w:color w:val="auto"/>
                <w:lang w:eastAsia="zh-CN"/>
              </w:rPr>
              <w:t>（项目名称）</w:t>
            </w:r>
            <w:r>
              <w:rPr>
                <w:rFonts w:hint="eastAsia"/>
                <w:color w:val="auto"/>
                <w:lang w:eastAsia="zh-CN"/>
              </w:rPr>
              <w:t>泵站施工标</w:t>
            </w:r>
            <w:r>
              <w:rPr>
                <w:rFonts w:hint="eastAsia"/>
                <w:i/>
                <w:iCs/>
                <w:color w:val="auto"/>
                <w:lang w:eastAsia="zh-CN"/>
              </w:rPr>
              <w:t>（标段名称）</w:t>
            </w:r>
          </w:p>
        </w:tc>
      </w:tr>
      <w:tr w14:paraId="1F82E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21C72387">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1.1.5</w:t>
            </w:r>
          </w:p>
        </w:tc>
        <w:tc>
          <w:tcPr>
            <w:tcW w:w="2276" w:type="dxa"/>
            <w:vAlign w:val="center"/>
          </w:tcPr>
          <w:p w14:paraId="6FAABCBE">
            <w:pPr>
              <w:pStyle w:val="21"/>
              <w:widowControl w:val="0"/>
              <w:kinsoku/>
              <w:topLinePunct/>
              <w:autoSpaceDE/>
              <w:autoSpaceDN/>
              <w:jc w:val="center"/>
              <w:rPr>
                <w:rFonts w:hint="eastAsia"/>
                <w:color w:val="auto"/>
                <w:sz w:val="21"/>
                <w:szCs w:val="21"/>
              </w:rPr>
            </w:pPr>
            <w:r>
              <w:rPr>
                <w:color w:val="auto"/>
                <w:sz w:val="21"/>
                <w:szCs w:val="21"/>
              </w:rPr>
              <w:t>建设地点</w:t>
            </w:r>
          </w:p>
        </w:tc>
        <w:tc>
          <w:tcPr>
            <w:tcW w:w="6243" w:type="dxa"/>
            <w:tcBorders>
              <w:right w:val="single" w:color="000000" w:sz="6" w:space="0"/>
            </w:tcBorders>
            <w:vAlign w:val="center"/>
          </w:tcPr>
          <w:p w14:paraId="0417C8E7">
            <w:pPr>
              <w:widowControl w:val="0"/>
              <w:kinsoku/>
              <w:topLinePunct/>
              <w:autoSpaceDE/>
              <w:autoSpaceDN/>
              <w:ind w:left="105" w:leftChars="50" w:right="105" w:rightChars="50"/>
              <w:jc w:val="both"/>
              <w:rPr>
                <w:rFonts w:eastAsia="宋体"/>
                <w:color w:val="auto"/>
                <w:lang w:eastAsia="zh-CN"/>
              </w:rPr>
            </w:pPr>
            <w:r>
              <w:rPr>
                <w:rFonts w:hint="eastAsia" w:ascii="宋体" w:hAnsi="宋体" w:eastAsia="宋体" w:cs="宋体"/>
                <w:color w:val="auto"/>
              </w:rPr>
              <w:t>浙江省绍兴市</w:t>
            </w:r>
            <w:r>
              <w:rPr>
                <w:rFonts w:hint="eastAsia" w:ascii="宋体" w:hAnsi="宋体" w:eastAsia="宋体" w:cs="宋体"/>
                <w:color w:val="auto"/>
                <w:lang w:eastAsia="zh-CN"/>
              </w:rPr>
              <w:t>柯桥区</w:t>
            </w:r>
          </w:p>
        </w:tc>
      </w:tr>
      <w:tr w14:paraId="3F35D1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7CDA7E0D">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1.1.6</w:t>
            </w:r>
          </w:p>
        </w:tc>
        <w:tc>
          <w:tcPr>
            <w:tcW w:w="2276" w:type="dxa"/>
            <w:vAlign w:val="center"/>
          </w:tcPr>
          <w:p w14:paraId="6522BFAB">
            <w:pPr>
              <w:pStyle w:val="21"/>
              <w:widowControl w:val="0"/>
              <w:kinsoku/>
              <w:topLinePunct/>
              <w:autoSpaceDE/>
              <w:autoSpaceDN/>
              <w:jc w:val="center"/>
              <w:rPr>
                <w:rFonts w:hint="eastAsia"/>
                <w:color w:val="auto"/>
                <w:sz w:val="21"/>
                <w:szCs w:val="21"/>
              </w:rPr>
            </w:pPr>
            <w:r>
              <w:rPr>
                <w:color w:val="auto"/>
                <w:sz w:val="21"/>
                <w:szCs w:val="21"/>
              </w:rPr>
              <w:t>现场管理机构</w:t>
            </w:r>
          </w:p>
        </w:tc>
        <w:tc>
          <w:tcPr>
            <w:tcW w:w="6243" w:type="dxa"/>
            <w:tcBorders>
              <w:right w:val="single" w:color="000000" w:sz="6" w:space="0"/>
            </w:tcBorders>
            <w:vAlign w:val="center"/>
          </w:tcPr>
          <w:p w14:paraId="011FE236">
            <w:pPr>
              <w:widowControl w:val="0"/>
              <w:kinsoku/>
              <w:topLinePunct/>
              <w:autoSpaceDE/>
              <w:autoSpaceDN/>
              <w:ind w:left="105" w:leftChars="50" w:right="105" w:rightChars="50"/>
              <w:jc w:val="both"/>
              <w:rPr>
                <w:rFonts w:eastAsia="宋体"/>
                <w:color w:val="auto"/>
                <w:lang w:eastAsia="zh-CN"/>
              </w:rPr>
            </w:pPr>
            <w:r>
              <w:rPr>
                <w:rFonts w:hint="eastAsia" w:eastAsia="宋体"/>
                <w:color w:val="auto"/>
                <w:lang w:eastAsia="zh-CN"/>
              </w:rPr>
              <w:t>/</w:t>
            </w:r>
          </w:p>
        </w:tc>
      </w:tr>
      <w:tr w14:paraId="275FC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0EC59C60">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1.1.7</w:t>
            </w:r>
          </w:p>
        </w:tc>
        <w:tc>
          <w:tcPr>
            <w:tcW w:w="2276" w:type="dxa"/>
            <w:vAlign w:val="center"/>
          </w:tcPr>
          <w:p w14:paraId="4E0CB610">
            <w:pPr>
              <w:pStyle w:val="21"/>
              <w:widowControl w:val="0"/>
              <w:kinsoku/>
              <w:topLinePunct/>
              <w:autoSpaceDE/>
              <w:autoSpaceDN/>
              <w:jc w:val="center"/>
              <w:rPr>
                <w:rFonts w:hint="eastAsia"/>
                <w:color w:val="auto"/>
                <w:sz w:val="21"/>
                <w:szCs w:val="21"/>
              </w:rPr>
            </w:pPr>
            <w:r>
              <w:rPr>
                <w:color w:val="auto"/>
                <w:sz w:val="21"/>
                <w:szCs w:val="21"/>
              </w:rPr>
              <w:t>设计人</w:t>
            </w:r>
          </w:p>
        </w:tc>
        <w:tc>
          <w:tcPr>
            <w:tcW w:w="6243" w:type="dxa"/>
            <w:tcBorders>
              <w:right w:val="single" w:color="000000" w:sz="6" w:space="0"/>
            </w:tcBorders>
            <w:vAlign w:val="center"/>
          </w:tcPr>
          <w:p w14:paraId="58B15D93">
            <w:pPr>
              <w:widowControl w:val="0"/>
              <w:kinsoku/>
              <w:topLinePunct/>
              <w:autoSpaceDE/>
              <w:autoSpaceDN/>
              <w:ind w:left="105" w:leftChars="50" w:right="105" w:rightChars="50"/>
              <w:jc w:val="both"/>
              <w:rPr>
                <w:color w:val="auto"/>
                <w:lang w:eastAsia="zh-CN"/>
              </w:rPr>
            </w:pPr>
            <w:r>
              <w:rPr>
                <w:rFonts w:hint="eastAsia"/>
                <w:color w:val="auto"/>
                <w:lang w:eastAsia="zh-CN"/>
              </w:rPr>
              <w:t>浙江省水利水电勘测设计院有限责任公司</w:t>
            </w:r>
          </w:p>
        </w:tc>
      </w:tr>
      <w:tr w14:paraId="00720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1F8DF61B">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1.1.8</w:t>
            </w:r>
          </w:p>
        </w:tc>
        <w:tc>
          <w:tcPr>
            <w:tcW w:w="2276" w:type="dxa"/>
            <w:vAlign w:val="center"/>
          </w:tcPr>
          <w:p w14:paraId="242737A9">
            <w:pPr>
              <w:pStyle w:val="21"/>
              <w:widowControl w:val="0"/>
              <w:kinsoku/>
              <w:topLinePunct/>
              <w:autoSpaceDE/>
              <w:autoSpaceDN/>
              <w:jc w:val="center"/>
              <w:rPr>
                <w:rFonts w:hint="eastAsia"/>
                <w:color w:val="auto"/>
                <w:sz w:val="21"/>
                <w:szCs w:val="21"/>
              </w:rPr>
            </w:pPr>
            <w:r>
              <w:rPr>
                <w:color w:val="auto"/>
                <w:sz w:val="21"/>
                <w:szCs w:val="21"/>
              </w:rPr>
              <w:t>监理人</w:t>
            </w:r>
          </w:p>
        </w:tc>
        <w:tc>
          <w:tcPr>
            <w:tcW w:w="6243" w:type="dxa"/>
            <w:tcBorders>
              <w:right w:val="single" w:color="000000" w:sz="6" w:space="0"/>
            </w:tcBorders>
            <w:vAlign w:val="center"/>
          </w:tcPr>
          <w:p w14:paraId="0F8F1DAC">
            <w:pPr>
              <w:widowControl w:val="0"/>
              <w:kinsoku/>
              <w:topLinePunct/>
              <w:autoSpaceDE/>
              <w:autoSpaceDN/>
              <w:ind w:left="105" w:leftChars="50" w:right="105" w:rightChars="50"/>
              <w:jc w:val="both"/>
              <w:rPr>
                <w:color w:val="auto"/>
              </w:rPr>
            </w:pPr>
            <w:r>
              <w:rPr>
                <w:rFonts w:hint="eastAsia"/>
                <w:color w:val="auto"/>
              </w:rPr>
              <w:t>待定</w:t>
            </w:r>
          </w:p>
        </w:tc>
      </w:tr>
      <w:tr w14:paraId="1C9EA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31EB1D67">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1.1.9</w:t>
            </w:r>
          </w:p>
        </w:tc>
        <w:tc>
          <w:tcPr>
            <w:tcW w:w="2276" w:type="dxa"/>
            <w:vAlign w:val="center"/>
          </w:tcPr>
          <w:p w14:paraId="23D3B82F">
            <w:pPr>
              <w:pStyle w:val="21"/>
              <w:widowControl w:val="0"/>
              <w:kinsoku/>
              <w:topLinePunct/>
              <w:autoSpaceDE/>
              <w:autoSpaceDN/>
              <w:jc w:val="center"/>
              <w:rPr>
                <w:rFonts w:hint="eastAsia"/>
                <w:color w:val="auto"/>
                <w:sz w:val="21"/>
                <w:szCs w:val="21"/>
              </w:rPr>
            </w:pPr>
            <w:r>
              <w:rPr>
                <w:color w:val="auto"/>
                <w:sz w:val="21"/>
                <w:szCs w:val="21"/>
              </w:rPr>
              <w:t>代建机构</w:t>
            </w:r>
          </w:p>
        </w:tc>
        <w:tc>
          <w:tcPr>
            <w:tcW w:w="6243" w:type="dxa"/>
            <w:tcBorders>
              <w:right w:val="single" w:color="000000" w:sz="6" w:space="0"/>
            </w:tcBorders>
            <w:vAlign w:val="center"/>
          </w:tcPr>
          <w:p w14:paraId="0C4DB829">
            <w:pPr>
              <w:widowControl w:val="0"/>
              <w:kinsoku/>
              <w:topLinePunct/>
              <w:autoSpaceDE/>
              <w:autoSpaceDN/>
              <w:ind w:left="105" w:leftChars="50" w:right="105" w:rightChars="50"/>
              <w:jc w:val="both"/>
              <w:rPr>
                <w:color w:val="auto"/>
              </w:rPr>
            </w:pPr>
            <w:r>
              <w:rPr>
                <w:rFonts w:hint="eastAsia"/>
                <w:color w:val="auto"/>
              </w:rPr>
              <w:t>/</w:t>
            </w:r>
          </w:p>
        </w:tc>
      </w:tr>
      <w:tr w14:paraId="33BE1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0D755E8C">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1.2.1</w:t>
            </w:r>
          </w:p>
        </w:tc>
        <w:tc>
          <w:tcPr>
            <w:tcW w:w="2276" w:type="dxa"/>
            <w:vAlign w:val="center"/>
          </w:tcPr>
          <w:p w14:paraId="6AB8D74B">
            <w:pPr>
              <w:pStyle w:val="21"/>
              <w:widowControl w:val="0"/>
              <w:kinsoku/>
              <w:topLinePunct/>
              <w:autoSpaceDE/>
              <w:autoSpaceDN/>
              <w:jc w:val="center"/>
              <w:rPr>
                <w:rFonts w:hint="eastAsia"/>
                <w:color w:val="auto"/>
                <w:sz w:val="21"/>
                <w:szCs w:val="21"/>
              </w:rPr>
            </w:pPr>
            <w:r>
              <w:rPr>
                <w:color w:val="auto"/>
                <w:sz w:val="21"/>
                <w:szCs w:val="21"/>
              </w:rPr>
              <w:t>资金来源及比例</w:t>
            </w:r>
          </w:p>
        </w:tc>
        <w:tc>
          <w:tcPr>
            <w:tcW w:w="6243" w:type="dxa"/>
            <w:tcBorders>
              <w:right w:val="single" w:color="000000" w:sz="6" w:space="0"/>
            </w:tcBorders>
            <w:vAlign w:val="center"/>
          </w:tcPr>
          <w:p w14:paraId="502843CE">
            <w:pPr>
              <w:widowControl w:val="0"/>
              <w:kinsoku/>
              <w:topLinePunct/>
              <w:autoSpaceDE/>
              <w:autoSpaceDN/>
              <w:ind w:left="105" w:leftChars="50" w:right="105" w:rightChars="50"/>
              <w:jc w:val="both"/>
              <w:rPr>
                <w:color w:val="auto"/>
              </w:rPr>
            </w:pPr>
            <w:r>
              <w:rPr>
                <w:rFonts w:hint="eastAsia"/>
                <w:b/>
                <w:bCs/>
                <w:color w:val="auto"/>
              </w:rPr>
              <w:t>财政资金100%</w:t>
            </w:r>
          </w:p>
        </w:tc>
      </w:tr>
      <w:tr w14:paraId="1776DF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1ED3815B">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1.2.2</w:t>
            </w:r>
          </w:p>
        </w:tc>
        <w:tc>
          <w:tcPr>
            <w:tcW w:w="2276" w:type="dxa"/>
            <w:vAlign w:val="center"/>
          </w:tcPr>
          <w:p w14:paraId="3316490A">
            <w:pPr>
              <w:pStyle w:val="21"/>
              <w:widowControl w:val="0"/>
              <w:kinsoku/>
              <w:topLinePunct/>
              <w:autoSpaceDE/>
              <w:autoSpaceDN/>
              <w:jc w:val="center"/>
              <w:rPr>
                <w:rFonts w:hint="eastAsia"/>
                <w:color w:val="auto"/>
                <w:sz w:val="21"/>
                <w:szCs w:val="21"/>
              </w:rPr>
            </w:pPr>
            <w:r>
              <w:rPr>
                <w:color w:val="auto"/>
                <w:sz w:val="21"/>
                <w:szCs w:val="21"/>
              </w:rPr>
              <w:t>资金落实情况</w:t>
            </w:r>
          </w:p>
        </w:tc>
        <w:tc>
          <w:tcPr>
            <w:tcW w:w="6243" w:type="dxa"/>
            <w:tcBorders>
              <w:right w:val="single" w:color="000000" w:sz="6" w:space="0"/>
            </w:tcBorders>
            <w:vAlign w:val="center"/>
          </w:tcPr>
          <w:p w14:paraId="78FCDB52">
            <w:pPr>
              <w:widowControl w:val="0"/>
              <w:kinsoku/>
              <w:topLinePunct/>
              <w:autoSpaceDE/>
              <w:autoSpaceDN/>
              <w:ind w:left="105" w:leftChars="50" w:right="105" w:rightChars="50"/>
              <w:jc w:val="both"/>
              <w:rPr>
                <w:color w:val="auto"/>
              </w:rPr>
            </w:pPr>
            <w:r>
              <w:rPr>
                <w:rFonts w:hint="eastAsia"/>
                <w:b/>
                <w:bCs/>
                <w:color w:val="auto"/>
              </w:rPr>
              <w:t>已落实</w:t>
            </w:r>
          </w:p>
        </w:tc>
      </w:tr>
      <w:tr w14:paraId="214DCC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46582F78">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1.3.1</w:t>
            </w:r>
          </w:p>
        </w:tc>
        <w:tc>
          <w:tcPr>
            <w:tcW w:w="2276" w:type="dxa"/>
            <w:vAlign w:val="center"/>
          </w:tcPr>
          <w:p w14:paraId="4021F373">
            <w:pPr>
              <w:pStyle w:val="21"/>
              <w:widowControl w:val="0"/>
              <w:kinsoku/>
              <w:topLinePunct/>
              <w:autoSpaceDE/>
              <w:autoSpaceDN/>
              <w:jc w:val="center"/>
              <w:rPr>
                <w:rFonts w:hint="eastAsia"/>
                <w:color w:val="auto"/>
                <w:sz w:val="21"/>
                <w:szCs w:val="21"/>
              </w:rPr>
            </w:pPr>
            <w:r>
              <w:rPr>
                <w:color w:val="auto"/>
                <w:sz w:val="21"/>
                <w:szCs w:val="21"/>
              </w:rPr>
              <w:t>招标范围</w:t>
            </w:r>
          </w:p>
        </w:tc>
        <w:tc>
          <w:tcPr>
            <w:tcW w:w="6243" w:type="dxa"/>
            <w:tcBorders>
              <w:right w:val="single" w:color="000000" w:sz="6" w:space="0"/>
            </w:tcBorders>
            <w:vAlign w:val="center"/>
          </w:tcPr>
          <w:p w14:paraId="718548FC">
            <w:pPr>
              <w:widowControl w:val="0"/>
              <w:kinsoku/>
              <w:topLinePunct/>
              <w:autoSpaceDE/>
              <w:autoSpaceDN/>
              <w:ind w:left="105" w:leftChars="50" w:right="105" w:rightChars="50"/>
              <w:jc w:val="both"/>
              <w:rPr>
                <w:color w:val="auto"/>
              </w:rPr>
            </w:pPr>
            <w:r>
              <w:rPr>
                <w:rFonts w:hint="eastAsia"/>
                <w:color w:val="auto"/>
              </w:rPr>
              <w:t>详见招标公告</w:t>
            </w:r>
          </w:p>
        </w:tc>
      </w:tr>
      <w:tr w14:paraId="37911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40BC8B93">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1.3.2</w:t>
            </w:r>
          </w:p>
        </w:tc>
        <w:tc>
          <w:tcPr>
            <w:tcW w:w="2276" w:type="dxa"/>
            <w:vAlign w:val="center"/>
          </w:tcPr>
          <w:p w14:paraId="1C436590">
            <w:pPr>
              <w:pStyle w:val="21"/>
              <w:widowControl w:val="0"/>
              <w:kinsoku/>
              <w:topLinePunct/>
              <w:autoSpaceDE/>
              <w:autoSpaceDN/>
              <w:jc w:val="center"/>
              <w:rPr>
                <w:rFonts w:hint="eastAsia"/>
                <w:color w:val="auto"/>
                <w:sz w:val="21"/>
                <w:szCs w:val="21"/>
              </w:rPr>
            </w:pPr>
            <w:r>
              <w:rPr>
                <w:color w:val="auto"/>
                <w:sz w:val="21"/>
                <w:szCs w:val="21"/>
              </w:rPr>
              <w:t>计划工期</w:t>
            </w:r>
          </w:p>
        </w:tc>
        <w:tc>
          <w:tcPr>
            <w:tcW w:w="6243" w:type="dxa"/>
            <w:tcBorders>
              <w:right w:val="single" w:color="000000" w:sz="6" w:space="0"/>
            </w:tcBorders>
            <w:vAlign w:val="center"/>
          </w:tcPr>
          <w:p w14:paraId="609C1303">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计划工期：总工期</w:t>
            </w:r>
            <w:r>
              <w:rPr>
                <w:rFonts w:hint="eastAsia"/>
                <w:color w:val="auto"/>
                <w:sz w:val="21"/>
                <w:szCs w:val="21"/>
                <w:u w:val="single"/>
                <w:lang w:eastAsia="zh-CN"/>
              </w:rPr>
              <w:t>1005</w:t>
            </w:r>
            <w:r>
              <w:rPr>
                <w:color w:val="auto"/>
                <w:sz w:val="21"/>
                <w:szCs w:val="21"/>
                <w:lang w:eastAsia="zh-CN"/>
              </w:rPr>
              <w:t>日历天。投标承诺工期不得超过该计划工期。</w:t>
            </w:r>
          </w:p>
          <w:p w14:paraId="5E9241CA">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计划开工日期：</w:t>
            </w:r>
            <w:r>
              <w:rPr>
                <w:rFonts w:hint="eastAsia"/>
                <w:color w:val="auto"/>
                <w:sz w:val="21"/>
                <w:szCs w:val="21"/>
                <w:u w:val="single"/>
                <w:lang w:eastAsia="zh-CN"/>
              </w:rPr>
              <w:t xml:space="preserve">    </w:t>
            </w:r>
            <w:r>
              <w:rPr>
                <w:color w:val="auto"/>
                <w:sz w:val="21"/>
                <w:szCs w:val="21"/>
                <w:lang w:eastAsia="zh-CN"/>
              </w:rPr>
              <w:t>年</w:t>
            </w:r>
            <w:r>
              <w:rPr>
                <w:rFonts w:hint="eastAsia"/>
                <w:color w:val="auto"/>
                <w:sz w:val="21"/>
                <w:szCs w:val="21"/>
                <w:u w:val="single"/>
                <w:lang w:eastAsia="zh-CN"/>
              </w:rPr>
              <w:t xml:space="preserve">  </w:t>
            </w:r>
            <w:r>
              <w:rPr>
                <w:color w:val="auto"/>
                <w:sz w:val="21"/>
                <w:szCs w:val="21"/>
                <w:lang w:eastAsia="zh-CN"/>
              </w:rPr>
              <w:t>月</w:t>
            </w:r>
            <w:r>
              <w:rPr>
                <w:rFonts w:hint="eastAsia"/>
                <w:color w:val="auto"/>
                <w:sz w:val="21"/>
                <w:szCs w:val="21"/>
                <w:u w:val="single"/>
                <w:lang w:eastAsia="zh-CN"/>
              </w:rPr>
              <w:t xml:space="preserve">  </w:t>
            </w:r>
            <w:r>
              <w:rPr>
                <w:color w:val="auto"/>
                <w:sz w:val="21"/>
                <w:szCs w:val="21"/>
                <w:lang w:eastAsia="zh-CN"/>
              </w:rPr>
              <w:t>日</w:t>
            </w:r>
          </w:p>
          <w:p w14:paraId="2BF2CB36">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计划完工日期：</w:t>
            </w:r>
            <w:r>
              <w:rPr>
                <w:rFonts w:hint="eastAsia"/>
                <w:color w:val="auto"/>
                <w:sz w:val="21"/>
                <w:szCs w:val="21"/>
                <w:u w:val="single"/>
                <w:lang w:eastAsia="zh-CN"/>
              </w:rPr>
              <w:t xml:space="preserve">    </w:t>
            </w:r>
            <w:r>
              <w:rPr>
                <w:color w:val="auto"/>
                <w:sz w:val="21"/>
                <w:szCs w:val="21"/>
                <w:lang w:eastAsia="zh-CN"/>
              </w:rPr>
              <w:t>年</w:t>
            </w:r>
            <w:r>
              <w:rPr>
                <w:rFonts w:hint="eastAsia"/>
                <w:color w:val="auto"/>
                <w:sz w:val="21"/>
                <w:szCs w:val="21"/>
                <w:u w:val="single"/>
                <w:lang w:eastAsia="zh-CN"/>
              </w:rPr>
              <w:t xml:space="preserve">  </w:t>
            </w:r>
            <w:r>
              <w:rPr>
                <w:color w:val="auto"/>
                <w:sz w:val="21"/>
                <w:szCs w:val="21"/>
                <w:lang w:eastAsia="zh-CN"/>
              </w:rPr>
              <w:t>月</w:t>
            </w:r>
            <w:r>
              <w:rPr>
                <w:rFonts w:hint="eastAsia"/>
                <w:color w:val="auto"/>
                <w:sz w:val="21"/>
                <w:szCs w:val="21"/>
                <w:u w:val="single"/>
                <w:lang w:eastAsia="zh-CN"/>
              </w:rPr>
              <w:t xml:space="preserve">  </w:t>
            </w:r>
            <w:r>
              <w:rPr>
                <w:color w:val="auto"/>
                <w:sz w:val="21"/>
                <w:szCs w:val="21"/>
                <w:lang w:eastAsia="zh-CN"/>
              </w:rPr>
              <w:t>日</w:t>
            </w:r>
          </w:p>
          <w:p w14:paraId="1C6A8E84">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节点工期：</w:t>
            </w:r>
            <w:r>
              <w:rPr>
                <w:rFonts w:hint="eastAsia"/>
                <w:color w:val="auto"/>
                <w:sz w:val="21"/>
                <w:szCs w:val="21"/>
                <w:u w:val="single"/>
                <w:lang w:eastAsia="zh-CN"/>
              </w:rPr>
              <w:t>　/　</w:t>
            </w:r>
            <w:r>
              <w:rPr>
                <w:color w:val="auto"/>
                <w:sz w:val="21"/>
                <w:szCs w:val="21"/>
                <w:lang w:eastAsia="zh-CN"/>
              </w:rPr>
              <w:t>。</w:t>
            </w:r>
          </w:p>
          <w:p w14:paraId="3EEA24C3">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实际开工日期以总监理工程师签发的开工通知为准。</w:t>
            </w:r>
          </w:p>
        </w:tc>
      </w:tr>
      <w:tr w14:paraId="3EAE4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54832A08">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1.3.3</w:t>
            </w:r>
          </w:p>
        </w:tc>
        <w:tc>
          <w:tcPr>
            <w:tcW w:w="2276" w:type="dxa"/>
            <w:tcBorders>
              <w:bottom w:val="single" w:color="000000" w:sz="6" w:space="0"/>
            </w:tcBorders>
            <w:vAlign w:val="center"/>
          </w:tcPr>
          <w:p w14:paraId="46F05710">
            <w:pPr>
              <w:pStyle w:val="21"/>
              <w:widowControl w:val="0"/>
              <w:kinsoku/>
              <w:topLinePunct/>
              <w:autoSpaceDE/>
              <w:autoSpaceDN/>
              <w:jc w:val="center"/>
              <w:rPr>
                <w:rFonts w:hint="eastAsia"/>
                <w:color w:val="auto"/>
                <w:sz w:val="21"/>
                <w:szCs w:val="21"/>
              </w:rPr>
            </w:pPr>
            <w:r>
              <w:rPr>
                <w:color w:val="auto"/>
                <w:sz w:val="21"/>
                <w:szCs w:val="21"/>
              </w:rPr>
              <w:t>质量要求</w:t>
            </w:r>
          </w:p>
        </w:tc>
        <w:tc>
          <w:tcPr>
            <w:tcW w:w="6243" w:type="dxa"/>
            <w:tcBorders>
              <w:bottom w:val="single" w:color="000000" w:sz="6" w:space="0"/>
              <w:right w:val="single" w:color="000000" w:sz="6" w:space="0"/>
            </w:tcBorders>
            <w:vAlign w:val="center"/>
          </w:tcPr>
          <w:p w14:paraId="0D48D8B5">
            <w:pPr>
              <w:widowControl w:val="0"/>
              <w:kinsoku/>
              <w:topLinePunct/>
              <w:autoSpaceDE/>
              <w:autoSpaceDN/>
              <w:ind w:left="105" w:leftChars="50" w:right="105" w:rightChars="50"/>
              <w:jc w:val="both"/>
              <w:rPr>
                <w:rFonts w:eastAsia="宋体"/>
                <w:color w:val="auto"/>
                <w:lang w:eastAsia="zh-CN"/>
              </w:rPr>
            </w:pPr>
            <w:r>
              <w:rPr>
                <w:rFonts w:ascii="宋体" w:hAnsi="宋体" w:eastAsia="宋体" w:cs="宋体"/>
                <w:color w:val="auto"/>
                <w:lang w:eastAsia="zh-CN"/>
              </w:rPr>
              <w:t>合格。</w:t>
            </w:r>
          </w:p>
        </w:tc>
      </w:tr>
      <w:tr w14:paraId="54803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3FE7C3D7">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1.4.1</w:t>
            </w:r>
          </w:p>
        </w:tc>
        <w:tc>
          <w:tcPr>
            <w:tcW w:w="2276" w:type="dxa"/>
            <w:vAlign w:val="center"/>
          </w:tcPr>
          <w:p w14:paraId="3950D397">
            <w:pPr>
              <w:pStyle w:val="21"/>
              <w:widowControl w:val="0"/>
              <w:kinsoku/>
              <w:topLinePunct/>
              <w:autoSpaceDE/>
              <w:autoSpaceDN/>
              <w:jc w:val="center"/>
              <w:rPr>
                <w:rFonts w:hint="eastAsia"/>
                <w:color w:val="auto"/>
                <w:sz w:val="21"/>
                <w:szCs w:val="21"/>
                <w:lang w:eastAsia="zh-CN"/>
              </w:rPr>
            </w:pPr>
            <w:r>
              <w:rPr>
                <w:color w:val="auto"/>
                <w:sz w:val="21"/>
                <w:szCs w:val="21"/>
                <w:lang w:eastAsia="zh-CN"/>
              </w:rPr>
              <w:t>投标人资质条件、能力</w:t>
            </w:r>
          </w:p>
        </w:tc>
        <w:tc>
          <w:tcPr>
            <w:tcW w:w="6243" w:type="dxa"/>
            <w:tcBorders>
              <w:right w:val="single" w:color="000000" w:sz="6" w:space="0"/>
            </w:tcBorders>
            <w:vAlign w:val="center"/>
          </w:tcPr>
          <w:p w14:paraId="6CD22271">
            <w:pPr>
              <w:pStyle w:val="21"/>
              <w:widowControl w:val="0"/>
              <w:kinsoku/>
              <w:topLinePunct/>
              <w:autoSpaceDE/>
              <w:autoSpaceDN/>
              <w:ind w:left="105" w:leftChars="50" w:right="105" w:rightChars="50"/>
              <w:jc w:val="both"/>
              <w:rPr>
                <w:rFonts w:hint="eastAsia"/>
                <w:color w:val="auto"/>
                <w:sz w:val="21"/>
                <w:szCs w:val="21"/>
              </w:rPr>
            </w:pPr>
            <w:r>
              <w:rPr>
                <w:color w:val="auto"/>
                <w:sz w:val="21"/>
                <w:szCs w:val="21"/>
              </w:rPr>
              <w:t>详见招标公告要求</w:t>
            </w:r>
          </w:p>
        </w:tc>
      </w:tr>
      <w:tr w14:paraId="30027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563F8E8A">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1.4.2</w:t>
            </w:r>
          </w:p>
        </w:tc>
        <w:tc>
          <w:tcPr>
            <w:tcW w:w="2276" w:type="dxa"/>
            <w:vAlign w:val="center"/>
          </w:tcPr>
          <w:p w14:paraId="5F4C161A">
            <w:pPr>
              <w:pStyle w:val="21"/>
              <w:widowControl w:val="0"/>
              <w:kinsoku/>
              <w:topLinePunct/>
              <w:autoSpaceDE/>
              <w:autoSpaceDN/>
              <w:jc w:val="center"/>
              <w:rPr>
                <w:rFonts w:hint="eastAsia"/>
                <w:color w:val="auto"/>
                <w:sz w:val="21"/>
                <w:szCs w:val="21"/>
              </w:rPr>
            </w:pPr>
            <w:r>
              <w:rPr>
                <w:color w:val="auto"/>
                <w:sz w:val="21"/>
                <w:szCs w:val="21"/>
              </w:rPr>
              <w:t>是否接受联合体投标</w:t>
            </w:r>
          </w:p>
        </w:tc>
        <w:tc>
          <w:tcPr>
            <w:tcW w:w="6243" w:type="dxa"/>
            <w:tcBorders>
              <w:right w:val="single" w:color="000000" w:sz="6" w:space="0"/>
            </w:tcBorders>
            <w:vAlign w:val="center"/>
          </w:tcPr>
          <w:p w14:paraId="04F8D8B6">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w:t>
            </w:r>
            <w:r>
              <w:rPr>
                <w:color w:val="auto"/>
                <w:sz w:val="21"/>
                <w:szCs w:val="21"/>
                <w:lang w:eastAsia="zh-CN"/>
              </w:rPr>
              <w:t>不接受</w:t>
            </w:r>
          </w:p>
          <w:p w14:paraId="599E7BDB">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w:t>
            </w:r>
            <w:r>
              <w:rPr>
                <w:color w:val="auto"/>
                <w:sz w:val="21"/>
                <w:szCs w:val="21"/>
                <w:lang w:eastAsia="zh-CN"/>
              </w:rPr>
              <w:t>接受，应满足下列要求：见招标公告或投标邀请书及投标人须知相应条款内容要求。</w:t>
            </w:r>
          </w:p>
        </w:tc>
      </w:tr>
      <w:tr w14:paraId="2AAA7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692FA03C">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1.9.1</w:t>
            </w:r>
          </w:p>
        </w:tc>
        <w:tc>
          <w:tcPr>
            <w:tcW w:w="2276" w:type="dxa"/>
            <w:vAlign w:val="center"/>
          </w:tcPr>
          <w:p w14:paraId="63231F59">
            <w:pPr>
              <w:pStyle w:val="21"/>
              <w:widowControl w:val="0"/>
              <w:kinsoku/>
              <w:topLinePunct/>
              <w:autoSpaceDE/>
              <w:autoSpaceDN/>
              <w:jc w:val="center"/>
              <w:rPr>
                <w:rFonts w:hint="eastAsia"/>
                <w:color w:val="auto"/>
                <w:sz w:val="21"/>
                <w:szCs w:val="21"/>
              </w:rPr>
            </w:pPr>
            <w:r>
              <w:rPr>
                <w:color w:val="auto"/>
                <w:sz w:val="21"/>
                <w:szCs w:val="21"/>
              </w:rPr>
              <w:t>踏勘现场</w:t>
            </w:r>
          </w:p>
        </w:tc>
        <w:tc>
          <w:tcPr>
            <w:tcW w:w="6243" w:type="dxa"/>
            <w:tcBorders>
              <w:right w:val="single" w:color="000000" w:sz="6" w:space="0"/>
            </w:tcBorders>
            <w:vAlign w:val="center"/>
          </w:tcPr>
          <w:p w14:paraId="55767558">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w:t>
            </w:r>
            <w:r>
              <w:rPr>
                <w:color w:val="auto"/>
                <w:sz w:val="21"/>
                <w:szCs w:val="21"/>
                <w:lang w:eastAsia="zh-CN"/>
              </w:rPr>
              <w:t>不组织</w:t>
            </w:r>
          </w:p>
          <w:p w14:paraId="3C808CE8">
            <w:pPr>
              <w:pStyle w:val="21"/>
              <w:widowControl w:val="0"/>
              <w:kinsoku/>
              <w:topLinePunct/>
              <w:autoSpaceDE/>
              <w:autoSpaceDN/>
              <w:ind w:left="525" w:leftChars="50" w:right="105" w:rightChars="50" w:hanging="420" w:hangingChars="200"/>
              <w:jc w:val="both"/>
              <w:rPr>
                <w:rFonts w:hint="eastAsia"/>
                <w:color w:val="auto"/>
                <w:sz w:val="21"/>
                <w:szCs w:val="21"/>
                <w:lang w:eastAsia="zh-CN"/>
              </w:rPr>
            </w:pPr>
            <w:r>
              <w:rPr>
                <w:color w:val="auto"/>
                <w:sz w:val="21"/>
                <w:szCs w:val="21"/>
                <w:lang w:eastAsia="zh-CN"/>
              </w:rPr>
              <w:t>□组织。踏勘时间：</w:t>
            </w:r>
            <w:r>
              <w:rPr>
                <w:rFonts w:hint="eastAsia"/>
                <w:color w:val="auto"/>
                <w:sz w:val="21"/>
                <w:szCs w:val="21"/>
                <w:u w:val="single"/>
                <w:lang w:eastAsia="zh-CN"/>
              </w:rPr>
              <w:t>　　　　</w:t>
            </w:r>
            <w:r>
              <w:rPr>
                <w:color w:val="auto"/>
                <w:sz w:val="21"/>
                <w:szCs w:val="21"/>
                <w:lang w:eastAsia="zh-CN"/>
              </w:rPr>
              <w:t>，踏勘集中地点：</w:t>
            </w:r>
            <w:r>
              <w:rPr>
                <w:rFonts w:hint="eastAsia"/>
                <w:color w:val="auto"/>
                <w:sz w:val="21"/>
                <w:szCs w:val="21"/>
                <w:u w:val="single"/>
                <w:lang w:eastAsia="zh-CN"/>
              </w:rPr>
              <w:t>　　　　</w:t>
            </w:r>
            <w:r>
              <w:rPr>
                <w:color w:val="auto"/>
                <w:sz w:val="21"/>
                <w:szCs w:val="21"/>
                <w:lang w:eastAsia="zh-CN"/>
              </w:rPr>
              <w:t>。</w:t>
            </w:r>
          </w:p>
        </w:tc>
      </w:tr>
      <w:tr w14:paraId="0CF8C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6860F156">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1.10.1</w:t>
            </w:r>
          </w:p>
        </w:tc>
        <w:tc>
          <w:tcPr>
            <w:tcW w:w="2276" w:type="dxa"/>
            <w:vAlign w:val="center"/>
          </w:tcPr>
          <w:p w14:paraId="6A176F51">
            <w:pPr>
              <w:pStyle w:val="21"/>
              <w:widowControl w:val="0"/>
              <w:kinsoku/>
              <w:topLinePunct/>
              <w:autoSpaceDE/>
              <w:autoSpaceDN/>
              <w:jc w:val="center"/>
              <w:rPr>
                <w:rFonts w:hint="eastAsia"/>
                <w:color w:val="auto"/>
                <w:sz w:val="21"/>
                <w:szCs w:val="21"/>
              </w:rPr>
            </w:pPr>
            <w:r>
              <w:rPr>
                <w:color w:val="auto"/>
                <w:sz w:val="21"/>
                <w:szCs w:val="21"/>
              </w:rPr>
              <w:t>投标预备会</w:t>
            </w:r>
          </w:p>
        </w:tc>
        <w:tc>
          <w:tcPr>
            <w:tcW w:w="6243" w:type="dxa"/>
            <w:tcBorders>
              <w:right w:val="single" w:color="000000" w:sz="6" w:space="0"/>
            </w:tcBorders>
            <w:vAlign w:val="center"/>
          </w:tcPr>
          <w:p w14:paraId="20167907">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w:t>
            </w:r>
            <w:r>
              <w:rPr>
                <w:color w:val="auto"/>
                <w:sz w:val="21"/>
                <w:szCs w:val="21"/>
                <w:lang w:eastAsia="zh-CN"/>
              </w:rPr>
              <w:t>不召开</w:t>
            </w:r>
          </w:p>
          <w:p w14:paraId="192DCC06">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□召开，定于</w:t>
            </w:r>
            <w:r>
              <w:rPr>
                <w:rFonts w:hint="eastAsia"/>
                <w:color w:val="auto"/>
                <w:sz w:val="21"/>
                <w:szCs w:val="21"/>
                <w:u w:val="single"/>
                <w:lang w:eastAsia="zh-CN"/>
              </w:rPr>
              <w:t>　　　</w:t>
            </w:r>
            <w:r>
              <w:rPr>
                <w:color w:val="auto"/>
                <w:sz w:val="21"/>
                <w:szCs w:val="21"/>
                <w:lang w:eastAsia="zh-CN"/>
              </w:rPr>
              <w:t>（</w:t>
            </w:r>
            <w:r>
              <w:rPr>
                <w:i/>
                <w:iCs/>
                <w:color w:val="auto"/>
                <w:sz w:val="22"/>
                <w:szCs w:val="22"/>
                <w:lang w:eastAsia="zh-CN"/>
              </w:rPr>
              <w:t>具体时间</w:t>
            </w:r>
            <w:r>
              <w:rPr>
                <w:color w:val="auto"/>
                <w:sz w:val="21"/>
                <w:szCs w:val="21"/>
                <w:lang w:eastAsia="zh-CN"/>
              </w:rPr>
              <w:t>）在</w:t>
            </w:r>
            <w:r>
              <w:rPr>
                <w:rFonts w:hint="eastAsia"/>
                <w:color w:val="auto"/>
                <w:sz w:val="21"/>
                <w:szCs w:val="21"/>
                <w:u w:val="single"/>
                <w:lang w:eastAsia="zh-CN"/>
              </w:rPr>
              <w:t>　　　　</w:t>
            </w:r>
            <w:r>
              <w:rPr>
                <w:color w:val="auto"/>
                <w:sz w:val="21"/>
                <w:szCs w:val="21"/>
                <w:lang w:eastAsia="zh-CN"/>
              </w:rPr>
              <w:t>（</w:t>
            </w:r>
            <w:r>
              <w:rPr>
                <w:i/>
                <w:iCs/>
                <w:color w:val="auto"/>
                <w:sz w:val="22"/>
                <w:szCs w:val="22"/>
                <w:lang w:eastAsia="zh-CN"/>
              </w:rPr>
              <w:t>投标预备会地点</w:t>
            </w:r>
            <w:r>
              <w:rPr>
                <w:color w:val="auto"/>
                <w:sz w:val="21"/>
                <w:szCs w:val="21"/>
                <w:lang w:eastAsia="zh-CN"/>
              </w:rPr>
              <w:t>）召开投标预备会。</w:t>
            </w:r>
          </w:p>
        </w:tc>
      </w:tr>
      <w:tr w14:paraId="5EA473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3F885B3C">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1.10.3</w:t>
            </w:r>
          </w:p>
        </w:tc>
        <w:tc>
          <w:tcPr>
            <w:tcW w:w="2276" w:type="dxa"/>
            <w:vAlign w:val="center"/>
          </w:tcPr>
          <w:p w14:paraId="6D20DAF2">
            <w:pPr>
              <w:pStyle w:val="21"/>
              <w:widowControl w:val="0"/>
              <w:kinsoku/>
              <w:topLinePunct/>
              <w:autoSpaceDE/>
              <w:autoSpaceDN/>
              <w:jc w:val="center"/>
              <w:rPr>
                <w:rFonts w:hint="eastAsia"/>
                <w:color w:val="auto"/>
                <w:sz w:val="21"/>
                <w:szCs w:val="21"/>
              </w:rPr>
            </w:pPr>
            <w:r>
              <w:rPr>
                <w:color w:val="auto"/>
                <w:sz w:val="21"/>
                <w:szCs w:val="21"/>
              </w:rPr>
              <w:t>投标截止时间</w:t>
            </w:r>
          </w:p>
        </w:tc>
        <w:tc>
          <w:tcPr>
            <w:tcW w:w="6243" w:type="dxa"/>
            <w:tcBorders>
              <w:right w:val="single" w:color="000000" w:sz="6" w:space="0"/>
            </w:tcBorders>
            <w:vAlign w:val="center"/>
          </w:tcPr>
          <w:p w14:paraId="207C6110">
            <w:pPr>
              <w:widowControl w:val="0"/>
              <w:kinsoku/>
              <w:topLinePunct/>
              <w:autoSpaceDE/>
              <w:autoSpaceDN/>
              <w:ind w:left="105" w:leftChars="50" w:right="105" w:rightChars="50"/>
              <w:jc w:val="both"/>
              <w:rPr>
                <w:color w:val="auto"/>
                <w:lang w:eastAsia="zh-CN"/>
              </w:rPr>
            </w:pPr>
            <w:r>
              <w:rPr>
                <w:rFonts w:hint="eastAsia" w:eastAsia="宋体"/>
                <w:color w:val="auto"/>
                <w:lang w:eastAsia="zh-CN"/>
              </w:rPr>
              <w:t>2</w:t>
            </w:r>
            <w:r>
              <w:rPr>
                <w:rFonts w:hint="eastAsia"/>
                <w:color w:val="auto"/>
                <w:lang w:eastAsia="zh-CN"/>
              </w:rPr>
              <w:t>026年</w:t>
            </w:r>
            <w:r>
              <w:rPr>
                <w:rFonts w:hint="eastAsia" w:eastAsia="宋体"/>
                <w:color w:val="auto"/>
                <w:lang w:eastAsia="zh-CN"/>
              </w:rPr>
              <w:t>6</w:t>
            </w:r>
            <w:r>
              <w:rPr>
                <w:rFonts w:hint="eastAsia"/>
                <w:color w:val="auto"/>
                <w:lang w:eastAsia="zh-CN"/>
              </w:rPr>
              <w:t>月</w:t>
            </w:r>
            <w:r>
              <w:rPr>
                <w:rFonts w:hint="eastAsia" w:eastAsia="宋体"/>
                <w:color w:val="auto"/>
                <w:lang w:eastAsia="zh-CN"/>
              </w:rPr>
              <w:t>25</w:t>
            </w:r>
            <w:r>
              <w:rPr>
                <w:rFonts w:hint="eastAsia"/>
                <w:color w:val="auto"/>
                <w:lang w:eastAsia="zh-CN"/>
              </w:rPr>
              <w:t>日</w:t>
            </w:r>
            <w:r>
              <w:rPr>
                <w:rFonts w:hint="eastAsia" w:eastAsia="宋体"/>
                <w:color w:val="auto"/>
                <w:lang w:eastAsia="zh-CN"/>
              </w:rPr>
              <w:t>14</w:t>
            </w:r>
            <w:r>
              <w:rPr>
                <w:rFonts w:hint="eastAsia"/>
                <w:color w:val="auto"/>
                <w:lang w:eastAsia="zh-CN"/>
              </w:rPr>
              <w:t>时</w:t>
            </w:r>
            <w:r>
              <w:rPr>
                <w:rFonts w:hint="eastAsia" w:eastAsia="宋体"/>
                <w:color w:val="auto"/>
                <w:lang w:eastAsia="zh-CN"/>
              </w:rPr>
              <w:t>30</w:t>
            </w:r>
            <w:r>
              <w:rPr>
                <w:rFonts w:hint="eastAsia"/>
                <w:color w:val="auto"/>
                <w:lang w:eastAsia="zh-CN"/>
              </w:rPr>
              <w:t>分</w:t>
            </w:r>
          </w:p>
        </w:tc>
      </w:tr>
      <w:tr w14:paraId="6A8F7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65DEF4E4">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1.11</w:t>
            </w:r>
          </w:p>
        </w:tc>
        <w:tc>
          <w:tcPr>
            <w:tcW w:w="2276" w:type="dxa"/>
            <w:vAlign w:val="center"/>
          </w:tcPr>
          <w:p w14:paraId="3565C4FE">
            <w:pPr>
              <w:pStyle w:val="21"/>
              <w:widowControl w:val="0"/>
              <w:kinsoku/>
              <w:topLinePunct/>
              <w:autoSpaceDE/>
              <w:autoSpaceDN/>
              <w:jc w:val="center"/>
              <w:rPr>
                <w:rFonts w:hint="eastAsia"/>
                <w:color w:val="auto"/>
                <w:sz w:val="21"/>
                <w:szCs w:val="21"/>
              </w:rPr>
            </w:pPr>
            <w:r>
              <w:rPr>
                <w:color w:val="auto"/>
                <w:sz w:val="21"/>
                <w:szCs w:val="21"/>
              </w:rPr>
              <w:t>分包</w:t>
            </w:r>
          </w:p>
        </w:tc>
        <w:tc>
          <w:tcPr>
            <w:tcW w:w="6243" w:type="dxa"/>
            <w:tcBorders>
              <w:right w:val="single" w:color="000000" w:sz="6" w:space="0"/>
            </w:tcBorders>
            <w:vAlign w:val="center"/>
          </w:tcPr>
          <w:p w14:paraId="1C4308E9">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w:t>
            </w:r>
            <w:r>
              <w:rPr>
                <w:color w:val="auto"/>
                <w:sz w:val="21"/>
                <w:szCs w:val="21"/>
                <w:lang w:eastAsia="zh-CN"/>
              </w:rPr>
              <w:t>允许，工程分包内容要求：</w:t>
            </w:r>
            <w:r>
              <w:rPr>
                <w:rFonts w:hint="eastAsia"/>
                <w:color w:val="auto"/>
                <w:sz w:val="21"/>
                <w:szCs w:val="21"/>
                <w:u w:val="single"/>
                <w:lang w:eastAsia="zh-CN"/>
              </w:rPr>
              <w:t>主体工程、关键性工作的施工内容不允许分包，其他招标范围内容如承包人自身不具备相应工作内容的资质或自身具备的资质不能满足有关法律法规要求的才可分包。</w:t>
            </w:r>
          </w:p>
          <w:p w14:paraId="52B994CE">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工程分包金额要求</w:t>
            </w:r>
            <w:r>
              <w:rPr>
                <w:color w:val="auto"/>
                <w:sz w:val="21"/>
                <w:szCs w:val="21"/>
                <w:u w:val="single"/>
                <w:lang w:eastAsia="zh-CN"/>
              </w:rPr>
              <w:t>：</w:t>
            </w:r>
            <w:r>
              <w:rPr>
                <w:rFonts w:hint="eastAsia"/>
                <w:color w:val="auto"/>
                <w:sz w:val="21"/>
                <w:szCs w:val="21"/>
                <w:u w:val="single"/>
                <w:lang w:val="en-US" w:eastAsia="zh-CN"/>
              </w:rPr>
              <w:t>/</w:t>
            </w:r>
            <w:r>
              <w:rPr>
                <w:rFonts w:hint="eastAsia"/>
                <w:color w:val="auto"/>
                <w:sz w:val="21"/>
                <w:szCs w:val="21"/>
                <w:u w:val="single"/>
                <w:lang w:eastAsia="zh-CN"/>
              </w:rPr>
              <w:t>。</w:t>
            </w:r>
          </w:p>
          <w:p w14:paraId="348E8B96">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接受工程分包的第三人资质要求：</w:t>
            </w:r>
            <w:r>
              <w:rPr>
                <w:rFonts w:hint="eastAsia"/>
                <w:color w:val="auto"/>
                <w:sz w:val="21"/>
                <w:szCs w:val="21"/>
                <w:u w:val="single"/>
                <w:lang w:val="en-US" w:eastAsia="zh-CN"/>
              </w:rPr>
              <w:t>应符合国家法律规定的企业资质等级，且资格能力应与其分包工作的标准和规模相适应，且分包前须经发包人书面同意</w:t>
            </w:r>
            <w:r>
              <w:rPr>
                <w:rFonts w:hint="eastAsia"/>
                <w:color w:val="auto"/>
                <w:sz w:val="21"/>
                <w:szCs w:val="21"/>
                <w:u w:val="single"/>
                <w:lang w:eastAsia="zh-CN"/>
              </w:rPr>
              <w:t>。</w:t>
            </w:r>
          </w:p>
          <w:p w14:paraId="5B8DD0C8">
            <w:pPr>
              <w:pStyle w:val="21"/>
              <w:widowControl w:val="0"/>
              <w:kinsoku/>
              <w:topLinePunct/>
              <w:autoSpaceDE/>
              <w:autoSpaceDN/>
              <w:ind w:left="105" w:leftChars="50" w:right="105" w:rightChars="50"/>
              <w:jc w:val="both"/>
              <w:rPr>
                <w:rFonts w:hint="eastAsia"/>
                <w:color w:val="auto"/>
                <w:sz w:val="21"/>
                <w:szCs w:val="21"/>
              </w:rPr>
            </w:pPr>
            <w:r>
              <w:rPr>
                <w:color w:val="auto"/>
                <w:sz w:val="21"/>
                <w:szCs w:val="21"/>
              </w:rPr>
              <w:t>□不允许</w:t>
            </w:r>
          </w:p>
        </w:tc>
      </w:tr>
      <w:tr w14:paraId="06C93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1D462B55">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1.12</w:t>
            </w:r>
          </w:p>
        </w:tc>
        <w:tc>
          <w:tcPr>
            <w:tcW w:w="2276" w:type="dxa"/>
            <w:vAlign w:val="center"/>
          </w:tcPr>
          <w:p w14:paraId="27F91D5E">
            <w:pPr>
              <w:pStyle w:val="21"/>
              <w:widowControl w:val="0"/>
              <w:kinsoku/>
              <w:topLinePunct/>
              <w:autoSpaceDE/>
              <w:autoSpaceDN/>
              <w:jc w:val="center"/>
              <w:rPr>
                <w:rFonts w:hint="eastAsia"/>
                <w:color w:val="auto"/>
                <w:sz w:val="21"/>
                <w:szCs w:val="21"/>
              </w:rPr>
            </w:pPr>
            <w:r>
              <w:rPr>
                <w:color w:val="auto"/>
                <w:sz w:val="21"/>
                <w:szCs w:val="21"/>
              </w:rPr>
              <w:t>偏离</w:t>
            </w:r>
          </w:p>
        </w:tc>
        <w:tc>
          <w:tcPr>
            <w:tcW w:w="6243" w:type="dxa"/>
            <w:tcBorders>
              <w:right w:val="single" w:color="000000" w:sz="6" w:space="0"/>
            </w:tcBorders>
            <w:vAlign w:val="center"/>
          </w:tcPr>
          <w:p w14:paraId="1AE86F8D">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w:t>
            </w:r>
            <w:r>
              <w:rPr>
                <w:color w:val="auto"/>
                <w:sz w:val="21"/>
                <w:szCs w:val="21"/>
                <w:lang w:eastAsia="zh-CN"/>
              </w:rPr>
              <w:t>不允许</w:t>
            </w:r>
          </w:p>
          <w:p w14:paraId="620C23E0">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□允许偏离的内容、范围和幅度：</w:t>
            </w:r>
            <w:r>
              <w:rPr>
                <w:rFonts w:hint="eastAsia"/>
                <w:color w:val="auto"/>
                <w:sz w:val="21"/>
                <w:szCs w:val="21"/>
                <w:u w:val="single"/>
                <w:lang w:eastAsia="zh-CN"/>
              </w:rPr>
              <w:t>　　　　　</w:t>
            </w:r>
          </w:p>
        </w:tc>
      </w:tr>
      <w:tr w14:paraId="1211B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7034C6FE">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2.1</w:t>
            </w:r>
          </w:p>
        </w:tc>
        <w:tc>
          <w:tcPr>
            <w:tcW w:w="2276" w:type="dxa"/>
            <w:vAlign w:val="center"/>
          </w:tcPr>
          <w:p w14:paraId="33C2DFC2">
            <w:pPr>
              <w:pStyle w:val="21"/>
              <w:widowControl w:val="0"/>
              <w:kinsoku/>
              <w:topLinePunct/>
              <w:autoSpaceDE/>
              <w:autoSpaceDN/>
              <w:jc w:val="center"/>
              <w:rPr>
                <w:rFonts w:hint="eastAsia"/>
                <w:color w:val="auto"/>
                <w:sz w:val="21"/>
                <w:szCs w:val="21"/>
                <w:lang w:eastAsia="zh-CN"/>
              </w:rPr>
            </w:pPr>
            <w:r>
              <w:rPr>
                <w:color w:val="auto"/>
                <w:sz w:val="21"/>
                <w:szCs w:val="21"/>
                <w:lang w:eastAsia="zh-CN"/>
              </w:rPr>
              <w:t>构成招标文件的其他材料</w:t>
            </w:r>
          </w:p>
        </w:tc>
        <w:tc>
          <w:tcPr>
            <w:tcW w:w="6243" w:type="dxa"/>
            <w:tcBorders>
              <w:right w:val="single" w:color="000000" w:sz="6" w:space="0"/>
            </w:tcBorders>
            <w:vAlign w:val="center"/>
          </w:tcPr>
          <w:p w14:paraId="560ED517">
            <w:pPr>
              <w:widowControl w:val="0"/>
              <w:kinsoku/>
              <w:topLinePunct/>
              <w:autoSpaceDE/>
              <w:autoSpaceDN/>
              <w:ind w:left="105" w:leftChars="50" w:right="105" w:rightChars="50"/>
              <w:jc w:val="both"/>
              <w:rPr>
                <w:rFonts w:eastAsia="宋体"/>
                <w:color w:val="auto"/>
                <w:lang w:eastAsia="zh-CN"/>
              </w:rPr>
            </w:pPr>
            <w:r>
              <w:rPr>
                <w:rFonts w:hint="eastAsia" w:eastAsia="宋体"/>
                <w:color w:val="auto"/>
                <w:lang w:eastAsia="zh-CN"/>
              </w:rPr>
              <w:t>/</w:t>
            </w:r>
          </w:p>
        </w:tc>
      </w:tr>
      <w:tr w14:paraId="50708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4C677ABD">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2.2.1</w:t>
            </w:r>
          </w:p>
        </w:tc>
        <w:tc>
          <w:tcPr>
            <w:tcW w:w="2276" w:type="dxa"/>
            <w:vAlign w:val="center"/>
          </w:tcPr>
          <w:p w14:paraId="38DC8937">
            <w:pPr>
              <w:pStyle w:val="21"/>
              <w:widowControl w:val="0"/>
              <w:kinsoku/>
              <w:topLinePunct/>
              <w:autoSpaceDE/>
              <w:autoSpaceDN/>
              <w:jc w:val="center"/>
              <w:rPr>
                <w:rFonts w:hint="eastAsia"/>
                <w:color w:val="auto"/>
                <w:sz w:val="21"/>
                <w:szCs w:val="21"/>
                <w:lang w:eastAsia="zh-CN"/>
              </w:rPr>
            </w:pPr>
            <w:r>
              <w:rPr>
                <w:color w:val="auto"/>
                <w:sz w:val="21"/>
                <w:szCs w:val="21"/>
                <w:lang w:eastAsia="zh-CN"/>
              </w:rPr>
              <w:t>投标人提出澄清申请的时间及形式</w:t>
            </w:r>
          </w:p>
        </w:tc>
        <w:tc>
          <w:tcPr>
            <w:tcW w:w="6243" w:type="dxa"/>
            <w:tcBorders>
              <w:right w:val="single" w:color="000000" w:sz="6" w:space="0"/>
            </w:tcBorders>
            <w:vAlign w:val="center"/>
          </w:tcPr>
          <w:p w14:paraId="7F88D3AD">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截止时间：</w:t>
            </w:r>
            <w:r>
              <w:rPr>
                <w:rFonts w:hint="eastAsia"/>
                <w:color w:val="auto"/>
                <w:sz w:val="21"/>
                <w:szCs w:val="21"/>
                <w:u w:val="single"/>
                <w:lang w:eastAsia="zh-CN"/>
              </w:rPr>
              <w:t>2026年6月8日17时00分。</w:t>
            </w:r>
          </w:p>
          <w:p w14:paraId="3F2D85BD">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形式：</w:t>
            </w:r>
            <w:r>
              <w:rPr>
                <w:rFonts w:hint="eastAsia"/>
                <w:color w:val="auto"/>
                <w:sz w:val="21"/>
                <w:szCs w:val="21"/>
                <w:u w:val="single"/>
                <w:lang w:eastAsia="zh-CN"/>
              </w:rPr>
              <w:t>通过下载招标文件的电子招标投标交易平台提出</w:t>
            </w:r>
            <w:r>
              <w:rPr>
                <w:rFonts w:hint="eastAsia"/>
                <w:color w:val="auto"/>
                <w:sz w:val="21"/>
                <w:szCs w:val="21"/>
                <w:lang w:eastAsia="zh-CN"/>
              </w:rPr>
              <w:t>。</w:t>
            </w:r>
          </w:p>
        </w:tc>
      </w:tr>
      <w:tr w14:paraId="3CD1A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071562F8">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2.2.2</w:t>
            </w:r>
          </w:p>
        </w:tc>
        <w:tc>
          <w:tcPr>
            <w:tcW w:w="2276" w:type="dxa"/>
            <w:vAlign w:val="center"/>
          </w:tcPr>
          <w:p w14:paraId="5A827120">
            <w:pPr>
              <w:pStyle w:val="21"/>
              <w:widowControl w:val="0"/>
              <w:kinsoku/>
              <w:topLinePunct/>
              <w:autoSpaceDE/>
              <w:autoSpaceDN/>
              <w:jc w:val="center"/>
              <w:rPr>
                <w:rFonts w:hint="eastAsia"/>
                <w:color w:val="auto"/>
                <w:sz w:val="21"/>
                <w:szCs w:val="21"/>
                <w:lang w:eastAsia="zh-CN"/>
              </w:rPr>
            </w:pPr>
            <w:r>
              <w:rPr>
                <w:color w:val="auto"/>
                <w:sz w:val="21"/>
                <w:szCs w:val="21"/>
                <w:lang w:eastAsia="zh-CN"/>
              </w:rPr>
              <w:t>招标人发出澄清的形式</w:t>
            </w:r>
          </w:p>
        </w:tc>
        <w:tc>
          <w:tcPr>
            <w:tcW w:w="6243" w:type="dxa"/>
            <w:tcBorders>
              <w:right w:val="single" w:color="000000" w:sz="6" w:space="0"/>
            </w:tcBorders>
            <w:vAlign w:val="center"/>
          </w:tcPr>
          <w:p w14:paraId="593AB8D5">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潜在投标人应自行关注电子招标投标交易平台公告，招标人不再一一通知。投标人因自身原因导致投标失败的，责任自负。</w:t>
            </w:r>
          </w:p>
        </w:tc>
      </w:tr>
      <w:tr w14:paraId="7F8AD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51D6B003">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2.3.1</w:t>
            </w:r>
          </w:p>
        </w:tc>
        <w:tc>
          <w:tcPr>
            <w:tcW w:w="2276" w:type="dxa"/>
            <w:tcBorders>
              <w:bottom w:val="single" w:color="000000" w:sz="6" w:space="0"/>
            </w:tcBorders>
            <w:vAlign w:val="center"/>
          </w:tcPr>
          <w:p w14:paraId="342B5129">
            <w:pPr>
              <w:pStyle w:val="21"/>
              <w:widowControl w:val="0"/>
              <w:kinsoku/>
              <w:topLinePunct/>
              <w:autoSpaceDE/>
              <w:autoSpaceDN/>
              <w:jc w:val="center"/>
              <w:rPr>
                <w:rFonts w:hint="eastAsia"/>
                <w:color w:val="auto"/>
                <w:sz w:val="21"/>
                <w:szCs w:val="21"/>
                <w:lang w:eastAsia="zh-CN"/>
              </w:rPr>
            </w:pPr>
            <w:r>
              <w:rPr>
                <w:color w:val="auto"/>
                <w:sz w:val="21"/>
                <w:szCs w:val="21"/>
                <w:lang w:eastAsia="zh-CN"/>
              </w:rPr>
              <w:t>招标人发出修改通知的形式</w:t>
            </w:r>
          </w:p>
        </w:tc>
        <w:tc>
          <w:tcPr>
            <w:tcW w:w="6243" w:type="dxa"/>
            <w:tcBorders>
              <w:bottom w:val="single" w:color="000000" w:sz="6" w:space="0"/>
              <w:right w:val="single" w:color="000000" w:sz="6" w:space="0"/>
            </w:tcBorders>
            <w:vAlign w:val="center"/>
          </w:tcPr>
          <w:p w14:paraId="7CD56536">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修改的内容影响投标文件编制的，招标人将在投标截止时间15日前，在下载招标文件的电子招标投标交易平台发出修改通知，不足15日的，招标人将顺延递交投标文件的截止时间。</w:t>
            </w:r>
          </w:p>
          <w:p w14:paraId="2198C839">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修改的内容不影响投标文件编制的，将在投标文件递交截止时间7天前，以上款相同的形式发布。</w:t>
            </w:r>
          </w:p>
          <w:p w14:paraId="7D45F311">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潜在投标人应自行关注电子招标投标交易平台公告，招标人不再一一通知。投标人因自身原因导致投标失败的，责任自负。</w:t>
            </w:r>
          </w:p>
        </w:tc>
      </w:tr>
      <w:tr w14:paraId="28A29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0C072020">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3.3.1</w:t>
            </w:r>
          </w:p>
        </w:tc>
        <w:tc>
          <w:tcPr>
            <w:tcW w:w="2276" w:type="dxa"/>
            <w:vAlign w:val="center"/>
          </w:tcPr>
          <w:p w14:paraId="08681537">
            <w:pPr>
              <w:pStyle w:val="21"/>
              <w:widowControl w:val="0"/>
              <w:kinsoku/>
              <w:topLinePunct/>
              <w:autoSpaceDE/>
              <w:autoSpaceDN/>
              <w:jc w:val="center"/>
              <w:rPr>
                <w:rFonts w:hint="eastAsia"/>
                <w:color w:val="auto"/>
                <w:sz w:val="21"/>
                <w:szCs w:val="21"/>
              </w:rPr>
            </w:pPr>
            <w:r>
              <w:rPr>
                <w:color w:val="auto"/>
                <w:sz w:val="21"/>
                <w:szCs w:val="21"/>
              </w:rPr>
              <w:t>投标有效期</w:t>
            </w:r>
          </w:p>
        </w:tc>
        <w:tc>
          <w:tcPr>
            <w:tcW w:w="6243" w:type="dxa"/>
            <w:tcBorders>
              <w:right w:val="single" w:color="000000" w:sz="6" w:space="0"/>
            </w:tcBorders>
            <w:vAlign w:val="center"/>
          </w:tcPr>
          <w:p w14:paraId="1C028B31">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自投标截止时间起生效，有效期为</w:t>
            </w:r>
            <w:r>
              <w:rPr>
                <w:rFonts w:hint="eastAsia"/>
                <w:color w:val="auto"/>
                <w:sz w:val="21"/>
                <w:szCs w:val="21"/>
                <w:u w:val="single"/>
                <w:lang w:eastAsia="zh-CN"/>
              </w:rPr>
              <w:t>90</w:t>
            </w:r>
            <w:r>
              <w:rPr>
                <w:color w:val="auto"/>
                <w:sz w:val="21"/>
                <w:szCs w:val="21"/>
                <w:lang w:eastAsia="zh-CN"/>
              </w:rPr>
              <w:t>天。</w:t>
            </w:r>
          </w:p>
        </w:tc>
      </w:tr>
      <w:tr w14:paraId="49C9A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7F96CC57">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3.4.1</w:t>
            </w:r>
          </w:p>
        </w:tc>
        <w:tc>
          <w:tcPr>
            <w:tcW w:w="2276" w:type="dxa"/>
            <w:vAlign w:val="center"/>
          </w:tcPr>
          <w:p w14:paraId="572A1C37">
            <w:pPr>
              <w:pStyle w:val="21"/>
              <w:widowControl w:val="0"/>
              <w:kinsoku/>
              <w:topLinePunct/>
              <w:autoSpaceDE/>
              <w:autoSpaceDN/>
              <w:jc w:val="center"/>
              <w:rPr>
                <w:rFonts w:hint="eastAsia"/>
                <w:color w:val="auto"/>
                <w:sz w:val="21"/>
                <w:szCs w:val="21"/>
              </w:rPr>
            </w:pPr>
            <w:r>
              <w:rPr>
                <w:color w:val="auto"/>
                <w:sz w:val="21"/>
                <w:szCs w:val="21"/>
              </w:rPr>
              <w:t>投标保证金</w:t>
            </w:r>
          </w:p>
        </w:tc>
        <w:tc>
          <w:tcPr>
            <w:tcW w:w="6243" w:type="dxa"/>
            <w:tcBorders>
              <w:right w:val="single" w:color="000000" w:sz="6" w:space="0"/>
            </w:tcBorders>
          </w:tcPr>
          <w:p w14:paraId="05895881">
            <w:pPr>
              <w:pStyle w:val="21"/>
              <w:widowControl w:val="0"/>
              <w:kinsoku/>
              <w:topLinePunct/>
              <w:autoSpaceDE/>
              <w:autoSpaceDN/>
              <w:ind w:left="105" w:leftChars="50" w:right="105" w:rightChars="50" w:firstLine="10"/>
              <w:jc w:val="both"/>
              <w:rPr>
                <w:rFonts w:hint="eastAsia"/>
                <w:color w:val="auto"/>
                <w:sz w:val="21"/>
                <w:szCs w:val="21"/>
                <w:lang w:eastAsia="zh-CN"/>
              </w:rPr>
            </w:pPr>
            <w:r>
              <w:rPr>
                <w:color w:val="auto"/>
                <w:sz w:val="21"/>
                <w:szCs w:val="21"/>
                <w:lang w:eastAsia="zh-CN"/>
              </w:rPr>
              <w:t>□不要求递交投标保证金。</w:t>
            </w:r>
          </w:p>
          <w:p w14:paraId="0114FD45">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w:t>
            </w:r>
            <w:r>
              <w:rPr>
                <w:color w:val="auto"/>
                <w:sz w:val="21"/>
                <w:szCs w:val="21"/>
                <w:lang w:eastAsia="zh-CN"/>
              </w:rPr>
              <w:t>要求递交投标保证金。</w:t>
            </w:r>
          </w:p>
          <w:p w14:paraId="1D450095">
            <w:pPr>
              <w:pStyle w:val="21"/>
              <w:widowControl w:val="0"/>
              <w:kinsoku/>
              <w:topLinePunct/>
              <w:autoSpaceDE/>
              <w:autoSpaceDN/>
              <w:ind w:left="105" w:leftChars="50" w:right="105" w:rightChars="50" w:firstLine="10"/>
              <w:jc w:val="both"/>
              <w:rPr>
                <w:rFonts w:hint="eastAsia"/>
                <w:color w:val="auto"/>
                <w:sz w:val="21"/>
                <w:szCs w:val="21"/>
                <w:lang w:eastAsia="zh-CN"/>
              </w:rPr>
            </w:pPr>
            <w:r>
              <w:rPr>
                <w:color w:val="auto"/>
                <w:sz w:val="21"/>
                <w:szCs w:val="21"/>
                <w:lang w:eastAsia="zh-CN"/>
              </w:rPr>
              <w:t>□浙江省水利建设市场信用评价等级（施工类）A级的投标人（联合体投标的，以牵头人的信用评价等级为准），可免交投标保证金。</w:t>
            </w:r>
          </w:p>
          <w:p w14:paraId="7B3416AA">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1.金额：</w:t>
            </w:r>
            <w:r>
              <w:rPr>
                <w:rFonts w:hint="eastAsia"/>
                <w:color w:val="auto"/>
                <w:sz w:val="21"/>
                <w:szCs w:val="21"/>
                <w:u w:val="single"/>
                <w:lang w:eastAsia="zh-CN"/>
              </w:rPr>
              <w:t>人民币（大写）伍拾万</w:t>
            </w:r>
            <w:r>
              <w:rPr>
                <w:rFonts w:hint="eastAsia"/>
                <w:color w:val="auto"/>
                <w:sz w:val="21"/>
                <w:szCs w:val="21"/>
                <w:lang w:eastAsia="zh-CN"/>
              </w:rPr>
              <w:t>元整，在投标截止时间前缴纳。</w:t>
            </w:r>
          </w:p>
          <w:p w14:paraId="1856687D">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2.缴纳方式：银行保函/保证保险/担保公司担保/转账（从基本账户转出）</w:t>
            </w:r>
          </w:p>
          <w:p w14:paraId="45F354DB">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（1）缴纳要求（转账）：</w:t>
            </w:r>
          </w:p>
          <w:p w14:paraId="230B4069">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开户单位名称：绍兴市公共资源交易中心保证金专户；</w:t>
            </w:r>
          </w:p>
          <w:p w14:paraId="01B2B060">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账号：（</w:t>
            </w:r>
            <w:r>
              <w:rPr>
                <w:color w:val="auto"/>
                <w:sz w:val="21"/>
                <w:szCs w:val="21"/>
                <w:lang w:eastAsia="zh-CN"/>
              </w:rPr>
              <w:t>62248615657991847</w:t>
            </w:r>
            <w:r>
              <w:rPr>
                <w:rFonts w:hint="eastAsia"/>
                <w:color w:val="auto"/>
                <w:sz w:val="21"/>
                <w:szCs w:val="21"/>
                <w:lang w:eastAsia="zh-CN"/>
              </w:rPr>
              <w:t>3</w:t>
            </w:r>
            <w:r>
              <w:rPr>
                <w:color w:val="auto"/>
                <w:sz w:val="21"/>
                <w:szCs w:val="21"/>
                <w:lang w:eastAsia="zh-CN"/>
              </w:rPr>
              <w:t>0</w:t>
            </w:r>
            <w:r>
              <w:rPr>
                <w:rFonts w:hint="eastAsia"/>
                <w:color w:val="auto"/>
                <w:sz w:val="21"/>
                <w:szCs w:val="21"/>
                <w:lang w:eastAsia="zh-CN"/>
              </w:rPr>
              <w:t>）；</w:t>
            </w:r>
          </w:p>
          <w:p w14:paraId="641812BB">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开户行：绍兴银行股份有限公司营业部</w:t>
            </w:r>
          </w:p>
          <w:p w14:paraId="3F24F724">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（2）缴纳要求（银行保函/保证保险/担保公司担保）：招标人接受投标保证金电子保险、担保保函。投标人自行在电子招投标交易平台中自主选择办理。</w:t>
            </w:r>
          </w:p>
          <w:p w14:paraId="0829F6A0">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保函费用必须从投标人企业基本账户转出，并在投标保证金缴纳截止时间前办理保函手续。</w:t>
            </w:r>
          </w:p>
          <w:p w14:paraId="4CE71ABC">
            <w:pPr>
              <w:pStyle w:val="21"/>
              <w:widowControl w:val="0"/>
              <w:kinsoku/>
              <w:topLinePunct/>
              <w:autoSpaceDE/>
              <w:autoSpaceDN/>
              <w:ind w:left="105" w:leftChars="50" w:right="105" w:rightChars="50" w:firstLine="10"/>
              <w:jc w:val="both"/>
              <w:rPr>
                <w:rFonts w:hint="eastAsia"/>
                <w:color w:val="auto"/>
                <w:sz w:val="21"/>
                <w:szCs w:val="21"/>
                <w:lang w:eastAsia="zh-CN"/>
              </w:rPr>
            </w:pPr>
            <w:r>
              <w:rPr>
                <w:rFonts w:hint="eastAsia"/>
                <w:color w:val="auto"/>
                <w:sz w:val="21"/>
                <w:szCs w:val="21"/>
                <w:lang w:eastAsia="zh-CN"/>
              </w:rPr>
              <w:t>备注：1.投标保证金的有效期：同投标有效期。</w:t>
            </w:r>
          </w:p>
          <w:p w14:paraId="58F98A7E">
            <w:pPr>
              <w:pStyle w:val="21"/>
              <w:widowControl w:val="0"/>
              <w:kinsoku/>
              <w:topLinePunct/>
              <w:autoSpaceDE/>
              <w:autoSpaceDN/>
              <w:ind w:left="105" w:leftChars="50" w:right="105" w:rightChars="50" w:firstLine="634" w:firstLineChars="302"/>
              <w:jc w:val="both"/>
              <w:rPr>
                <w:rFonts w:hint="eastAsia"/>
                <w:color w:val="auto"/>
                <w:sz w:val="21"/>
                <w:szCs w:val="21"/>
                <w:lang w:eastAsia="zh-CN"/>
              </w:rPr>
            </w:pPr>
            <w:r>
              <w:rPr>
                <w:rFonts w:hint="eastAsia"/>
                <w:color w:val="auto"/>
                <w:sz w:val="21"/>
                <w:szCs w:val="21"/>
                <w:lang w:eastAsia="zh-CN"/>
              </w:rPr>
              <w:t>2.投标人不按上述要求提交投标保证金，或不是通过投标人的基本账户缴纳的，其投标文件将被否决。</w:t>
            </w:r>
          </w:p>
          <w:p w14:paraId="7842E8B3">
            <w:pPr>
              <w:pStyle w:val="21"/>
              <w:widowControl w:val="0"/>
              <w:kinsoku/>
              <w:topLinePunct/>
              <w:autoSpaceDE/>
              <w:autoSpaceDN/>
              <w:ind w:left="105" w:leftChars="50" w:right="105" w:rightChars="50" w:firstLine="634" w:firstLineChars="302"/>
              <w:jc w:val="both"/>
              <w:rPr>
                <w:rFonts w:hint="eastAsia"/>
                <w:color w:val="auto"/>
                <w:sz w:val="21"/>
                <w:szCs w:val="21"/>
                <w:lang w:eastAsia="zh-CN"/>
              </w:rPr>
            </w:pPr>
            <w:r>
              <w:rPr>
                <w:rFonts w:hint="eastAsia"/>
                <w:color w:val="auto"/>
                <w:sz w:val="21"/>
                <w:szCs w:val="21"/>
                <w:lang w:eastAsia="zh-CN"/>
              </w:rPr>
              <w:t>3.请各投标人在缴纳投标保证金前自行核对统一主体库内填写的基本账户信息，避免出现保证金缴纳后无法匹配的现象。</w:t>
            </w:r>
          </w:p>
          <w:p w14:paraId="39E60E91">
            <w:pPr>
              <w:pStyle w:val="21"/>
              <w:widowControl w:val="0"/>
              <w:kinsoku/>
              <w:topLinePunct/>
              <w:autoSpaceDE/>
              <w:autoSpaceDN/>
              <w:ind w:left="105" w:leftChars="50" w:right="105" w:rightChars="50" w:firstLine="634" w:firstLineChars="302"/>
              <w:jc w:val="both"/>
              <w:rPr>
                <w:rFonts w:hint="eastAsia"/>
                <w:color w:val="auto"/>
                <w:sz w:val="22"/>
                <w:szCs w:val="22"/>
                <w:lang w:eastAsia="zh-CN"/>
              </w:rPr>
            </w:pPr>
            <w:r>
              <w:rPr>
                <w:rFonts w:hint="eastAsia"/>
                <w:color w:val="auto"/>
                <w:sz w:val="21"/>
                <w:szCs w:val="21"/>
                <w:lang w:eastAsia="zh-CN"/>
              </w:rPr>
              <w:t>4.重新招标项目，参与投标的投标人仍需按上述规定要求重新递交投标保证金。</w:t>
            </w:r>
          </w:p>
        </w:tc>
      </w:tr>
      <w:tr w14:paraId="027578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5929556B">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3.4.4</w:t>
            </w:r>
          </w:p>
        </w:tc>
        <w:tc>
          <w:tcPr>
            <w:tcW w:w="2276" w:type="dxa"/>
            <w:vAlign w:val="center"/>
          </w:tcPr>
          <w:p w14:paraId="21BEBD45">
            <w:pPr>
              <w:pStyle w:val="21"/>
              <w:widowControl w:val="0"/>
              <w:kinsoku/>
              <w:topLinePunct/>
              <w:autoSpaceDE/>
              <w:autoSpaceDN/>
              <w:jc w:val="center"/>
              <w:rPr>
                <w:rFonts w:hint="eastAsia"/>
                <w:color w:val="auto"/>
                <w:sz w:val="21"/>
                <w:szCs w:val="21"/>
                <w:lang w:eastAsia="zh-CN"/>
              </w:rPr>
            </w:pPr>
            <w:r>
              <w:rPr>
                <w:color w:val="auto"/>
                <w:sz w:val="21"/>
                <w:szCs w:val="21"/>
                <w:lang w:eastAsia="zh-CN"/>
              </w:rPr>
              <w:t>不予退还投标保证金的情形</w:t>
            </w:r>
          </w:p>
        </w:tc>
        <w:tc>
          <w:tcPr>
            <w:tcW w:w="6243" w:type="dxa"/>
            <w:tcBorders>
              <w:right w:val="single" w:color="000000" w:sz="6" w:space="0"/>
            </w:tcBorders>
          </w:tcPr>
          <w:p w14:paraId="2D6FB9EA">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1</w:t>
            </w:r>
            <w:r>
              <w:rPr>
                <w:rFonts w:ascii="Times New Roman" w:hAnsi="Times New Roman" w:eastAsia="Times New Roman" w:cs="Times New Roman"/>
                <w:b/>
                <w:bCs/>
                <w:color w:val="auto"/>
                <w:sz w:val="21"/>
                <w:szCs w:val="21"/>
                <w:lang w:eastAsia="zh-CN"/>
              </w:rPr>
              <w:t>.</w:t>
            </w:r>
            <w:r>
              <w:rPr>
                <w:color w:val="auto"/>
                <w:sz w:val="21"/>
                <w:szCs w:val="21"/>
                <w:lang w:eastAsia="zh-CN"/>
              </w:rPr>
              <w:t>投标人在规定的投标有效期内撤销或修改其投标文件。</w:t>
            </w:r>
          </w:p>
          <w:p w14:paraId="323C022D">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2</w:t>
            </w:r>
            <w:r>
              <w:rPr>
                <w:rFonts w:ascii="Times New Roman" w:hAnsi="Times New Roman" w:eastAsia="Times New Roman" w:cs="Times New Roman"/>
                <w:b/>
                <w:bCs/>
                <w:color w:val="auto"/>
                <w:sz w:val="21"/>
                <w:szCs w:val="21"/>
                <w:lang w:eastAsia="zh-CN"/>
              </w:rPr>
              <w:t>.</w:t>
            </w:r>
            <w:r>
              <w:rPr>
                <w:color w:val="auto"/>
                <w:sz w:val="21"/>
                <w:szCs w:val="21"/>
                <w:lang w:eastAsia="zh-CN"/>
              </w:rPr>
              <w:t>中标人在收到中标通知书后，无正当理由拒签合同协议书或未按招标文件规定提交履约担保。</w:t>
            </w:r>
          </w:p>
          <w:p w14:paraId="432C4CB8">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3</w:t>
            </w:r>
            <w:r>
              <w:rPr>
                <w:rFonts w:ascii="Times New Roman" w:hAnsi="Times New Roman" w:eastAsia="Times New Roman" w:cs="Times New Roman"/>
                <w:b/>
                <w:bCs/>
                <w:color w:val="auto"/>
                <w:sz w:val="21"/>
                <w:szCs w:val="21"/>
                <w:lang w:eastAsia="zh-CN"/>
              </w:rPr>
              <w:t>.</w:t>
            </w:r>
            <w:r>
              <w:rPr>
                <w:color w:val="auto"/>
                <w:sz w:val="21"/>
                <w:szCs w:val="21"/>
                <w:lang w:eastAsia="zh-CN"/>
              </w:rPr>
              <w:t>经查实，投标人在投标过程中存在串通投标或弄虚作假的。</w:t>
            </w:r>
          </w:p>
          <w:p w14:paraId="1587F68E">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4</w:t>
            </w:r>
            <w:r>
              <w:rPr>
                <w:rFonts w:ascii="Times New Roman" w:hAnsi="Times New Roman" w:eastAsia="Times New Roman" w:cs="Times New Roman"/>
                <w:b/>
                <w:bCs/>
                <w:color w:val="auto"/>
                <w:sz w:val="21"/>
                <w:szCs w:val="21"/>
                <w:lang w:eastAsia="zh-CN"/>
              </w:rPr>
              <w:t>.</w:t>
            </w:r>
            <w:r>
              <w:rPr>
                <w:rFonts w:hint="eastAsia"/>
                <w:color w:val="auto"/>
                <w:sz w:val="21"/>
                <w:szCs w:val="21"/>
                <w:lang w:eastAsia="zh-CN"/>
              </w:rPr>
              <w:t>☑</w:t>
            </w:r>
            <w:r>
              <w:rPr>
                <w:color w:val="auto"/>
                <w:sz w:val="21"/>
                <w:szCs w:val="21"/>
                <w:lang w:eastAsia="zh-CN"/>
              </w:rPr>
              <w:t>拟派项目负责人在投标截止时间有在其他在建合同工程上担任项目负责人（包括工程总承包项目中的施工负责人）的情形。</w:t>
            </w:r>
          </w:p>
          <w:p w14:paraId="1C0A528C">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5</w:t>
            </w:r>
            <w:r>
              <w:rPr>
                <w:rFonts w:ascii="Times New Roman" w:hAnsi="Times New Roman" w:eastAsia="Times New Roman" w:cs="Times New Roman"/>
                <w:b/>
                <w:bCs/>
                <w:color w:val="auto"/>
                <w:sz w:val="21"/>
                <w:szCs w:val="21"/>
                <w:lang w:eastAsia="zh-CN"/>
              </w:rPr>
              <w:t>.</w:t>
            </w:r>
            <w:r>
              <w:rPr>
                <w:color w:val="auto"/>
                <w:sz w:val="21"/>
                <w:szCs w:val="21"/>
                <w:lang w:eastAsia="zh-CN"/>
              </w:rPr>
              <w:t>其他：</w:t>
            </w:r>
            <w:r>
              <w:rPr>
                <w:rFonts w:hint="eastAsia" w:ascii="Times New Roman" w:hAnsi="Times New Roman" w:cs="Times New Roman"/>
                <w:color w:val="auto"/>
                <w:sz w:val="21"/>
                <w:szCs w:val="21"/>
                <w:u w:val="single"/>
                <w:lang w:eastAsia="zh-CN"/>
              </w:rPr>
              <w:t>　/　</w:t>
            </w:r>
            <w:r>
              <w:rPr>
                <w:color w:val="auto"/>
                <w:sz w:val="21"/>
                <w:szCs w:val="21"/>
                <w:lang w:eastAsia="zh-CN"/>
              </w:rPr>
              <w:t>。</w:t>
            </w:r>
          </w:p>
          <w:p w14:paraId="530D77BC">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注：本招标文件的</w:t>
            </w:r>
            <w:r>
              <w:rPr>
                <w:rFonts w:ascii="Times New Roman" w:hAnsi="Times New Roman" w:eastAsia="Times New Roman" w:cs="Times New Roman"/>
                <w:color w:val="auto"/>
                <w:sz w:val="21"/>
                <w:szCs w:val="21"/>
                <w:lang w:eastAsia="zh-CN"/>
              </w:rPr>
              <w:t>“</w:t>
            </w:r>
            <w:r>
              <w:rPr>
                <w:color w:val="auto"/>
                <w:sz w:val="21"/>
                <w:szCs w:val="21"/>
                <w:lang w:eastAsia="zh-CN"/>
              </w:rPr>
              <w:t>投标保证金不予退还</w:t>
            </w:r>
            <w:r>
              <w:rPr>
                <w:rFonts w:ascii="Times New Roman" w:hAnsi="Times New Roman" w:eastAsia="Times New Roman" w:cs="Times New Roman"/>
                <w:color w:val="auto"/>
                <w:sz w:val="21"/>
                <w:szCs w:val="21"/>
                <w:lang w:eastAsia="zh-CN"/>
              </w:rPr>
              <w:t>”</w:t>
            </w:r>
            <w:r>
              <w:rPr>
                <w:color w:val="auto"/>
                <w:sz w:val="21"/>
                <w:szCs w:val="21"/>
                <w:lang w:eastAsia="zh-CN"/>
              </w:rPr>
              <w:t>是指：</w:t>
            </w:r>
          </w:p>
          <w:p w14:paraId="46B74DF3">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w:t>
            </w:r>
            <w:r>
              <w:rPr>
                <w:color w:val="auto"/>
                <w:sz w:val="21"/>
                <w:szCs w:val="21"/>
                <w:lang w:eastAsia="zh-CN"/>
              </w:rPr>
              <w:t>）以现金转账形式，转账现金不予退还。</w:t>
            </w:r>
          </w:p>
          <w:p w14:paraId="01363747">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2</w:t>
            </w:r>
            <w:r>
              <w:rPr>
                <w:color w:val="auto"/>
                <w:sz w:val="21"/>
                <w:szCs w:val="21"/>
                <w:lang w:eastAsia="zh-CN"/>
              </w:rPr>
              <w:t>）以银行保函形式，招标人作为受益人向银行提起索赔。</w:t>
            </w:r>
          </w:p>
          <w:p w14:paraId="17F343A9">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3</w:t>
            </w:r>
            <w:r>
              <w:rPr>
                <w:color w:val="auto"/>
                <w:sz w:val="21"/>
                <w:szCs w:val="21"/>
                <w:lang w:eastAsia="zh-CN"/>
              </w:rPr>
              <w:t>）以保证保险形式，招标人作为被保险人（受益人）向保险人提起索赔。</w:t>
            </w:r>
          </w:p>
          <w:p w14:paraId="6A776BF5">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4</w:t>
            </w:r>
            <w:r>
              <w:rPr>
                <w:color w:val="auto"/>
                <w:sz w:val="21"/>
                <w:szCs w:val="21"/>
                <w:lang w:eastAsia="zh-CN"/>
              </w:rPr>
              <w:t>）以担保公司担保形式，招标人作为受益人向担保人提起索赔。</w:t>
            </w:r>
          </w:p>
        </w:tc>
      </w:tr>
      <w:tr w14:paraId="69B63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6FAAE384">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3.5.2</w:t>
            </w:r>
          </w:p>
        </w:tc>
        <w:tc>
          <w:tcPr>
            <w:tcW w:w="2276" w:type="dxa"/>
            <w:vAlign w:val="center"/>
          </w:tcPr>
          <w:p w14:paraId="09E73D5D">
            <w:pPr>
              <w:pStyle w:val="21"/>
              <w:widowControl w:val="0"/>
              <w:kinsoku/>
              <w:topLinePunct/>
              <w:autoSpaceDE/>
              <w:autoSpaceDN/>
              <w:jc w:val="center"/>
              <w:rPr>
                <w:rFonts w:hint="eastAsia"/>
                <w:color w:val="auto"/>
                <w:sz w:val="21"/>
                <w:szCs w:val="21"/>
                <w:lang w:eastAsia="zh-CN"/>
              </w:rPr>
            </w:pPr>
            <w:r>
              <w:rPr>
                <w:color w:val="auto"/>
                <w:sz w:val="21"/>
                <w:szCs w:val="21"/>
                <w:lang w:eastAsia="zh-CN"/>
              </w:rPr>
              <w:t>近年财务状况的年份要求</w:t>
            </w:r>
          </w:p>
        </w:tc>
        <w:tc>
          <w:tcPr>
            <w:tcW w:w="6243" w:type="dxa"/>
            <w:tcBorders>
              <w:right w:val="single" w:color="000000" w:sz="6" w:space="0"/>
            </w:tcBorders>
            <w:vAlign w:val="center"/>
          </w:tcPr>
          <w:p w14:paraId="0729CD50">
            <w:pPr>
              <w:pStyle w:val="21"/>
              <w:widowControl w:val="0"/>
              <w:tabs>
                <w:tab w:val="left" w:pos="838"/>
              </w:tabs>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u w:val="single"/>
                <w:lang w:eastAsia="zh-CN"/>
              </w:rPr>
              <w:t>　/　</w:t>
            </w:r>
            <w:r>
              <w:rPr>
                <w:color w:val="auto"/>
                <w:sz w:val="21"/>
                <w:szCs w:val="21"/>
                <w:lang w:eastAsia="zh-CN"/>
              </w:rPr>
              <w:t>年（</w:t>
            </w:r>
            <w:r>
              <w:rPr>
                <w:rFonts w:hint="eastAsia"/>
                <w:color w:val="auto"/>
                <w:sz w:val="21"/>
                <w:szCs w:val="21"/>
                <w:u w:val="single"/>
                <w:lang w:eastAsia="zh-CN"/>
              </w:rPr>
              <w:t>　/　</w:t>
            </w:r>
            <w:r>
              <w:rPr>
                <w:color w:val="auto"/>
                <w:sz w:val="21"/>
                <w:szCs w:val="21"/>
                <w:lang w:eastAsia="zh-CN"/>
              </w:rPr>
              <w:t>年至</w:t>
            </w:r>
            <w:r>
              <w:rPr>
                <w:rFonts w:hint="eastAsia"/>
                <w:color w:val="auto"/>
                <w:sz w:val="21"/>
                <w:szCs w:val="21"/>
                <w:u w:val="single"/>
                <w:lang w:eastAsia="zh-CN"/>
              </w:rPr>
              <w:t>　/　</w:t>
            </w:r>
            <w:r>
              <w:rPr>
                <w:color w:val="auto"/>
                <w:sz w:val="21"/>
                <w:szCs w:val="21"/>
                <w:lang w:eastAsia="zh-CN"/>
              </w:rPr>
              <w:t>年）</w:t>
            </w:r>
          </w:p>
        </w:tc>
      </w:tr>
      <w:tr w14:paraId="7F30E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0E4A2EF4">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3.5.3</w:t>
            </w:r>
          </w:p>
        </w:tc>
        <w:tc>
          <w:tcPr>
            <w:tcW w:w="2276" w:type="dxa"/>
            <w:vAlign w:val="center"/>
          </w:tcPr>
          <w:p w14:paraId="4EF7F3BF">
            <w:pPr>
              <w:pStyle w:val="21"/>
              <w:widowControl w:val="0"/>
              <w:kinsoku/>
              <w:topLinePunct/>
              <w:autoSpaceDE/>
              <w:autoSpaceDN/>
              <w:jc w:val="center"/>
              <w:rPr>
                <w:rFonts w:hint="eastAsia"/>
                <w:color w:val="auto"/>
                <w:sz w:val="21"/>
                <w:szCs w:val="21"/>
                <w:lang w:eastAsia="zh-CN"/>
              </w:rPr>
            </w:pPr>
            <w:r>
              <w:rPr>
                <w:color w:val="auto"/>
                <w:sz w:val="21"/>
                <w:szCs w:val="21"/>
                <w:lang w:eastAsia="zh-CN"/>
              </w:rPr>
              <w:t>近年完成的类似项目情况的年份要求</w:t>
            </w:r>
          </w:p>
        </w:tc>
        <w:tc>
          <w:tcPr>
            <w:tcW w:w="6243" w:type="dxa"/>
            <w:tcBorders>
              <w:right w:val="single" w:color="000000" w:sz="6" w:space="0"/>
            </w:tcBorders>
            <w:vAlign w:val="center"/>
          </w:tcPr>
          <w:p w14:paraId="194ECD91">
            <w:pPr>
              <w:pStyle w:val="21"/>
              <w:widowControl w:val="0"/>
              <w:tabs>
                <w:tab w:val="left" w:pos="838"/>
              </w:tabs>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u w:val="single"/>
                <w:lang w:eastAsia="zh-CN"/>
              </w:rPr>
              <w:t>　5　</w:t>
            </w:r>
            <w:r>
              <w:rPr>
                <w:color w:val="auto"/>
                <w:sz w:val="21"/>
                <w:szCs w:val="21"/>
                <w:lang w:eastAsia="zh-CN"/>
              </w:rPr>
              <w:t>年（</w:t>
            </w:r>
            <w:r>
              <w:rPr>
                <w:rFonts w:hint="eastAsia"/>
                <w:color w:val="auto"/>
                <w:sz w:val="21"/>
                <w:szCs w:val="21"/>
                <w:u w:val="single"/>
                <w:lang w:eastAsia="zh-CN"/>
              </w:rPr>
              <w:t>2021</w:t>
            </w:r>
            <w:r>
              <w:rPr>
                <w:color w:val="auto"/>
                <w:sz w:val="21"/>
                <w:szCs w:val="21"/>
                <w:lang w:eastAsia="zh-CN"/>
              </w:rPr>
              <w:t>年</w:t>
            </w:r>
            <w:r>
              <w:rPr>
                <w:rFonts w:hint="eastAsia"/>
                <w:color w:val="auto"/>
                <w:sz w:val="21"/>
                <w:szCs w:val="21"/>
                <w:u w:val="single"/>
                <w:lang w:eastAsia="zh-CN"/>
              </w:rPr>
              <w:t>1</w:t>
            </w:r>
            <w:r>
              <w:rPr>
                <w:color w:val="auto"/>
                <w:sz w:val="21"/>
                <w:szCs w:val="21"/>
                <w:lang w:eastAsia="zh-CN"/>
              </w:rPr>
              <w:t>月</w:t>
            </w:r>
            <w:r>
              <w:rPr>
                <w:rFonts w:hint="eastAsia"/>
                <w:color w:val="auto"/>
                <w:sz w:val="21"/>
                <w:szCs w:val="21"/>
                <w:u w:val="single"/>
                <w:lang w:eastAsia="zh-CN"/>
              </w:rPr>
              <w:t>1</w:t>
            </w:r>
            <w:r>
              <w:rPr>
                <w:color w:val="auto"/>
                <w:sz w:val="21"/>
                <w:szCs w:val="21"/>
                <w:lang w:eastAsia="zh-CN"/>
              </w:rPr>
              <w:t>日至投标截止时间）</w:t>
            </w:r>
          </w:p>
        </w:tc>
      </w:tr>
      <w:tr w14:paraId="4E8ED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12CFECF4">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3.6</w:t>
            </w:r>
          </w:p>
        </w:tc>
        <w:tc>
          <w:tcPr>
            <w:tcW w:w="2276" w:type="dxa"/>
            <w:vAlign w:val="center"/>
          </w:tcPr>
          <w:p w14:paraId="4DC210E6">
            <w:pPr>
              <w:pStyle w:val="21"/>
              <w:widowControl w:val="0"/>
              <w:kinsoku/>
              <w:topLinePunct/>
              <w:autoSpaceDE/>
              <w:autoSpaceDN/>
              <w:jc w:val="center"/>
              <w:rPr>
                <w:rFonts w:hint="eastAsia"/>
                <w:color w:val="auto"/>
                <w:sz w:val="21"/>
                <w:szCs w:val="21"/>
                <w:lang w:eastAsia="zh-CN"/>
              </w:rPr>
            </w:pPr>
            <w:r>
              <w:rPr>
                <w:color w:val="auto"/>
                <w:sz w:val="21"/>
                <w:szCs w:val="21"/>
                <w:lang w:eastAsia="zh-CN"/>
              </w:rPr>
              <w:t>是否允许递交备选投标方案</w:t>
            </w:r>
          </w:p>
        </w:tc>
        <w:tc>
          <w:tcPr>
            <w:tcW w:w="6243" w:type="dxa"/>
            <w:tcBorders>
              <w:right w:val="single" w:color="000000" w:sz="6" w:space="0"/>
            </w:tcBorders>
            <w:vAlign w:val="center"/>
          </w:tcPr>
          <w:p w14:paraId="290F339A">
            <w:pPr>
              <w:pStyle w:val="21"/>
              <w:widowControl w:val="0"/>
              <w:kinsoku/>
              <w:topLinePunct/>
              <w:autoSpaceDE/>
              <w:autoSpaceDN/>
              <w:ind w:left="105" w:leftChars="50" w:right="105" w:rightChars="50"/>
              <w:jc w:val="both"/>
              <w:rPr>
                <w:rFonts w:hint="eastAsia"/>
                <w:color w:val="auto"/>
                <w:sz w:val="21"/>
                <w:szCs w:val="21"/>
              </w:rPr>
            </w:pPr>
            <w:r>
              <w:rPr>
                <w:rFonts w:hint="eastAsia"/>
                <w:color w:val="auto"/>
                <w:sz w:val="21"/>
                <w:szCs w:val="21"/>
                <w:lang w:eastAsia="zh-CN"/>
              </w:rPr>
              <w:t>☑</w:t>
            </w:r>
            <w:r>
              <w:rPr>
                <w:color w:val="auto"/>
                <w:sz w:val="21"/>
                <w:szCs w:val="21"/>
              </w:rPr>
              <w:t>不允许。</w:t>
            </w:r>
          </w:p>
          <w:p w14:paraId="473B71F0">
            <w:pPr>
              <w:pStyle w:val="21"/>
              <w:widowControl w:val="0"/>
              <w:kinsoku/>
              <w:topLinePunct/>
              <w:autoSpaceDE/>
              <w:autoSpaceDN/>
              <w:ind w:left="105" w:leftChars="50" w:right="105" w:rightChars="50"/>
              <w:jc w:val="both"/>
              <w:rPr>
                <w:rFonts w:hint="eastAsia"/>
                <w:color w:val="auto"/>
                <w:sz w:val="21"/>
                <w:szCs w:val="21"/>
              </w:rPr>
            </w:pPr>
            <w:r>
              <w:rPr>
                <w:color w:val="auto"/>
                <w:sz w:val="21"/>
                <w:szCs w:val="21"/>
              </w:rPr>
              <w:t>□允许。</w:t>
            </w:r>
          </w:p>
        </w:tc>
      </w:tr>
      <w:tr w14:paraId="7C071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593EEBD8">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3.7.3</w:t>
            </w:r>
          </w:p>
        </w:tc>
        <w:tc>
          <w:tcPr>
            <w:tcW w:w="2276" w:type="dxa"/>
            <w:vAlign w:val="center"/>
          </w:tcPr>
          <w:p w14:paraId="5DEAA3D2">
            <w:pPr>
              <w:pStyle w:val="21"/>
              <w:widowControl w:val="0"/>
              <w:kinsoku/>
              <w:topLinePunct/>
              <w:autoSpaceDE/>
              <w:autoSpaceDN/>
              <w:jc w:val="center"/>
              <w:rPr>
                <w:rFonts w:hint="eastAsia"/>
                <w:color w:val="auto"/>
                <w:sz w:val="21"/>
                <w:szCs w:val="21"/>
              </w:rPr>
            </w:pPr>
            <w:r>
              <w:rPr>
                <w:color w:val="auto"/>
                <w:sz w:val="21"/>
                <w:szCs w:val="21"/>
              </w:rPr>
              <w:t>投标文件制作要求</w:t>
            </w:r>
          </w:p>
        </w:tc>
        <w:tc>
          <w:tcPr>
            <w:tcW w:w="6243" w:type="dxa"/>
            <w:tcBorders>
              <w:right w:val="single" w:color="000000" w:sz="6" w:space="0"/>
            </w:tcBorders>
          </w:tcPr>
          <w:p w14:paraId="0D9B8DC7">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1</w:t>
            </w:r>
            <w:r>
              <w:rPr>
                <w:rFonts w:ascii="Times New Roman" w:hAnsi="Times New Roman" w:eastAsia="Times New Roman" w:cs="Times New Roman"/>
                <w:b/>
                <w:bCs/>
                <w:color w:val="auto"/>
                <w:sz w:val="21"/>
                <w:szCs w:val="21"/>
                <w:lang w:eastAsia="zh-CN"/>
              </w:rPr>
              <w:t>.</w:t>
            </w:r>
            <w:r>
              <w:rPr>
                <w:color w:val="auto"/>
                <w:sz w:val="21"/>
                <w:szCs w:val="21"/>
                <w:lang w:eastAsia="zh-CN"/>
              </w:rPr>
              <w:t>投标文件格式文件要求法定代表人签字或盖章的</w:t>
            </w:r>
            <w:r>
              <w:rPr>
                <w:rFonts w:ascii="Times New Roman" w:hAnsi="Times New Roman" w:eastAsia="Times New Roman" w:cs="Times New Roman"/>
                <w:color w:val="auto"/>
                <w:sz w:val="21"/>
                <w:szCs w:val="21"/>
                <w:lang w:eastAsia="zh-CN"/>
              </w:rPr>
              <w:t>,</w:t>
            </w:r>
            <w:r>
              <w:rPr>
                <w:color w:val="auto"/>
                <w:sz w:val="21"/>
                <w:szCs w:val="21"/>
                <w:lang w:eastAsia="zh-CN"/>
              </w:rPr>
              <w:t>电子投标文件应使用</w:t>
            </w:r>
            <w:r>
              <w:rPr>
                <w:rFonts w:ascii="Times New Roman" w:hAnsi="Times New Roman" w:eastAsia="Times New Roman" w:cs="Times New Roman"/>
                <w:b/>
                <w:bCs/>
                <w:color w:val="auto"/>
                <w:sz w:val="21"/>
                <w:szCs w:val="21"/>
                <w:lang w:eastAsia="zh-CN"/>
              </w:rPr>
              <w:t>CA</w:t>
            </w:r>
            <w:r>
              <w:rPr>
                <w:color w:val="auto"/>
                <w:sz w:val="21"/>
                <w:szCs w:val="21"/>
                <w:lang w:eastAsia="zh-CN"/>
              </w:rPr>
              <w:t>数字证书加盖法定代表人个人电子印章；投标格式文件中要求投标人单位盖章的，电子投标文件应使用</w:t>
            </w:r>
            <w:r>
              <w:rPr>
                <w:rFonts w:ascii="Times New Roman" w:hAnsi="Times New Roman" w:eastAsia="Times New Roman" w:cs="Times New Roman"/>
                <w:b/>
                <w:bCs/>
                <w:color w:val="auto"/>
                <w:sz w:val="21"/>
                <w:szCs w:val="21"/>
                <w:lang w:eastAsia="zh-CN"/>
              </w:rPr>
              <w:t>CA</w:t>
            </w:r>
            <w:r>
              <w:rPr>
                <w:color w:val="auto"/>
                <w:sz w:val="21"/>
                <w:szCs w:val="21"/>
                <w:lang w:eastAsia="zh-CN"/>
              </w:rPr>
              <w:t>数字证书加盖投标人单位电子印章。</w:t>
            </w:r>
            <w:r>
              <w:rPr>
                <w:strike/>
                <w:color w:val="auto"/>
                <w:sz w:val="21"/>
                <w:szCs w:val="21"/>
                <w:lang w:eastAsia="zh-CN"/>
              </w:rPr>
              <w:t>联合体投标的，除联合体协议书之外，其余由联合体牵头人加盖单位电子印章、法定代表人个人电子印章即可。</w:t>
            </w:r>
            <w:r>
              <w:rPr>
                <w:color w:val="auto"/>
                <w:sz w:val="21"/>
                <w:szCs w:val="21"/>
                <w:lang w:eastAsia="zh-CN"/>
              </w:rPr>
              <w:t>工程量清单报价表封面由注册一级造价工程师（水利工程）或浙江省二级造价工程师（水利工程）签字并加盖执业专用章，并提供造价工程师注册证书。投标人可委托工程造价咨询人编制投标报价。</w:t>
            </w:r>
          </w:p>
          <w:p w14:paraId="239AC0A5">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2</w:t>
            </w:r>
            <w:r>
              <w:rPr>
                <w:rFonts w:ascii="Times New Roman" w:hAnsi="Times New Roman" w:eastAsia="Times New Roman" w:cs="Times New Roman"/>
                <w:b/>
                <w:bCs/>
                <w:color w:val="auto"/>
                <w:sz w:val="21"/>
                <w:szCs w:val="21"/>
                <w:lang w:eastAsia="zh-CN"/>
              </w:rPr>
              <w:t>.</w:t>
            </w:r>
            <w:r>
              <w:rPr>
                <w:rFonts w:hint="eastAsia"/>
                <w:color w:val="auto"/>
                <w:sz w:val="21"/>
                <w:szCs w:val="21"/>
                <w:lang w:eastAsia="zh-CN"/>
              </w:rPr>
              <w:t>☑</w:t>
            </w:r>
            <w:r>
              <w:rPr>
                <w:color w:val="auto"/>
                <w:sz w:val="21"/>
                <w:szCs w:val="21"/>
                <w:lang w:eastAsia="zh-CN"/>
              </w:rPr>
              <w:t>施工组织设计页数不超过</w:t>
            </w:r>
            <w:r>
              <w:rPr>
                <w:rFonts w:hint="eastAsia"/>
                <w:color w:val="auto"/>
                <w:sz w:val="21"/>
                <w:szCs w:val="21"/>
                <w:u w:val="single"/>
                <w:lang w:eastAsia="zh-CN"/>
              </w:rPr>
              <w:t>200</w:t>
            </w:r>
            <w:r>
              <w:rPr>
                <w:color w:val="auto"/>
                <w:sz w:val="21"/>
                <w:szCs w:val="21"/>
                <w:lang w:eastAsia="zh-CN"/>
              </w:rPr>
              <w:t>页；</w:t>
            </w:r>
          </w:p>
          <w:p w14:paraId="02DD3A02">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3</w:t>
            </w:r>
            <w:r>
              <w:rPr>
                <w:rFonts w:ascii="Times New Roman" w:hAnsi="Times New Roman" w:eastAsia="Times New Roman" w:cs="Times New Roman"/>
                <w:b/>
                <w:bCs/>
                <w:color w:val="auto"/>
                <w:sz w:val="21"/>
                <w:szCs w:val="21"/>
                <w:lang w:eastAsia="zh-CN"/>
              </w:rPr>
              <w:t>.</w:t>
            </w:r>
            <w:r>
              <w:rPr>
                <w:rFonts w:hint="eastAsia"/>
                <w:color w:val="auto"/>
                <w:sz w:val="21"/>
                <w:szCs w:val="21"/>
                <w:lang w:eastAsia="zh-CN"/>
              </w:rPr>
              <w:t>☑</w:t>
            </w:r>
            <w:r>
              <w:rPr>
                <w:color w:val="auto"/>
                <w:sz w:val="21"/>
                <w:szCs w:val="21"/>
                <w:lang w:eastAsia="zh-CN"/>
              </w:rPr>
              <w:t>其他要求</w:t>
            </w:r>
            <w:r>
              <w:rPr>
                <w:rFonts w:hint="eastAsia"/>
                <w:color w:val="auto"/>
                <w:sz w:val="21"/>
                <w:szCs w:val="21"/>
                <w:lang w:eastAsia="zh-CN"/>
              </w:rPr>
              <w:t>：</w:t>
            </w:r>
            <w:r>
              <w:rPr>
                <w:rFonts w:hint="eastAsia"/>
                <w:color w:val="auto"/>
                <w:sz w:val="21"/>
                <w:szCs w:val="21"/>
                <w:u w:val="single"/>
                <w:lang w:eastAsia="zh-CN"/>
              </w:rPr>
              <w:t>本次招标时，投标人单位实体公章与单位电子章均具有相同法律效力，可相互替换使用。法定代表人签字与法定代表人电子章均具有相同法律效力，可相互替换使用（授权委托书除外）。</w:t>
            </w:r>
          </w:p>
        </w:tc>
      </w:tr>
      <w:tr w14:paraId="3CC07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380FB285">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3.7.4</w:t>
            </w:r>
          </w:p>
        </w:tc>
        <w:tc>
          <w:tcPr>
            <w:tcW w:w="2276" w:type="dxa"/>
            <w:vAlign w:val="center"/>
          </w:tcPr>
          <w:p w14:paraId="4D406FC2">
            <w:pPr>
              <w:pStyle w:val="21"/>
              <w:widowControl w:val="0"/>
              <w:kinsoku/>
              <w:topLinePunct/>
              <w:autoSpaceDE/>
              <w:autoSpaceDN/>
              <w:jc w:val="center"/>
              <w:rPr>
                <w:rFonts w:hint="eastAsia"/>
                <w:color w:val="auto"/>
                <w:sz w:val="21"/>
                <w:szCs w:val="21"/>
              </w:rPr>
            </w:pPr>
            <w:r>
              <w:rPr>
                <w:color w:val="auto"/>
                <w:sz w:val="21"/>
                <w:szCs w:val="21"/>
              </w:rPr>
              <w:t>投标文件的份数</w:t>
            </w:r>
          </w:p>
        </w:tc>
        <w:tc>
          <w:tcPr>
            <w:tcW w:w="6243" w:type="dxa"/>
            <w:tcBorders>
              <w:right w:val="single" w:color="000000" w:sz="6" w:space="0"/>
            </w:tcBorders>
            <w:vAlign w:val="center"/>
          </w:tcPr>
          <w:p w14:paraId="3C0C3E58">
            <w:pPr>
              <w:pStyle w:val="21"/>
              <w:widowControl w:val="0"/>
              <w:kinsoku/>
              <w:topLinePunct/>
              <w:autoSpaceDE/>
              <w:autoSpaceDN/>
              <w:ind w:left="105" w:leftChars="50" w:right="105" w:rightChars="50"/>
              <w:jc w:val="both"/>
              <w:rPr>
                <w:rFonts w:hint="eastAsia"/>
                <w:color w:val="auto"/>
                <w:sz w:val="21"/>
                <w:szCs w:val="21"/>
              </w:rPr>
            </w:pPr>
            <w:r>
              <w:rPr>
                <w:color w:val="auto"/>
                <w:spacing w:val="-20"/>
                <w:sz w:val="21"/>
                <w:szCs w:val="21"/>
              </w:rPr>
              <w:t>加密电子投标文件一份上传至：</w:t>
            </w:r>
            <w:r>
              <w:rPr>
                <w:rFonts w:hint="eastAsia"/>
                <w:color w:val="auto"/>
                <w:spacing w:val="-20"/>
                <w:sz w:val="21"/>
                <w:szCs w:val="21"/>
                <w:u w:val="single"/>
                <w:lang w:eastAsia="zh-CN"/>
              </w:rPr>
              <w:t>绍兴市公共资源交易中心电子招投标交易平台（https：//sxsggzy.cn/TPBidder-ztk/memberLogin）</w:t>
            </w:r>
            <w:r>
              <w:rPr>
                <w:color w:val="auto"/>
                <w:spacing w:val="-20"/>
                <w:sz w:val="21"/>
                <w:szCs w:val="21"/>
              </w:rPr>
              <w:t>，作为投标文件正本。</w:t>
            </w:r>
          </w:p>
        </w:tc>
      </w:tr>
      <w:tr w14:paraId="600EA9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3F0CAFE5">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4.2.2</w:t>
            </w:r>
          </w:p>
        </w:tc>
        <w:tc>
          <w:tcPr>
            <w:tcW w:w="2276" w:type="dxa"/>
            <w:vAlign w:val="center"/>
          </w:tcPr>
          <w:p w14:paraId="64C4AD8B">
            <w:pPr>
              <w:pStyle w:val="21"/>
              <w:widowControl w:val="0"/>
              <w:kinsoku/>
              <w:topLinePunct/>
              <w:autoSpaceDE/>
              <w:autoSpaceDN/>
              <w:jc w:val="center"/>
              <w:rPr>
                <w:rFonts w:hint="eastAsia"/>
                <w:color w:val="auto"/>
                <w:sz w:val="21"/>
                <w:szCs w:val="21"/>
                <w:lang w:eastAsia="zh-CN"/>
              </w:rPr>
            </w:pPr>
            <w:r>
              <w:rPr>
                <w:color w:val="auto"/>
                <w:sz w:val="21"/>
                <w:szCs w:val="21"/>
                <w:lang w:eastAsia="zh-CN"/>
              </w:rPr>
              <w:t>递交投标文件方式和地点</w:t>
            </w:r>
          </w:p>
        </w:tc>
        <w:tc>
          <w:tcPr>
            <w:tcW w:w="6243" w:type="dxa"/>
            <w:tcBorders>
              <w:right w:val="single" w:color="000000" w:sz="6" w:space="0"/>
            </w:tcBorders>
            <w:vAlign w:val="center"/>
          </w:tcPr>
          <w:p w14:paraId="6842A707">
            <w:pPr>
              <w:pStyle w:val="21"/>
              <w:widowControl w:val="0"/>
              <w:kinsoku/>
              <w:topLinePunct/>
              <w:autoSpaceDE/>
              <w:autoSpaceDN/>
              <w:ind w:left="105" w:leftChars="50" w:right="105" w:rightChars="50"/>
              <w:jc w:val="both"/>
              <w:rPr>
                <w:rFonts w:hint="eastAsia"/>
                <w:color w:val="auto"/>
                <w:sz w:val="21"/>
                <w:szCs w:val="21"/>
              </w:rPr>
            </w:pPr>
            <w:r>
              <w:rPr>
                <w:color w:val="auto"/>
                <w:sz w:val="21"/>
                <w:szCs w:val="21"/>
              </w:rPr>
              <w:t>将由投标文件制作工具制作生成的加密投标文件在投标截止时</w:t>
            </w:r>
            <w:r>
              <w:rPr>
                <w:color w:val="auto"/>
                <w:spacing w:val="-23"/>
                <w:sz w:val="21"/>
                <w:szCs w:val="21"/>
              </w:rPr>
              <w:t>间前（以上传完成时间为准）上传至：</w:t>
            </w:r>
            <w:r>
              <w:rPr>
                <w:rFonts w:hint="eastAsia"/>
                <w:color w:val="auto"/>
                <w:spacing w:val="-23"/>
                <w:sz w:val="21"/>
                <w:szCs w:val="21"/>
                <w:u w:val="single"/>
                <w:lang w:eastAsia="zh-CN"/>
              </w:rPr>
              <w:t>绍兴市公共资源交易中心电子招投标交易平台（https：//sxsggzy.cn/TPBidder-ztk/memberLogin）</w:t>
            </w:r>
            <w:r>
              <w:rPr>
                <w:color w:val="auto"/>
                <w:sz w:val="21"/>
                <w:szCs w:val="21"/>
              </w:rPr>
              <w:t>。</w:t>
            </w:r>
          </w:p>
        </w:tc>
      </w:tr>
      <w:tr w14:paraId="4E565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2D7E4526">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4.2.5</w:t>
            </w:r>
          </w:p>
        </w:tc>
        <w:tc>
          <w:tcPr>
            <w:tcW w:w="2276" w:type="dxa"/>
            <w:vAlign w:val="center"/>
          </w:tcPr>
          <w:p w14:paraId="602F960C">
            <w:pPr>
              <w:pStyle w:val="21"/>
              <w:widowControl w:val="0"/>
              <w:kinsoku/>
              <w:topLinePunct/>
              <w:autoSpaceDE/>
              <w:autoSpaceDN/>
              <w:jc w:val="center"/>
              <w:rPr>
                <w:rFonts w:hint="eastAsia"/>
                <w:color w:val="auto"/>
                <w:sz w:val="21"/>
                <w:szCs w:val="21"/>
              </w:rPr>
            </w:pPr>
            <w:r>
              <w:rPr>
                <w:color w:val="auto"/>
                <w:sz w:val="21"/>
                <w:szCs w:val="21"/>
              </w:rPr>
              <w:t>投标文件拒收的情形</w:t>
            </w:r>
          </w:p>
        </w:tc>
        <w:tc>
          <w:tcPr>
            <w:tcW w:w="6243" w:type="dxa"/>
            <w:tcBorders>
              <w:right w:val="single" w:color="000000" w:sz="6" w:space="0"/>
            </w:tcBorders>
            <w:vAlign w:val="center"/>
          </w:tcPr>
          <w:p w14:paraId="1C9C42FF">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w:t>
            </w:r>
            <w:r>
              <w:rPr>
                <w:rFonts w:ascii="Times New Roman" w:hAnsi="Times New Roman" w:eastAsia="Times New Roman" w:cs="Times New Roman"/>
                <w:color w:val="auto"/>
                <w:sz w:val="21"/>
                <w:szCs w:val="21"/>
                <w:lang w:eastAsia="zh-CN"/>
              </w:rPr>
              <w:t>1</w:t>
            </w:r>
            <w:r>
              <w:rPr>
                <w:rFonts w:ascii="Times New Roman" w:hAnsi="Times New Roman" w:eastAsia="Times New Roman" w:cs="Times New Roman"/>
                <w:b/>
                <w:bCs/>
                <w:color w:val="auto"/>
                <w:sz w:val="21"/>
                <w:szCs w:val="21"/>
                <w:lang w:eastAsia="zh-CN"/>
              </w:rPr>
              <w:t>.</w:t>
            </w:r>
            <w:r>
              <w:rPr>
                <w:color w:val="auto"/>
                <w:sz w:val="21"/>
                <w:szCs w:val="21"/>
                <w:lang w:eastAsia="zh-CN"/>
              </w:rPr>
              <w:t>投标文件未按招标文件要求上传或未按规定进行加密。</w:t>
            </w:r>
          </w:p>
          <w:p w14:paraId="31C2F50C">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2.存在下列情况之一的，视为拒收：</w:t>
            </w:r>
          </w:p>
          <w:p w14:paraId="1F3FA0FB">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（1）电子投标文件无法解密的；</w:t>
            </w:r>
          </w:p>
          <w:p w14:paraId="670F8BEE">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（2）电子投标文件解密后无法正确读取的；</w:t>
            </w:r>
          </w:p>
          <w:p w14:paraId="5A7825FE">
            <w:pPr>
              <w:pStyle w:val="21"/>
              <w:widowControl w:val="0"/>
              <w:kinsoku/>
              <w:topLinePunct/>
              <w:autoSpaceDE/>
              <w:autoSpaceDN/>
              <w:ind w:left="105" w:leftChars="50" w:right="105" w:rightChars="50"/>
              <w:jc w:val="both"/>
              <w:rPr>
                <w:rFonts w:hint="eastAsia"/>
                <w:color w:val="auto"/>
                <w:sz w:val="22"/>
                <w:szCs w:val="22"/>
                <w:lang w:eastAsia="zh-CN"/>
              </w:rPr>
            </w:pPr>
            <w:r>
              <w:rPr>
                <w:color w:val="auto"/>
                <w:sz w:val="21"/>
                <w:szCs w:val="21"/>
                <w:lang w:eastAsia="zh-CN"/>
              </w:rPr>
              <w:t>（3）电子投标文件无法导入成功的。</w:t>
            </w:r>
          </w:p>
        </w:tc>
      </w:tr>
      <w:tr w14:paraId="1F166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614B80B5">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5.1</w:t>
            </w:r>
          </w:p>
        </w:tc>
        <w:tc>
          <w:tcPr>
            <w:tcW w:w="2276" w:type="dxa"/>
            <w:tcBorders>
              <w:bottom w:val="single" w:color="000000" w:sz="6" w:space="0"/>
            </w:tcBorders>
            <w:vAlign w:val="center"/>
          </w:tcPr>
          <w:p w14:paraId="289581FD">
            <w:pPr>
              <w:pStyle w:val="21"/>
              <w:widowControl w:val="0"/>
              <w:kinsoku/>
              <w:topLinePunct/>
              <w:autoSpaceDE/>
              <w:autoSpaceDN/>
              <w:jc w:val="center"/>
              <w:rPr>
                <w:rFonts w:hint="eastAsia"/>
                <w:color w:val="auto"/>
                <w:sz w:val="21"/>
                <w:szCs w:val="21"/>
              </w:rPr>
            </w:pPr>
            <w:r>
              <w:rPr>
                <w:color w:val="auto"/>
                <w:sz w:val="21"/>
                <w:szCs w:val="21"/>
              </w:rPr>
              <w:t>开标时间和地点</w:t>
            </w:r>
          </w:p>
        </w:tc>
        <w:tc>
          <w:tcPr>
            <w:tcW w:w="6243" w:type="dxa"/>
            <w:tcBorders>
              <w:bottom w:val="single" w:color="000000" w:sz="6" w:space="0"/>
              <w:right w:val="single" w:color="000000" w:sz="6" w:space="0"/>
            </w:tcBorders>
            <w:vAlign w:val="center"/>
          </w:tcPr>
          <w:p w14:paraId="0AA87F69">
            <w:pPr>
              <w:pStyle w:val="21"/>
              <w:widowControl w:val="0"/>
              <w:kinsoku/>
              <w:topLinePunct/>
              <w:autoSpaceDE/>
              <w:autoSpaceDN/>
              <w:ind w:left="105" w:leftChars="50" w:right="105" w:rightChars="50"/>
              <w:jc w:val="both"/>
              <w:rPr>
                <w:rFonts w:ascii="Times New Roman" w:hAnsi="Times New Roman" w:eastAsia="Times New Roman" w:cs="Times New Roman"/>
                <w:color w:val="auto"/>
                <w:sz w:val="21"/>
                <w:szCs w:val="21"/>
                <w:lang w:eastAsia="zh-CN"/>
              </w:rPr>
            </w:pPr>
            <w:r>
              <w:rPr>
                <w:rFonts w:ascii="Times New Roman" w:hAnsi="Times New Roman" w:eastAsia="Times New Roman" w:cs="Times New Roman"/>
                <w:color w:val="auto"/>
                <w:sz w:val="21"/>
                <w:szCs w:val="21"/>
                <w:lang w:eastAsia="zh-CN"/>
              </w:rPr>
              <w:t>一、开标时间：同投标截止时间，详见本工程招标公告。</w:t>
            </w:r>
          </w:p>
          <w:p w14:paraId="7D2C90F8">
            <w:pPr>
              <w:pStyle w:val="21"/>
              <w:widowControl w:val="0"/>
              <w:kinsoku/>
              <w:topLinePunct/>
              <w:autoSpaceDE/>
              <w:autoSpaceDN/>
              <w:ind w:left="105" w:leftChars="50" w:right="105" w:rightChars="50"/>
              <w:jc w:val="both"/>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0"/>
                <w:sz w:val="21"/>
                <w:szCs w:val="21"/>
              </w:rPr>
              <w:t>二、本项目采用网上远程开标方式，开标网址：</w:t>
            </w:r>
            <w:r>
              <w:rPr>
                <w:rFonts w:ascii="Times New Roman" w:hAnsi="Times New Roman" w:eastAsia="Times New Roman" w:cs="Times New Roman"/>
                <w:color w:val="auto"/>
                <w:spacing w:val="-20"/>
                <w:sz w:val="21"/>
                <w:szCs w:val="21"/>
                <w:lang w:eastAsia="zh-CN"/>
              </w:rPr>
              <w:t>绍兴市公共资源交易中心电子招投标交易平台（https</w:t>
            </w:r>
            <w:r>
              <w:rPr>
                <w:rFonts w:hint="eastAsia" w:ascii="Times New Roman" w:hAnsi="Times New Roman" w:eastAsia="Times New Roman" w:cs="Times New Roman"/>
                <w:color w:val="auto"/>
                <w:spacing w:val="-20"/>
                <w:sz w:val="21"/>
                <w:szCs w:val="21"/>
                <w:lang w:eastAsia="zh-CN"/>
              </w:rPr>
              <w:t>：</w:t>
            </w:r>
            <w:r>
              <w:rPr>
                <w:rFonts w:ascii="Times New Roman" w:hAnsi="Times New Roman" w:eastAsia="Times New Roman" w:cs="Times New Roman"/>
                <w:color w:val="auto"/>
                <w:spacing w:val="-20"/>
                <w:sz w:val="21"/>
                <w:szCs w:val="21"/>
                <w:lang w:eastAsia="zh-CN"/>
              </w:rPr>
              <w:t>//sxsggzy.cn/TPBidder-ztk/memberLogin）</w:t>
            </w:r>
            <w:r>
              <w:rPr>
                <w:rFonts w:ascii="Times New Roman" w:hAnsi="Times New Roman" w:eastAsia="Times New Roman" w:cs="Times New Roman"/>
                <w:color w:val="auto"/>
                <w:spacing w:val="-20"/>
                <w:sz w:val="21"/>
                <w:szCs w:val="21"/>
              </w:rPr>
              <w:t>（电子招标投标交易平台网址）</w:t>
            </w:r>
          </w:p>
          <w:p w14:paraId="31C27248">
            <w:pPr>
              <w:pStyle w:val="21"/>
              <w:widowControl w:val="0"/>
              <w:kinsoku/>
              <w:topLinePunct/>
              <w:autoSpaceDE/>
              <w:autoSpaceDN/>
              <w:ind w:left="105" w:leftChars="50" w:right="105" w:rightChars="50"/>
              <w:jc w:val="both"/>
              <w:rPr>
                <w:rFonts w:ascii="Times New Roman" w:hAnsi="Times New Roman" w:eastAsia="Times New Roman" w:cs="Times New Roman"/>
                <w:color w:val="auto"/>
                <w:sz w:val="21"/>
                <w:szCs w:val="21"/>
                <w:lang w:eastAsia="zh-CN"/>
              </w:rPr>
            </w:pPr>
            <w:r>
              <w:rPr>
                <w:rFonts w:ascii="Times New Roman" w:hAnsi="Times New Roman" w:eastAsia="Times New Roman" w:cs="Times New Roman"/>
                <w:color w:val="auto"/>
                <w:sz w:val="21"/>
                <w:szCs w:val="21"/>
                <w:lang w:eastAsia="zh-CN"/>
              </w:rPr>
              <w:t>三、参加开标会议的要求：投标人应在投标截止时间之前使用数字证书（CA）自行登录不见面开标大厅，在线等待开标，并</w:t>
            </w:r>
            <w:r>
              <w:rPr>
                <w:rFonts w:ascii="Times New Roman" w:hAnsi="Times New Roman" w:eastAsia="Times New Roman" w:cs="Times New Roman"/>
                <w:color w:val="auto"/>
                <w:spacing w:val="20"/>
                <w:sz w:val="21"/>
                <w:szCs w:val="21"/>
                <w:lang w:eastAsia="zh-CN"/>
              </w:rPr>
              <w:t>在开标期间保持通讯畅通。</w:t>
            </w:r>
            <w:r>
              <w:rPr>
                <w:rFonts w:ascii="Times New Roman" w:hAnsi="Times New Roman" w:eastAsia="Times New Roman" w:cs="Times New Roman"/>
                <w:color w:val="auto"/>
                <w:spacing w:val="20"/>
                <w:sz w:val="21"/>
                <w:szCs w:val="21"/>
              </w:rPr>
              <w:t>请各投标人务必使用IE11及以上浏览器访问</w:t>
            </w:r>
            <w:r>
              <w:rPr>
                <w:rFonts w:ascii="Times New Roman" w:hAnsi="Times New Roman" w:eastAsia="Times New Roman" w:cs="Times New Roman"/>
                <w:color w:val="auto"/>
                <w:spacing w:val="20"/>
                <w:sz w:val="21"/>
                <w:szCs w:val="21"/>
                <w:lang w:eastAsia="zh-CN"/>
              </w:rPr>
              <w:t>绍兴市公共资源交易中心电子招投标交易平台（https</w:t>
            </w:r>
            <w:r>
              <w:rPr>
                <w:rFonts w:hint="eastAsia" w:ascii="Times New Roman" w:hAnsi="Times New Roman" w:eastAsia="Times New Roman" w:cs="Times New Roman"/>
                <w:color w:val="auto"/>
                <w:spacing w:val="20"/>
                <w:sz w:val="21"/>
                <w:szCs w:val="21"/>
                <w:lang w:eastAsia="zh-CN"/>
              </w:rPr>
              <w:t>：</w:t>
            </w:r>
            <w:r>
              <w:rPr>
                <w:rFonts w:ascii="Times New Roman" w:hAnsi="Times New Roman" w:eastAsia="Times New Roman" w:cs="Times New Roman"/>
                <w:color w:val="auto"/>
                <w:spacing w:val="20"/>
                <w:sz w:val="21"/>
                <w:szCs w:val="21"/>
                <w:lang w:eastAsia="zh-CN"/>
              </w:rPr>
              <w:t>//sxsggzy.cn/TPBidder-ztk/memberLogin）</w:t>
            </w:r>
            <w:r>
              <w:rPr>
                <w:rFonts w:ascii="Times New Roman" w:hAnsi="Times New Roman" w:eastAsia="Times New Roman" w:cs="Times New Roman"/>
                <w:color w:val="auto"/>
                <w:spacing w:val="20"/>
                <w:sz w:val="21"/>
                <w:szCs w:val="21"/>
              </w:rPr>
              <w:t>不见面开标大厅，完成远程开标。</w:t>
            </w:r>
            <w:r>
              <w:rPr>
                <w:rFonts w:ascii="Times New Roman" w:hAnsi="Times New Roman" w:eastAsia="Times New Roman" w:cs="Times New Roman"/>
                <w:color w:val="auto"/>
                <w:sz w:val="21"/>
                <w:szCs w:val="21"/>
                <w:lang w:eastAsia="zh-CN"/>
              </w:rPr>
              <w:t>投标人可全程在线观看开标过程，无需到现场开标。</w:t>
            </w:r>
          </w:p>
          <w:p w14:paraId="0BA6F51F">
            <w:pPr>
              <w:pStyle w:val="21"/>
              <w:widowControl w:val="0"/>
              <w:kinsoku/>
              <w:topLinePunct/>
              <w:autoSpaceDE/>
              <w:autoSpaceDN/>
              <w:ind w:left="105" w:leftChars="50" w:right="105" w:rightChars="50"/>
              <w:jc w:val="both"/>
              <w:rPr>
                <w:rFonts w:ascii="Times New Roman" w:hAnsi="Times New Roman" w:eastAsia="Times New Roman" w:cs="Times New Roman"/>
                <w:color w:val="auto"/>
                <w:sz w:val="21"/>
                <w:szCs w:val="21"/>
                <w:lang w:eastAsia="zh-CN"/>
              </w:rPr>
            </w:pPr>
            <w:r>
              <w:rPr>
                <w:rFonts w:ascii="Times New Roman" w:hAnsi="Times New Roman" w:eastAsia="Times New Roman" w:cs="Times New Roman"/>
                <w:color w:val="auto"/>
                <w:sz w:val="21"/>
                <w:szCs w:val="21"/>
                <w:lang w:eastAsia="zh-CN"/>
              </w:rPr>
              <w:t>四、开标期间，各交易主体使用数字证书（CA）在各自的电脑终端上的所有操作、音视频及文字交互均被视为各交易主体的行为，并承担相应的法律责任。</w:t>
            </w:r>
          </w:p>
        </w:tc>
      </w:tr>
      <w:tr w14:paraId="2B804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3A437964">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5.2</w:t>
            </w:r>
          </w:p>
        </w:tc>
        <w:tc>
          <w:tcPr>
            <w:tcW w:w="2276" w:type="dxa"/>
            <w:tcBorders>
              <w:bottom w:val="single" w:color="000000" w:sz="6" w:space="0"/>
            </w:tcBorders>
            <w:vAlign w:val="center"/>
          </w:tcPr>
          <w:p w14:paraId="4994B643">
            <w:pPr>
              <w:pStyle w:val="21"/>
              <w:widowControl w:val="0"/>
              <w:kinsoku/>
              <w:topLinePunct/>
              <w:autoSpaceDE/>
              <w:autoSpaceDN/>
              <w:jc w:val="center"/>
              <w:rPr>
                <w:rFonts w:hint="eastAsia"/>
                <w:color w:val="auto"/>
                <w:sz w:val="21"/>
                <w:szCs w:val="21"/>
              </w:rPr>
            </w:pPr>
            <w:r>
              <w:rPr>
                <w:color w:val="auto"/>
                <w:sz w:val="21"/>
                <w:szCs w:val="21"/>
              </w:rPr>
              <w:t>开标程序</w:t>
            </w:r>
          </w:p>
        </w:tc>
        <w:tc>
          <w:tcPr>
            <w:tcW w:w="6243" w:type="dxa"/>
            <w:tcBorders>
              <w:bottom w:val="single" w:color="000000" w:sz="6" w:space="0"/>
              <w:right w:val="single" w:color="000000" w:sz="6" w:space="0"/>
            </w:tcBorders>
          </w:tcPr>
          <w:p w14:paraId="6921065F">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1.开标程序</w:t>
            </w:r>
          </w:p>
          <w:p w14:paraId="32FE6924">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（一）宣布开始</w:t>
            </w:r>
          </w:p>
          <w:p w14:paraId="651462DE">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至投标截止时间，招标人宣布开始开标，宣布开标项目名称、招标人代表、交易中心见证代表、监标人等有关人员姓名。</w:t>
            </w:r>
          </w:p>
          <w:p w14:paraId="5A21C1DA">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（二）公布投标人数量</w:t>
            </w:r>
          </w:p>
          <w:p w14:paraId="5C16B4EA">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招标人公布投标人数量及投标保证金缴纳情况。若开标系统显示已递交投标文件的单位数量少于3家，招标人公布已递交投标文件单位名称，当场宣布招标失败，结束开标。</w:t>
            </w:r>
          </w:p>
          <w:p w14:paraId="6E276459">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（三）投标人解密（投标文件解密在 60 分钟内完成，具体以电子招投标交易平台系统时间为准）</w:t>
            </w:r>
          </w:p>
          <w:p w14:paraId="7841A762">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投标人数量大于等于3家，进入投标人解密环节。</w:t>
            </w:r>
          </w:p>
          <w:p w14:paraId="09BF60F4">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若成功解密的投标人少于3家，招标人宣布本次招标失败。</w:t>
            </w:r>
          </w:p>
          <w:p w14:paraId="0DF717FB">
            <w:pPr>
              <w:pStyle w:val="21"/>
              <w:widowControl w:val="0"/>
              <w:kinsoku/>
              <w:topLinePunct/>
              <w:autoSpaceDE/>
              <w:autoSpaceDN/>
              <w:ind w:left="105" w:leftChars="50" w:right="105" w:rightChars="50"/>
              <w:jc w:val="both"/>
              <w:rPr>
                <w:rFonts w:hint="eastAsia"/>
                <w:strike/>
                <w:color w:val="auto"/>
                <w:spacing w:val="-1"/>
                <w:sz w:val="21"/>
                <w:szCs w:val="21"/>
                <w:lang w:eastAsia="zh-CN"/>
              </w:rPr>
            </w:pPr>
            <w:r>
              <w:rPr>
                <w:rFonts w:hint="eastAsia"/>
                <w:strike/>
                <w:color w:val="auto"/>
                <w:spacing w:val="-1"/>
                <w:sz w:val="21"/>
                <w:szCs w:val="21"/>
                <w:lang w:eastAsia="zh-CN"/>
              </w:rPr>
              <w:t>（四）招标人解密</w:t>
            </w:r>
          </w:p>
          <w:p w14:paraId="5B5FB985">
            <w:pPr>
              <w:pStyle w:val="21"/>
              <w:widowControl w:val="0"/>
              <w:kinsoku/>
              <w:topLinePunct/>
              <w:autoSpaceDE/>
              <w:autoSpaceDN/>
              <w:ind w:left="105" w:leftChars="50" w:right="105" w:rightChars="50"/>
              <w:jc w:val="both"/>
              <w:rPr>
                <w:rFonts w:hint="eastAsia"/>
                <w:strike/>
                <w:color w:val="auto"/>
                <w:spacing w:val="-1"/>
                <w:sz w:val="21"/>
                <w:szCs w:val="21"/>
                <w:lang w:eastAsia="zh-CN"/>
              </w:rPr>
            </w:pPr>
            <w:r>
              <w:rPr>
                <w:rFonts w:hint="eastAsia"/>
                <w:strike/>
                <w:color w:val="auto"/>
                <w:spacing w:val="-1"/>
                <w:sz w:val="21"/>
                <w:szCs w:val="21"/>
                <w:lang w:eastAsia="zh-CN"/>
              </w:rPr>
              <w:t>全部投标人解密完成后或投标人解密时间结束，招标人使用生成招标文件的CA数字证书解密投标文件。</w:t>
            </w:r>
          </w:p>
          <w:p w14:paraId="025D0C25">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（五）公布开标相关内容</w:t>
            </w:r>
          </w:p>
          <w:p w14:paraId="46A79F56">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招标解密完成后，开标系统公布投标单位、项目负责人、投标报价、工期、质量目标等内容。</w:t>
            </w:r>
          </w:p>
          <w:p w14:paraId="2798936B">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（六）抽取系数（若有）</w:t>
            </w:r>
          </w:p>
          <w:p w14:paraId="235C2CF1">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（七）公布开标结果</w:t>
            </w:r>
          </w:p>
          <w:p w14:paraId="2234CE74">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（八）投标人确认</w:t>
            </w:r>
          </w:p>
          <w:p w14:paraId="5EE0F4C2">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开标结果公布后，投标人应在5分钟内对开标结果进行确认，未在规定时间内完成在线确认的视为自动确认。</w:t>
            </w:r>
          </w:p>
          <w:p w14:paraId="771A8E4A">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（九）异议及回复</w:t>
            </w:r>
          </w:p>
          <w:p w14:paraId="50D1A897">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投标人对开标有异议的，应在开标结果公布后5分钟内提出异议，未在规定时间内完成在线确认的视为自动确认。</w:t>
            </w:r>
          </w:p>
          <w:p w14:paraId="163D7E80">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（十）开标结束</w:t>
            </w:r>
          </w:p>
          <w:p w14:paraId="502ABF94">
            <w:pPr>
              <w:pStyle w:val="21"/>
              <w:widowControl w:val="0"/>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招标人宣布本次开标结束。</w:t>
            </w:r>
          </w:p>
          <w:p w14:paraId="13046AC2">
            <w:pPr>
              <w:pStyle w:val="21"/>
              <w:widowControl w:val="0"/>
              <w:numPr>
                <w:ilvl w:val="255"/>
                <w:numId w:val="0"/>
              </w:numPr>
              <w:kinsoku/>
              <w:topLinePunct/>
              <w:autoSpaceDE/>
              <w:autoSpaceDN/>
              <w:ind w:left="105" w:leftChars="50" w:right="105" w:rightChars="50"/>
              <w:jc w:val="both"/>
              <w:rPr>
                <w:rFonts w:hint="eastAsia"/>
                <w:color w:val="auto"/>
                <w:spacing w:val="-1"/>
                <w:sz w:val="21"/>
                <w:szCs w:val="21"/>
                <w:lang w:eastAsia="zh-CN"/>
              </w:rPr>
            </w:pPr>
            <w:r>
              <w:rPr>
                <w:rFonts w:hint="eastAsia"/>
                <w:color w:val="auto"/>
                <w:spacing w:val="-1"/>
                <w:sz w:val="21"/>
                <w:szCs w:val="21"/>
                <w:lang w:eastAsia="zh-CN"/>
              </w:rPr>
              <w:t>2．不见面开标软硬件要求：</w:t>
            </w:r>
            <w:r>
              <w:rPr>
                <w:rFonts w:hint="eastAsia"/>
                <w:color w:val="auto"/>
                <w:spacing w:val="-1"/>
                <w:sz w:val="21"/>
                <w:szCs w:val="21"/>
                <w:u w:val="single"/>
                <w:lang w:eastAsia="zh-CN"/>
              </w:rPr>
              <w:t>/</w:t>
            </w:r>
            <w:r>
              <w:rPr>
                <w:rFonts w:hint="eastAsia"/>
                <w:color w:val="auto"/>
                <w:spacing w:val="-1"/>
                <w:sz w:val="21"/>
                <w:szCs w:val="21"/>
                <w:lang w:eastAsia="zh-CN"/>
              </w:rPr>
              <w:t>。</w:t>
            </w:r>
          </w:p>
        </w:tc>
      </w:tr>
      <w:tr w14:paraId="2C5D5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7432835A">
            <w:pPr>
              <w:widowControl w:val="0"/>
              <w:kinsoku/>
              <w:topLinePunct/>
              <w:autoSpaceDE/>
              <w:autoSpaceDN/>
              <w:jc w:val="center"/>
              <w:rPr>
                <w:rFonts w:ascii="Times New Roman" w:hAnsi="Times New Roman" w:eastAsia="Times New Roman" w:cs="Times New Roman"/>
                <w:strike/>
                <w:color w:val="auto"/>
              </w:rPr>
            </w:pPr>
            <w:r>
              <w:rPr>
                <w:rFonts w:ascii="Times New Roman" w:hAnsi="Times New Roman" w:eastAsia="Times New Roman" w:cs="Times New Roman"/>
                <w:b/>
                <w:bCs/>
                <w:strike/>
                <w:color w:val="auto"/>
              </w:rPr>
              <w:t>5.3</w:t>
            </w:r>
          </w:p>
        </w:tc>
        <w:tc>
          <w:tcPr>
            <w:tcW w:w="2276" w:type="dxa"/>
            <w:vAlign w:val="center"/>
          </w:tcPr>
          <w:p w14:paraId="50E60908">
            <w:pPr>
              <w:pStyle w:val="21"/>
              <w:widowControl w:val="0"/>
              <w:kinsoku/>
              <w:topLinePunct/>
              <w:autoSpaceDE/>
              <w:autoSpaceDN/>
              <w:jc w:val="center"/>
              <w:rPr>
                <w:rFonts w:hint="eastAsia"/>
                <w:strike/>
                <w:color w:val="auto"/>
                <w:sz w:val="21"/>
                <w:szCs w:val="21"/>
              </w:rPr>
            </w:pPr>
            <w:r>
              <w:rPr>
                <w:color w:val="auto"/>
                <w:sz w:val="21"/>
                <w:szCs w:val="21"/>
              </w:rPr>
              <w:t>特殊情况处置</w:t>
            </w:r>
          </w:p>
        </w:tc>
        <w:tc>
          <w:tcPr>
            <w:tcW w:w="6243" w:type="dxa"/>
            <w:tcBorders>
              <w:right w:val="single" w:color="000000" w:sz="6" w:space="0"/>
            </w:tcBorders>
            <w:vAlign w:val="center"/>
          </w:tcPr>
          <w:p w14:paraId="23F56321">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1</w:t>
            </w:r>
            <w:r>
              <w:rPr>
                <w:rFonts w:ascii="Times New Roman" w:hAnsi="Times New Roman" w:eastAsia="Times New Roman" w:cs="Times New Roman"/>
                <w:b/>
                <w:bCs/>
                <w:color w:val="auto"/>
                <w:sz w:val="21"/>
                <w:szCs w:val="21"/>
                <w:lang w:eastAsia="zh-CN"/>
              </w:rPr>
              <w:t>.</w:t>
            </w:r>
            <w:r>
              <w:rPr>
                <w:color w:val="auto"/>
                <w:sz w:val="21"/>
                <w:szCs w:val="21"/>
                <w:lang w:eastAsia="zh-CN"/>
              </w:rPr>
              <w:t>特殊情况的处置</w:t>
            </w:r>
          </w:p>
          <w:p w14:paraId="17E8C00F">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（一）如遇网络故障、网络安全问题等意外情况，所有投标人均无法解密，或因招标人</w:t>
            </w:r>
            <w:r>
              <w:rPr>
                <w:rFonts w:ascii="Times New Roman" w:hAnsi="Times New Roman" w:eastAsia="Times New Roman" w:cs="Times New Roman"/>
                <w:color w:val="auto"/>
                <w:sz w:val="21"/>
                <w:szCs w:val="21"/>
                <w:lang w:eastAsia="zh-CN"/>
              </w:rPr>
              <w:t>CA</w:t>
            </w:r>
            <w:r>
              <w:rPr>
                <w:color w:val="auto"/>
                <w:sz w:val="21"/>
                <w:szCs w:val="21"/>
                <w:lang w:eastAsia="zh-CN"/>
              </w:rPr>
              <w:t>锁原因导致招标人解密环节出现问题，招标人应向监管部门申请并征得同意后可延长开标时间或推迟时间重新开标，具体安排另行通知。</w:t>
            </w:r>
          </w:p>
          <w:p w14:paraId="571CB579">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（二）因电子交易系统故障、投标人数量过多等非投标人原因，导致投标文件不能在规定时间内完成解密的，招标人可向监管部门申请并征得同意后延长解密时间，并告知在线的投标人。</w:t>
            </w:r>
          </w:p>
          <w:p w14:paraId="036ABB60">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2</w:t>
            </w:r>
            <w:r>
              <w:rPr>
                <w:rFonts w:ascii="Times New Roman" w:hAnsi="Times New Roman" w:eastAsia="Times New Roman" w:cs="Times New Roman"/>
                <w:b/>
                <w:bCs/>
                <w:color w:val="auto"/>
                <w:sz w:val="21"/>
                <w:szCs w:val="21"/>
                <w:lang w:eastAsia="zh-CN"/>
              </w:rPr>
              <w:t>.</w:t>
            </w:r>
            <w:r>
              <w:rPr>
                <w:color w:val="auto"/>
                <w:sz w:val="21"/>
                <w:szCs w:val="21"/>
                <w:lang w:eastAsia="zh-CN"/>
              </w:rPr>
              <w:t>开标特别说明</w:t>
            </w:r>
          </w:p>
          <w:p w14:paraId="30A3123D">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（一）开标解密使用投标人上传的电子投标文件。</w:t>
            </w:r>
          </w:p>
          <w:p w14:paraId="7AFF891F">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（二）因投标人原因造成其电子投标文件未解密的，视为撤销其投标文件；因投标人之外的原因造成电子投标文件未解密的，视为撤回其投标文件。</w:t>
            </w:r>
          </w:p>
          <w:p w14:paraId="383C57BC">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（三）部分投标人的电子投标文件无法解密的，其他投标文件的开标可以继续进行。</w:t>
            </w:r>
          </w:p>
          <w:p w14:paraId="7DFE894E">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（四）投标人必须使用生成电子投标文件的</w:t>
            </w:r>
            <w:r>
              <w:rPr>
                <w:rFonts w:ascii="Times New Roman" w:hAnsi="Times New Roman" w:eastAsia="Times New Roman" w:cs="Times New Roman"/>
                <w:color w:val="auto"/>
                <w:sz w:val="21"/>
                <w:szCs w:val="21"/>
                <w:lang w:eastAsia="zh-CN"/>
              </w:rPr>
              <w:t>CA</w:t>
            </w:r>
            <w:r>
              <w:rPr>
                <w:color w:val="auto"/>
                <w:sz w:val="21"/>
                <w:szCs w:val="21"/>
                <w:lang w:eastAsia="zh-CN"/>
              </w:rPr>
              <w:t>数字证书解密电子投标文件。</w:t>
            </w:r>
          </w:p>
          <w:p w14:paraId="28E67684">
            <w:pPr>
              <w:pStyle w:val="21"/>
              <w:widowControl w:val="0"/>
              <w:kinsoku/>
              <w:topLinePunct/>
              <w:autoSpaceDE/>
              <w:autoSpaceDN/>
              <w:ind w:left="105" w:leftChars="50" w:right="105" w:rightChars="50"/>
              <w:jc w:val="both"/>
              <w:rPr>
                <w:rFonts w:hint="eastAsia"/>
                <w:color w:val="auto"/>
                <w:sz w:val="22"/>
                <w:szCs w:val="22"/>
              </w:rPr>
            </w:pPr>
            <w:r>
              <w:rPr>
                <w:color w:val="auto"/>
                <w:sz w:val="21"/>
                <w:szCs w:val="21"/>
              </w:rPr>
              <w:t>（五）其他：</w:t>
            </w:r>
            <w:r>
              <w:rPr>
                <w:rFonts w:hint="eastAsia"/>
                <w:color w:val="auto"/>
                <w:sz w:val="21"/>
                <w:szCs w:val="21"/>
                <w:u w:val="single"/>
                <w:lang w:eastAsia="zh-CN"/>
              </w:rPr>
              <w:t>　/　</w:t>
            </w:r>
            <w:r>
              <w:rPr>
                <w:rFonts w:ascii="等线" w:hAnsi="等线" w:eastAsia="等线" w:cs="等线"/>
                <w:b/>
                <w:bCs/>
                <w:i/>
                <w:iCs/>
                <w:color w:val="auto"/>
                <w:sz w:val="22"/>
                <w:szCs w:val="22"/>
              </w:rPr>
              <w:t>。</w:t>
            </w:r>
          </w:p>
        </w:tc>
      </w:tr>
      <w:tr w14:paraId="01EC0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151718CF">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6.1.1</w:t>
            </w:r>
          </w:p>
        </w:tc>
        <w:tc>
          <w:tcPr>
            <w:tcW w:w="2276" w:type="dxa"/>
            <w:vAlign w:val="center"/>
          </w:tcPr>
          <w:p w14:paraId="321F69EF">
            <w:pPr>
              <w:pStyle w:val="21"/>
              <w:widowControl w:val="0"/>
              <w:kinsoku/>
              <w:topLinePunct/>
              <w:autoSpaceDE/>
              <w:autoSpaceDN/>
              <w:jc w:val="center"/>
              <w:rPr>
                <w:rFonts w:hint="eastAsia"/>
                <w:color w:val="auto"/>
                <w:sz w:val="21"/>
                <w:szCs w:val="21"/>
              </w:rPr>
            </w:pPr>
            <w:r>
              <w:rPr>
                <w:color w:val="auto"/>
                <w:sz w:val="21"/>
                <w:szCs w:val="21"/>
              </w:rPr>
              <w:t>评标委员会的组建</w:t>
            </w:r>
          </w:p>
        </w:tc>
        <w:tc>
          <w:tcPr>
            <w:tcW w:w="6243" w:type="dxa"/>
            <w:tcBorders>
              <w:right w:val="single" w:color="000000" w:sz="6" w:space="0"/>
            </w:tcBorders>
          </w:tcPr>
          <w:p w14:paraId="7A2FBA28">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评标委员会成员构成：共</w:t>
            </w:r>
            <w:r>
              <w:rPr>
                <w:rFonts w:hint="eastAsia"/>
                <w:color w:val="auto"/>
                <w:sz w:val="21"/>
                <w:szCs w:val="21"/>
                <w:u w:val="single"/>
                <w:lang w:eastAsia="zh-CN"/>
              </w:rPr>
              <w:t>7</w:t>
            </w:r>
            <w:r>
              <w:rPr>
                <w:rFonts w:hint="eastAsia"/>
                <w:color w:val="auto"/>
                <w:sz w:val="21"/>
                <w:szCs w:val="21"/>
                <w:lang w:eastAsia="zh-CN"/>
              </w:rPr>
              <w:t>人，其中招标人代表</w:t>
            </w:r>
            <w:r>
              <w:rPr>
                <w:rFonts w:hint="eastAsia"/>
                <w:color w:val="auto"/>
                <w:sz w:val="21"/>
                <w:szCs w:val="21"/>
                <w:u w:val="single"/>
                <w:lang w:eastAsia="zh-CN"/>
              </w:rPr>
              <w:t>2</w:t>
            </w:r>
            <w:r>
              <w:rPr>
                <w:rFonts w:hint="eastAsia"/>
                <w:color w:val="auto"/>
                <w:sz w:val="21"/>
                <w:szCs w:val="21"/>
                <w:lang w:eastAsia="zh-CN"/>
              </w:rPr>
              <w:t>人（招标人原则上应派代表参加），库选经济、技术专家</w:t>
            </w:r>
            <w:r>
              <w:rPr>
                <w:rFonts w:hint="eastAsia"/>
                <w:color w:val="auto"/>
                <w:sz w:val="21"/>
                <w:szCs w:val="21"/>
                <w:u w:val="single"/>
                <w:lang w:eastAsia="zh-CN"/>
              </w:rPr>
              <w:t>5</w:t>
            </w:r>
            <w:r>
              <w:rPr>
                <w:rFonts w:hint="eastAsia"/>
                <w:color w:val="auto"/>
                <w:sz w:val="21"/>
                <w:szCs w:val="21"/>
                <w:lang w:eastAsia="zh-CN"/>
              </w:rPr>
              <w:t>人（</w:t>
            </w:r>
            <w:r>
              <w:rPr>
                <w:rFonts w:hint="eastAsia"/>
                <w:i/>
                <w:iCs/>
                <w:color w:val="auto"/>
                <w:sz w:val="21"/>
                <w:szCs w:val="21"/>
                <w:lang w:eastAsia="zh-CN"/>
              </w:rPr>
              <w:t>库选经济、技术专家不得少于专家人数的2/3</w:t>
            </w:r>
            <w:r>
              <w:rPr>
                <w:rFonts w:hint="eastAsia"/>
                <w:color w:val="auto"/>
                <w:sz w:val="21"/>
                <w:szCs w:val="21"/>
                <w:lang w:eastAsia="zh-CN"/>
              </w:rPr>
              <w:t>）；</w:t>
            </w:r>
          </w:p>
          <w:p w14:paraId="1405838D">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库选经济、技术专家确定方式：执行《浙江省综合评标专家库和评标专家管理办法实施细则》相关规定。</w:t>
            </w:r>
          </w:p>
          <w:p w14:paraId="329464CE">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评标过程中，评标专家被发现有回避事由、擅离职守或因健康等原因不能继续评标的，1位专家不能参与评标的，自动从评标委员会中取消1名招标人代表；2位专家不能参与评标的，不再补抽由其余人员组成评标委员会进行评标；最终的评标专家不得少于5人，并符合《中华人民共和国招标投标法》第三十七条的规定。</w:t>
            </w:r>
          </w:p>
        </w:tc>
      </w:tr>
      <w:tr w14:paraId="26316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581F357A">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6.3</w:t>
            </w:r>
          </w:p>
        </w:tc>
        <w:tc>
          <w:tcPr>
            <w:tcW w:w="2276" w:type="dxa"/>
            <w:tcBorders>
              <w:bottom w:val="single" w:color="000000" w:sz="6" w:space="0"/>
            </w:tcBorders>
            <w:vAlign w:val="center"/>
          </w:tcPr>
          <w:p w14:paraId="40535B72">
            <w:pPr>
              <w:pStyle w:val="21"/>
              <w:widowControl w:val="0"/>
              <w:kinsoku/>
              <w:topLinePunct/>
              <w:autoSpaceDE/>
              <w:autoSpaceDN/>
              <w:jc w:val="center"/>
              <w:rPr>
                <w:rFonts w:hint="eastAsia"/>
                <w:color w:val="auto"/>
                <w:sz w:val="21"/>
                <w:szCs w:val="21"/>
                <w:lang w:eastAsia="zh-CN"/>
              </w:rPr>
            </w:pPr>
            <w:r>
              <w:rPr>
                <w:color w:val="auto"/>
                <w:sz w:val="21"/>
                <w:szCs w:val="21"/>
                <w:lang w:eastAsia="zh-CN"/>
              </w:rPr>
              <w:t>评标办法与中标候选人推荐</w:t>
            </w:r>
          </w:p>
        </w:tc>
        <w:tc>
          <w:tcPr>
            <w:tcW w:w="6243" w:type="dxa"/>
            <w:tcBorders>
              <w:bottom w:val="single" w:color="000000" w:sz="6" w:space="0"/>
              <w:right w:val="single" w:color="000000" w:sz="6" w:space="0"/>
            </w:tcBorders>
          </w:tcPr>
          <w:p w14:paraId="58E7F1E4">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1.</w:t>
            </w:r>
            <w:r>
              <w:rPr>
                <w:color w:val="auto"/>
                <w:sz w:val="21"/>
                <w:szCs w:val="21"/>
                <w:lang w:eastAsia="zh-CN"/>
              </w:rPr>
              <w:t>综合评估法</w:t>
            </w:r>
          </w:p>
          <w:p w14:paraId="55378A9F">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□技术通过制的综合评估法</w:t>
            </w:r>
          </w:p>
          <w:p w14:paraId="4ECDEAF3">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评分基准价的确定：□方法</w:t>
            </w:r>
            <w:r>
              <w:rPr>
                <w:rFonts w:ascii="Times New Roman" w:hAnsi="Times New Roman" w:eastAsia="Times New Roman" w:cs="Times New Roman"/>
                <w:color w:val="auto"/>
                <w:sz w:val="21"/>
                <w:szCs w:val="21"/>
                <w:lang w:eastAsia="zh-CN"/>
              </w:rPr>
              <w:t>1</w:t>
            </w:r>
            <w:r>
              <w:rPr>
                <w:color w:val="auto"/>
                <w:sz w:val="21"/>
                <w:szCs w:val="21"/>
                <w:lang w:eastAsia="zh-CN"/>
              </w:rPr>
              <w:t>；□方法</w:t>
            </w:r>
            <w:r>
              <w:rPr>
                <w:rFonts w:ascii="Times New Roman" w:hAnsi="Times New Roman" w:eastAsia="Times New Roman" w:cs="Times New Roman"/>
                <w:color w:val="auto"/>
                <w:sz w:val="21"/>
                <w:szCs w:val="21"/>
                <w:lang w:eastAsia="zh-CN"/>
              </w:rPr>
              <w:t>2</w:t>
            </w:r>
            <w:r>
              <w:rPr>
                <w:color w:val="auto"/>
                <w:sz w:val="21"/>
                <w:szCs w:val="21"/>
                <w:lang w:eastAsia="zh-CN"/>
              </w:rPr>
              <w:t>；□方法</w:t>
            </w:r>
            <w:r>
              <w:rPr>
                <w:rFonts w:ascii="Times New Roman" w:hAnsi="Times New Roman" w:eastAsia="Times New Roman" w:cs="Times New Roman"/>
                <w:color w:val="auto"/>
                <w:sz w:val="21"/>
                <w:szCs w:val="21"/>
                <w:lang w:eastAsia="zh-CN"/>
              </w:rPr>
              <w:t>3</w:t>
            </w:r>
            <w:r>
              <w:rPr>
                <w:color w:val="auto"/>
                <w:sz w:val="21"/>
                <w:szCs w:val="21"/>
                <w:lang w:eastAsia="zh-CN"/>
              </w:rPr>
              <w:t>；</w:t>
            </w:r>
            <w:r>
              <w:rPr>
                <w:rFonts w:hint="eastAsia"/>
                <w:color w:val="auto"/>
                <w:sz w:val="21"/>
                <w:szCs w:val="21"/>
                <w:lang w:eastAsia="zh-CN"/>
              </w:rPr>
              <w:t>□</w:t>
            </w:r>
            <w:r>
              <w:rPr>
                <w:color w:val="auto"/>
                <w:sz w:val="21"/>
                <w:szCs w:val="21"/>
                <w:lang w:eastAsia="zh-CN"/>
              </w:rPr>
              <w:t>方法</w:t>
            </w:r>
            <w:r>
              <w:rPr>
                <w:rFonts w:ascii="Times New Roman" w:hAnsi="Times New Roman" w:eastAsia="Times New Roman" w:cs="Times New Roman"/>
                <w:color w:val="auto"/>
                <w:sz w:val="21"/>
                <w:szCs w:val="21"/>
                <w:lang w:eastAsia="zh-CN"/>
              </w:rPr>
              <w:t>4</w:t>
            </w:r>
            <w:r>
              <w:rPr>
                <w:color w:val="auto"/>
                <w:sz w:val="21"/>
                <w:szCs w:val="21"/>
                <w:lang w:eastAsia="zh-CN"/>
              </w:rPr>
              <w:t>：□方法</w:t>
            </w:r>
            <w:r>
              <w:rPr>
                <w:rFonts w:ascii="Times New Roman" w:hAnsi="Times New Roman" w:eastAsia="Times New Roman" w:cs="Times New Roman"/>
                <w:color w:val="auto"/>
                <w:sz w:val="21"/>
                <w:szCs w:val="21"/>
                <w:lang w:eastAsia="zh-CN"/>
              </w:rPr>
              <w:t>5</w:t>
            </w:r>
            <w:r>
              <w:rPr>
                <w:color w:val="auto"/>
                <w:sz w:val="21"/>
                <w:szCs w:val="21"/>
                <w:lang w:eastAsia="zh-CN"/>
              </w:rPr>
              <w:t>；□方法</w:t>
            </w:r>
            <w:r>
              <w:rPr>
                <w:rFonts w:ascii="Times New Roman" w:hAnsi="Times New Roman" w:eastAsia="Times New Roman" w:cs="Times New Roman"/>
                <w:color w:val="auto"/>
                <w:sz w:val="21"/>
                <w:szCs w:val="21"/>
                <w:lang w:eastAsia="zh-CN"/>
              </w:rPr>
              <w:t>6</w:t>
            </w:r>
            <w:r>
              <w:rPr>
                <w:color w:val="auto"/>
                <w:sz w:val="21"/>
                <w:szCs w:val="21"/>
                <w:lang w:eastAsia="zh-CN"/>
              </w:rPr>
              <w:t>；□其他：</w:t>
            </w:r>
            <w:r>
              <w:rPr>
                <w:rFonts w:hint="eastAsia"/>
                <w:color w:val="auto"/>
                <w:sz w:val="21"/>
                <w:szCs w:val="21"/>
                <w:u w:val="single"/>
                <w:lang w:eastAsia="zh-CN"/>
              </w:rPr>
              <w:t>　　　　　</w:t>
            </w:r>
          </w:p>
          <w:p w14:paraId="4CBB496A">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w:t>
            </w:r>
            <w:r>
              <w:rPr>
                <w:color w:val="auto"/>
                <w:sz w:val="21"/>
                <w:szCs w:val="21"/>
                <w:lang w:eastAsia="zh-CN"/>
              </w:rPr>
              <w:t>技术打分制的综合评估法</w:t>
            </w:r>
          </w:p>
          <w:p w14:paraId="47FC38E1">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评分基准价的确定：□方法</w:t>
            </w:r>
            <w:r>
              <w:rPr>
                <w:rFonts w:ascii="Times New Roman" w:hAnsi="Times New Roman" w:eastAsia="Times New Roman" w:cs="Times New Roman"/>
                <w:color w:val="auto"/>
                <w:sz w:val="21"/>
                <w:szCs w:val="21"/>
                <w:lang w:eastAsia="zh-CN"/>
              </w:rPr>
              <w:t>1</w:t>
            </w:r>
            <w:r>
              <w:rPr>
                <w:color w:val="auto"/>
                <w:sz w:val="21"/>
                <w:szCs w:val="21"/>
                <w:lang w:eastAsia="zh-CN"/>
              </w:rPr>
              <w:t>；□方法</w:t>
            </w:r>
            <w:r>
              <w:rPr>
                <w:rFonts w:ascii="Times New Roman" w:hAnsi="Times New Roman" w:eastAsia="Times New Roman" w:cs="Times New Roman"/>
                <w:color w:val="auto"/>
                <w:sz w:val="21"/>
                <w:szCs w:val="21"/>
                <w:lang w:eastAsia="zh-CN"/>
              </w:rPr>
              <w:t>2</w:t>
            </w:r>
            <w:r>
              <w:rPr>
                <w:color w:val="auto"/>
                <w:sz w:val="21"/>
                <w:szCs w:val="21"/>
                <w:lang w:eastAsia="zh-CN"/>
              </w:rPr>
              <w:t>；□方法</w:t>
            </w:r>
            <w:r>
              <w:rPr>
                <w:rFonts w:ascii="Times New Roman" w:hAnsi="Times New Roman" w:eastAsia="Times New Roman" w:cs="Times New Roman"/>
                <w:color w:val="auto"/>
                <w:sz w:val="21"/>
                <w:szCs w:val="21"/>
                <w:lang w:eastAsia="zh-CN"/>
              </w:rPr>
              <w:t>3</w:t>
            </w:r>
            <w:r>
              <w:rPr>
                <w:color w:val="auto"/>
                <w:sz w:val="21"/>
                <w:szCs w:val="21"/>
                <w:lang w:eastAsia="zh-CN"/>
              </w:rPr>
              <w:t>；</w:t>
            </w:r>
            <w:r>
              <w:rPr>
                <w:rFonts w:hint="eastAsia"/>
                <w:color w:val="auto"/>
                <w:sz w:val="21"/>
                <w:szCs w:val="21"/>
                <w:lang w:eastAsia="zh-CN"/>
              </w:rPr>
              <w:t>☑</w:t>
            </w:r>
            <w:r>
              <w:rPr>
                <w:color w:val="auto"/>
                <w:sz w:val="21"/>
                <w:szCs w:val="21"/>
                <w:lang w:eastAsia="zh-CN"/>
              </w:rPr>
              <w:t>方法</w:t>
            </w:r>
            <w:r>
              <w:rPr>
                <w:rFonts w:ascii="Times New Roman" w:hAnsi="Times New Roman" w:eastAsia="Times New Roman" w:cs="Times New Roman"/>
                <w:color w:val="auto"/>
                <w:sz w:val="21"/>
                <w:szCs w:val="21"/>
                <w:lang w:eastAsia="zh-CN"/>
              </w:rPr>
              <w:t>4</w:t>
            </w:r>
            <w:r>
              <w:rPr>
                <w:color w:val="auto"/>
                <w:sz w:val="21"/>
                <w:szCs w:val="21"/>
                <w:lang w:eastAsia="zh-CN"/>
              </w:rPr>
              <w:t>：□方法</w:t>
            </w:r>
            <w:r>
              <w:rPr>
                <w:rFonts w:ascii="Times New Roman" w:hAnsi="Times New Roman" w:eastAsia="Times New Roman" w:cs="Times New Roman"/>
                <w:color w:val="auto"/>
                <w:sz w:val="21"/>
                <w:szCs w:val="21"/>
                <w:lang w:eastAsia="zh-CN"/>
              </w:rPr>
              <w:t>5</w:t>
            </w:r>
            <w:r>
              <w:rPr>
                <w:color w:val="auto"/>
                <w:sz w:val="21"/>
                <w:szCs w:val="21"/>
                <w:lang w:eastAsia="zh-CN"/>
              </w:rPr>
              <w:t>；</w:t>
            </w:r>
            <w:r>
              <w:rPr>
                <w:rFonts w:hint="eastAsia"/>
                <w:color w:val="auto"/>
                <w:sz w:val="21"/>
                <w:szCs w:val="21"/>
                <w:lang w:eastAsia="zh-CN"/>
              </w:rPr>
              <w:t>□</w:t>
            </w:r>
            <w:r>
              <w:rPr>
                <w:color w:val="auto"/>
                <w:sz w:val="21"/>
                <w:szCs w:val="21"/>
                <w:lang w:eastAsia="zh-CN"/>
              </w:rPr>
              <w:t>方法</w:t>
            </w:r>
            <w:r>
              <w:rPr>
                <w:rFonts w:ascii="Times New Roman" w:hAnsi="Times New Roman" w:eastAsia="Times New Roman" w:cs="Times New Roman"/>
                <w:color w:val="auto"/>
                <w:sz w:val="21"/>
                <w:szCs w:val="21"/>
                <w:lang w:eastAsia="zh-CN"/>
              </w:rPr>
              <w:t>6</w:t>
            </w:r>
            <w:r>
              <w:rPr>
                <w:color w:val="auto"/>
                <w:sz w:val="21"/>
                <w:szCs w:val="21"/>
                <w:lang w:eastAsia="zh-CN"/>
              </w:rPr>
              <w:t>；</w:t>
            </w:r>
            <w:r>
              <w:rPr>
                <w:rFonts w:hint="eastAsia"/>
                <w:color w:val="auto"/>
                <w:sz w:val="21"/>
                <w:szCs w:val="21"/>
                <w:lang w:eastAsia="zh-CN"/>
              </w:rPr>
              <w:t>□</w:t>
            </w:r>
            <w:r>
              <w:rPr>
                <w:color w:val="auto"/>
                <w:sz w:val="21"/>
                <w:szCs w:val="21"/>
                <w:lang w:eastAsia="zh-CN"/>
              </w:rPr>
              <w:t>方法</w:t>
            </w:r>
            <w:r>
              <w:rPr>
                <w:rFonts w:ascii="Times New Roman" w:hAnsi="Times New Roman" w:eastAsia="Times New Roman" w:cs="Times New Roman"/>
                <w:color w:val="auto"/>
                <w:sz w:val="21"/>
                <w:szCs w:val="21"/>
                <w:lang w:eastAsia="zh-CN"/>
              </w:rPr>
              <w:t>7</w:t>
            </w:r>
            <w:r>
              <w:rPr>
                <w:color w:val="auto"/>
                <w:sz w:val="21"/>
                <w:szCs w:val="21"/>
                <w:lang w:eastAsia="zh-CN"/>
              </w:rPr>
              <w:t>；□其他：</w:t>
            </w:r>
            <w:r>
              <w:rPr>
                <w:rFonts w:hint="eastAsia"/>
                <w:color w:val="auto"/>
                <w:sz w:val="21"/>
                <w:szCs w:val="21"/>
                <w:u w:val="single"/>
                <w:lang w:eastAsia="zh-CN"/>
              </w:rPr>
              <w:t>　　</w:t>
            </w:r>
          </w:p>
          <w:p w14:paraId="321EF39E">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2.</w:t>
            </w:r>
            <w:r>
              <w:rPr>
                <w:color w:val="auto"/>
                <w:sz w:val="21"/>
                <w:szCs w:val="21"/>
                <w:lang w:eastAsia="zh-CN"/>
              </w:rPr>
              <w:t>□经评审的最低投标价法</w:t>
            </w:r>
          </w:p>
          <w:p w14:paraId="6874D31B">
            <w:pPr>
              <w:pStyle w:val="21"/>
              <w:widowControl w:val="0"/>
              <w:kinsoku/>
              <w:topLinePunct/>
              <w:autoSpaceDE/>
              <w:autoSpaceDN/>
              <w:ind w:left="105" w:leftChars="50" w:right="105" w:rightChars="5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3.</w:t>
            </w:r>
            <w:r>
              <w:rPr>
                <w:color w:val="auto"/>
                <w:sz w:val="21"/>
                <w:szCs w:val="21"/>
                <w:lang w:eastAsia="zh-CN"/>
              </w:rPr>
              <w:t>评标委员会推荐的中标候选人数量：</w:t>
            </w:r>
          </w:p>
          <w:p w14:paraId="64D3A36D">
            <w:pPr>
              <w:pStyle w:val="21"/>
              <w:widowControl w:val="0"/>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lang w:eastAsia="zh-CN"/>
              </w:rPr>
              <w:t>4.</w:t>
            </w:r>
            <w:r>
              <w:rPr>
                <w:color w:val="auto"/>
                <w:sz w:val="21"/>
                <w:szCs w:val="21"/>
                <w:lang w:eastAsia="zh-CN"/>
              </w:rPr>
              <w:t>评标委员会推荐</w:t>
            </w:r>
            <w:r>
              <w:rPr>
                <w:rFonts w:hint="eastAsia"/>
                <w:color w:val="auto"/>
                <w:sz w:val="21"/>
                <w:szCs w:val="21"/>
                <w:u w:val="single"/>
                <w:lang w:eastAsia="zh-CN"/>
              </w:rPr>
              <w:t>1</w:t>
            </w:r>
            <w:r>
              <w:rPr>
                <w:color w:val="auto"/>
                <w:sz w:val="21"/>
                <w:szCs w:val="21"/>
                <w:lang w:eastAsia="zh-CN"/>
              </w:rPr>
              <w:t>名中标候选人。</w:t>
            </w:r>
            <w:r>
              <w:rPr>
                <w:strike/>
                <w:color w:val="auto"/>
                <w:sz w:val="21"/>
                <w:szCs w:val="21"/>
                <w:lang w:eastAsia="zh-CN"/>
              </w:rPr>
              <w:t>（评定分离推荐</w:t>
            </w:r>
            <w:r>
              <w:rPr>
                <w:rFonts w:ascii="Times New Roman" w:hAnsi="Times New Roman" w:eastAsia="Times New Roman" w:cs="Times New Roman"/>
                <w:strike/>
                <w:color w:val="auto"/>
                <w:sz w:val="21"/>
                <w:szCs w:val="21"/>
                <w:lang w:eastAsia="zh-CN"/>
              </w:rPr>
              <w:t>3</w:t>
            </w:r>
            <w:r>
              <w:rPr>
                <w:rFonts w:hint="eastAsia" w:ascii="Times New Roman" w:hAnsi="Times New Roman" w:cs="Times New Roman"/>
                <w:strike/>
                <w:color w:val="auto"/>
                <w:sz w:val="21"/>
                <w:szCs w:val="21"/>
                <w:lang w:eastAsia="zh-CN"/>
              </w:rPr>
              <w:t>～</w:t>
            </w:r>
            <w:r>
              <w:rPr>
                <w:rFonts w:ascii="Times New Roman" w:hAnsi="Times New Roman" w:eastAsia="Times New Roman" w:cs="Times New Roman"/>
                <w:strike/>
                <w:color w:val="auto"/>
                <w:sz w:val="21"/>
                <w:szCs w:val="21"/>
                <w:lang w:eastAsia="zh-CN"/>
              </w:rPr>
              <w:t>5</w:t>
            </w:r>
            <w:r>
              <w:rPr>
                <w:strike/>
                <w:color w:val="auto"/>
                <w:sz w:val="21"/>
                <w:szCs w:val="21"/>
                <w:lang w:eastAsia="zh-CN"/>
              </w:rPr>
              <w:t>名，不排名次；其余不超过</w:t>
            </w:r>
            <w:r>
              <w:rPr>
                <w:rFonts w:ascii="Times New Roman" w:hAnsi="Times New Roman" w:eastAsia="Times New Roman" w:cs="Times New Roman"/>
                <w:strike/>
                <w:color w:val="auto"/>
                <w:sz w:val="21"/>
                <w:szCs w:val="21"/>
                <w:lang w:eastAsia="zh-CN"/>
              </w:rPr>
              <w:t>3</w:t>
            </w:r>
            <w:r>
              <w:rPr>
                <w:strike/>
                <w:color w:val="auto"/>
                <w:sz w:val="21"/>
                <w:szCs w:val="21"/>
                <w:lang w:eastAsia="zh-CN"/>
              </w:rPr>
              <w:t>名）</w:t>
            </w:r>
          </w:p>
        </w:tc>
      </w:tr>
      <w:tr w14:paraId="734F4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auto" w:sz="4" w:space="0"/>
            </w:tcBorders>
            <w:vAlign w:val="center"/>
          </w:tcPr>
          <w:p w14:paraId="503C47F8">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6.4</w:t>
            </w:r>
          </w:p>
        </w:tc>
        <w:tc>
          <w:tcPr>
            <w:tcW w:w="2276" w:type="dxa"/>
            <w:tcBorders>
              <w:bottom w:val="single" w:color="auto" w:sz="4" w:space="0"/>
            </w:tcBorders>
            <w:vAlign w:val="center"/>
          </w:tcPr>
          <w:p w14:paraId="33A1E87C">
            <w:pPr>
              <w:pStyle w:val="21"/>
              <w:widowControl w:val="0"/>
              <w:kinsoku/>
              <w:topLinePunct/>
              <w:autoSpaceDE/>
              <w:autoSpaceDN/>
              <w:jc w:val="center"/>
              <w:rPr>
                <w:rFonts w:hint="eastAsia"/>
                <w:color w:val="auto"/>
                <w:sz w:val="21"/>
                <w:szCs w:val="21"/>
              </w:rPr>
            </w:pPr>
            <w:r>
              <w:rPr>
                <w:color w:val="auto"/>
                <w:sz w:val="21"/>
                <w:szCs w:val="21"/>
              </w:rPr>
              <w:t>中标候选人公示媒介</w:t>
            </w:r>
          </w:p>
        </w:tc>
        <w:tc>
          <w:tcPr>
            <w:tcW w:w="6243" w:type="dxa"/>
            <w:tcBorders>
              <w:bottom w:val="single" w:color="auto" w:sz="4" w:space="0"/>
              <w:right w:val="single" w:color="000000" w:sz="6" w:space="0"/>
            </w:tcBorders>
          </w:tcPr>
          <w:p w14:paraId="6560AC65">
            <w:pPr>
              <w:pStyle w:val="21"/>
              <w:widowControl w:val="0"/>
              <w:tabs>
                <w:tab w:val="left" w:pos="2727"/>
              </w:tabs>
              <w:kinsoku/>
              <w:topLinePunct/>
              <w:autoSpaceDE/>
              <w:autoSpaceDN/>
              <w:ind w:left="105" w:leftChars="50" w:right="105" w:rightChars="50"/>
              <w:jc w:val="both"/>
              <w:rPr>
                <w:rFonts w:hint="eastAsia"/>
                <w:color w:val="auto"/>
                <w:sz w:val="21"/>
                <w:szCs w:val="21"/>
                <w:lang w:eastAsia="zh-CN"/>
              </w:rPr>
            </w:pPr>
            <w:r>
              <w:rPr>
                <w:rFonts w:hint="eastAsia"/>
                <w:color w:val="auto"/>
                <w:sz w:val="21"/>
                <w:szCs w:val="21"/>
                <w:u w:val="single"/>
                <w:lang w:eastAsia="zh-CN"/>
              </w:rPr>
              <w:t>浙江省公共资源交易服务平台、绍兴公共资源交易网</w:t>
            </w:r>
            <w:r>
              <w:rPr>
                <w:color w:val="auto"/>
                <w:sz w:val="21"/>
                <w:szCs w:val="21"/>
                <w:lang w:eastAsia="zh-CN"/>
              </w:rPr>
              <w:t>（</w:t>
            </w:r>
            <w:r>
              <w:rPr>
                <w:i/>
                <w:iCs/>
                <w:color w:val="auto"/>
                <w:sz w:val="22"/>
                <w:szCs w:val="22"/>
                <w:lang w:eastAsia="zh-CN"/>
              </w:rPr>
              <w:t>发布公告的媒介名称</w:t>
            </w:r>
            <w:r>
              <w:rPr>
                <w:color w:val="auto"/>
                <w:sz w:val="21"/>
                <w:szCs w:val="21"/>
                <w:lang w:eastAsia="zh-CN"/>
              </w:rPr>
              <w:t>）</w:t>
            </w:r>
          </w:p>
          <w:p w14:paraId="48C2863E">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公示期限：不少于</w:t>
            </w:r>
            <w:r>
              <w:rPr>
                <w:rFonts w:ascii="Times New Roman" w:hAnsi="Times New Roman" w:eastAsia="Times New Roman" w:cs="Times New Roman"/>
                <w:b/>
                <w:bCs/>
                <w:color w:val="auto"/>
                <w:sz w:val="21"/>
                <w:szCs w:val="21"/>
                <w:lang w:eastAsia="zh-CN"/>
              </w:rPr>
              <w:t>3</w:t>
            </w:r>
            <w:r>
              <w:rPr>
                <w:color w:val="auto"/>
                <w:sz w:val="21"/>
                <w:szCs w:val="21"/>
                <w:lang w:eastAsia="zh-CN"/>
              </w:rPr>
              <w:t>日。如遇国家法定休假日，应顺延至法定休假日后第一个工作日。</w:t>
            </w:r>
          </w:p>
          <w:p w14:paraId="69A4D369">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注：项目有业绩要求的应公示中标候选人业绩。</w:t>
            </w:r>
          </w:p>
        </w:tc>
      </w:tr>
      <w:tr w14:paraId="0C96F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top w:val="single" w:color="auto" w:sz="4" w:space="0"/>
              <w:left w:val="single" w:color="auto" w:sz="4" w:space="0"/>
              <w:bottom w:val="single" w:color="auto" w:sz="4" w:space="0"/>
              <w:right w:val="single" w:color="auto" w:sz="4" w:space="0"/>
            </w:tcBorders>
            <w:vAlign w:val="center"/>
          </w:tcPr>
          <w:p w14:paraId="43C92B5D">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7.1.1</w:t>
            </w:r>
          </w:p>
        </w:tc>
        <w:tc>
          <w:tcPr>
            <w:tcW w:w="2276" w:type="dxa"/>
            <w:tcBorders>
              <w:top w:val="single" w:color="auto" w:sz="4" w:space="0"/>
              <w:left w:val="single" w:color="auto" w:sz="4" w:space="0"/>
              <w:bottom w:val="single" w:color="auto" w:sz="4" w:space="0"/>
              <w:right w:val="single" w:color="auto" w:sz="4" w:space="0"/>
            </w:tcBorders>
            <w:vAlign w:val="center"/>
          </w:tcPr>
          <w:p w14:paraId="17916255">
            <w:pPr>
              <w:pStyle w:val="21"/>
              <w:widowControl w:val="0"/>
              <w:kinsoku/>
              <w:topLinePunct/>
              <w:autoSpaceDE/>
              <w:autoSpaceDN/>
              <w:jc w:val="center"/>
              <w:rPr>
                <w:rFonts w:hint="eastAsia"/>
                <w:color w:val="auto"/>
                <w:sz w:val="21"/>
                <w:szCs w:val="21"/>
              </w:rPr>
            </w:pPr>
            <w:r>
              <w:rPr>
                <w:color w:val="auto"/>
                <w:sz w:val="21"/>
                <w:szCs w:val="21"/>
              </w:rPr>
              <w:t>中标人确定</w:t>
            </w:r>
          </w:p>
        </w:tc>
        <w:tc>
          <w:tcPr>
            <w:tcW w:w="6243" w:type="dxa"/>
            <w:tcBorders>
              <w:top w:val="single" w:color="auto" w:sz="4" w:space="0"/>
              <w:left w:val="single" w:color="auto" w:sz="4" w:space="0"/>
              <w:bottom w:val="single" w:color="auto" w:sz="4" w:space="0"/>
              <w:right w:val="single" w:color="auto" w:sz="4" w:space="0"/>
            </w:tcBorders>
          </w:tcPr>
          <w:p w14:paraId="3F761EA9">
            <w:pPr>
              <w:pStyle w:val="21"/>
              <w:widowControl w:val="0"/>
              <w:kinsoku/>
              <w:topLinePunct/>
              <w:autoSpaceDE/>
              <w:autoSpaceDN/>
              <w:ind w:left="105" w:leftChars="50" w:right="105" w:rightChars="50"/>
              <w:jc w:val="both"/>
              <w:rPr>
                <w:rFonts w:hint="eastAsia"/>
                <w:color w:val="auto"/>
                <w:sz w:val="21"/>
                <w:szCs w:val="21"/>
                <w:lang w:eastAsia="zh-CN"/>
              </w:rPr>
            </w:pPr>
            <w:r>
              <w:rPr>
                <w:color w:val="auto"/>
                <w:sz w:val="21"/>
                <w:szCs w:val="21"/>
                <w:lang w:eastAsia="zh-CN"/>
              </w:rPr>
              <w:t>是否授权评标委员会确定中标人</w:t>
            </w:r>
            <w:r>
              <w:rPr>
                <w:rFonts w:hint="eastAsia"/>
                <w:color w:val="auto"/>
                <w:sz w:val="21"/>
                <w:szCs w:val="21"/>
                <w:lang w:eastAsia="zh-CN"/>
              </w:rPr>
              <w:t>　</w:t>
            </w:r>
            <w:r>
              <w:rPr>
                <w:color w:val="auto"/>
                <w:sz w:val="21"/>
                <w:szCs w:val="21"/>
                <w:lang w:eastAsia="zh-CN"/>
              </w:rPr>
              <w:t>□是</w:t>
            </w:r>
            <w:r>
              <w:rPr>
                <w:rFonts w:hint="eastAsia"/>
                <w:color w:val="auto"/>
                <w:sz w:val="21"/>
                <w:szCs w:val="21"/>
                <w:lang w:eastAsia="zh-CN"/>
              </w:rPr>
              <w:t>☑</w:t>
            </w:r>
            <w:r>
              <w:rPr>
                <w:color w:val="auto"/>
                <w:sz w:val="21"/>
                <w:szCs w:val="21"/>
                <w:lang w:eastAsia="zh-CN"/>
              </w:rPr>
              <w:t>否</w:t>
            </w:r>
          </w:p>
          <w:p w14:paraId="318313AF">
            <w:pPr>
              <w:pStyle w:val="21"/>
              <w:widowControl w:val="0"/>
              <w:kinsoku/>
              <w:topLinePunct/>
              <w:autoSpaceDE/>
              <w:autoSpaceDN/>
              <w:ind w:left="105" w:leftChars="50" w:right="105" w:rightChars="50"/>
              <w:jc w:val="both"/>
              <w:rPr>
                <w:rFonts w:hint="eastAsia"/>
                <w:color w:val="auto"/>
                <w:sz w:val="21"/>
                <w:szCs w:val="21"/>
              </w:rPr>
            </w:pPr>
            <w:r>
              <w:rPr>
                <w:color w:val="auto"/>
                <w:sz w:val="21"/>
                <w:szCs w:val="21"/>
              </w:rPr>
              <w:t>是否评定分离□是</w:t>
            </w:r>
            <w:r>
              <w:rPr>
                <w:rFonts w:hint="eastAsia"/>
                <w:color w:val="auto"/>
                <w:sz w:val="21"/>
                <w:szCs w:val="21"/>
                <w:lang w:eastAsia="zh-CN"/>
              </w:rPr>
              <w:t>☑</w:t>
            </w:r>
            <w:r>
              <w:rPr>
                <w:color w:val="auto"/>
                <w:sz w:val="21"/>
                <w:szCs w:val="21"/>
              </w:rPr>
              <w:t>否</w:t>
            </w:r>
          </w:p>
        </w:tc>
      </w:tr>
      <w:tr w14:paraId="0A081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top w:val="single" w:color="auto" w:sz="4" w:space="0"/>
              <w:left w:val="single" w:color="000000" w:sz="6" w:space="0"/>
            </w:tcBorders>
            <w:vAlign w:val="center"/>
          </w:tcPr>
          <w:p w14:paraId="165C6E54">
            <w:pPr>
              <w:pStyle w:val="21"/>
              <w:widowControl w:val="0"/>
              <w:kinsoku/>
              <w:topLinePunct/>
              <w:autoSpaceDE/>
              <w:autoSpaceDN/>
              <w:jc w:val="center"/>
              <w:rPr>
                <w:rFonts w:hint="eastAsia"/>
                <w:strike/>
                <w:color w:val="auto"/>
                <w:sz w:val="21"/>
                <w:szCs w:val="21"/>
              </w:rPr>
            </w:pPr>
            <w:r>
              <w:rPr>
                <w:strike/>
                <w:color w:val="auto"/>
                <w:sz w:val="21"/>
                <w:szCs w:val="21"/>
              </w:rPr>
              <w:t>□</w:t>
            </w:r>
            <w:r>
              <w:rPr>
                <w:rFonts w:ascii="Times New Roman" w:hAnsi="Times New Roman" w:eastAsia="Times New Roman" w:cs="Times New Roman"/>
                <w:strike/>
                <w:color w:val="auto"/>
                <w:sz w:val="21"/>
                <w:szCs w:val="21"/>
              </w:rPr>
              <w:t>7.1.7</w:t>
            </w:r>
          </w:p>
        </w:tc>
        <w:tc>
          <w:tcPr>
            <w:tcW w:w="2276" w:type="dxa"/>
            <w:tcBorders>
              <w:top w:val="single" w:color="auto" w:sz="4" w:space="0"/>
            </w:tcBorders>
          </w:tcPr>
          <w:p w14:paraId="73015CFC">
            <w:pPr>
              <w:pStyle w:val="21"/>
              <w:widowControl w:val="0"/>
              <w:kinsoku/>
              <w:topLinePunct/>
              <w:autoSpaceDE/>
              <w:autoSpaceDN/>
              <w:spacing w:before="69" w:line="220" w:lineRule="auto"/>
              <w:jc w:val="center"/>
              <w:rPr>
                <w:rFonts w:hint="eastAsia"/>
                <w:strike/>
                <w:color w:val="auto"/>
                <w:sz w:val="21"/>
                <w:szCs w:val="21"/>
                <w:lang w:eastAsia="zh-CN"/>
              </w:rPr>
            </w:pPr>
            <w:r>
              <w:rPr>
                <w:strike/>
                <w:color w:val="auto"/>
                <w:sz w:val="21"/>
                <w:szCs w:val="21"/>
                <w:lang w:eastAsia="zh-CN"/>
              </w:rPr>
              <w:t>定标委员会组建</w:t>
            </w:r>
          </w:p>
          <w:p w14:paraId="165932E6">
            <w:pPr>
              <w:widowControl w:val="0"/>
              <w:kinsoku/>
              <w:topLinePunct/>
              <w:autoSpaceDE/>
              <w:autoSpaceDN/>
              <w:spacing w:line="399" w:lineRule="auto"/>
              <w:jc w:val="center"/>
              <w:rPr>
                <w:rFonts w:hint="eastAsia" w:ascii="宋体" w:hAnsi="宋体" w:eastAsia="宋体" w:cs="宋体"/>
                <w:strike/>
                <w:color w:val="auto"/>
                <w:lang w:eastAsia="zh-CN"/>
              </w:rPr>
            </w:pPr>
          </w:p>
          <w:p w14:paraId="77026510">
            <w:pPr>
              <w:pStyle w:val="21"/>
              <w:widowControl w:val="0"/>
              <w:kinsoku/>
              <w:topLinePunct/>
              <w:autoSpaceDE/>
              <w:autoSpaceDN/>
              <w:spacing w:before="68" w:line="220" w:lineRule="auto"/>
              <w:jc w:val="center"/>
              <w:rPr>
                <w:rFonts w:hint="eastAsia"/>
                <w:strike/>
                <w:color w:val="auto"/>
                <w:sz w:val="21"/>
                <w:szCs w:val="21"/>
                <w:lang w:eastAsia="zh-CN"/>
              </w:rPr>
            </w:pPr>
            <w:r>
              <w:rPr>
                <w:strike/>
                <w:color w:val="auto"/>
                <w:sz w:val="21"/>
                <w:szCs w:val="21"/>
                <w:lang w:eastAsia="zh-CN"/>
              </w:rPr>
              <w:t>定标会议地点和时间</w:t>
            </w:r>
          </w:p>
          <w:p w14:paraId="31EC09E7">
            <w:pPr>
              <w:widowControl w:val="0"/>
              <w:kinsoku/>
              <w:topLinePunct/>
              <w:autoSpaceDE/>
              <w:autoSpaceDN/>
              <w:spacing w:line="245" w:lineRule="auto"/>
              <w:jc w:val="center"/>
              <w:rPr>
                <w:rFonts w:hint="eastAsia" w:ascii="宋体" w:hAnsi="宋体" w:eastAsia="宋体" w:cs="宋体"/>
                <w:strike/>
                <w:color w:val="auto"/>
                <w:lang w:eastAsia="zh-CN"/>
              </w:rPr>
            </w:pPr>
          </w:p>
          <w:p w14:paraId="4744BCC2">
            <w:pPr>
              <w:widowControl w:val="0"/>
              <w:kinsoku/>
              <w:topLinePunct/>
              <w:autoSpaceDE/>
              <w:autoSpaceDN/>
              <w:spacing w:line="245" w:lineRule="auto"/>
              <w:jc w:val="center"/>
              <w:rPr>
                <w:rFonts w:hint="eastAsia" w:ascii="宋体" w:hAnsi="宋体" w:eastAsia="宋体" w:cs="宋体"/>
                <w:strike/>
                <w:color w:val="auto"/>
                <w:lang w:eastAsia="zh-CN"/>
              </w:rPr>
            </w:pPr>
          </w:p>
          <w:p w14:paraId="330A3026">
            <w:pPr>
              <w:pStyle w:val="21"/>
              <w:widowControl w:val="0"/>
              <w:kinsoku/>
              <w:topLinePunct/>
              <w:autoSpaceDE/>
              <w:autoSpaceDN/>
              <w:spacing w:before="68" w:line="221" w:lineRule="auto"/>
              <w:jc w:val="center"/>
              <w:rPr>
                <w:rFonts w:hint="eastAsia"/>
                <w:strike/>
                <w:color w:val="auto"/>
                <w:sz w:val="21"/>
                <w:szCs w:val="21"/>
                <w:lang w:eastAsia="zh-CN"/>
              </w:rPr>
            </w:pPr>
          </w:p>
          <w:p w14:paraId="28E5FB32">
            <w:pPr>
              <w:pStyle w:val="21"/>
              <w:widowControl w:val="0"/>
              <w:kinsoku/>
              <w:topLinePunct/>
              <w:autoSpaceDE/>
              <w:autoSpaceDN/>
              <w:spacing w:before="68" w:line="221" w:lineRule="auto"/>
              <w:jc w:val="center"/>
              <w:rPr>
                <w:rFonts w:hint="eastAsia"/>
                <w:strike/>
                <w:color w:val="auto"/>
                <w:sz w:val="21"/>
                <w:szCs w:val="21"/>
                <w:lang w:eastAsia="zh-CN"/>
              </w:rPr>
            </w:pPr>
            <w:r>
              <w:rPr>
                <w:strike/>
                <w:color w:val="auto"/>
                <w:sz w:val="21"/>
                <w:szCs w:val="21"/>
                <w:lang w:eastAsia="zh-CN"/>
              </w:rPr>
              <w:t>考察、质询</w:t>
            </w:r>
          </w:p>
          <w:p w14:paraId="19E27B64">
            <w:pPr>
              <w:widowControl w:val="0"/>
              <w:kinsoku/>
              <w:topLinePunct/>
              <w:autoSpaceDE/>
              <w:autoSpaceDN/>
              <w:spacing w:line="278" w:lineRule="auto"/>
              <w:jc w:val="center"/>
              <w:rPr>
                <w:rFonts w:hint="eastAsia" w:ascii="宋体" w:hAnsi="宋体" w:eastAsia="宋体" w:cs="宋体"/>
                <w:strike/>
                <w:color w:val="auto"/>
                <w:lang w:eastAsia="zh-CN"/>
              </w:rPr>
            </w:pPr>
          </w:p>
          <w:p w14:paraId="20A47715">
            <w:pPr>
              <w:widowControl w:val="0"/>
              <w:kinsoku/>
              <w:topLinePunct/>
              <w:autoSpaceDE/>
              <w:autoSpaceDN/>
              <w:spacing w:line="278" w:lineRule="auto"/>
              <w:jc w:val="center"/>
              <w:rPr>
                <w:rFonts w:hint="eastAsia" w:ascii="宋体" w:hAnsi="宋体" w:eastAsia="宋体" w:cs="宋体"/>
                <w:strike/>
                <w:color w:val="auto"/>
                <w:lang w:eastAsia="zh-CN"/>
              </w:rPr>
            </w:pPr>
          </w:p>
          <w:p w14:paraId="60792C9B">
            <w:pPr>
              <w:widowControl w:val="0"/>
              <w:kinsoku/>
              <w:topLinePunct/>
              <w:autoSpaceDE/>
              <w:autoSpaceDN/>
              <w:spacing w:line="279" w:lineRule="auto"/>
              <w:jc w:val="center"/>
              <w:rPr>
                <w:rFonts w:hint="eastAsia" w:ascii="宋体" w:hAnsi="宋体" w:eastAsia="宋体" w:cs="宋体"/>
                <w:strike/>
                <w:color w:val="auto"/>
                <w:lang w:eastAsia="zh-CN"/>
              </w:rPr>
            </w:pPr>
          </w:p>
          <w:p w14:paraId="23B11731">
            <w:pPr>
              <w:pStyle w:val="21"/>
              <w:widowControl w:val="0"/>
              <w:kinsoku/>
              <w:topLinePunct/>
              <w:autoSpaceDE/>
              <w:autoSpaceDN/>
              <w:spacing w:before="69" w:line="221" w:lineRule="auto"/>
              <w:jc w:val="center"/>
              <w:rPr>
                <w:rFonts w:hint="eastAsia"/>
                <w:strike/>
                <w:color w:val="auto"/>
                <w:sz w:val="21"/>
                <w:szCs w:val="21"/>
                <w:lang w:eastAsia="zh-CN"/>
              </w:rPr>
            </w:pPr>
            <w:r>
              <w:rPr>
                <w:strike/>
                <w:color w:val="auto"/>
                <w:sz w:val="21"/>
                <w:szCs w:val="21"/>
                <w:lang w:eastAsia="zh-CN"/>
              </w:rPr>
              <w:t>定标现场面试</w:t>
            </w:r>
          </w:p>
          <w:p w14:paraId="5BD38752">
            <w:pPr>
              <w:widowControl w:val="0"/>
              <w:kinsoku/>
              <w:topLinePunct/>
              <w:autoSpaceDE/>
              <w:autoSpaceDN/>
              <w:spacing w:line="251" w:lineRule="auto"/>
              <w:jc w:val="center"/>
              <w:rPr>
                <w:rFonts w:hint="eastAsia" w:ascii="宋体" w:hAnsi="宋体" w:eastAsia="宋体" w:cs="宋体"/>
                <w:strike/>
                <w:color w:val="auto"/>
                <w:lang w:eastAsia="zh-CN"/>
              </w:rPr>
            </w:pPr>
          </w:p>
          <w:p w14:paraId="5CFB2A6E">
            <w:pPr>
              <w:widowControl w:val="0"/>
              <w:kinsoku/>
              <w:topLinePunct/>
              <w:autoSpaceDE/>
              <w:autoSpaceDN/>
              <w:spacing w:line="251" w:lineRule="auto"/>
              <w:jc w:val="center"/>
              <w:rPr>
                <w:rFonts w:hint="eastAsia" w:ascii="宋体" w:hAnsi="宋体" w:eastAsia="宋体" w:cs="宋体"/>
                <w:strike/>
                <w:color w:val="auto"/>
                <w:lang w:eastAsia="zh-CN"/>
              </w:rPr>
            </w:pPr>
          </w:p>
          <w:p w14:paraId="2A97AF67">
            <w:pPr>
              <w:widowControl w:val="0"/>
              <w:kinsoku/>
              <w:topLinePunct/>
              <w:autoSpaceDE/>
              <w:autoSpaceDN/>
              <w:spacing w:line="252" w:lineRule="auto"/>
              <w:jc w:val="center"/>
              <w:rPr>
                <w:rFonts w:hint="eastAsia" w:ascii="宋体" w:hAnsi="宋体" w:eastAsia="宋体" w:cs="宋体"/>
                <w:strike/>
                <w:color w:val="auto"/>
                <w:lang w:eastAsia="zh-CN"/>
              </w:rPr>
            </w:pPr>
          </w:p>
          <w:p w14:paraId="1830DC69">
            <w:pPr>
              <w:pStyle w:val="21"/>
              <w:widowControl w:val="0"/>
              <w:kinsoku/>
              <w:topLinePunct/>
              <w:autoSpaceDE/>
              <w:autoSpaceDN/>
              <w:spacing w:before="69" w:line="221" w:lineRule="auto"/>
              <w:jc w:val="center"/>
              <w:rPr>
                <w:rFonts w:hint="eastAsia"/>
                <w:strike/>
                <w:color w:val="auto"/>
                <w:sz w:val="21"/>
                <w:szCs w:val="21"/>
                <w:lang w:eastAsia="zh-CN"/>
              </w:rPr>
            </w:pPr>
            <w:r>
              <w:rPr>
                <w:strike/>
                <w:color w:val="auto"/>
                <w:sz w:val="21"/>
                <w:szCs w:val="21"/>
                <w:lang w:eastAsia="zh-CN"/>
              </w:rPr>
              <w:t>定标要素及具体内容</w:t>
            </w:r>
          </w:p>
          <w:p w14:paraId="25846164">
            <w:pPr>
              <w:pStyle w:val="21"/>
              <w:widowControl w:val="0"/>
              <w:kinsoku/>
              <w:topLinePunct/>
              <w:autoSpaceDE/>
              <w:autoSpaceDN/>
              <w:spacing w:before="69" w:line="221" w:lineRule="auto"/>
              <w:jc w:val="center"/>
              <w:rPr>
                <w:rFonts w:hint="eastAsia"/>
                <w:strike/>
                <w:color w:val="auto"/>
                <w:sz w:val="21"/>
                <w:szCs w:val="21"/>
                <w:lang w:eastAsia="zh-CN"/>
              </w:rPr>
            </w:pPr>
          </w:p>
          <w:p w14:paraId="62990A79">
            <w:pPr>
              <w:pStyle w:val="21"/>
              <w:widowControl w:val="0"/>
              <w:kinsoku/>
              <w:topLinePunct/>
              <w:autoSpaceDE/>
              <w:autoSpaceDN/>
              <w:spacing w:before="69" w:line="221" w:lineRule="auto"/>
              <w:jc w:val="center"/>
              <w:rPr>
                <w:rFonts w:hint="eastAsia"/>
                <w:strike/>
                <w:color w:val="auto"/>
                <w:sz w:val="21"/>
                <w:szCs w:val="21"/>
                <w:lang w:eastAsia="zh-CN"/>
              </w:rPr>
            </w:pPr>
          </w:p>
          <w:p w14:paraId="2433B94C">
            <w:pPr>
              <w:pStyle w:val="21"/>
              <w:widowControl w:val="0"/>
              <w:kinsoku/>
              <w:topLinePunct/>
              <w:autoSpaceDE/>
              <w:autoSpaceDN/>
              <w:spacing w:before="69" w:line="221" w:lineRule="auto"/>
              <w:jc w:val="center"/>
              <w:rPr>
                <w:rFonts w:hint="eastAsia"/>
                <w:strike/>
                <w:color w:val="auto"/>
                <w:sz w:val="21"/>
                <w:szCs w:val="21"/>
                <w:lang w:eastAsia="zh-CN"/>
              </w:rPr>
            </w:pPr>
          </w:p>
          <w:p w14:paraId="6F585D51">
            <w:pPr>
              <w:pStyle w:val="21"/>
              <w:widowControl w:val="0"/>
              <w:kinsoku/>
              <w:topLinePunct/>
              <w:autoSpaceDE/>
              <w:autoSpaceDN/>
              <w:spacing w:before="69" w:line="221" w:lineRule="auto"/>
              <w:jc w:val="center"/>
              <w:rPr>
                <w:rFonts w:hint="eastAsia"/>
                <w:strike/>
                <w:color w:val="auto"/>
                <w:sz w:val="21"/>
                <w:szCs w:val="21"/>
                <w:lang w:eastAsia="zh-CN"/>
              </w:rPr>
            </w:pPr>
          </w:p>
          <w:p w14:paraId="2C00DBEC">
            <w:pPr>
              <w:pStyle w:val="21"/>
              <w:widowControl w:val="0"/>
              <w:kinsoku/>
              <w:topLinePunct/>
              <w:autoSpaceDE/>
              <w:autoSpaceDN/>
              <w:spacing w:before="69" w:line="221" w:lineRule="auto"/>
              <w:jc w:val="center"/>
              <w:rPr>
                <w:rFonts w:hint="eastAsia"/>
                <w:strike/>
                <w:color w:val="auto"/>
                <w:sz w:val="21"/>
                <w:szCs w:val="21"/>
                <w:lang w:eastAsia="zh-CN"/>
              </w:rPr>
            </w:pPr>
          </w:p>
          <w:p w14:paraId="3801AB00">
            <w:pPr>
              <w:pStyle w:val="21"/>
              <w:widowControl w:val="0"/>
              <w:kinsoku/>
              <w:topLinePunct/>
              <w:autoSpaceDE/>
              <w:autoSpaceDN/>
              <w:spacing w:before="69" w:line="221" w:lineRule="auto"/>
              <w:jc w:val="center"/>
              <w:rPr>
                <w:rFonts w:hint="eastAsia"/>
                <w:strike/>
                <w:color w:val="auto"/>
                <w:sz w:val="21"/>
                <w:szCs w:val="21"/>
                <w:lang w:eastAsia="zh-CN"/>
              </w:rPr>
            </w:pPr>
          </w:p>
          <w:p w14:paraId="3309F6AB">
            <w:pPr>
              <w:pStyle w:val="21"/>
              <w:widowControl w:val="0"/>
              <w:kinsoku/>
              <w:topLinePunct/>
              <w:autoSpaceDE/>
              <w:autoSpaceDN/>
              <w:spacing w:before="69" w:line="221" w:lineRule="auto"/>
              <w:jc w:val="center"/>
              <w:rPr>
                <w:rFonts w:hint="eastAsia"/>
                <w:strike/>
                <w:color w:val="auto"/>
                <w:sz w:val="21"/>
                <w:szCs w:val="21"/>
                <w:lang w:eastAsia="zh-CN"/>
              </w:rPr>
            </w:pPr>
          </w:p>
          <w:p w14:paraId="2048C588">
            <w:pPr>
              <w:widowControl w:val="0"/>
              <w:kinsoku/>
              <w:topLinePunct/>
              <w:autoSpaceDE/>
              <w:autoSpaceDN/>
              <w:spacing w:line="243" w:lineRule="auto"/>
              <w:jc w:val="center"/>
              <w:rPr>
                <w:rFonts w:hint="eastAsia" w:ascii="宋体" w:hAnsi="宋体" w:eastAsia="宋体" w:cs="宋体"/>
                <w:strike/>
                <w:color w:val="auto"/>
                <w:lang w:eastAsia="zh-CN"/>
              </w:rPr>
            </w:pPr>
            <w:r>
              <w:rPr>
                <w:strike/>
                <w:color w:val="auto"/>
                <w:lang w:eastAsia="zh-CN"/>
              </w:rPr>
              <w:t>定标办法</w:t>
            </w:r>
          </w:p>
          <w:p w14:paraId="22CEA9DB">
            <w:pPr>
              <w:widowControl w:val="0"/>
              <w:kinsoku/>
              <w:topLinePunct/>
              <w:autoSpaceDE/>
              <w:autoSpaceDN/>
              <w:spacing w:line="243" w:lineRule="auto"/>
              <w:jc w:val="center"/>
              <w:rPr>
                <w:rFonts w:hint="eastAsia" w:ascii="宋体" w:hAnsi="宋体" w:eastAsia="宋体" w:cs="宋体"/>
                <w:strike/>
                <w:color w:val="auto"/>
                <w:lang w:eastAsia="zh-CN"/>
              </w:rPr>
            </w:pPr>
          </w:p>
          <w:p w14:paraId="6D56F9EB">
            <w:pPr>
              <w:widowControl w:val="0"/>
              <w:kinsoku/>
              <w:topLinePunct/>
              <w:autoSpaceDE/>
              <w:autoSpaceDN/>
              <w:spacing w:line="243" w:lineRule="auto"/>
              <w:jc w:val="center"/>
              <w:rPr>
                <w:rFonts w:hint="eastAsia" w:ascii="宋体" w:hAnsi="宋体" w:eastAsia="宋体" w:cs="宋体"/>
                <w:strike/>
                <w:color w:val="auto"/>
                <w:lang w:eastAsia="zh-CN"/>
              </w:rPr>
            </w:pPr>
          </w:p>
          <w:p w14:paraId="3CBE9186">
            <w:pPr>
              <w:pStyle w:val="21"/>
              <w:widowControl w:val="0"/>
              <w:kinsoku/>
              <w:topLinePunct/>
              <w:autoSpaceDE/>
              <w:autoSpaceDN/>
              <w:jc w:val="center"/>
              <w:rPr>
                <w:rFonts w:hint="eastAsia"/>
                <w:strike/>
                <w:color w:val="auto"/>
                <w:sz w:val="21"/>
                <w:szCs w:val="21"/>
                <w:lang w:eastAsia="zh-CN"/>
              </w:rPr>
            </w:pPr>
          </w:p>
        </w:tc>
        <w:tc>
          <w:tcPr>
            <w:tcW w:w="6243" w:type="dxa"/>
            <w:tcBorders>
              <w:top w:val="single" w:color="auto" w:sz="4" w:space="0"/>
              <w:bottom w:val="single" w:color="000000" w:sz="6" w:space="0"/>
              <w:right w:val="single" w:color="000000" w:sz="6" w:space="0"/>
            </w:tcBorders>
          </w:tcPr>
          <w:p w14:paraId="75E1A3E8">
            <w:pPr>
              <w:pStyle w:val="21"/>
              <w:widowControl w:val="0"/>
              <w:kinsoku/>
              <w:topLinePunct/>
              <w:autoSpaceDE/>
              <w:autoSpaceDN/>
              <w:ind w:left="105" w:leftChars="50" w:right="105" w:rightChars="50"/>
              <w:jc w:val="both"/>
              <w:rPr>
                <w:rFonts w:hint="eastAsia" w:ascii="等线" w:hAnsi="等线" w:eastAsia="等线" w:cs="等线"/>
                <w:strike/>
                <w:color w:val="auto"/>
                <w:sz w:val="21"/>
                <w:szCs w:val="21"/>
                <w:lang w:eastAsia="zh-CN"/>
              </w:rPr>
            </w:pPr>
            <w:r>
              <w:rPr>
                <w:strike/>
                <w:color w:val="auto"/>
                <w:sz w:val="21"/>
                <w:szCs w:val="21"/>
                <w:lang w:eastAsia="zh-CN"/>
              </w:rPr>
              <w:t>定标委员会由       人（不少于5人）组成。</w:t>
            </w:r>
          </w:p>
          <w:p w14:paraId="6C5A0080">
            <w:pPr>
              <w:pStyle w:val="21"/>
              <w:widowControl w:val="0"/>
              <w:kinsoku/>
              <w:topLinePunct/>
              <w:autoSpaceDE/>
              <w:autoSpaceDN/>
              <w:ind w:left="105" w:leftChars="50" w:right="105" w:rightChars="50"/>
              <w:jc w:val="both"/>
              <w:rPr>
                <w:rFonts w:hint="eastAsia" w:ascii="等线" w:hAnsi="等线" w:eastAsia="等线" w:cs="等线"/>
                <w:strike/>
                <w:color w:val="auto"/>
                <w:sz w:val="21"/>
                <w:szCs w:val="21"/>
                <w:lang w:eastAsia="zh-CN"/>
              </w:rPr>
            </w:pPr>
          </w:p>
          <w:p w14:paraId="53D22D34">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1.  定标时间：             。</w:t>
            </w:r>
          </w:p>
          <w:p w14:paraId="411D03B9">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2.  定标地点：              。</w:t>
            </w:r>
          </w:p>
          <w:p w14:paraId="1124B643">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 招标人根据相关规定在评标结果公示结束后10 日内召开定标会议）</w:t>
            </w:r>
          </w:p>
          <w:p w14:paraId="4870EAF3">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p>
          <w:p w14:paraId="2EF2587A">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是否组织考察  □是 □否</w:t>
            </w:r>
          </w:p>
          <w:p w14:paraId="2238FEE3">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是否组织质询  □是 □否</w:t>
            </w:r>
          </w:p>
          <w:p w14:paraId="7F9717A3">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考察、质询小组由       人（3人及以上单数）组成。</w:t>
            </w:r>
          </w:p>
          <w:p w14:paraId="6272CBDD">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p>
          <w:p w14:paraId="6903BCAB">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p>
          <w:p w14:paraId="4F69CEBA">
            <w:pPr>
              <w:pStyle w:val="21"/>
              <w:widowControl w:val="0"/>
              <w:kinsoku/>
              <w:topLinePunct/>
              <w:autoSpaceDE/>
              <w:autoSpaceDN/>
              <w:ind w:left="105" w:leftChars="50" w:right="105" w:rightChars="50" w:firstLine="210" w:firstLineChars="10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是否定标现场面试  □是 □否</w:t>
            </w:r>
          </w:p>
          <w:p w14:paraId="292C90E9">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面试人员             。</w:t>
            </w:r>
          </w:p>
          <w:p w14:paraId="2DBFFE3B">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p>
          <w:p w14:paraId="3988F121">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□1.价格因素：                 。</w:t>
            </w:r>
          </w:p>
          <w:p w14:paraId="559754B5">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□2.企业实力：                 。</w:t>
            </w:r>
          </w:p>
          <w:p w14:paraId="299975CD">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□3.企业信誉：                 。</w:t>
            </w:r>
          </w:p>
          <w:p w14:paraId="7F490F56">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□4.投标方案：                 。</w:t>
            </w:r>
          </w:p>
          <w:p w14:paraId="30DE5C97">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□5.拟派团队能力与水平：                    。</w:t>
            </w:r>
          </w:p>
          <w:p w14:paraId="5D92DA8E">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□6.招标人认为需要考量的其他因素：          。</w:t>
            </w:r>
          </w:p>
          <w:p w14:paraId="65D76149">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p>
          <w:p w14:paraId="12BC1659">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p>
          <w:p w14:paraId="54B20C3A">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p>
          <w:p w14:paraId="4D8BFA3E">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□票决法；</w:t>
            </w:r>
          </w:p>
          <w:p w14:paraId="0E0BE8F4">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□集体议事法；</w:t>
            </w:r>
          </w:p>
          <w:p w14:paraId="79F4969A">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□摇号定标法；</w:t>
            </w:r>
          </w:p>
          <w:p w14:paraId="37429A77">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□其他定标办法：          。</w:t>
            </w:r>
          </w:p>
          <w:p w14:paraId="112C9F46">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p>
          <w:p w14:paraId="77E70450">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按原定标方法确定中标人 其他情形：            。</w:t>
            </w:r>
          </w:p>
          <w:p w14:paraId="749D60A1">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p>
          <w:p w14:paraId="5490EC29">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重新定标</w:t>
            </w:r>
          </w:p>
          <w:p w14:paraId="56C0BB7B">
            <w:pPr>
              <w:pStyle w:val="21"/>
              <w:widowControl w:val="0"/>
              <w:kinsoku/>
              <w:topLinePunct/>
              <w:autoSpaceDE/>
              <w:autoSpaceDN/>
              <w:ind w:left="105" w:leftChars="50" w:right="105" w:rightChars="50"/>
              <w:jc w:val="both"/>
              <w:rPr>
                <w:rFonts w:hint="eastAsia" w:asciiTheme="minorEastAsia" w:hAnsiTheme="minorEastAsia" w:eastAsiaTheme="minorEastAsia" w:cstheme="minorEastAsia"/>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其他情形：             。</w:t>
            </w:r>
          </w:p>
          <w:p w14:paraId="3AE54EAD">
            <w:pPr>
              <w:pStyle w:val="21"/>
              <w:widowControl w:val="0"/>
              <w:kinsoku/>
              <w:topLinePunct/>
              <w:autoSpaceDE/>
              <w:autoSpaceDN/>
              <w:ind w:left="105" w:leftChars="50" w:right="105" w:rightChars="50"/>
              <w:jc w:val="both"/>
              <w:rPr>
                <w:rFonts w:hint="eastAsia" w:ascii="等线" w:hAnsi="等线" w:eastAsia="等线" w:cs="等线"/>
                <w:strike/>
                <w:color w:val="auto"/>
                <w:sz w:val="21"/>
                <w:szCs w:val="21"/>
                <w:lang w:eastAsia="zh-CN"/>
              </w:rPr>
            </w:pPr>
            <w:r>
              <w:rPr>
                <w:rFonts w:hint="eastAsia" w:asciiTheme="minorEastAsia" w:hAnsiTheme="minorEastAsia" w:eastAsiaTheme="minorEastAsia" w:cstheme="minorEastAsia"/>
                <w:strike/>
                <w:color w:val="auto"/>
                <w:sz w:val="21"/>
                <w:szCs w:val="21"/>
                <w:lang w:eastAsia="zh-CN"/>
              </w:rPr>
              <w:t>注：采用“评定分离”的招标人应勾选该条款，且应根据项目实际和“评定分离”工作方法完善该条款。</w:t>
            </w:r>
          </w:p>
        </w:tc>
      </w:tr>
      <w:tr w14:paraId="41181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73C2E34C">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7.3.1</w:t>
            </w:r>
          </w:p>
        </w:tc>
        <w:tc>
          <w:tcPr>
            <w:tcW w:w="2276" w:type="dxa"/>
            <w:vAlign w:val="center"/>
          </w:tcPr>
          <w:p w14:paraId="1696CFE0">
            <w:pPr>
              <w:pStyle w:val="21"/>
              <w:widowControl w:val="0"/>
              <w:kinsoku/>
              <w:topLinePunct/>
              <w:autoSpaceDE/>
              <w:autoSpaceDN/>
              <w:jc w:val="center"/>
              <w:rPr>
                <w:rFonts w:hint="eastAsia"/>
                <w:color w:val="auto"/>
                <w:sz w:val="21"/>
                <w:szCs w:val="21"/>
                <w:lang w:eastAsia="zh-CN"/>
              </w:rPr>
            </w:pPr>
            <w:r>
              <w:rPr>
                <w:color w:val="auto"/>
                <w:sz w:val="21"/>
                <w:szCs w:val="21"/>
                <w:lang w:eastAsia="zh-CN"/>
              </w:rPr>
              <w:t>履约担保及民工工资支付担保</w:t>
            </w:r>
          </w:p>
        </w:tc>
        <w:tc>
          <w:tcPr>
            <w:tcW w:w="6243" w:type="dxa"/>
            <w:tcBorders>
              <w:right w:val="single" w:color="000000" w:sz="6" w:space="0"/>
            </w:tcBorders>
          </w:tcPr>
          <w:p w14:paraId="32B18231">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担保的形式：现金或银行保函或保险机构保证保险保单或融资担保公司保函。</w:t>
            </w:r>
          </w:p>
          <w:p w14:paraId="5EDC6605">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履约担保的金额（不含民工工资支付担保）：合同价格（扣除预留金后）的</w:t>
            </w:r>
            <w:r>
              <w:rPr>
                <w:rFonts w:hint="eastAsia"/>
                <w:color w:val="auto"/>
                <w:sz w:val="21"/>
                <w:szCs w:val="21"/>
                <w:u w:val="single"/>
                <w:lang w:eastAsia="zh-CN"/>
              </w:rPr>
              <w:t>2</w:t>
            </w:r>
            <w:r>
              <w:rPr>
                <w:rFonts w:ascii="Times New Roman" w:hAnsi="Times New Roman" w:eastAsia="Times New Roman" w:cs="Times New Roman"/>
                <w:color w:val="auto"/>
                <w:sz w:val="21"/>
                <w:szCs w:val="21"/>
                <w:lang w:eastAsia="zh-CN"/>
              </w:rPr>
              <w:t>%</w:t>
            </w:r>
            <w:r>
              <w:rPr>
                <w:rFonts w:hint="eastAsia"/>
                <w:i/>
                <w:iCs/>
                <w:color w:val="auto"/>
                <w:sz w:val="21"/>
                <w:szCs w:val="21"/>
                <w:lang w:eastAsia="zh-CN"/>
              </w:rPr>
              <w:t>（不得大于</w:t>
            </w:r>
            <w:r>
              <w:rPr>
                <w:rFonts w:ascii="Times New Roman" w:hAnsi="Times New Roman" w:eastAsia="Times New Roman" w:cs="Times New Roman"/>
                <w:i/>
                <w:iCs/>
                <w:color w:val="auto"/>
                <w:sz w:val="21"/>
                <w:szCs w:val="21"/>
                <w:lang w:eastAsia="zh-CN"/>
              </w:rPr>
              <w:t>2%</w:t>
            </w:r>
            <w:r>
              <w:rPr>
                <w:rFonts w:hint="eastAsia"/>
                <w:i/>
                <w:iCs/>
                <w:color w:val="auto"/>
                <w:sz w:val="21"/>
                <w:szCs w:val="21"/>
                <w:lang w:eastAsia="zh-CN"/>
              </w:rPr>
              <w:t>）</w:t>
            </w:r>
            <w:r>
              <w:rPr>
                <w:color w:val="auto"/>
                <w:sz w:val="21"/>
                <w:szCs w:val="21"/>
                <w:lang w:eastAsia="zh-CN"/>
              </w:rPr>
              <w:t>，招标人将提供相同金额的工程款支付担保。</w:t>
            </w:r>
          </w:p>
          <w:p w14:paraId="4842ADF3">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民工工资支付担保的相关约定：</w:t>
            </w:r>
            <w:r>
              <w:rPr>
                <w:rFonts w:hint="eastAsia"/>
                <w:color w:val="auto"/>
                <w:sz w:val="21"/>
                <w:szCs w:val="21"/>
                <w:u w:val="single"/>
                <w:lang w:eastAsia="zh-CN"/>
              </w:rPr>
              <w:t>必须符合《浙江省工程建设领域农民工工资保证金管理实施细则》（浙人社发〔2022〕13号）以及绍兴市的相关规定</w:t>
            </w:r>
            <w:r>
              <w:rPr>
                <w:rFonts w:hint="eastAsia"/>
                <w:color w:val="auto"/>
                <w:sz w:val="21"/>
                <w:szCs w:val="21"/>
                <w:lang w:eastAsia="zh-CN"/>
              </w:rPr>
              <w:t>。</w:t>
            </w:r>
          </w:p>
        </w:tc>
      </w:tr>
      <w:tr w14:paraId="151548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5563F698">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9.2</w:t>
            </w:r>
          </w:p>
        </w:tc>
        <w:tc>
          <w:tcPr>
            <w:tcW w:w="2276" w:type="dxa"/>
            <w:tcBorders>
              <w:bottom w:val="single" w:color="000000" w:sz="6" w:space="0"/>
            </w:tcBorders>
            <w:vAlign w:val="center"/>
          </w:tcPr>
          <w:p w14:paraId="76F812E9">
            <w:pPr>
              <w:pStyle w:val="21"/>
              <w:widowControl w:val="0"/>
              <w:kinsoku/>
              <w:topLinePunct/>
              <w:autoSpaceDE/>
              <w:autoSpaceDN/>
              <w:jc w:val="center"/>
              <w:rPr>
                <w:rFonts w:hint="eastAsia"/>
                <w:color w:val="auto"/>
                <w:sz w:val="21"/>
                <w:szCs w:val="21"/>
              </w:rPr>
            </w:pPr>
            <w:r>
              <w:rPr>
                <w:color w:val="auto"/>
                <w:sz w:val="21"/>
                <w:szCs w:val="21"/>
              </w:rPr>
              <w:t>对投标人的纪律要求</w:t>
            </w:r>
          </w:p>
        </w:tc>
        <w:tc>
          <w:tcPr>
            <w:tcW w:w="6243" w:type="dxa"/>
            <w:tcBorders>
              <w:bottom w:val="single" w:color="000000" w:sz="6" w:space="0"/>
              <w:right w:val="single" w:color="000000" w:sz="6" w:space="0"/>
            </w:tcBorders>
            <w:vAlign w:val="center"/>
          </w:tcPr>
          <w:p w14:paraId="25FA71DA">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评标委员会在评标过程中发现投标人有下列情形之一的，且经询标澄清投标人无令人信服的理由和可靠证据证明其合理性的，经半数以上成员确认，其投标文件按否决投标处理，不再对其进行评审，也不影响招标工程继续评标。评标结束后，评标委员会应将有上述违法嫌疑的投标文件以及相关评标分析材料及时移交招标投标行政监督部门作进一步调查处理，即使最终无法认定违法行为成立，也不影响其按否决投标处理的结果。</w:t>
            </w:r>
          </w:p>
          <w:p w14:paraId="13EE7FC1">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w:t>
            </w:r>
            <w:r>
              <w:rPr>
                <w:color w:val="auto"/>
                <w:sz w:val="21"/>
                <w:szCs w:val="21"/>
                <w:lang w:eastAsia="zh-CN"/>
              </w:rPr>
              <w:t>）投标人挂靠其他施工单位。</w:t>
            </w:r>
          </w:p>
          <w:p w14:paraId="3FA7D47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2</w:t>
            </w:r>
            <w:r>
              <w:rPr>
                <w:color w:val="auto"/>
                <w:sz w:val="21"/>
                <w:szCs w:val="21"/>
                <w:lang w:eastAsia="zh-CN"/>
              </w:rPr>
              <w:t>）投标人从其他施工单位通过受让或租借的方式获取资格或资质证书。</w:t>
            </w:r>
          </w:p>
          <w:p w14:paraId="248FED9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3</w:t>
            </w:r>
            <w:r>
              <w:rPr>
                <w:color w:val="auto"/>
                <w:sz w:val="21"/>
                <w:szCs w:val="21"/>
                <w:lang w:eastAsia="zh-CN"/>
              </w:rPr>
              <w:t>）由其他单位及其法定代表人在自己编制的投标文件上加盖印章或签字的行为。</w:t>
            </w:r>
          </w:p>
          <w:p w14:paraId="409BAC4D">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4</w:t>
            </w:r>
            <w:r>
              <w:rPr>
                <w:color w:val="auto"/>
                <w:sz w:val="21"/>
                <w:szCs w:val="21"/>
                <w:lang w:eastAsia="zh-CN"/>
              </w:rPr>
              <w:t>）投标人的法定代表人的委托代理人不是投标人本单位人员。</w:t>
            </w:r>
          </w:p>
          <w:p w14:paraId="2F2DE103">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5</w:t>
            </w:r>
            <w:r>
              <w:rPr>
                <w:color w:val="auto"/>
                <w:sz w:val="21"/>
                <w:szCs w:val="21"/>
                <w:lang w:eastAsia="zh-CN"/>
              </w:rPr>
              <w:t>）投标人拟在施工现场所设项目管理机构的项目负责人、技术负责人</w:t>
            </w:r>
            <w:r>
              <w:rPr>
                <w:strike/>
                <w:color w:val="auto"/>
                <w:sz w:val="21"/>
                <w:szCs w:val="21"/>
                <w:lang w:eastAsia="zh-CN"/>
              </w:rPr>
              <w:t>、副项目负责人（若有）</w:t>
            </w:r>
            <w:r>
              <w:rPr>
                <w:color w:val="auto"/>
                <w:sz w:val="21"/>
                <w:szCs w:val="21"/>
                <w:lang w:eastAsia="zh-CN"/>
              </w:rPr>
              <w:t>、专职安全生产管理人员之一不是本单位人员。（上述人员社保信息或注册单位信息与投标单位不一致或同时存在多个单位的社保缴纳记录）。</w:t>
            </w:r>
          </w:p>
          <w:p w14:paraId="0E1DFE2B">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6</w:t>
            </w:r>
            <w:r>
              <w:rPr>
                <w:color w:val="auto"/>
                <w:sz w:val="21"/>
                <w:szCs w:val="21"/>
                <w:lang w:eastAsia="zh-CN"/>
              </w:rPr>
              <w:t>）投标人之间协商投标报价等投标文件的实质性内容。</w:t>
            </w:r>
          </w:p>
          <w:p w14:paraId="2FAC757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7</w:t>
            </w:r>
            <w:r>
              <w:rPr>
                <w:color w:val="auto"/>
                <w:sz w:val="21"/>
                <w:szCs w:val="21"/>
                <w:lang w:eastAsia="zh-CN"/>
              </w:rPr>
              <w:t>）投标人之间约定中标人。</w:t>
            </w:r>
          </w:p>
          <w:p w14:paraId="06221DE9">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8</w:t>
            </w:r>
            <w:r>
              <w:rPr>
                <w:color w:val="auto"/>
                <w:sz w:val="21"/>
                <w:szCs w:val="21"/>
                <w:lang w:eastAsia="zh-CN"/>
              </w:rPr>
              <w:t>）投标人之间约定部分投标人放弃投标或者中标。</w:t>
            </w:r>
          </w:p>
          <w:p w14:paraId="65E22D6A">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9</w:t>
            </w:r>
            <w:r>
              <w:rPr>
                <w:color w:val="auto"/>
                <w:sz w:val="21"/>
                <w:szCs w:val="21"/>
                <w:lang w:eastAsia="zh-CN"/>
              </w:rPr>
              <w:t>）属于同一集团、协会、商会等组织成员的投标人按照该组织要求协同投标。</w:t>
            </w:r>
          </w:p>
          <w:p w14:paraId="30F51712">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10</w:t>
            </w:r>
            <w:r>
              <w:rPr>
                <w:color w:val="auto"/>
                <w:sz w:val="21"/>
                <w:szCs w:val="21"/>
                <w:lang w:eastAsia="zh-CN"/>
              </w:rPr>
              <w:t>）投标人之间为谋取中标或者排斥特定投标人而采取的其他联合行动。</w:t>
            </w:r>
          </w:p>
          <w:p w14:paraId="4582E608">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11</w:t>
            </w:r>
            <w:r>
              <w:rPr>
                <w:color w:val="auto"/>
                <w:sz w:val="21"/>
                <w:szCs w:val="21"/>
                <w:lang w:eastAsia="zh-CN"/>
              </w:rPr>
              <w:t>）不同投标人的投标文件由同一单位或者个人编制。电子招投标过程中不同投标人的投标文件制作机器码一致或文件创建标识码（或制作码、检测码）或造价锁号相同的。</w:t>
            </w:r>
          </w:p>
          <w:p w14:paraId="49BF883D">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12</w:t>
            </w:r>
            <w:r>
              <w:rPr>
                <w:color w:val="auto"/>
                <w:sz w:val="21"/>
                <w:szCs w:val="21"/>
                <w:lang w:eastAsia="zh-CN"/>
              </w:rPr>
              <w:t>）不同投标人委托同一单位或者个人办理投标事宜。电子招投标过程中不同投标人从同一投标单位或同一自然人的</w:t>
            </w:r>
            <w:r>
              <w:rPr>
                <w:rFonts w:ascii="Times New Roman" w:hAnsi="Times New Roman" w:eastAsia="Times New Roman" w:cs="Times New Roman"/>
                <w:color w:val="auto"/>
                <w:sz w:val="21"/>
                <w:szCs w:val="21"/>
                <w:lang w:eastAsia="zh-CN"/>
              </w:rPr>
              <w:t>IP</w:t>
            </w:r>
            <w:r>
              <w:rPr>
                <w:color w:val="auto"/>
                <w:sz w:val="21"/>
                <w:szCs w:val="21"/>
                <w:lang w:eastAsia="zh-CN"/>
              </w:rPr>
              <w:t>地址下载招标文件、上传投标文件、购买电子保函或参加投标活动的人员为同一标段其他投标人的在职人员的。</w:t>
            </w:r>
          </w:p>
          <w:p w14:paraId="53DA630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13</w:t>
            </w:r>
            <w:r>
              <w:rPr>
                <w:color w:val="auto"/>
                <w:sz w:val="21"/>
                <w:szCs w:val="21"/>
                <w:lang w:eastAsia="zh-CN"/>
              </w:rPr>
              <w:t>）不同投标人的投标文件载明的项目管理成员为同一人。</w:t>
            </w:r>
          </w:p>
          <w:p w14:paraId="7C14E4D7">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14</w:t>
            </w:r>
            <w:r>
              <w:rPr>
                <w:color w:val="auto"/>
                <w:sz w:val="21"/>
                <w:szCs w:val="21"/>
                <w:lang w:eastAsia="zh-CN"/>
              </w:rPr>
              <w:t>）不同投标人的投标文件异常一致或者投标报价呈规律性差异。</w:t>
            </w:r>
          </w:p>
          <w:p w14:paraId="489C173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15</w:t>
            </w:r>
            <w:r>
              <w:rPr>
                <w:color w:val="auto"/>
                <w:sz w:val="21"/>
                <w:szCs w:val="21"/>
                <w:lang w:eastAsia="zh-CN"/>
              </w:rPr>
              <w:t>）不同投标人的投标文件相互混装。</w:t>
            </w:r>
          </w:p>
          <w:p w14:paraId="2734B191">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16</w:t>
            </w:r>
            <w:r>
              <w:rPr>
                <w:color w:val="auto"/>
                <w:sz w:val="21"/>
                <w:szCs w:val="21"/>
                <w:lang w:eastAsia="zh-CN"/>
              </w:rPr>
              <w:t>）不同投标人的投标保证金从同一单位或者个人的账户转出。</w:t>
            </w:r>
          </w:p>
          <w:p w14:paraId="2B8CCDC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17</w:t>
            </w:r>
            <w:r>
              <w:rPr>
                <w:color w:val="auto"/>
                <w:sz w:val="21"/>
                <w:szCs w:val="21"/>
                <w:lang w:eastAsia="zh-CN"/>
              </w:rPr>
              <w:t>）使用伪造、变造的许可证件；或提供虚假的财务状况或者业绩；或提供虚假的项目负责人或者主要技术人员简历、劳动关系证明；或提供虚假的信用状况。</w:t>
            </w:r>
          </w:p>
          <w:p w14:paraId="53C058A3">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18</w:t>
            </w:r>
            <w:r>
              <w:rPr>
                <w:color w:val="auto"/>
                <w:sz w:val="21"/>
                <w:szCs w:val="21"/>
                <w:lang w:eastAsia="zh-CN"/>
              </w:rPr>
              <w:t>）同一标段不同投标人之间出现控股、管理关系的。</w:t>
            </w:r>
          </w:p>
        </w:tc>
      </w:tr>
      <w:tr w14:paraId="7E09C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6C825DD9">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9.5</w:t>
            </w:r>
          </w:p>
        </w:tc>
        <w:tc>
          <w:tcPr>
            <w:tcW w:w="2276" w:type="dxa"/>
            <w:tcBorders>
              <w:bottom w:val="single" w:color="000000" w:sz="6" w:space="0"/>
            </w:tcBorders>
            <w:vAlign w:val="center"/>
          </w:tcPr>
          <w:p w14:paraId="6057456A">
            <w:pPr>
              <w:pStyle w:val="21"/>
              <w:widowControl w:val="0"/>
              <w:kinsoku/>
              <w:topLinePunct/>
              <w:autoSpaceDE/>
              <w:autoSpaceDN/>
              <w:jc w:val="center"/>
              <w:rPr>
                <w:rFonts w:hint="eastAsia"/>
                <w:color w:val="auto"/>
                <w:sz w:val="21"/>
                <w:szCs w:val="21"/>
              </w:rPr>
            </w:pPr>
            <w:r>
              <w:rPr>
                <w:color w:val="auto"/>
                <w:sz w:val="21"/>
                <w:szCs w:val="21"/>
              </w:rPr>
              <w:t>异议与投诉</w:t>
            </w:r>
          </w:p>
        </w:tc>
        <w:tc>
          <w:tcPr>
            <w:tcW w:w="6243" w:type="dxa"/>
            <w:tcBorders>
              <w:bottom w:val="single" w:color="000000" w:sz="6" w:space="0"/>
              <w:right w:val="single" w:color="000000" w:sz="6" w:space="0"/>
            </w:tcBorders>
            <w:vAlign w:val="center"/>
          </w:tcPr>
          <w:p w14:paraId="0F0EEFD1">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1．异议</w:t>
            </w:r>
          </w:p>
          <w:p w14:paraId="4B12E583">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（一）潜在投标人或者其他利害关系人对招标文件有异议的，应当在投标截止时间10日前以书面形式向招标人提出。招标人应在收到异议之日起3日内作出书面答复；作出答复前，暂停招标投标活动。</w:t>
            </w:r>
          </w:p>
          <w:p w14:paraId="2EFBC276">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（二）投标人认为开标不符合有关规定的，应当在开标现场通过书面形式向招标人提出异议。招标人将当场对异议给予处理或者告知处理的办法。异议和答复应记入开标记录或者制作专门记录以存档备查。</w:t>
            </w:r>
          </w:p>
          <w:p w14:paraId="0B5FE39D">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（三）投标人及其他利害关系人对评标结果有异议的，应当在中标候选人公示期内以书面形式向招标人提出。招标人应在收到异议之日起3日内作出书面答复；作出答复前，暂停招标投标活动。</w:t>
            </w:r>
          </w:p>
          <w:p w14:paraId="78ABC118">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（四）对招标文件、开标结果和评标结果的异议，提出和答复均应通过书面形式。</w:t>
            </w:r>
          </w:p>
          <w:p w14:paraId="701BA55C">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2．投诉</w:t>
            </w:r>
          </w:p>
          <w:p w14:paraId="6FA3AD22">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投标人或者其他利害关系人认为招标投标活动不符合法律、行政法规和招标文件规定的，可以自知道或者应当知道之日起10日内向有关行政监督部门投诉。投诉应当有明确的请求和必要的证明资料，具体要求应符合《工程建设项目招标投标活动投诉处理办法》（国家发改委等七部委2004年第11号令）规定。</w:t>
            </w:r>
          </w:p>
          <w:p w14:paraId="7535F526">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就招标文件、开标和评标结果投诉的，应当先向招标人提出异议，异议答复期不计算在前款规定的期限内。</w:t>
            </w:r>
          </w:p>
          <w:p w14:paraId="320AA02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3．上述时限最后一日如遇国家法定休假日的，顺延至法定休假日后的第一个工作日。</w:t>
            </w:r>
          </w:p>
          <w:p w14:paraId="5CADC61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前款所提的应当知道起始时间界定为：1.对招标文件公告资格条件的投诉以交易平台可供下载招标文件的第一天为准；2.对除公告资格条件外招标文件其他内容的投诉以招标文件以交易平台可供下载最后一天为准；3.对开标的投诉以开标时间为准；4.对评标结果的投诉以中标候选人公示期的起始时间为准（招标人发起的投诉除外）。</w:t>
            </w:r>
          </w:p>
          <w:p w14:paraId="119436D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投诉受理机构：</w:t>
            </w:r>
            <w:r>
              <w:rPr>
                <w:rFonts w:hint="eastAsia"/>
                <w:color w:val="auto"/>
                <w:sz w:val="21"/>
                <w:szCs w:val="21"/>
                <w:u w:val="single"/>
                <w:lang w:eastAsia="zh-CN"/>
              </w:rPr>
              <w:t>绍兴市水利局，联系电话0575-88796853</w:t>
            </w:r>
            <w:r>
              <w:rPr>
                <w:rFonts w:hint="eastAsia"/>
                <w:color w:val="auto"/>
                <w:sz w:val="21"/>
                <w:szCs w:val="21"/>
                <w:lang w:eastAsia="zh-CN"/>
              </w:rPr>
              <w:t>。</w:t>
            </w:r>
          </w:p>
        </w:tc>
      </w:tr>
      <w:tr w14:paraId="78533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574E908C">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10</w:t>
            </w:r>
          </w:p>
        </w:tc>
        <w:tc>
          <w:tcPr>
            <w:tcW w:w="8519" w:type="dxa"/>
            <w:gridSpan w:val="2"/>
            <w:tcBorders>
              <w:right w:val="single" w:color="000000" w:sz="6" w:space="0"/>
            </w:tcBorders>
            <w:vAlign w:val="center"/>
          </w:tcPr>
          <w:p w14:paraId="7C0C20CC">
            <w:pPr>
              <w:pStyle w:val="21"/>
              <w:widowControl w:val="0"/>
              <w:kinsoku/>
              <w:topLinePunct/>
              <w:autoSpaceDE/>
              <w:autoSpaceDN/>
              <w:jc w:val="center"/>
              <w:rPr>
                <w:rFonts w:hint="eastAsia"/>
                <w:color w:val="auto"/>
                <w:sz w:val="21"/>
                <w:szCs w:val="21"/>
              </w:rPr>
            </w:pPr>
            <w:r>
              <w:rPr>
                <w:color w:val="auto"/>
                <w:sz w:val="21"/>
                <w:szCs w:val="21"/>
              </w:rPr>
              <w:t>其他内容</w:t>
            </w:r>
          </w:p>
        </w:tc>
      </w:tr>
      <w:tr w14:paraId="4450D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2CB50241">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10.1</w:t>
            </w:r>
          </w:p>
        </w:tc>
        <w:tc>
          <w:tcPr>
            <w:tcW w:w="2276" w:type="dxa"/>
            <w:vAlign w:val="center"/>
          </w:tcPr>
          <w:p w14:paraId="3724405F">
            <w:pPr>
              <w:pStyle w:val="21"/>
              <w:widowControl w:val="0"/>
              <w:kinsoku/>
              <w:topLinePunct/>
              <w:autoSpaceDE/>
              <w:autoSpaceDN/>
              <w:jc w:val="center"/>
              <w:rPr>
                <w:rFonts w:hint="eastAsia"/>
                <w:color w:val="auto"/>
                <w:sz w:val="21"/>
                <w:szCs w:val="21"/>
              </w:rPr>
            </w:pPr>
            <w:r>
              <w:rPr>
                <w:color w:val="auto"/>
                <w:sz w:val="21"/>
                <w:szCs w:val="21"/>
              </w:rPr>
              <w:t>类似项目</w:t>
            </w:r>
          </w:p>
        </w:tc>
        <w:tc>
          <w:tcPr>
            <w:tcW w:w="6243" w:type="dxa"/>
            <w:tcBorders>
              <w:right w:val="single" w:color="000000" w:sz="6" w:space="0"/>
            </w:tcBorders>
            <w:vAlign w:val="center"/>
          </w:tcPr>
          <w:p w14:paraId="04C63E4D">
            <w:pPr>
              <w:pStyle w:val="21"/>
              <w:widowControl w:val="0"/>
              <w:kinsoku/>
              <w:topLinePunct/>
              <w:autoSpaceDE/>
              <w:autoSpaceDN/>
              <w:jc w:val="both"/>
              <w:rPr>
                <w:rFonts w:hint="eastAsia"/>
                <w:color w:val="auto"/>
                <w:sz w:val="21"/>
                <w:szCs w:val="21"/>
              </w:rPr>
            </w:pPr>
            <w:r>
              <w:rPr>
                <w:color w:val="auto"/>
                <w:sz w:val="21"/>
                <w:szCs w:val="21"/>
              </w:rPr>
              <w:t>详见招标公告。</w:t>
            </w:r>
          </w:p>
        </w:tc>
      </w:tr>
      <w:tr w14:paraId="775E0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6C2A04A2">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10.2</w:t>
            </w:r>
          </w:p>
        </w:tc>
        <w:tc>
          <w:tcPr>
            <w:tcW w:w="2276" w:type="dxa"/>
            <w:vAlign w:val="center"/>
          </w:tcPr>
          <w:p w14:paraId="2300AA46">
            <w:pPr>
              <w:pStyle w:val="21"/>
              <w:widowControl w:val="0"/>
              <w:kinsoku/>
              <w:topLinePunct/>
              <w:autoSpaceDE/>
              <w:autoSpaceDN/>
              <w:jc w:val="center"/>
              <w:rPr>
                <w:rFonts w:hint="eastAsia"/>
                <w:color w:val="auto"/>
                <w:sz w:val="21"/>
                <w:szCs w:val="21"/>
                <w:lang w:eastAsia="zh-CN"/>
              </w:rPr>
            </w:pPr>
            <w:r>
              <w:rPr>
                <w:color w:val="auto"/>
                <w:sz w:val="21"/>
                <w:szCs w:val="21"/>
                <w:lang w:eastAsia="zh-CN"/>
              </w:rPr>
              <w:t>投标文件的澄清、说明</w:t>
            </w:r>
          </w:p>
        </w:tc>
        <w:tc>
          <w:tcPr>
            <w:tcW w:w="6243" w:type="dxa"/>
            <w:tcBorders>
              <w:right w:val="single" w:color="000000" w:sz="6" w:space="0"/>
            </w:tcBorders>
            <w:vAlign w:val="center"/>
          </w:tcPr>
          <w:p w14:paraId="6B90F6CD">
            <w:pPr>
              <w:pStyle w:val="21"/>
              <w:widowControl w:val="0"/>
              <w:kinsoku/>
              <w:topLinePunct/>
              <w:autoSpaceDE/>
              <w:autoSpaceDN/>
              <w:ind w:left="210" w:leftChars="100" w:right="210" w:rightChars="100" w:firstLine="210" w:firstLineChars="100"/>
              <w:jc w:val="both"/>
              <w:rPr>
                <w:rFonts w:hint="eastAsia"/>
                <w:color w:val="auto"/>
                <w:sz w:val="21"/>
                <w:szCs w:val="21"/>
                <w:lang w:eastAsia="zh-CN"/>
              </w:rPr>
            </w:pPr>
            <w:r>
              <w:rPr>
                <w:color w:val="auto"/>
                <w:sz w:val="21"/>
                <w:szCs w:val="21"/>
                <w:lang w:eastAsia="zh-CN"/>
              </w:rPr>
              <w:t>1．若评标委员会对投标文件进行询标时，投标人应自行关注系统中评标委员会发出的澄清并及时答复，在规定的</w:t>
            </w:r>
            <w:r>
              <w:rPr>
                <w:rFonts w:hint="eastAsia"/>
                <w:color w:val="auto"/>
                <w:sz w:val="21"/>
                <w:szCs w:val="21"/>
                <w:lang w:eastAsia="zh-CN"/>
              </w:rPr>
              <w:t>30分钟</w:t>
            </w:r>
            <w:r>
              <w:rPr>
                <w:color w:val="auto"/>
                <w:sz w:val="21"/>
                <w:szCs w:val="21"/>
                <w:lang w:eastAsia="zh-CN"/>
              </w:rPr>
              <w:t>时限内予</w:t>
            </w:r>
            <w:r>
              <w:rPr>
                <w:rFonts w:hint="eastAsia"/>
                <w:color w:val="auto"/>
                <w:sz w:val="21"/>
                <w:szCs w:val="21"/>
                <w:lang w:eastAsia="zh-CN"/>
              </w:rPr>
              <w:t>以回复，</w:t>
            </w:r>
            <w:r>
              <w:rPr>
                <w:color w:val="auto"/>
                <w:sz w:val="21"/>
                <w:szCs w:val="21"/>
                <w:lang w:eastAsia="zh-CN"/>
              </w:rPr>
              <w:t>投标人逾期或未按要求澄清回复的，将视为不予回复或确认。</w:t>
            </w:r>
          </w:p>
          <w:p w14:paraId="3358F93B">
            <w:pPr>
              <w:pStyle w:val="21"/>
              <w:widowControl w:val="0"/>
              <w:kinsoku/>
              <w:topLinePunct/>
              <w:autoSpaceDE/>
              <w:autoSpaceDN/>
              <w:ind w:left="210" w:leftChars="100" w:right="210" w:rightChars="100" w:firstLine="210" w:firstLineChars="10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2</w:t>
            </w:r>
            <w:r>
              <w:rPr>
                <w:color w:val="auto"/>
                <w:sz w:val="21"/>
                <w:szCs w:val="21"/>
                <w:lang w:eastAsia="zh-CN"/>
              </w:rPr>
              <w:t>．评标委员会对投标人提交的澄清、说明或补正有疑问的，可以要求投标人进一步澄清、说明或补正，直至满足评标委员会的要求。投标人的澄清、说明不得超过投标文件的范围或者改变投标文件的实质性内容。评标委员会不得暗示或者诱导投标人作出澄清、说明，不得接受投标人主动提出的澄清、说明。</w:t>
            </w:r>
          </w:p>
        </w:tc>
      </w:tr>
      <w:tr w14:paraId="15154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6E85446A">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10.3</w:t>
            </w:r>
          </w:p>
        </w:tc>
        <w:tc>
          <w:tcPr>
            <w:tcW w:w="2276" w:type="dxa"/>
            <w:tcBorders>
              <w:bottom w:val="single" w:color="000000" w:sz="6" w:space="0"/>
            </w:tcBorders>
            <w:vAlign w:val="center"/>
          </w:tcPr>
          <w:p w14:paraId="099E893A">
            <w:pPr>
              <w:pStyle w:val="21"/>
              <w:widowControl w:val="0"/>
              <w:kinsoku/>
              <w:topLinePunct/>
              <w:autoSpaceDE/>
              <w:autoSpaceDN/>
              <w:jc w:val="center"/>
              <w:rPr>
                <w:rFonts w:hint="eastAsia"/>
                <w:color w:val="auto"/>
                <w:sz w:val="21"/>
                <w:szCs w:val="21"/>
                <w:lang w:eastAsia="zh-CN"/>
              </w:rPr>
            </w:pPr>
            <w:r>
              <w:rPr>
                <w:color w:val="auto"/>
                <w:sz w:val="21"/>
                <w:szCs w:val="21"/>
                <w:lang w:eastAsia="zh-CN"/>
              </w:rPr>
              <w:t>实质性响应招标文件资料及评审打分资料</w:t>
            </w:r>
          </w:p>
        </w:tc>
        <w:tc>
          <w:tcPr>
            <w:tcW w:w="6243" w:type="dxa"/>
            <w:tcBorders>
              <w:bottom w:val="single" w:color="000000" w:sz="6" w:space="0"/>
              <w:right w:val="single" w:color="000000" w:sz="6" w:space="0"/>
            </w:tcBorders>
            <w:vAlign w:val="center"/>
          </w:tcPr>
          <w:p w14:paraId="22032D25">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一、实质性响应招标文件资料</w:t>
            </w:r>
          </w:p>
          <w:p w14:paraId="6EE7AB52">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1．企业法人营业执照</w:t>
            </w:r>
            <w:r>
              <w:rPr>
                <w:rFonts w:hint="eastAsia"/>
                <w:strike/>
                <w:color w:val="auto"/>
                <w:sz w:val="21"/>
                <w:szCs w:val="21"/>
                <w:lang w:eastAsia="zh-CN"/>
              </w:rPr>
              <w:t>（联合体投标的，联合体各方均应提供）</w:t>
            </w:r>
            <w:r>
              <w:rPr>
                <w:rFonts w:hint="eastAsia"/>
                <w:color w:val="auto"/>
                <w:sz w:val="21"/>
                <w:szCs w:val="21"/>
                <w:lang w:eastAsia="zh-CN"/>
              </w:rPr>
              <w:t>；</w:t>
            </w:r>
          </w:p>
          <w:p w14:paraId="48A4628C">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2．有效的法定代表人授权委托书</w:t>
            </w:r>
            <w:r>
              <w:rPr>
                <w:rFonts w:hint="eastAsia"/>
                <w:i/>
                <w:iCs/>
                <w:color w:val="auto"/>
                <w:sz w:val="21"/>
                <w:szCs w:val="21"/>
                <w:lang w:eastAsia="zh-CN"/>
              </w:rPr>
              <w:t>（</w:t>
            </w:r>
            <w:r>
              <w:rPr>
                <w:rFonts w:hint="eastAsia"/>
                <w:color w:val="auto"/>
                <w:sz w:val="21"/>
                <w:szCs w:val="21"/>
                <w:lang w:eastAsia="zh-CN"/>
              </w:rPr>
              <w:t>投标文件委托代理人签字的提供</w:t>
            </w:r>
            <w:r>
              <w:rPr>
                <w:rFonts w:hint="eastAsia"/>
                <w:strike/>
                <w:color w:val="auto"/>
                <w:sz w:val="21"/>
                <w:szCs w:val="21"/>
                <w:lang w:eastAsia="zh-CN"/>
              </w:rPr>
              <w:t>，联合体投标的，应由联合体牵头人授权委托</w:t>
            </w:r>
            <w:r>
              <w:rPr>
                <w:rFonts w:hint="eastAsia"/>
                <w:i/>
                <w:iCs/>
                <w:color w:val="auto"/>
                <w:sz w:val="21"/>
                <w:szCs w:val="21"/>
                <w:lang w:eastAsia="zh-CN"/>
              </w:rPr>
              <w:t>）</w:t>
            </w:r>
            <w:r>
              <w:rPr>
                <w:rFonts w:hint="eastAsia"/>
                <w:color w:val="auto"/>
                <w:sz w:val="21"/>
                <w:szCs w:val="21"/>
                <w:lang w:eastAsia="zh-CN"/>
              </w:rPr>
              <w:t>；</w:t>
            </w:r>
          </w:p>
          <w:p w14:paraId="65657524">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strike/>
                <w:color w:val="auto"/>
                <w:sz w:val="21"/>
                <w:szCs w:val="21"/>
                <w:lang w:eastAsia="zh-CN"/>
              </w:rPr>
              <w:t>3．联合体各方签订的共同投标协议（联合体投标的提供</w:t>
            </w:r>
            <w:r>
              <w:rPr>
                <w:rFonts w:hint="eastAsia"/>
                <w:i/>
                <w:iCs/>
                <w:strike/>
                <w:color w:val="auto"/>
                <w:sz w:val="21"/>
                <w:szCs w:val="21"/>
                <w:lang w:eastAsia="zh-CN"/>
              </w:rPr>
              <w:t>）</w:t>
            </w:r>
            <w:r>
              <w:rPr>
                <w:rFonts w:hint="eastAsia"/>
                <w:color w:val="auto"/>
                <w:sz w:val="21"/>
                <w:szCs w:val="21"/>
                <w:lang w:eastAsia="zh-CN"/>
              </w:rPr>
              <w:t>；</w:t>
            </w:r>
          </w:p>
          <w:p w14:paraId="004BCF95">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4．建筑业企业资质证书；自公告发布之日至投标截止日之间在“浙江省建筑市场监管公共服务系统”上公布的参与投标施工资质的任意一期动态核查结果为“合格”的动态核查证书；</w:t>
            </w:r>
            <w:r>
              <w:rPr>
                <w:rFonts w:hint="eastAsia"/>
                <w:strike/>
                <w:color w:val="auto"/>
                <w:sz w:val="21"/>
                <w:szCs w:val="21"/>
                <w:lang w:eastAsia="zh-CN"/>
              </w:rPr>
              <w:t>（联合体投标的，联合体各方均应提供参与投标资质的“资质动态核查结果证明”）</w:t>
            </w:r>
          </w:p>
          <w:p w14:paraId="77673103">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5．企业安全生产许可证</w:t>
            </w:r>
            <w:r>
              <w:rPr>
                <w:rFonts w:hint="eastAsia"/>
                <w:strike/>
                <w:color w:val="auto"/>
                <w:sz w:val="21"/>
                <w:szCs w:val="21"/>
                <w:lang w:eastAsia="zh-CN"/>
              </w:rPr>
              <w:t>（联合体投标的，联合体各方均应提供）</w:t>
            </w:r>
            <w:r>
              <w:rPr>
                <w:rFonts w:hint="eastAsia"/>
                <w:color w:val="auto"/>
                <w:sz w:val="21"/>
                <w:szCs w:val="21"/>
                <w:lang w:eastAsia="zh-CN"/>
              </w:rPr>
              <w:t>；</w:t>
            </w:r>
          </w:p>
          <w:p w14:paraId="4CD02E89">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6．企业主要负责人（法定代表人、企业经理、企业分管安全生产的副经理、企业技术负责人）“三类人员”A类证书，企业经理、企业技术负责人、企业分管安全生产副经理企业的任命书</w:t>
            </w:r>
            <w:r>
              <w:rPr>
                <w:rFonts w:hint="eastAsia"/>
                <w:strike/>
                <w:color w:val="auto"/>
                <w:sz w:val="21"/>
                <w:szCs w:val="21"/>
                <w:lang w:eastAsia="zh-CN"/>
              </w:rPr>
              <w:t>（联合体投标的，联合体各方均应提供）</w:t>
            </w:r>
            <w:r>
              <w:rPr>
                <w:rFonts w:hint="eastAsia"/>
                <w:color w:val="auto"/>
                <w:sz w:val="21"/>
                <w:szCs w:val="21"/>
                <w:lang w:eastAsia="zh-CN"/>
              </w:rPr>
              <w:t>；</w:t>
            </w:r>
          </w:p>
          <w:p w14:paraId="69961BF4">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7．项目负责人、技术负责人（</w:t>
            </w:r>
            <w:r>
              <w:rPr>
                <w:rFonts w:hint="eastAsia"/>
                <w:i/>
                <w:iCs/>
                <w:color w:val="auto"/>
                <w:sz w:val="21"/>
                <w:szCs w:val="21"/>
                <w:lang w:eastAsia="zh-CN"/>
              </w:rPr>
              <w:t>如选择提供建造师证书</w:t>
            </w:r>
            <w:r>
              <w:rPr>
                <w:rFonts w:hint="eastAsia"/>
                <w:color w:val="auto"/>
                <w:sz w:val="21"/>
                <w:szCs w:val="21"/>
                <w:lang w:eastAsia="zh-CN"/>
              </w:rPr>
              <w:t>）</w:t>
            </w:r>
            <w:r>
              <w:rPr>
                <w:rFonts w:hint="eastAsia"/>
                <w:strike/>
                <w:color w:val="auto"/>
                <w:sz w:val="21"/>
                <w:szCs w:val="21"/>
                <w:lang w:eastAsia="zh-CN"/>
              </w:rPr>
              <w:t>、副项目负责人（如有）</w:t>
            </w:r>
            <w:r>
              <w:rPr>
                <w:rFonts w:hint="eastAsia"/>
                <w:color w:val="auto"/>
                <w:sz w:val="21"/>
                <w:szCs w:val="21"/>
                <w:lang w:eastAsia="zh-CN"/>
              </w:rPr>
              <w:t>注册执业证书；</w:t>
            </w:r>
          </w:p>
          <w:p w14:paraId="3EBB45D8">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8．技术负责人</w:t>
            </w:r>
            <w:r>
              <w:rPr>
                <w:rFonts w:hint="eastAsia"/>
                <w:i/>
                <w:iCs/>
                <w:color w:val="auto"/>
                <w:sz w:val="21"/>
                <w:szCs w:val="21"/>
                <w:lang w:eastAsia="zh-CN"/>
              </w:rPr>
              <w:t>（如选择提供职称证书）</w:t>
            </w:r>
            <w:r>
              <w:rPr>
                <w:rFonts w:hint="eastAsia"/>
                <w:strike/>
                <w:color w:val="auto"/>
                <w:sz w:val="21"/>
                <w:szCs w:val="21"/>
                <w:lang w:eastAsia="zh-CN"/>
              </w:rPr>
              <w:t>、副项目负责人（如有）</w:t>
            </w:r>
            <w:r>
              <w:rPr>
                <w:rFonts w:hint="eastAsia"/>
                <w:color w:val="auto"/>
                <w:sz w:val="21"/>
                <w:szCs w:val="21"/>
                <w:lang w:eastAsia="zh-CN"/>
              </w:rPr>
              <w:t>职称证书；</w:t>
            </w:r>
          </w:p>
          <w:p w14:paraId="31734005">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9．项目负责人“三类人员”B类证书；</w:t>
            </w:r>
          </w:p>
          <w:p w14:paraId="2D6BBD69">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10．施工现场专职安全生产管理人员“三类人员”C类证书；</w:t>
            </w:r>
          </w:p>
          <w:p w14:paraId="194E2476">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11．项目组主要人员在浙江省水利厅“浙江省水利工程建设管理系统（透明工程）”下载人员信息打印件，打印件应含有“浙江水利透明工程”水印；</w:t>
            </w:r>
          </w:p>
          <w:p w14:paraId="65D9890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12．投标承诺书（按照招标文件提供的格式条款提供）并附无行贿犯罪、失信被执行人名单查询截图（查询时间应在招标公告发布后投标截止时间前）；</w:t>
            </w:r>
          </w:p>
          <w:p w14:paraId="65699F7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□13.《中小企业声明函》（面向中小企业招标的，投标人或联合体中的中小企业需提供。按照招标文件提供的格式条款提供）。</w:t>
            </w:r>
          </w:p>
          <w:p w14:paraId="20166EB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☑14．符合招标公告要求的类似项目施工业绩证明材料；</w:t>
            </w:r>
          </w:p>
          <w:p w14:paraId="17A34DC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☑15．投标保证金缴纳证明资料（银行转账记录或银行保函或保险机构保险保单或或融资担保公司保函或保证金联保证明）；</w:t>
            </w:r>
          </w:p>
          <w:p w14:paraId="6EECCF6B">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16．项目组主要人员应提供</w:t>
            </w:r>
            <w:r>
              <w:rPr>
                <w:rFonts w:hint="eastAsia"/>
                <w:color w:val="auto"/>
                <w:sz w:val="21"/>
                <w:szCs w:val="21"/>
                <w:u w:val="single"/>
                <w:lang w:eastAsia="zh-CN"/>
              </w:rPr>
              <w:t>2026</w:t>
            </w:r>
            <w:r>
              <w:rPr>
                <w:rFonts w:hint="eastAsia"/>
                <w:color w:val="auto"/>
                <w:sz w:val="21"/>
                <w:szCs w:val="21"/>
                <w:lang w:eastAsia="zh-CN"/>
              </w:rPr>
              <w:t>年</w:t>
            </w:r>
            <w:r>
              <w:rPr>
                <w:rFonts w:hint="eastAsia"/>
                <w:color w:val="auto"/>
                <w:sz w:val="21"/>
                <w:szCs w:val="21"/>
                <w:u w:val="single"/>
                <w:lang w:eastAsia="zh-CN"/>
              </w:rPr>
              <w:t>3</w:t>
            </w:r>
            <w:r>
              <w:rPr>
                <w:rFonts w:hint="eastAsia"/>
                <w:color w:val="auto"/>
                <w:sz w:val="21"/>
                <w:szCs w:val="21"/>
                <w:lang w:eastAsia="zh-CN"/>
              </w:rPr>
              <w:t>月、</w:t>
            </w:r>
            <w:r>
              <w:rPr>
                <w:rFonts w:hint="eastAsia"/>
                <w:color w:val="auto"/>
                <w:sz w:val="21"/>
                <w:szCs w:val="21"/>
                <w:u w:val="single"/>
                <w:lang w:eastAsia="zh-CN"/>
              </w:rPr>
              <w:t>2026</w:t>
            </w:r>
            <w:r>
              <w:rPr>
                <w:rFonts w:hint="eastAsia"/>
                <w:color w:val="auto"/>
                <w:sz w:val="21"/>
                <w:szCs w:val="21"/>
                <w:lang w:eastAsia="zh-CN"/>
              </w:rPr>
              <w:t>年</w:t>
            </w:r>
            <w:r>
              <w:rPr>
                <w:rFonts w:hint="eastAsia"/>
                <w:color w:val="auto"/>
                <w:sz w:val="21"/>
                <w:szCs w:val="21"/>
                <w:u w:val="single"/>
                <w:lang w:eastAsia="zh-CN"/>
              </w:rPr>
              <w:t>4</w:t>
            </w:r>
            <w:r>
              <w:rPr>
                <w:rFonts w:hint="eastAsia"/>
                <w:color w:val="auto"/>
                <w:sz w:val="21"/>
                <w:szCs w:val="21"/>
                <w:lang w:eastAsia="zh-CN"/>
              </w:rPr>
              <w:t>月、</w:t>
            </w:r>
            <w:r>
              <w:rPr>
                <w:rFonts w:hint="eastAsia"/>
                <w:color w:val="auto"/>
                <w:sz w:val="21"/>
                <w:szCs w:val="21"/>
                <w:u w:val="single"/>
                <w:lang w:eastAsia="zh-CN"/>
              </w:rPr>
              <w:t>2026</w:t>
            </w:r>
            <w:r>
              <w:rPr>
                <w:rFonts w:hint="eastAsia"/>
                <w:color w:val="auto"/>
                <w:sz w:val="21"/>
                <w:szCs w:val="21"/>
                <w:lang w:eastAsia="zh-CN"/>
              </w:rPr>
              <w:t>年</w:t>
            </w:r>
            <w:r>
              <w:rPr>
                <w:rFonts w:hint="eastAsia"/>
                <w:color w:val="auto"/>
                <w:sz w:val="21"/>
                <w:szCs w:val="21"/>
                <w:u w:val="single"/>
                <w:lang w:eastAsia="zh-CN"/>
              </w:rPr>
              <w:t>5</w:t>
            </w:r>
            <w:r>
              <w:rPr>
                <w:rFonts w:hint="eastAsia"/>
                <w:color w:val="auto"/>
                <w:sz w:val="21"/>
                <w:szCs w:val="21"/>
                <w:lang w:eastAsia="zh-CN"/>
              </w:rPr>
              <w:t>月投标人为其缴纳的社保证明（</w:t>
            </w:r>
            <w:r>
              <w:rPr>
                <w:rFonts w:hint="eastAsia"/>
                <w:i/>
                <w:iCs/>
                <w:color w:val="auto"/>
                <w:sz w:val="21"/>
                <w:szCs w:val="21"/>
                <w:lang w:eastAsia="zh-CN"/>
              </w:rPr>
              <w:t>投标截止时间最近连续3个月</w:t>
            </w:r>
            <w:r>
              <w:rPr>
                <w:rFonts w:hint="eastAsia"/>
                <w:color w:val="auto"/>
                <w:sz w:val="21"/>
                <w:szCs w:val="21"/>
                <w:lang w:eastAsia="zh-CN"/>
              </w:rPr>
              <w:t>），否则视同不是本单位人员</w:t>
            </w:r>
            <w:r>
              <w:rPr>
                <w:rFonts w:hint="eastAsia"/>
                <w:b/>
                <w:bCs/>
                <w:color w:val="auto"/>
                <w:sz w:val="21"/>
                <w:szCs w:val="21"/>
                <w:lang w:eastAsia="zh-CN"/>
              </w:rPr>
              <w:t>。</w:t>
            </w:r>
          </w:p>
          <w:p w14:paraId="0DDE382E">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17.委托代理人（若有）应提供</w:t>
            </w:r>
            <w:r>
              <w:rPr>
                <w:rFonts w:hint="eastAsia"/>
                <w:color w:val="auto"/>
                <w:sz w:val="21"/>
                <w:szCs w:val="21"/>
                <w:u w:val="single"/>
                <w:lang w:eastAsia="zh-CN"/>
              </w:rPr>
              <w:t>2026</w:t>
            </w:r>
            <w:r>
              <w:rPr>
                <w:rFonts w:hint="eastAsia"/>
                <w:color w:val="auto"/>
                <w:sz w:val="21"/>
                <w:szCs w:val="21"/>
                <w:lang w:eastAsia="zh-CN"/>
              </w:rPr>
              <w:t>年</w:t>
            </w:r>
            <w:r>
              <w:rPr>
                <w:rFonts w:hint="eastAsia"/>
                <w:color w:val="auto"/>
                <w:sz w:val="21"/>
                <w:szCs w:val="21"/>
                <w:u w:val="single"/>
                <w:lang w:eastAsia="zh-CN"/>
              </w:rPr>
              <w:t>3</w:t>
            </w:r>
            <w:r>
              <w:rPr>
                <w:rFonts w:hint="eastAsia"/>
                <w:color w:val="auto"/>
                <w:sz w:val="21"/>
                <w:szCs w:val="21"/>
                <w:lang w:eastAsia="zh-CN"/>
              </w:rPr>
              <w:t>月、</w:t>
            </w:r>
            <w:r>
              <w:rPr>
                <w:rFonts w:hint="eastAsia"/>
                <w:color w:val="auto"/>
                <w:sz w:val="21"/>
                <w:szCs w:val="21"/>
                <w:u w:val="single"/>
                <w:lang w:eastAsia="zh-CN"/>
              </w:rPr>
              <w:t>2026</w:t>
            </w:r>
            <w:r>
              <w:rPr>
                <w:rFonts w:hint="eastAsia"/>
                <w:color w:val="auto"/>
                <w:sz w:val="21"/>
                <w:szCs w:val="21"/>
                <w:lang w:eastAsia="zh-CN"/>
              </w:rPr>
              <w:t>年</w:t>
            </w:r>
            <w:r>
              <w:rPr>
                <w:rFonts w:hint="eastAsia"/>
                <w:color w:val="auto"/>
                <w:sz w:val="21"/>
                <w:szCs w:val="21"/>
                <w:u w:val="single"/>
                <w:lang w:eastAsia="zh-CN"/>
              </w:rPr>
              <w:t>4</w:t>
            </w:r>
            <w:r>
              <w:rPr>
                <w:rFonts w:hint="eastAsia"/>
                <w:color w:val="auto"/>
                <w:sz w:val="21"/>
                <w:szCs w:val="21"/>
                <w:lang w:eastAsia="zh-CN"/>
              </w:rPr>
              <w:t>月、</w:t>
            </w:r>
            <w:r>
              <w:rPr>
                <w:rFonts w:hint="eastAsia"/>
                <w:color w:val="auto"/>
                <w:sz w:val="21"/>
                <w:szCs w:val="21"/>
                <w:u w:val="single"/>
                <w:lang w:eastAsia="zh-CN"/>
              </w:rPr>
              <w:t>2026</w:t>
            </w:r>
            <w:r>
              <w:rPr>
                <w:rFonts w:hint="eastAsia"/>
                <w:color w:val="auto"/>
                <w:sz w:val="21"/>
                <w:szCs w:val="21"/>
                <w:lang w:eastAsia="zh-CN"/>
              </w:rPr>
              <w:t>年</w:t>
            </w:r>
            <w:r>
              <w:rPr>
                <w:rFonts w:hint="eastAsia"/>
                <w:color w:val="auto"/>
                <w:sz w:val="21"/>
                <w:szCs w:val="21"/>
                <w:u w:val="single"/>
                <w:lang w:eastAsia="zh-CN"/>
              </w:rPr>
              <w:t>5</w:t>
            </w:r>
            <w:r>
              <w:rPr>
                <w:rFonts w:hint="eastAsia"/>
                <w:color w:val="auto"/>
                <w:sz w:val="21"/>
                <w:szCs w:val="21"/>
                <w:lang w:eastAsia="zh-CN"/>
              </w:rPr>
              <w:t>月投标人为其缴纳的社保证明（</w:t>
            </w:r>
            <w:r>
              <w:rPr>
                <w:rFonts w:hint="eastAsia"/>
                <w:i/>
                <w:iCs/>
                <w:color w:val="auto"/>
                <w:sz w:val="21"/>
                <w:szCs w:val="21"/>
                <w:lang w:eastAsia="zh-CN"/>
              </w:rPr>
              <w:t>投标截止时间最近连续3个月</w:t>
            </w:r>
            <w:r>
              <w:rPr>
                <w:rFonts w:hint="eastAsia"/>
                <w:color w:val="auto"/>
                <w:sz w:val="21"/>
                <w:szCs w:val="21"/>
                <w:lang w:eastAsia="zh-CN"/>
              </w:rPr>
              <w:t>），否则视同不是本单位人员</w:t>
            </w:r>
            <w:r>
              <w:rPr>
                <w:rFonts w:hint="eastAsia"/>
                <w:b/>
                <w:bCs/>
                <w:color w:val="auto"/>
                <w:sz w:val="21"/>
                <w:szCs w:val="21"/>
                <w:lang w:eastAsia="zh-CN"/>
              </w:rPr>
              <w:t>。</w:t>
            </w:r>
          </w:p>
          <w:p w14:paraId="211DFD6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18.工程量清单报价表封面由注册一级造价工程师（水利工程）或浙江省二级造价工程师（水利工程）签字并加盖执业专用章，并提供造价工程师注册证书。投标人可委托工程造价咨询人编制投标报价，并提供委托合同。</w:t>
            </w:r>
          </w:p>
          <w:p w14:paraId="168E1C5A">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strike/>
                <w:color w:val="auto"/>
                <w:sz w:val="21"/>
                <w:szCs w:val="21"/>
                <w:u w:val="single"/>
                <w:lang w:eastAsia="zh-CN"/>
              </w:rPr>
              <w:t>　　　　　　　　　　　　　　　　　　　　</w:t>
            </w:r>
            <w:r>
              <w:rPr>
                <w:rFonts w:hint="eastAsia"/>
                <w:i/>
                <w:iCs/>
                <w:strike/>
                <w:color w:val="auto"/>
                <w:sz w:val="21"/>
                <w:szCs w:val="21"/>
                <w:lang w:eastAsia="zh-CN"/>
              </w:rPr>
              <w:t>（招标人认为需要增加的其他符合法律法规规定的实质性响应资料）</w:t>
            </w:r>
          </w:p>
          <w:p w14:paraId="64E25F51">
            <w:pPr>
              <w:widowControl w:val="0"/>
              <w:kinsoku/>
              <w:topLinePunct/>
              <w:autoSpaceDE/>
              <w:autoSpaceDN/>
              <w:ind w:left="105" w:leftChars="50" w:right="105" w:rightChars="50" w:firstLine="210" w:firstLineChars="100"/>
              <w:jc w:val="both"/>
              <w:rPr>
                <w:rFonts w:hint="eastAsia" w:ascii="宋体" w:hAnsi="宋体" w:eastAsia="宋体" w:cs="宋体"/>
                <w:color w:val="auto"/>
                <w:lang w:eastAsia="zh-CN"/>
              </w:rPr>
            </w:pPr>
          </w:p>
          <w:p w14:paraId="5B6F9039">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☑二、评审打分资料：</w:t>
            </w:r>
            <w:r>
              <w:rPr>
                <w:rFonts w:hint="eastAsia"/>
                <w:i/>
                <w:iCs/>
                <w:color w:val="auto"/>
                <w:sz w:val="21"/>
                <w:szCs w:val="21"/>
                <w:lang w:eastAsia="zh-CN"/>
              </w:rPr>
              <w:t>（详见评标办法要求，未提供的不予评分）</w:t>
            </w:r>
          </w:p>
          <w:p w14:paraId="61FCC6D4">
            <w:pPr>
              <w:pStyle w:val="21"/>
              <w:widowControl w:val="0"/>
              <w:tabs>
                <w:tab w:val="left" w:pos="730"/>
              </w:tabs>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u w:val="single"/>
                <w:lang w:eastAsia="zh-CN"/>
              </w:rPr>
              <w:t>根据评标办法要求提供</w:t>
            </w:r>
          </w:p>
          <w:p w14:paraId="396490FA">
            <w:pPr>
              <w:widowControl w:val="0"/>
              <w:kinsoku/>
              <w:topLinePunct/>
              <w:autoSpaceDE/>
              <w:autoSpaceDN/>
              <w:ind w:left="105" w:leftChars="50" w:right="105" w:rightChars="50" w:firstLine="210" w:firstLineChars="100"/>
              <w:jc w:val="both"/>
              <w:rPr>
                <w:rFonts w:hint="eastAsia" w:ascii="宋体" w:hAnsi="宋体" w:eastAsia="宋体" w:cs="宋体"/>
                <w:color w:val="auto"/>
                <w:lang w:eastAsia="zh-CN"/>
              </w:rPr>
            </w:pPr>
          </w:p>
          <w:p w14:paraId="621A981E">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以上一、二条涉及证书均应在有效期内（已在有效期外尚在办理延期过程中的视为无效）。资料应在投标文件中附复制件，并加盖投标人公章。</w:t>
            </w:r>
          </w:p>
          <w:p w14:paraId="314A93D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退休人员应提供：退休证明（退休证或退休审批表）、退休返聘协议。</w:t>
            </w:r>
          </w:p>
        </w:tc>
      </w:tr>
      <w:tr w14:paraId="37885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6D85AFC8">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10.4</w:t>
            </w:r>
          </w:p>
        </w:tc>
        <w:tc>
          <w:tcPr>
            <w:tcW w:w="2276" w:type="dxa"/>
            <w:vAlign w:val="center"/>
          </w:tcPr>
          <w:p w14:paraId="3CB58F9B">
            <w:pPr>
              <w:pStyle w:val="21"/>
              <w:widowControl w:val="0"/>
              <w:kinsoku/>
              <w:topLinePunct/>
              <w:autoSpaceDE/>
              <w:autoSpaceDN/>
              <w:jc w:val="center"/>
              <w:rPr>
                <w:rFonts w:hint="eastAsia"/>
                <w:color w:val="auto"/>
                <w:sz w:val="21"/>
                <w:szCs w:val="21"/>
                <w:lang w:eastAsia="zh-CN"/>
              </w:rPr>
            </w:pPr>
            <w:r>
              <w:rPr>
                <w:color w:val="auto"/>
                <w:sz w:val="21"/>
                <w:szCs w:val="21"/>
                <w:lang w:eastAsia="zh-CN"/>
              </w:rPr>
              <w:t>中标后须提交的投标文件副本份数</w:t>
            </w:r>
          </w:p>
        </w:tc>
        <w:tc>
          <w:tcPr>
            <w:tcW w:w="6243" w:type="dxa"/>
            <w:tcBorders>
              <w:right w:val="single" w:color="000000" w:sz="6" w:space="0"/>
            </w:tcBorders>
            <w:vAlign w:val="center"/>
          </w:tcPr>
          <w:p w14:paraId="1C530234">
            <w:pPr>
              <w:pStyle w:val="21"/>
              <w:widowControl w:val="0"/>
              <w:tabs>
                <w:tab w:val="left" w:pos="733"/>
              </w:tabs>
              <w:kinsoku/>
              <w:topLinePunct/>
              <w:autoSpaceDE/>
              <w:autoSpaceDN/>
              <w:ind w:left="105" w:leftChars="50" w:right="105" w:rightChars="50" w:firstLine="210" w:firstLineChars="100"/>
              <w:jc w:val="both"/>
              <w:rPr>
                <w:rFonts w:hint="eastAsia"/>
                <w:color w:val="auto"/>
                <w:sz w:val="21"/>
                <w:szCs w:val="21"/>
              </w:rPr>
            </w:pPr>
            <w:r>
              <w:rPr>
                <w:rFonts w:hint="eastAsia"/>
                <w:color w:val="auto"/>
                <w:sz w:val="21"/>
                <w:szCs w:val="21"/>
                <w:u w:val="single"/>
                <w:lang w:eastAsia="zh-CN"/>
              </w:rPr>
              <w:t>　7　</w:t>
            </w:r>
            <w:r>
              <w:rPr>
                <w:rFonts w:hint="eastAsia"/>
                <w:color w:val="auto"/>
                <w:sz w:val="21"/>
                <w:szCs w:val="21"/>
              </w:rPr>
              <w:t>份。</w:t>
            </w:r>
          </w:p>
        </w:tc>
      </w:tr>
      <w:tr w14:paraId="1A8D1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047EEAEE">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10.5</w:t>
            </w:r>
          </w:p>
        </w:tc>
        <w:tc>
          <w:tcPr>
            <w:tcW w:w="2276" w:type="dxa"/>
            <w:tcBorders>
              <w:bottom w:val="single" w:color="000000" w:sz="6" w:space="0"/>
            </w:tcBorders>
            <w:vAlign w:val="center"/>
          </w:tcPr>
          <w:p w14:paraId="140761F6">
            <w:pPr>
              <w:pStyle w:val="21"/>
              <w:widowControl w:val="0"/>
              <w:kinsoku/>
              <w:topLinePunct/>
              <w:autoSpaceDE/>
              <w:autoSpaceDN/>
              <w:jc w:val="center"/>
              <w:rPr>
                <w:rFonts w:hint="eastAsia"/>
                <w:color w:val="auto"/>
                <w:sz w:val="21"/>
                <w:szCs w:val="21"/>
                <w:lang w:eastAsia="zh-CN"/>
              </w:rPr>
            </w:pPr>
            <w:r>
              <w:rPr>
                <w:color w:val="auto"/>
                <w:sz w:val="21"/>
                <w:szCs w:val="21"/>
                <w:lang w:eastAsia="zh-CN"/>
              </w:rPr>
              <w:t>招标人最高投标限价或其计算方法</w:t>
            </w:r>
          </w:p>
        </w:tc>
        <w:tc>
          <w:tcPr>
            <w:tcW w:w="6243" w:type="dxa"/>
            <w:tcBorders>
              <w:bottom w:val="single" w:color="000000" w:sz="6" w:space="0"/>
              <w:right w:val="single" w:color="000000" w:sz="6" w:space="0"/>
            </w:tcBorders>
            <w:vAlign w:val="center"/>
          </w:tcPr>
          <w:p w14:paraId="6A2E7808">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ascii="Segoe UI Symbol" w:hAnsi="Segoe UI Symbol" w:cs="Segoe UI Symbol"/>
                <w:color w:val="auto"/>
                <w:sz w:val="21"/>
                <w:szCs w:val="21"/>
                <w:lang w:eastAsia="zh-CN"/>
              </w:rPr>
              <w:t>☑</w:t>
            </w:r>
            <w:r>
              <w:rPr>
                <w:rFonts w:hint="eastAsia"/>
                <w:color w:val="auto"/>
                <w:sz w:val="21"/>
                <w:szCs w:val="21"/>
                <w:lang w:eastAsia="zh-CN"/>
              </w:rPr>
              <w:t>最高投标限价人民币（大写）伍亿贰仟壹佰陆拾柒万伍仟肆佰伍拾壹元</w:t>
            </w:r>
            <w:r>
              <w:rPr>
                <w:color w:val="auto"/>
                <w:sz w:val="21"/>
                <w:szCs w:val="21"/>
                <w:lang w:eastAsia="zh-CN"/>
              </w:rPr>
              <w:t>(</w:t>
            </w:r>
            <w:r>
              <w:rPr>
                <w:rFonts w:hint="eastAsia"/>
                <w:color w:val="auto"/>
                <w:sz w:val="21"/>
                <w:szCs w:val="21"/>
                <w:lang w:eastAsia="zh-CN"/>
              </w:rPr>
              <w:t>￥</w:t>
            </w:r>
            <w:r>
              <w:rPr>
                <w:color w:val="auto"/>
                <w:sz w:val="21"/>
                <w:szCs w:val="21"/>
                <w:lang w:eastAsia="zh-CN"/>
              </w:rPr>
              <w:t>521675451)</w:t>
            </w:r>
            <w:r>
              <w:rPr>
                <w:rFonts w:hint="eastAsia"/>
                <w:color w:val="auto"/>
                <w:sz w:val="21"/>
                <w:szCs w:val="21"/>
                <w:lang w:eastAsia="zh-CN"/>
              </w:rPr>
              <w:t>。</w:t>
            </w:r>
          </w:p>
          <w:p w14:paraId="66F03B5B">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□投标截止时间前</w:t>
            </w:r>
            <w:r>
              <w:rPr>
                <w:rFonts w:hint="eastAsia"/>
                <w:color w:val="auto"/>
                <w:sz w:val="21"/>
                <w:szCs w:val="21"/>
                <w:u w:val="single"/>
                <w:lang w:eastAsia="zh-CN"/>
              </w:rPr>
              <w:t>15</w:t>
            </w:r>
            <w:r>
              <w:rPr>
                <w:rFonts w:hint="eastAsia"/>
                <w:color w:val="auto"/>
                <w:sz w:val="21"/>
                <w:szCs w:val="21"/>
                <w:lang w:eastAsia="zh-CN"/>
              </w:rPr>
              <w:t>日之前，以补充文件形式告知所有投标人最高投标限价。</w:t>
            </w:r>
          </w:p>
          <w:p w14:paraId="292210C4">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□招标预算人民币（大写）：</w:t>
            </w:r>
            <w:r>
              <w:rPr>
                <w:rFonts w:hint="eastAsia"/>
                <w:color w:val="auto"/>
                <w:sz w:val="21"/>
                <w:szCs w:val="21"/>
                <w:u w:val="single"/>
                <w:lang w:eastAsia="zh-CN"/>
              </w:rPr>
              <w:t>　　　　　</w:t>
            </w:r>
            <w:r>
              <w:rPr>
                <w:rFonts w:hint="eastAsia"/>
                <w:color w:val="auto"/>
                <w:sz w:val="21"/>
                <w:szCs w:val="21"/>
                <w:lang w:eastAsia="zh-CN"/>
              </w:rPr>
              <w:t>(￥</w:t>
            </w:r>
            <w:r>
              <w:rPr>
                <w:rFonts w:hint="eastAsia"/>
                <w:color w:val="auto"/>
                <w:sz w:val="21"/>
                <w:szCs w:val="21"/>
                <w:u w:val="single"/>
                <w:lang w:eastAsia="zh-CN"/>
              </w:rPr>
              <w:t>　　　　</w:t>
            </w:r>
            <w:r>
              <w:rPr>
                <w:rFonts w:hint="eastAsia"/>
                <w:color w:val="auto"/>
                <w:sz w:val="21"/>
                <w:szCs w:val="21"/>
                <w:lang w:eastAsia="zh-CN"/>
              </w:rPr>
              <w:t>)预留金人民币（大写）：</w:t>
            </w:r>
            <w:r>
              <w:rPr>
                <w:rFonts w:hint="eastAsia"/>
                <w:color w:val="auto"/>
                <w:sz w:val="21"/>
                <w:szCs w:val="21"/>
                <w:u w:val="single"/>
                <w:lang w:eastAsia="zh-CN"/>
              </w:rPr>
              <w:t>　　　　　</w:t>
            </w:r>
            <w:r>
              <w:rPr>
                <w:rFonts w:hint="eastAsia"/>
                <w:color w:val="auto"/>
                <w:sz w:val="21"/>
                <w:szCs w:val="21"/>
                <w:lang w:eastAsia="zh-CN"/>
              </w:rPr>
              <w:t>(￥</w:t>
            </w:r>
            <w:r>
              <w:rPr>
                <w:rFonts w:hint="eastAsia"/>
                <w:color w:val="auto"/>
                <w:sz w:val="21"/>
                <w:szCs w:val="21"/>
                <w:u w:val="single"/>
                <w:lang w:eastAsia="zh-CN"/>
              </w:rPr>
              <w:t>　　　　</w:t>
            </w:r>
            <w:r>
              <w:rPr>
                <w:rFonts w:hint="eastAsia"/>
                <w:color w:val="auto"/>
                <w:sz w:val="21"/>
                <w:szCs w:val="21"/>
                <w:lang w:eastAsia="zh-CN"/>
              </w:rPr>
              <w:t>)暂估价人民币（大写）：</w:t>
            </w:r>
            <w:r>
              <w:rPr>
                <w:rFonts w:hint="eastAsia"/>
                <w:color w:val="auto"/>
                <w:sz w:val="21"/>
                <w:szCs w:val="21"/>
                <w:u w:val="single"/>
                <w:lang w:eastAsia="zh-CN"/>
              </w:rPr>
              <w:t>　　　　　</w:t>
            </w:r>
            <w:r>
              <w:rPr>
                <w:rFonts w:hint="eastAsia"/>
                <w:color w:val="auto"/>
                <w:sz w:val="21"/>
                <w:szCs w:val="21"/>
                <w:lang w:eastAsia="zh-CN"/>
              </w:rPr>
              <w:t>(￥</w:t>
            </w:r>
            <w:r>
              <w:rPr>
                <w:rFonts w:hint="eastAsia"/>
                <w:color w:val="auto"/>
                <w:sz w:val="21"/>
                <w:szCs w:val="21"/>
                <w:u w:val="single"/>
                <w:lang w:eastAsia="zh-CN"/>
              </w:rPr>
              <w:t>　　　　</w:t>
            </w:r>
            <w:r>
              <w:rPr>
                <w:rFonts w:hint="eastAsia"/>
                <w:color w:val="auto"/>
                <w:sz w:val="21"/>
                <w:szCs w:val="21"/>
                <w:lang w:eastAsia="zh-CN"/>
              </w:rPr>
              <w:t>)安全生产措施费（大写）：</w:t>
            </w:r>
            <w:r>
              <w:rPr>
                <w:rFonts w:hint="eastAsia"/>
                <w:color w:val="auto"/>
                <w:sz w:val="21"/>
                <w:szCs w:val="21"/>
                <w:u w:val="single"/>
                <w:lang w:eastAsia="zh-CN"/>
              </w:rPr>
              <w:t>　　　　</w:t>
            </w:r>
            <w:r>
              <w:rPr>
                <w:rFonts w:hint="eastAsia"/>
                <w:color w:val="auto"/>
                <w:sz w:val="21"/>
                <w:szCs w:val="21"/>
                <w:lang w:eastAsia="zh-CN"/>
              </w:rPr>
              <w:t>(￥</w:t>
            </w:r>
            <w:r>
              <w:rPr>
                <w:rFonts w:hint="eastAsia"/>
                <w:color w:val="auto"/>
                <w:sz w:val="21"/>
                <w:szCs w:val="21"/>
                <w:u w:val="single"/>
                <w:lang w:eastAsia="zh-CN"/>
              </w:rPr>
              <w:t>　　　　</w:t>
            </w:r>
            <w:r>
              <w:rPr>
                <w:rFonts w:hint="eastAsia"/>
                <w:color w:val="auto"/>
                <w:sz w:val="21"/>
                <w:szCs w:val="21"/>
                <w:lang w:eastAsia="zh-CN"/>
              </w:rPr>
              <w:t>)。最高投标限价的计算方法：最高投标限价=（招标预算-预留金-暂估价-安全生产措施费）×（1-下浮值Y）+预留金+暂估价+安全生产措施费，下浮值由招标人在开标时从</w:t>
            </w:r>
            <w:r>
              <w:rPr>
                <w:rFonts w:hint="eastAsia"/>
                <w:color w:val="auto"/>
                <w:sz w:val="21"/>
                <w:szCs w:val="21"/>
                <w:u w:val="single"/>
                <w:lang w:eastAsia="zh-CN"/>
              </w:rPr>
              <w:t>　、　、　、　、　</w:t>
            </w:r>
            <w:r>
              <w:rPr>
                <w:rFonts w:hint="eastAsia"/>
                <w:color w:val="auto"/>
                <w:sz w:val="21"/>
                <w:szCs w:val="21"/>
                <w:lang w:eastAsia="zh-CN"/>
              </w:rPr>
              <w:t>等5个数组成的等差数列中随机抽取其中一值作为下浮值Y，投标报价不得超过最高投标限价。</w:t>
            </w:r>
            <w:r>
              <w:rPr>
                <w:rFonts w:hint="eastAsia"/>
                <w:i/>
                <w:iCs/>
                <w:color w:val="auto"/>
                <w:sz w:val="21"/>
                <w:szCs w:val="21"/>
                <w:lang w:eastAsia="zh-CN"/>
              </w:rPr>
              <w:t>（招标人在编制招标文件时从0.5%、1%、1.5%、2%、2.5%、3%、3.5%、4%、4.5%、5%、5.5%、6%、6.5%、7%、7.5%、8%等16个数中确定一组其中5个数组成的等差数列）</w:t>
            </w:r>
            <w:r>
              <w:rPr>
                <w:rFonts w:hint="eastAsia"/>
                <w:color w:val="auto"/>
                <w:sz w:val="21"/>
                <w:szCs w:val="21"/>
                <w:lang w:eastAsia="zh-CN"/>
              </w:rPr>
              <w:t>。最高投标限价取整数，小数点后四舍五入。</w:t>
            </w:r>
          </w:p>
          <w:p w14:paraId="1AE9E89A">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hint="eastAsia"/>
                <w:color w:val="auto"/>
                <w:sz w:val="21"/>
                <w:szCs w:val="21"/>
                <w:lang w:eastAsia="zh-CN"/>
              </w:rPr>
              <w:t>招标预算指根据浙江省现行水利工程造价计价依据和有关规定，以及拟定的招标文件，结合工程具体情况、市场价格进行编制的造价文件。</w:t>
            </w:r>
          </w:p>
        </w:tc>
      </w:tr>
      <w:tr w14:paraId="503BD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315EAADB">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10.6</w:t>
            </w:r>
          </w:p>
        </w:tc>
        <w:tc>
          <w:tcPr>
            <w:tcW w:w="2276" w:type="dxa"/>
            <w:vAlign w:val="center"/>
          </w:tcPr>
          <w:p w14:paraId="17CD5905">
            <w:pPr>
              <w:pStyle w:val="21"/>
              <w:widowControl w:val="0"/>
              <w:kinsoku/>
              <w:topLinePunct/>
              <w:autoSpaceDE/>
              <w:autoSpaceDN/>
              <w:jc w:val="center"/>
              <w:rPr>
                <w:rFonts w:hint="eastAsia"/>
                <w:color w:val="auto"/>
                <w:sz w:val="21"/>
                <w:szCs w:val="21"/>
                <w:lang w:eastAsia="zh-CN"/>
              </w:rPr>
            </w:pPr>
            <w:r>
              <w:rPr>
                <w:color w:val="auto"/>
                <w:sz w:val="21"/>
                <w:szCs w:val="21"/>
                <w:lang w:eastAsia="zh-CN"/>
              </w:rPr>
              <w:t>在建合同工程的认定及变更证明</w:t>
            </w:r>
          </w:p>
        </w:tc>
        <w:tc>
          <w:tcPr>
            <w:tcW w:w="6243" w:type="dxa"/>
            <w:tcBorders>
              <w:right w:val="single" w:color="000000" w:sz="6" w:space="0"/>
            </w:tcBorders>
            <w:vAlign w:val="center"/>
          </w:tcPr>
          <w:p w14:paraId="3BDCD6E7">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1</w:t>
            </w:r>
            <w:r>
              <w:rPr>
                <w:color w:val="auto"/>
                <w:sz w:val="21"/>
                <w:szCs w:val="21"/>
                <w:lang w:eastAsia="zh-CN"/>
              </w:rPr>
              <w:t>．对项目负责人“有在建合同工程”的认定标准：</w:t>
            </w:r>
          </w:p>
          <w:p w14:paraId="222D3DB4">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拟派项目负责人在投标截止时间尚有在其他在建合同工程中担任项目负责人（包括工程总承包项目中的施工负责人）的情形为“有在建合同工程”。</w:t>
            </w:r>
          </w:p>
          <w:p w14:paraId="3CA4D771">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在建合同工程项目，包括在中华人民共和国境内所有建设工程，不受地域、行业和投资性质的限制。</w:t>
            </w:r>
          </w:p>
          <w:p w14:paraId="1AE9D49B">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在建合同工程的时间界定：中标通知书发出之日（不通过招标方式的，开始时间为合同签订之日），结束时间为该合同工程通过验收或合同解除之日。</w:t>
            </w:r>
          </w:p>
          <w:p w14:paraId="178E0DE3">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以下情形视为“有在建合同工程”：</w:t>
            </w:r>
          </w:p>
          <w:p w14:paraId="3FB76D32">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1</w:t>
            </w:r>
            <w:r>
              <w:rPr>
                <w:color w:val="auto"/>
                <w:sz w:val="21"/>
                <w:szCs w:val="21"/>
                <w:lang w:eastAsia="zh-CN"/>
              </w:rPr>
              <w:t>）合同协议书尚未签订的，中标通知书中载明的项目负责人（包括工程总承包项目中的施工负责人）为准；</w:t>
            </w:r>
          </w:p>
          <w:p w14:paraId="7AE4E5B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2</w:t>
            </w:r>
            <w:r>
              <w:rPr>
                <w:color w:val="auto"/>
                <w:sz w:val="21"/>
                <w:szCs w:val="21"/>
                <w:lang w:eastAsia="zh-CN"/>
              </w:rPr>
              <w:t>）合同协议书已经签订，合同协议书中明确的项目负责人（包括工程总承包项目中的施工负责人）为准；</w:t>
            </w:r>
          </w:p>
          <w:p w14:paraId="3A4C789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ascii="Times New Roman" w:hAnsi="Times New Roman" w:eastAsia="Times New Roman" w:cs="Times New Roman"/>
                <w:color w:val="auto"/>
                <w:sz w:val="21"/>
                <w:szCs w:val="21"/>
                <w:lang w:eastAsia="zh-CN"/>
              </w:rPr>
              <w:t>3</w:t>
            </w:r>
            <w:r>
              <w:rPr>
                <w:color w:val="auto"/>
                <w:sz w:val="21"/>
                <w:szCs w:val="21"/>
                <w:lang w:eastAsia="zh-CN"/>
              </w:rPr>
              <w:t>）项目负责人发生更换的，投标人在投标文件中附有下列第</w:t>
            </w:r>
            <w:r>
              <w:rPr>
                <w:rFonts w:ascii="Times New Roman" w:hAnsi="Times New Roman" w:eastAsia="Times New Roman" w:cs="Times New Roman"/>
                <w:color w:val="auto"/>
                <w:sz w:val="21"/>
                <w:szCs w:val="21"/>
                <w:lang w:eastAsia="zh-CN"/>
              </w:rPr>
              <w:t>2</w:t>
            </w:r>
            <w:r>
              <w:rPr>
                <w:color w:val="auto"/>
                <w:sz w:val="21"/>
                <w:szCs w:val="21"/>
                <w:lang w:eastAsia="zh-CN"/>
              </w:rPr>
              <w:t>项证明材料的，以现任项目负责人视为有“在建合同工程”；未附证明材料的，则仍然以更换前的项目负责人视为有“在建合同工程”。</w:t>
            </w:r>
          </w:p>
          <w:p w14:paraId="22BA0E3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2</w:t>
            </w:r>
            <w:r>
              <w:rPr>
                <w:color w:val="auto"/>
                <w:sz w:val="21"/>
                <w:szCs w:val="21"/>
                <w:lang w:eastAsia="zh-CN"/>
              </w:rPr>
              <w:t>．在建项目的项目负责人办理更换后，投标时需提供的资料：</w:t>
            </w:r>
          </w:p>
          <w:p w14:paraId="56C149D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项目业主同意更换的证明。</w:t>
            </w:r>
          </w:p>
        </w:tc>
      </w:tr>
      <w:tr w14:paraId="1835A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22F4A843">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10.7</w:t>
            </w:r>
          </w:p>
        </w:tc>
        <w:tc>
          <w:tcPr>
            <w:tcW w:w="2276" w:type="dxa"/>
            <w:vAlign w:val="center"/>
          </w:tcPr>
          <w:p w14:paraId="1EE7E164">
            <w:pPr>
              <w:pStyle w:val="21"/>
              <w:widowControl w:val="0"/>
              <w:kinsoku/>
              <w:topLinePunct/>
              <w:autoSpaceDE/>
              <w:autoSpaceDN/>
              <w:jc w:val="center"/>
              <w:rPr>
                <w:rFonts w:hint="eastAsia"/>
                <w:color w:val="auto"/>
                <w:sz w:val="21"/>
                <w:szCs w:val="21"/>
              </w:rPr>
            </w:pPr>
            <w:r>
              <w:rPr>
                <w:color w:val="auto"/>
                <w:sz w:val="21"/>
                <w:szCs w:val="21"/>
              </w:rPr>
              <w:t>特别说明</w:t>
            </w:r>
          </w:p>
        </w:tc>
        <w:tc>
          <w:tcPr>
            <w:tcW w:w="6243" w:type="dxa"/>
            <w:tcBorders>
              <w:right w:val="single" w:color="000000" w:sz="6" w:space="0"/>
            </w:tcBorders>
            <w:vAlign w:val="center"/>
          </w:tcPr>
          <w:p w14:paraId="40BE8502">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rFonts w:ascii="Times New Roman" w:hAnsi="Times New Roman" w:eastAsia="Times New Roman" w:cs="Times New Roman"/>
                <w:color w:val="auto"/>
                <w:sz w:val="21"/>
                <w:szCs w:val="21"/>
                <w:lang w:eastAsia="zh-CN"/>
              </w:rPr>
              <w:t>1</w:t>
            </w:r>
            <w:r>
              <w:rPr>
                <w:i/>
                <w:iCs/>
                <w:color w:val="auto"/>
                <w:sz w:val="22"/>
                <w:szCs w:val="22"/>
                <w:lang w:eastAsia="zh-CN"/>
              </w:rPr>
              <w:t>．</w:t>
            </w:r>
            <w:r>
              <w:rPr>
                <w:color w:val="auto"/>
                <w:sz w:val="21"/>
                <w:szCs w:val="21"/>
                <w:lang w:eastAsia="zh-CN"/>
              </w:rPr>
              <w:t>“投标人须知前附表”是对“投标人须知”正文中未尽事宜进一步明确及重点内容的概括，招标人应结合招标项目具体特点和实际需要编制和填写，但不应与“投标人须知”正文内容相抵触，否则抵触内容无效。。</w:t>
            </w:r>
          </w:p>
          <w:p w14:paraId="680162BC">
            <w:pPr>
              <w:pStyle w:val="21"/>
              <w:widowControl w:val="0"/>
              <w:kinsoku/>
              <w:topLinePunct/>
              <w:autoSpaceDE/>
              <w:autoSpaceDN/>
              <w:ind w:left="105" w:leftChars="50" w:right="105" w:rightChars="50" w:firstLine="210" w:firstLineChars="100"/>
              <w:jc w:val="both"/>
              <w:rPr>
                <w:rFonts w:ascii="Times New Roman" w:hAnsi="Times New Roman" w:eastAsia="Times New Roman" w:cs="Times New Roman"/>
                <w:color w:val="auto"/>
                <w:sz w:val="21"/>
                <w:szCs w:val="21"/>
                <w:lang w:eastAsia="zh-CN"/>
              </w:rPr>
            </w:pPr>
            <w:r>
              <w:rPr>
                <w:rFonts w:ascii="Times New Roman" w:hAnsi="Times New Roman" w:eastAsia="Times New Roman" w:cs="Times New Roman"/>
                <w:color w:val="auto"/>
                <w:sz w:val="21"/>
                <w:szCs w:val="21"/>
                <w:lang w:eastAsia="zh-CN"/>
              </w:rPr>
              <w:t>2</w:t>
            </w:r>
            <w:r>
              <w:rPr>
                <w:color w:val="auto"/>
                <w:sz w:val="21"/>
                <w:szCs w:val="21"/>
                <w:lang w:eastAsia="zh-CN"/>
              </w:rPr>
              <w:t>．投标人投标函与投标函附录不一致的，以投标人投标函为准。</w:t>
            </w:r>
          </w:p>
        </w:tc>
      </w:tr>
      <w:tr w14:paraId="065B7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tcBorders>
            <w:vAlign w:val="center"/>
          </w:tcPr>
          <w:p w14:paraId="5DF97D1E">
            <w:pPr>
              <w:widowControl w:val="0"/>
              <w:kinsoku/>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10.8</w:t>
            </w:r>
          </w:p>
        </w:tc>
        <w:tc>
          <w:tcPr>
            <w:tcW w:w="2276" w:type="dxa"/>
            <w:vAlign w:val="center"/>
          </w:tcPr>
          <w:p w14:paraId="4741C110">
            <w:pPr>
              <w:pStyle w:val="21"/>
              <w:widowControl w:val="0"/>
              <w:kinsoku/>
              <w:topLinePunct/>
              <w:autoSpaceDE/>
              <w:autoSpaceDN/>
              <w:jc w:val="center"/>
              <w:rPr>
                <w:rFonts w:hint="eastAsia"/>
                <w:color w:val="auto"/>
                <w:sz w:val="21"/>
                <w:szCs w:val="21"/>
              </w:rPr>
            </w:pPr>
            <w:r>
              <w:rPr>
                <w:color w:val="auto"/>
                <w:sz w:val="21"/>
                <w:szCs w:val="21"/>
              </w:rPr>
              <w:t>否决投标的情形</w:t>
            </w:r>
          </w:p>
        </w:tc>
        <w:tc>
          <w:tcPr>
            <w:tcW w:w="6243" w:type="dxa"/>
            <w:tcBorders>
              <w:right w:val="single" w:color="000000" w:sz="6" w:space="0"/>
            </w:tcBorders>
            <w:vAlign w:val="center"/>
          </w:tcPr>
          <w:p w14:paraId="4098627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1.技术符合性审查</w:t>
            </w:r>
          </w:p>
          <w:p w14:paraId="31077A41">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投标文件如存在以下情况之一的，由评标委员会全体成员按照少数服从多数的原则记名投票（不得弃权）认定，作为技术符合性审查未通过予以否决其投标，不再进行后续评审：</w:t>
            </w:r>
          </w:p>
          <w:p w14:paraId="06E9DA78">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（1）投标人未按招标文件要求加盖单位印章或投标人的法定代表人（或其委托代理人）未按招标文件要求签字或盖章的。</w:t>
            </w:r>
          </w:p>
          <w:p w14:paraId="546EF2AD">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（2）投标人法定代表人授权委托代理人签署投标文件，未提供有效的授权委托书的或投标人法定代表人亲自签署投标文件，未提供法定代表人身份证明的。</w:t>
            </w:r>
          </w:p>
          <w:p w14:paraId="3F60C2D2">
            <w:pPr>
              <w:pStyle w:val="21"/>
              <w:widowControl w:val="0"/>
              <w:kinsoku/>
              <w:topLinePunct/>
              <w:autoSpaceDE/>
              <w:autoSpaceDN/>
              <w:ind w:left="105" w:leftChars="50" w:right="105" w:rightChars="50" w:firstLine="210" w:firstLineChars="100"/>
              <w:jc w:val="both"/>
              <w:rPr>
                <w:rFonts w:hint="eastAsia"/>
                <w:strike/>
                <w:color w:val="auto"/>
                <w:sz w:val="21"/>
                <w:szCs w:val="21"/>
                <w:lang w:eastAsia="zh-CN"/>
              </w:rPr>
            </w:pPr>
            <w:r>
              <w:rPr>
                <w:strike/>
                <w:color w:val="auto"/>
                <w:sz w:val="21"/>
                <w:szCs w:val="21"/>
                <w:lang w:eastAsia="zh-CN"/>
              </w:rPr>
              <w:t>（3）联合体投标未附有效的联合体协议书的。</w:t>
            </w:r>
          </w:p>
          <w:p w14:paraId="7E1EC24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（4）投标人的投标资格不满足招标文件载明的强制性要求的（以投标人须知前附表第10.3款实质性响应招标文件资料为准），或不满足国家有关规定的。</w:t>
            </w:r>
          </w:p>
          <w:p w14:paraId="7D115099">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（5）项目负责人、技术负责人</w:t>
            </w:r>
            <w:r>
              <w:rPr>
                <w:strike/>
                <w:color w:val="auto"/>
                <w:sz w:val="21"/>
                <w:szCs w:val="21"/>
                <w:lang w:eastAsia="zh-CN"/>
              </w:rPr>
              <w:t>或副项目负责人（若有）</w:t>
            </w:r>
            <w:r>
              <w:rPr>
                <w:color w:val="auto"/>
                <w:sz w:val="21"/>
                <w:szCs w:val="21"/>
                <w:lang w:eastAsia="zh-CN"/>
              </w:rPr>
              <w:t>不明确的。</w:t>
            </w:r>
          </w:p>
          <w:p w14:paraId="1C4E002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（6）拟实行分包的，其分包的工作不满足招标文件载明的强制性要求的（以投标人须知前附表第 1.11 款为准）。</w:t>
            </w:r>
          </w:p>
          <w:p w14:paraId="7769D5A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（7）同一投标人提交两个以上不同的投标文件且未声明哪一个有效的（招标文件要求提交备选投标的除外）。</w:t>
            </w:r>
          </w:p>
          <w:p w14:paraId="3235511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（8）投标人不以自己的名义或未按招标文件要求提供投标保证金或提供的投标保证金有缺陷而不能接受的。</w:t>
            </w:r>
          </w:p>
          <w:p w14:paraId="4273A90E">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（9）投标工期和质量不满足招标文件要求的（以投标人须知前附表第1.3.2、1.3.3项为准）。</w:t>
            </w:r>
          </w:p>
          <w:p w14:paraId="6A295A8C">
            <w:pPr>
              <w:pStyle w:val="21"/>
              <w:widowControl w:val="0"/>
              <w:kinsoku/>
              <w:topLinePunct/>
              <w:autoSpaceDE/>
              <w:autoSpaceDN/>
              <w:ind w:left="105" w:leftChars="50" w:right="105" w:rightChars="50" w:firstLine="210" w:firstLineChars="100"/>
              <w:jc w:val="both"/>
              <w:rPr>
                <w:rFonts w:hint="eastAsia"/>
                <w:color w:val="auto"/>
                <w:sz w:val="21"/>
                <w:szCs w:val="21"/>
                <w:u w:val="single"/>
                <w:lang w:eastAsia="zh-CN"/>
              </w:rPr>
            </w:pPr>
            <w:r>
              <w:rPr>
                <w:color w:val="auto"/>
                <w:sz w:val="21"/>
                <w:szCs w:val="21"/>
                <w:lang w:eastAsia="zh-CN"/>
              </w:rPr>
              <w:t>（10）采用的验收标准或主要技术指标达不到国家强制性标准或招标文件以下条款规定的：</w:t>
            </w:r>
            <w:r>
              <w:rPr>
                <w:rFonts w:hint="eastAsia"/>
                <w:color w:val="auto"/>
                <w:sz w:val="21"/>
                <w:szCs w:val="21"/>
                <w:u w:val="single"/>
                <w:lang w:eastAsia="zh-CN"/>
              </w:rPr>
              <w:t>　无。　</w:t>
            </w:r>
            <w:r>
              <w:rPr>
                <w:rFonts w:hint="eastAsia"/>
                <w:i/>
                <w:iCs/>
                <w:color w:val="auto"/>
                <w:sz w:val="21"/>
                <w:szCs w:val="21"/>
                <w:lang w:eastAsia="zh-CN"/>
              </w:rPr>
              <w:t>（由招标人自行扩充，如无，请填“无”）</w:t>
            </w:r>
          </w:p>
          <w:p w14:paraId="4F838C3E">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（11）采用的施工工艺、方法或质量安全管理措施不能满足国家强制性标准或要求的。</w:t>
            </w:r>
          </w:p>
          <w:p w14:paraId="04A80922">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（12）投标人存在投标人须知第“1.4.3</w:t>
            </w:r>
            <w:r>
              <w:rPr>
                <w:rFonts w:hint="eastAsia"/>
                <w:color w:val="auto"/>
                <w:sz w:val="21"/>
                <w:szCs w:val="21"/>
                <w:lang w:eastAsia="zh-CN"/>
              </w:rPr>
              <w:t>　</w:t>
            </w:r>
            <w:r>
              <w:rPr>
                <w:color w:val="auto"/>
                <w:sz w:val="21"/>
                <w:szCs w:val="21"/>
                <w:lang w:eastAsia="zh-CN"/>
              </w:rPr>
              <w:t>投标人不得存在下列情形之一”项或投标人须知“9.2</w:t>
            </w:r>
            <w:r>
              <w:rPr>
                <w:rFonts w:hint="eastAsia"/>
                <w:color w:val="auto"/>
                <w:sz w:val="21"/>
                <w:szCs w:val="21"/>
                <w:lang w:eastAsia="zh-CN"/>
              </w:rPr>
              <w:t>　</w:t>
            </w:r>
            <w:r>
              <w:rPr>
                <w:color w:val="auto"/>
                <w:sz w:val="21"/>
                <w:szCs w:val="21"/>
                <w:lang w:eastAsia="zh-CN"/>
              </w:rPr>
              <w:t>对投标人的纪律要求 ”项规定情形之一的。</w:t>
            </w:r>
          </w:p>
          <w:p w14:paraId="3D731254">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（1</w:t>
            </w:r>
            <w:r>
              <w:rPr>
                <w:rFonts w:hint="eastAsia"/>
                <w:color w:val="auto"/>
                <w:sz w:val="21"/>
                <w:szCs w:val="21"/>
                <w:lang w:eastAsia="zh-CN"/>
              </w:rPr>
              <w:t>3</w:t>
            </w:r>
            <w:r>
              <w:rPr>
                <w:color w:val="auto"/>
                <w:sz w:val="21"/>
                <w:szCs w:val="21"/>
                <w:lang w:eastAsia="zh-CN"/>
              </w:rPr>
              <w:t>）存在法律、法规、规章规定的其他无效投标情况的。</w:t>
            </w:r>
          </w:p>
          <w:p w14:paraId="0292E41B">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2．技术评审</w:t>
            </w:r>
          </w:p>
          <w:p w14:paraId="58458D24">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如投标文件有以下情况之一的，由评标委员会全体成员按照少数服从多数的原则记名投票（不得弃权）认定，作为技术评审不合格处理予以否决其投标，不再进行后续评审：</w:t>
            </w:r>
          </w:p>
          <w:p w14:paraId="7F4473CB">
            <w:pPr>
              <w:pStyle w:val="21"/>
              <w:widowControl w:val="0"/>
              <w:kinsoku/>
              <w:topLinePunct/>
              <w:autoSpaceDE/>
              <w:autoSpaceDN/>
              <w:ind w:left="105" w:leftChars="50" w:right="105" w:rightChars="50" w:firstLine="210" w:firstLineChars="100"/>
              <w:jc w:val="both"/>
              <w:textAlignment w:val="auto"/>
              <w:rPr>
                <w:rFonts w:hint="eastAsia"/>
                <w:color w:val="auto"/>
                <w:sz w:val="21"/>
                <w:szCs w:val="21"/>
                <w:lang w:eastAsia="zh-CN"/>
              </w:rPr>
            </w:pPr>
            <w:r>
              <w:rPr>
                <w:color w:val="auto"/>
                <w:sz w:val="21"/>
                <w:szCs w:val="21"/>
                <w:lang w:eastAsia="zh-CN"/>
              </w:rPr>
              <w:t>（1）主要的施工技术方案或安全保障措施不可行的。</w:t>
            </w:r>
          </w:p>
          <w:p w14:paraId="001B422A">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（2）主要施工机械设备不能满足施工需要的。</w:t>
            </w:r>
          </w:p>
          <w:p w14:paraId="30C5EBD9">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（3）附有工程无法适用的其他技术和管理条款的。</w:t>
            </w:r>
          </w:p>
          <w:p w14:paraId="33F5AC37">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3.资信符合性审查</w:t>
            </w:r>
          </w:p>
          <w:p w14:paraId="72DC8DAC">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投标文件如存在以下情况之一的，由评标委员会全体成员按照少数服从多数的原则记名投票（不得弃权）认定，作为资信符合性审查未通过予以否决其投标，不再进行后续评审：</w:t>
            </w:r>
          </w:p>
          <w:p w14:paraId="1233FB92">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（1）投标人未按招标文件要求加盖单位印章或投标人的法定代表人（或其委托代理人）未按招标文件要求签字或盖章的。</w:t>
            </w:r>
          </w:p>
          <w:p w14:paraId="6F46BBB8">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hint="eastAsia"/>
                <w:color w:val="auto"/>
                <w:sz w:val="21"/>
                <w:szCs w:val="21"/>
                <w:lang w:eastAsia="zh-CN"/>
              </w:rPr>
              <w:t>2</w:t>
            </w:r>
            <w:r>
              <w:rPr>
                <w:color w:val="auto"/>
                <w:sz w:val="21"/>
                <w:szCs w:val="21"/>
                <w:lang w:eastAsia="zh-CN"/>
              </w:rPr>
              <w:t>）存在法律、法规、规章规定的其他无效投标情况的。</w:t>
            </w:r>
          </w:p>
          <w:p w14:paraId="079C7E14">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4.商务符合性审查</w:t>
            </w:r>
          </w:p>
          <w:p w14:paraId="199D7F0A">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投标文件如存在以下情况之一的，由评标委员会全体成员按照少数服从多数的原则记名投票（不得弃权）认定，作为商务符合性审查未通过予以否决其投标，不再进行后续评审：</w:t>
            </w:r>
          </w:p>
          <w:p w14:paraId="4A1F57D5">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（1）投标人未按招标文件要求加盖单位印章或投标人的法定代表人（或其委托代理人）未按招标文件要求签字或盖章的</w:t>
            </w:r>
            <w:r>
              <w:rPr>
                <w:rFonts w:hint="eastAsia"/>
                <w:color w:val="auto"/>
                <w:sz w:val="21"/>
                <w:szCs w:val="21"/>
                <w:lang w:eastAsia="zh-CN"/>
              </w:rPr>
              <w:t>。</w:t>
            </w:r>
          </w:p>
          <w:p w14:paraId="2F795ED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（2）同一投标人提交两个及以上不同的投标报价且未声明哪一个有效的（招标文件要求提交备选投标的除外）。</w:t>
            </w:r>
          </w:p>
          <w:p w14:paraId="5E395858">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（3）投标函载明的投标工期和质量不满足招标文件要求的(以投标人须知前附表第1.3.2、1.3.3项为准）。</w:t>
            </w:r>
          </w:p>
          <w:p w14:paraId="58FEFECF">
            <w:pPr>
              <w:pStyle w:val="21"/>
              <w:widowControl w:val="0"/>
              <w:kinsoku/>
              <w:topLinePunct/>
              <w:autoSpaceDE/>
              <w:autoSpaceDN/>
              <w:ind w:left="105" w:leftChars="50" w:right="105" w:rightChars="50" w:firstLine="210" w:firstLineChars="100"/>
              <w:jc w:val="both"/>
              <w:textAlignment w:val="auto"/>
              <w:rPr>
                <w:rFonts w:hint="eastAsia"/>
                <w:color w:val="auto"/>
                <w:sz w:val="21"/>
                <w:szCs w:val="21"/>
                <w:lang w:eastAsia="zh-CN"/>
              </w:rPr>
            </w:pPr>
            <w:r>
              <w:rPr>
                <w:color w:val="auto"/>
                <w:sz w:val="21"/>
                <w:szCs w:val="21"/>
                <w:lang w:eastAsia="zh-CN"/>
              </w:rPr>
              <w:t>（4）投标报价高于招标文件设定的最高投标限价的或分项限价的。</w:t>
            </w:r>
          </w:p>
          <w:p w14:paraId="4982390B">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（5）改变招标人提供的工程量清单中的项目编码、项目名称、项目主要特征、计量单位、工程数量、主要技术条款编码、预留金或暂估价等内容的（但按照国家规范所作的修改和招标文件另有规定的除外）。</w:t>
            </w:r>
          </w:p>
          <w:p w14:paraId="23D33FC7">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（6）投标人存在投标人须知“9.2</w:t>
            </w:r>
            <w:r>
              <w:rPr>
                <w:rFonts w:hint="eastAsia"/>
                <w:color w:val="auto"/>
                <w:sz w:val="21"/>
                <w:szCs w:val="21"/>
                <w:lang w:eastAsia="zh-CN"/>
              </w:rPr>
              <w:t>　</w:t>
            </w:r>
            <w:r>
              <w:rPr>
                <w:color w:val="auto"/>
                <w:sz w:val="21"/>
                <w:szCs w:val="21"/>
                <w:lang w:eastAsia="zh-CN"/>
              </w:rPr>
              <w:t>对投标人的纪律要求 ”项规定情形之一的。</w:t>
            </w:r>
          </w:p>
          <w:p w14:paraId="7A427487">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w:t>
            </w:r>
            <w:r>
              <w:rPr>
                <w:rFonts w:hint="eastAsia"/>
                <w:color w:val="auto"/>
                <w:sz w:val="21"/>
                <w:szCs w:val="21"/>
                <w:lang w:eastAsia="zh-CN"/>
              </w:rPr>
              <w:t>7</w:t>
            </w:r>
            <w:r>
              <w:rPr>
                <w:color w:val="auto"/>
                <w:sz w:val="21"/>
                <w:szCs w:val="21"/>
                <w:lang w:eastAsia="zh-CN"/>
              </w:rPr>
              <w:t>）存在法律、法规、规章规定的其他无效投标情况的。</w:t>
            </w:r>
          </w:p>
          <w:p w14:paraId="627D6AEF">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5.商务评审</w:t>
            </w:r>
          </w:p>
          <w:p w14:paraId="007C3176">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投标报价如存在以下情况之一的，由评标委员会全体成员按照少数服从多数的原则记名投票（不得弃权）认定，作为按商务评审不合格处理予以否决其投标，不再进行后续评审：</w:t>
            </w:r>
          </w:p>
          <w:p w14:paraId="37823F27">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（1）投标人拒绝修正不平衡报价或拒绝提供报价分析说明和证明材料的。</w:t>
            </w:r>
          </w:p>
          <w:p w14:paraId="1ABD995B">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（2）因投标人自身多算、少算、错算、漏算而造成的错误金额超过投标总价的 3%的。</w:t>
            </w:r>
          </w:p>
          <w:p w14:paraId="76B1035C">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（3）安全生产措施费低于招标文件规定的。</w:t>
            </w:r>
          </w:p>
          <w:p w14:paraId="7FDACF50">
            <w:pPr>
              <w:pStyle w:val="21"/>
              <w:widowControl w:val="0"/>
              <w:kinsoku/>
              <w:topLinePunct/>
              <w:autoSpaceDE/>
              <w:autoSpaceDN/>
              <w:ind w:left="105" w:leftChars="50" w:right="105" w:rightChars="50" w:firstLine="210" w:firstLineChars="100"/>
              <w:jc w:val="both"/>
              <w:rPr>
                <w:rFonts w:hint="eastAsia"/>
                <w:color w:val="auto"/>
                <w:sz w:val="21"/>
                <w:szCs w:val="21"/>
                <w:lang w:eastAsia="zh-CN"/>
              </w:rPr>
            </w:pPr>
            <w:r>
              <w:rPr>
                <w:color w:val="auto"/>
                <w:sz w:val="21"/>
                <w:szCs w:val="21"/>
                <w:lang w:eastAsia="zh-CN"/>
              </w:rPr>
              <w:t>（4）通过商务符合性审查的最低投标评标价低于通过商务符合性审查的次低投标评标价8%，且经询标投标人对其报价不能充分说明理由，或提供的相关材料无法证明报价不低于其成本价的。</w:t>
            </w:r>
          </w:p>
          <w:p w14:paraId="085029AD">
            <w:pPr>
              <w:pStyle w:val="21"/>
              <w:widowControl w:val="0"/>
              <w:kinsoku/>
              <w:topLinePunct/>
              <w:autoSpaceDE/>
              <w:autoSpaceDN/>
              <w:ind w:left="105" w:leftChars="50" w:right="105" w:rightChars="50" w:firstLine="210" w:firstLineChars="100"/>
              <w:jc w:val="both"/>
              <w:textAlignment w:val="auto"/>
              <w:rPr>
                <w:rFonts w:hint="eastAsia"/>
                <w:color w:val="auto"/>
                <w:spacing w:val="-3"/>
                <w:lang w:eastAsia="zh-CN"/>
              </w:rPr>
            </w:pPr>
            <w:r>
              <w:rPr>
                <w:color w:val="auto"/>
                <w:sz w:val="21"/>
                <w:szCs w:val="21"/>
                <w:lang w:eastAsia="zh-CN"/>
              </w:rPr>
              <w:t>（5）评标委员会认定属投标人自身原因有重大漏项的。</w:t>
            </w:r>
          </w:p>
        </w:tc>
      </w:tr>
      <w:tr w14:paraId="46980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3" w:type="dxa"/>
            <w:tcBorders>
              <w:left w:val="single" w:color="000000" w:sz="6" w:space="0"/>
              <w:bottom w:val="single" w:color="000000" w:sz="6" w:space="0"/>
            </w:tcBorders>
            <w:vAlign w:val="center"/>
          </w:tcPr>
          <w:p w14:paraId="7EF71FC1">
            <w:pPr>
              <w:widowControl w:val="0"/>
              <w:kinsoku/>
              <w:topLinePunct/>
              <w:autoSpaceDE/>
              <w:autoSpaceDN/>
              <w:jc w:val="center"/>
              <w:rPr>
                <w:rFonts w:ascii="Times New Roman" w:hAnsi="Times New Roman" w:eastAsia="宋体" w:cs="Times New Roman"/>
                <w:color w:val="auto"/>
                <w:lang w:eastAsia="zh-CN"/>
              </w:rPr>
            </w:pPr>
            <w:r>
              <w:rPr>
                <w:rFonts w:hint="eastAsia" w:ascii="Times New Roman" w:hAnsi="Times New Roman" w:eastAsia="Times New Roman" w:cs="Times New Roman"/>
                <w:color w:val="auto"/>
                <w:lang w:eastAsia="zh-CN"/>
              </w:rPr>
              <w:t>11</w:t>
            </w:r>
          </w:p>
        </w:tc>
        <w:tc>
          <w:tcPr>
            <w:tcW w:w="2276" w:type="dxa"/>
            <w:tcBorders>
              <w:bottom w:val="single" w:color="000000" w:sz="6" w:space="0"/>
            </w:tcBorders>
            <w:vAlign w:val="center"/>
          </w:tcPr>
          <w:p w14:paraId="698A24F9">
            <w:pPr>
              <w:widowControl w:val="0"/>
              <w:kinsoku/>
              <w:topLinePunct/>
              <w:autoSpaceDE/>
              <w:autoSpaceDN/>
              <w:jc w:val="center"/>
              <w:rPr>
                <w:rFonts w:ascii="Times New Roman" w:hAnsi="Times New Roman" w:eastAsia="Times New Roman" w:cs="Times New Roman"/>
                <w:color w:val="auto"/>
              </w:rPr>
            </w:pPr>
            <w:r>
              <w:rPr>
                <w:rFonts w:hint="eastAsia" w:ascii="宋体" w:hAnsi="宋体" w:cs="宋体"/>
                <w:color w:val="auto"/>
              </w:rPr>
              <w:t>需要补充的内容</w:t>
            </w:r>
          </w:p>
        </w:tc>
        <w:tc>
          <w:tcPr>
            <w:tcW w:w="6243" w:type="dxa"/>
            <w:tcBorders>
              <w:bottom w:val="single" w:color="000000" w:sz="6" w:space="0"/>
              <w:right w:val="single" w:color="000000" w:sz="6" w:space="0"/>
            </w:tcBorders>
            <w:vAlign w:val="center"/>
          </w:tcPr>
          <w:p w14:paraId="73B95A04">
            <w:pPr>
              <w:pStyle w:val="22"/>
              <w:numPr>
                <w:ilvl w:val="0"/>
                <w:numId w:val="1"/>
              </w:numPr>
              <w:topLinePunct/>
              <w:adjustRightInd w:val="0"/>
              <w:snapToGrid w:val="0"/>
              <w:ind w:left="105" w:leftChars="50" w:right="105" w:rightChars="50" w:firstLine="210" w:firstLineChars="100"/>
              <w:rPr>
                <w:rFonts w:eastAsia="Times New Roman"/>
                <w:szCs w:val="21"/>
              </w:rPr>
            </w:pPr>
            <w:r>
              <w:rPr>
                <w:rFonts w:hint="eastAsia" w:ascii="宋体" w:hAnsi="宋体" w:cs="宋体"/>
                <w:szCs w:val="21"/>
              </w:rPr>
              <w:t>根据《住房和城乡建设部办公厅关于全面实行一级建造师电子注册证书的通知》（建办市〔2021〕40号），自2022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p w14:paraId="28BF4B6F">
            <w:pPr>
              <w:pStyle w:val="22"/>
              <w:numPr>
                <w:ilvl w:val="0"/>
                <w:numId w:val="1"/>
              </w:numPr>
              <w:topLinePunct/>
              <w:adjustRightInd w:val="0"/>
              <w:snapToGrid w:val="0"/>
              <w:ind w:left="105" w:leftChars="50" w:right="105" w:rightChars="50" w:firstLine="210" w:firstLineChars="100"/>
              <w:rPr>
                <w:rFonts w:eastAsia="Times New Roman"/>
                <w:szCs w:val="21"/>
              </w:rPr>
            </w:pPr>
            <w:r>
              <w:rPr>
                <w:rFonts w:hint="eastAsia" w:eastAsia="Times New Roman"/>
                <w:szCs w:val="21"/>
              </w:rPr>
              <w:t>失信被执行人</w:t>
            </w:r>
            <w:r>
              <w:rPr>
                <w:rFonts w:hint="eastAsia"/>
                <w:szCs w:val="21"/>
              </w:rPr>
              <w:t>、</w:t>
            </w:r>
            <w:r>
              <w:rPr>
                <w:rFonts w:hint="eastAsia" w:eastAsia="Times New Roman"/>
                <w:szCs w:val="21"/>
              </w:rPr>
              <w:t>行贿犯罪记录，由投标人根据招标文件规定的格式作出相应的承诺即可。招标人在定标前，对中标候选人的失信被执行人、行贿犯罪记录进行查询，若发现有未如实填报或隐瞒不报情况的，一律取消其中标资格并上报行政主管部门，由行政主管部门列为不良行为记录。</w:t>
            </w:r>
          </w:p>
          <w:p w14:paraId="4DBD9E17">
            <w:pPr>
              <w:pStyle w:val="22"/>
              <w:numPr>
                <w:ilvl w:val="0"/>
                <w:numId w:val="1"/>
              </w:numPr>
              <w:topLinePunct/>
              <w:adjustRightInd w:val="0"/>
              <w:snapToGrid w:val="0"/>
              <w:ind w:left="105" w:leftChars="50" w:right="105" w:rightChars="50" w:firstLine="210" w:firstLineChars="100"/>
              <w:rPr>
                <w:rFonts w:eastAsia="Times New Roman"/>
                <w:b/>
                <w:bCs/>
                <w:szCs w:val="21"/>
              </w:rPr>
            </w:pPr>
            <w:r>
              <w:rPr>
                <w:rFonts w:hint="eastAsia" w:eastAsia="Times New Roman"/>
                <w:b/>
                <w:bCs/>
                <w:szCs w:val="21"/>
              </w:rPr>
              <w:t>本招标文件中所称复制件是指原件的复印件、扫描件、照片，网页复制件、电子证书复制件等。</w:t>
            </w:r>
          </w:p>
          <w:p w14:paraId="7E66BE1B">
            <w:pPr>
              <w:pStyle w:val="22"/>
              <w:numPr>
                <w:ilvl w:val="0"/>
                <w:numId w:val="1"/>
              </w:numPr>
              <w:topLinePunct/>
              <w:adjustRightInd w:val="0"/>
              <w:snapToGrid w:val="0"/>
              <w:ind w:left="105" w:leftChars="50" w:right="105" w:rightChars="50" w:firstLine="210" w:firstLineChars="100"/>
              <w:rPr>
                <w:rFonts w:eastAsia="Times New Roman"/>
                <w:szCs w:val="21"/>
              </w:rPr>
            </w:pPr>
            <w:r>
              <w:rPr>
                <w:rFonts w:hint="eastAsia" w:eastAsia="Times New Roman"/>
                <w:b/>
                <w:bCs/>
                <w:szCs w:val="21"/>
              </w:rPr>
              <w:t>本标段投标单位在制作电子投标文件时，投标文件组成中“投标函（及其附录）”需上传商务标的“</w:t>
            </w:r>
            <w:r>
              <w:rPr>
                <w:rFonts w:hint="eastAsia"/>
                <w:b/>
                <w:bCs/>
                <w:szCs w:val="21"/>
              </w:rPr>
              <w:t>商务标封面</w:t>
            </w:r>
            <w:r>
              <w:rPr>
                <w:rFonts w:hint="eastAsia" w:eastAsia="Times New Roman"/>
                <w:b/>
                <w:bCs/>
                <w:szCs w:val="21"/>
              </w:rPr>
              <w:t>”、“投标函及投标函附录”和“已标价工程量清单”，如未按此执行，由此产生的后果由投标单位自行负责。</w:t>
            </w:r>
          </w:p>
        </w:tc>
      </w:tr>
    </w:tbl>
    <w:p w14:paraId="510F24D2">
      <w:pPr>
        <w:pStyle w:val="8"/>
        <w:widowControl w:val="0"/>
        <w:kinsoku/>
        <w:wordWrap w:val="0"/>
        <w:topLinePunct/>
        <w:autoSpaceDE/>
        <w:autoSpaceDN/>
        <w:rPr>
          <w:color w:val="auto"/>
          <w:lang w:eastAsia="zh-CN"/>
        </w:rPr>
      </w:pPr>
    </w:p>
    <w:p w14:paraId="4D0476B0">
      <w:pPr>
        <w:rPr>
          <w:color w:val="auto"/>
          <w:lang w:eastAsia="zh-CN"/>
        </w:rPr>
      </w:pPr>
      <w:r>
        <w:rPr>
          <w:color w:val="auto"/>
          <w:lang w:eastAsia="zh-CN"/>
        </w:rPr>
        <w:br w:type="page"/>
      </w:r>
    </w:p>
    <w:p w14:paraId="3F4A1514">
      <w:pPr>
        <w:widowControl w:val="0"/>
        <w:kinsoku/>
        <w:topLinePunct/>
        <w:autoSpaceDE/>
        <w:autoSpaceDN/>
        <w:spacing w:line="520" w:lineRule="exact"/>
        <w:jc w:val="both"/>
        <w:outlineLvl w:val="1"/>
        <w:rPr>
          <w:rFonts w:hint="eastAsia" w:ascii="宋体" w:hAnsi="宋体" w:eastAsia="宋体" w:cs="宋体"/>
          <w:color w:val="auto"/>
          <w:sz w:val="28"/>
          <w:szCs w:val="28"/>
          <w:lang w:eastAsia="zh-CN"/>
        </w:rPr>
      </w:pPr>
      <w:bookmarkStart w:id="70" w:name="bookmark26"/>
      <w:bookmarkEnd w:id="70"/>
      <w:bookmarkStart w:id="71" w:name="bookmark25"/>
      <w:bookmarkEnd w:id="71"/>
      <w:bookmarkStart w:id="72" w:name="_Toc31500"/>
      <w:bookmarkStart w:id="73" w:name="_Toc727"/>
      <w:bookmarkStart w:id="74" w:name="_Toc1068"/>
      <w:bookmarkStart w:id="75" w:name="_Toc8211"/>
      <w:r>
        <w:rPr>
          <w:rFonts w:hint="eastAsia" w:ascii="宋体" w:hAnsi="宋体" w:eastAsia="宋体" w:cs="宋体"/>
          <w:b/>
          <w:bCs/>
          <w:color w:val="auto"/>
          <w:sz w:val="28"/>
          <w:szCs w:val="28"/>
          <w:lang w:eastAsia="zh-CN"/>
        </w:rPr>
        <w:t>1　总则</w:t>
      </w:r>
      <w:bookmarkEnd w:id="72"/>
      <w:bookmarkEnd w:id="73"/>
      <w:bookmarkEnd w:id="74"/>
      <w:bookmarkEnd w:id="75"/>
    </w:p>
    <w:p w14:paraId="181783A0">
      <w:pPr>
        <w:widowControl w:val="0"/>
        <w:kinsoku/>
        <w:topLinePunct/>
        <w:autoSpaceDE/>
        <w:autoSpaceDN/>
        <w:spacing w:line="520" w:lineRule="exact"/>
        <w:jc w:val="both"/>
        <w:outlineLvl w:val="2"/>
        <w:rPr>
          <w:rFonts w:hint="eastAsia" w:ascii="宋体" w:hAnsi="宋体" w:eastAsia="宋体" w:cs="宋体"/>
          <w:color w:val="auto"/>
          <w:sz w:val="24"/>
          <w:szCs w:val="24"/>
          <w:lang w:eastAsia="zh-CN"/>
        </w:rPr>
      </w:pPr>
      <w:bookmarkStart w:id="76" w:name="bookmark665"/>
      <w:bookmarkEnd w:id="76"/>
      <w:bookmarkStart w:id="77" w:name="_Toc4979"/>
      <w:bookmarkStart w:id="78" w:name="_Toc10536"/>
      <w:bookmarkStart w:id="79" w:name="_Toc11552"/>
      <w:bookmarkStart w:id="80" w:name="_Toc31604"/>
      <w:r>
        <w:rPr>
          <w:rFonts w:hint="eastAsia" w:ascii="宋体" w:hAnsi="宋体" w:eastAsia="宋体" w:cs="宋体"/>
          <w:b/>
          <w:bCs/>
          <w:color w:val="auto"/>
          <w:sz w:val="24"/>
          <w:szCs w:val="24"/>
          <w:lang w:eastAsia="zh-CN"/>
        </w:rPr>
        <w:t>1.1　项目概况</w:t>
      </w:r>
      <w:bookmarkEnd w:id="77"/>
      <w:bookmarkEnd w:id="78"/>
      <w:bookmarkEnd w:id="79"/>
      <w:bookmarkEnd w:id="80"/>
    </w:p>
    <w:p w14:paraId="59213F0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1.1.1　</w:t>
      </w:r>
      <w:r>
        <w:rPr>
          <w:rFonts w:hint="eastAsia" w:ascii="宋体" w:hAnsi="宋体" w:eastAsia="宋体" w:cs="宋体"/>
          <w:color w:val="auto"/>
          <w:sz w:val="24"/>
          <w:szCs w:val="24"/>
          <w:lang w:eastAsia="zh-CN"/>
        </w:rPr>
        <w:t>根据《中华人民共和国招标投标法》、《中华人民共和国招标投标法实施条例》等有关法律、法规和规章的规定，本招标项目已具备招标条件，现对本标段施工进行招标。</w:t>
      </w:r>
    </w:p>
    <w:p w14:paraId="6B7CE32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1.1.2　</w:t>
      </w:r>
      <w:r>
        <w:rPr>
          <w:rFonts w:hint="eastAsia" w:ascii="宋体" w:hAnsi="宋体" w:eastAsia="宋体" w:cs="宋体"/>
          <w:color w:val="auto"/>
          <w:sz w:val="24"/>
          <w:szCs w:val="24"/>
          <w:lang w:eastAsia="zh-CN"/>
        </w:rPr>
        <w:t>本招标项目招标人：见投标人须知前附表。</w:t>
      </w:r>
    </w:p>
    <w:p w14:paraId="31247FE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1.1.3　</w:t>
      </w:r>
      <w:r>
        <w:rPr>
          <w:rFonts w:hint="eastAsia" w:ascii="宋体" w:hAnsi="宋体" w:eastAsia="宋体" w:cs="宋体"/>
          <w:color w:val="auto"/>
          <w:sz w:val="24"/>
          <w:szCs w:val="24"/>
          <w:lang w:eastAsia="zh-CN"/>
        </w:rPr>
        <w:t>本标段招标代理机构：见投标人须知前附表。</w:t>
      </w:r>
    </w:p>
    <w:p w14:paraId="604AB3A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1.1.4　</w:t>
      </w:r>
      <w:r>
        <w:rPr>
          <w:rFonts w:hint="eastAsia" w:ascii="宋体" w:hAnsi="宋体" w:eastAsia="宋体" w:cs="宋体"/>
          <w:color w:val="auto"/>
          <w:sz w:val="24"/>
          <w:szCs w:val="24"/>
          <w:lang w:eastAsia="zh-CN"/>
        </w:rPr>
        <w:t>本招标项目名称：见投标人须知前附表。</w:t>
      </w:r>
    </w:p>
    <w:p w14:paraId="2CDBE4F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1.1.5　</w:t>
      </w:r>
      <w:r>
        <w:rPr>
          <w:rFonts w:hint="eastAsia" w:ascii="宋体" w:hAnsi="宋体" w:eastAsia="宋体" w:cs="宋体"/>
          <w:color w:val="auto"/>
          <w:sz w:val="24"/>
          <w:szCs w:val="24"/>
          <w:lang w:eastAsia="zh-CN"/>
        </w:rPr>
        <w:t>本标段建设地点：见投标人须知前附表。</w:t>
      </w:r>
    </w:p>
    <w:p w14:paraId="0AECA26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1.1.6　</w:t>
      </w:r>
      <w:r>
        <w:rPr>
          <w:rFonts w:hint="eastAsia" w:ascii="宋体" w:hAnsi="宋体" w:eastAsia="宋体" w:cs="宋体"/>
          <w:color w:val="auto"/>
          <w:sz w:val="24"/>
          <w:szCs w:val="24"/>
          <w:lang w:eastAsia="zh-CN"/>
        </w:rPr>
        <w:t>本招标项目现场管理机构：见投标人须知前附表。</w:t>
      </w:r>
    </w:p>
    <w:p w14:paraId="331EA00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1.1.7　</w:t>
      </w:r>
      <w:r>
        <w:rPr>
          <w:rFonts w:hint="eastAsia" w:ascii="宋体" w:hAnsi="宋体" w:eastAsia="宋体" w:cs="宋体"/>
          <w:color w:val="auto"/>
          <w:sz w:val="24"/>
          <w:szCs w:val="24"/>
          <w:lang w:eastAsia="zh-CN"/>
        </w:rPr>
        <w:t>本招标项目设计人：见投标人须知前附表。</w:t>
      </w:r>
    </w:p>
    <w:p w14:paraId="38EF2F1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1.1.8　</w:t>
      </w:r>
      <w:r>
        <w:rPr>
          <w:rFonts w:hint="eastAsia" w:ascii="宋体" w:hAnsi="宋体" w:eastAsia="宋体" w:cs="宋体"/>
          <w:color w:val="auto"/>
          <w:sz w:val="24"/>
          <w:szCs w:val="24"/>
          <w:lang w:eastAsia="zh-CN"/>
        </w:rPr>
        <w:t>本招标项目监理人：见投标人须知前附表。</w:t>
      </w:r>
    </w:p>
    <w:p w14:paraId="4AEEAF25">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1.1.9　</w:t>
      </w:r>
      <w:r>
        <w:rPr>
          <w:rFonts w:hint="eastAsia" w:ascii="宋体" w:hAnsi="宋体" w:eastAsia="宋体" w:cs="宋体"/>
          <w:color w:val="auto"/>
          <w:sz w:val="24"/>
          <w:szCs w:val="24"/>
          <w:lang w:eastAsia="zh-CN"/>
        </w:rPr>
        <w:t>本招标项目代建机构：见投标人须知前附表。</w:t>
      </w:r>
    </w:p>
    <w:p w14:paraId="41C1E8D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81" w:name="bookmark27"/>
      <w:bookmarkEnd w:id="81"/>
      <w:bookmarkStart w:id="82" w:name="_Toc21408"/>
      <w:bookmarkStart w:id="83" w:name="_Toc238"/>
      <w:bookmarkStart w:id="84" w:name="_Toc18189"/>
      <w:bookmarkStart w:id="85" w:name="_Toc707"/>
      <w:r>
        <w:rPr>
          <w:rFonts w:hint="eastAsia" w:ascii="宋体" w:hAnsi="宋体" w:eastAsia="宋体" w:cs="宋体"/>
          <w:b/>
          <w:bCs/>
          <w:color w:val="auto"/>
          <w:sz w:val="24"/>
          <w:szCs w:val="24"/>
          <w:lang w:eastAsia="zh-CN"/>
        </w:rPr>
        <w:t>1.2　资金来源和落实情况</w:t>
      </w:r>
      <w:bookmarkEnd w:id="82"/>
      <w:bookmarkEnd w:id="83"/>
      <w:bookmarkEnd w:id="84"/>
      <w:bookmarkEnd w:id="85"/>
    </w:p>
    <w:p w14:paraId="470E8E7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1.2.1　</w:t>
      </w:r>
      <w:r>
        <w:rPr>
          <w:rFonts w:hint="eastAsia" w:ascii="宋体" w:hAnsi="宋体" w:eastAsia="宋体" w:cs="宋体"/>
          <w:color w:val="auto"/>
          <w:sz w:val="24"/>
          <w:szCs w:val="24"/>
          <w:lang w:eastAsia="zh-CN"/>
        </w:rPr>
        <w:t>本招标项目的资金来源及项目的出资比例：见投标人须知前附表。</w:t>
      </w:r>
    </w:p>
    <w:p w14:paraId="147C6FE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1.2.2　</w:t>
      </w:r>
      <w:r>
        <w:rPr>
          <w:rFonts w:hint="eastAsia" w:ascii="宋体" w:hAnsi="宋体" w:eastAsia="宋体" w:cs="宋体"/>
          <w:color w:val="auto"/>
          <w:sz w:val="24"/>
          <w:szCs w:val="24"/>
          <w:lang w:eastAsia="zh-CN"/>
        </w:rPr>
        <w:t>本招标项目的资金落实情况：见投标人须知前附表。</w:t>
      </w:r>
    </w:p>
    <w:p w14:paraId="04DECB3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86" w:name="bookmark28"/>
      <w:bookmarkEnd w:id="86"/>
      <w:bookmarkStart w:id="87" w:name="_Toc30240"/>
      <w:bookmarkStart w:id="88" w:name="_Toc31127"/>
      <w:bookmarkStart w:id="89" w:name="_Toc29594"/>
      <w:bookmarkStart w:id="90" w:name="_Toc7942"/>
      <w:r>
        <w:rPr>
          <w:rFonts w:hint="eastAsia" w:ascii="宋体" w:hAnsi="宋体" w:eastAsia="宋体" w:cs="宋体"/>
          <w:b/>
          <w:bCs/>
          <w:color w:val="auto"/>
          <w:sz w:val="24"/>
          <w:szCs w:val="24"/>
          <w:lang w:eastAsia="zh-CN"/>
        </w:rPr>
        <w:t>1.3　招标范围、计划工期和质量要求</w:t>
      </w:r>
      <w:bookmarkEnd w:id="87"/>
      <w:bookmarkEnd w:id="88"/>
      <w:bookmarkEnd w:id="89"/>
      <w:bookmarkEnd w:id="90"/>
    </w:p>
    <w:p w14:paraId="7227AB7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1.3.1　</w:t>
      </w:r>
      <w:r>
        <w:rPr>
          <w:rFonts w:hint="eastAsia" w:ascii="宋体" w:hAnsi="宋体" w:eastAsia="宋体" w:cs="宋体"/>
          <w:color w:val="auto"/>
          <w:sz w:val="24"/>
          <w:szCs w:val="24"/>
          <w:lang w:eastAsia="zh-CN"/>
        </w:rPr>
        <w:t>本次招标范围：见投标人须知前附表。</w:t>
      </w:r>
    </w:p>
    <w:p w14:paraId="76E9D8E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1.3.2　</w:t>
      </w:r>
      <w:r>
        <w:rPr>
          <w:rFonts w:hint="eastAsia" w:ascii="宋体" w:hAnsi="宋体" w:eastAsia="宋体" w:cs="宋体"/>
          <w:color w:val="auto"/>
          <w:sz w:val="24"/>
          <w:szCs w:val="24"/>
          <w:lang w:eastAsia="zh-CN"/>
        </w:rPr>
        <w:t>本标段的计划工期：见投标人须知前附表。</w:t>
      </w:r>
    </w:p>
    <w:p w14:paraId="0434277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1.3.3　</w:t>
      </w:r>
      <w:r>
        <w:rPr>
          <w:rFonts w:hint="eastAsia" w:ascii="宋体" w:hAnsi="宋体" w:eastAsia="宋体" w:cs="宋体"/>
          <w:color w:val="auto"/>
          <w:sz w:val="24"/>
          <w:szCs w:val="24"/>
          <w:lang w:eastAsia="zh-CN"/>
        </w:rPr>
        <w:t>本标段的质量要求：见投标人须知前附表。</w:t>
      </w:r>
    </w:p>
    <w:p w14:paraId="5FDA9D3A">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91" w:name="bookmark29"/>
      <w:bookmarkEnd w:id="91"/>
      <w:bookmarkStart w:id="92" w:name="_Toc17557"/>
      <w:bookmarkStart w:id="93" w:name="_Toc15920"/>
      <w:bookmarkStart w:id="94" w:name="_Toc10244"/>
      <w:bookmarkStart w:id="95" w:name="_Toc14741"/>
      <w:r>
        <w:rPr>
          <w:rFonts w:hint="eastAsia" w:ascii="宋体" w:hAnsi="宋体" w:eastAsia="宋体" w:cs="宋体"/>
          <w:b/>
          <w:bCs/>
          <w:color w:val="auto"/>
          <w:sz w:val="24"/>
          <w:szCs w:val="24"/>
          <w:lang w:eastAsia="zh-CN"/>
        </w:rPr>
        <w:t>1.4　投标人资格要求（适用于已进行资格预审的）</w:t>
      </w:r>
      <w:bookmarkEnd w:id="92"/>
      <w:bookmarkEnd w:id="93"/>
      <w:bookmarkEnd w:id="94"/>
      <w:bookmarkEnd w:id="95"/>
    </w:p>
    <w:p w14:paraId="60CE9F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投标人应是收到招标人发出的投标邀请书的单位。</w:t>
      </w:r>
    </w:p>
    <w:p w14:paraId="71BF2FC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96" w:name="bookmark30"/>
      <w:bookmarkEnd w:id="96"/>
      <w:bookmarkStart w:id="97" w:name="_Toc7207"/>
      <w:bookmarkStart w:id="98" w:name="_Toc15057"/>
      <w:bookmarkStart w:id="99" w:name="_Toc20769"/>
      <w:bookmarkStart w:id="100" w:name="_Toc14044"/>
      <w:r>
        <w:rPr>
          <w:rFonts w:hint="eastAsia" w:ascii="宋体" w:hAnsi="宋体" w:eastAsia="宋体" w:cs="宋体"/>
          <w:b/>
          <w:bCs/>
          <w:color w:val="auto"/>
          <w:sz w:val="24"/>
          <w:szCs w:val="24"/>
          <w:lang w:eastAsia="zh-CN"/>
        </w:rPr>
        <w:t>1.4　投标人资格要求（适用于未进行资格预审的）</w:t>
      </w:r>
      <w:bookmarkEnd w:id="97"/>
      <w:bookmarkEnd w:id="98"/>
      <w:bookmarkEnd w:id="99"/>
      <w:bookmarkEnd w:id="100"/>
    </w:p>
    <w:p w14:paraId="4E99294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1.4.1　</w:t>
      </w:r>
      <w:r>
        <w:rPr>
          <w:rFonts w:hint="eastAsia" w:ascii="宋体" w:hAnsi="宋体" w:eastAsia="宋体" w:cs="宋体"/>
          <w:color w:val="auto"/>
          <w:sz w:val="24"/>
          <w:szCs w:val="24"/>
          <w:lang w:eastAsia="zh-CN"/>
        </w:rPr>
        <w:t>投标人应具备承担本标段施工的资质条件、能力。</w:t>
      </w:r>
    </w:p>
    <w:p w14:paraId="64D275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（1）企业要求：见投标人须知前附表。</w:t>
      </w:r>
    </w:p>
    <w:p w14:paraId="78FCD7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（2）拟派项目组主要人员要求：见投标人须知前附表。</w:t>
      </w:r>
    </w:p>
    <w:p w14:paraId="16E976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（3）其他要求：见投标人须知前附表。</w:t>
      </w:r>
    </w:p>
    <w:p w14:paraId="15772166">
      <w:pPr>
        <w:widowControl w:val="0"/>
        <w:kinsoku/>
        <w:topLinePunct/>
        <w:autoSpaceDE/>
        <w:autoSpaceDN/>
        <w:spacing w:line="520" w:lineRule="exact"/>
        <w:ind w:firstLine="482" w:firstLineChars="200"/>
        <w:jc w:val="both"/>
        <w:rPr>
          <w:rFonts w:hint="eastAsia" w:ascii="宋体" w:hAnsi="宋体" w:eastAsia="宋体" w:cs="宋体"/>
          <w:strike/>
          <w:color w:val="auto"/>
          <w:sz w:val="24"/>
          <w:szCs w:val="24"/>
          <w:lang w:eastAsia="zh-CN"/>
        </w:rPr>
      </w:pPr>
      <w:r>
        <w:rPr>
          <w:rFonts w:hint="eastAsia" w:ascii="宋体" w:hAnsi="宋体" w:eastAsia="宋体" w:cs="宋体"/>
          <w:b/>
          <w:bCs/>
          <w:strike/>
          <w:color w:val="auto"/>
          <w:sz w:val="24"/>
          <w:szCs w:val="24"/>
          <w:lang w:eastAsia="zh-CN"/>
        </w:rPr>
        <w:t>1.4.2　</w:t>
      </w:r>
      <w:r>
        <w:rPr>
          <w:rFonts w:hint="eastAsia" w:ascii="宋体" w:hAnsi="宋体" w:eastAsia="宋体" w:cs="宋体"/>
          <w:strike/>
          <w:color w:val="auto"/>
          <w:sz w:val="24"/>
          <w:szCs w:val="24"/>
          <w:lang w:eastAsia="zh-CN"/>
        </w:rPr>
        <w:t>投标人须知前附表规定接受联合体投标的，除应符合本章第1.4.1项和投标人须知前附表的要求外，还应遵守以下规定。</w:t>
      </w:r>
    </w:p>
    <w:p w14:paraId="164915C8">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（1）联合体各方应按招标文件提供的格式签订联合体协议书，明确联合体牵头人和各方权利义务。</w:t>
      </w:r>
    </w:p>
    <w:p w14:paraId="0CD55753">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（2）由同一专业的单位组成的联合体，按照资质等级较低的单位确定资质等级。</w:t>
      </w:r>
    </w:p>
    <w:p w14:paraId="6F83D16F">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（3）联合体各方不得再以自己名义单独或参加其他联合体在同一标段中投标。</w:t>
      </w:r>
    </w:p>
    <w:p w14:paraId="2F0677B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1.4.3　</w:t>
      </w:r>
      <w:r>
        <w:rPr>
          <w:rFonts w:hint="eastAsia" w:ascii="宋体" w:hAnsi="宋体" w:eastAsia="宋体" w:cs="宋体"/>
          <w:color w:val="auto"/>
          <w:sz w:val="24"/>
          <w:szCs w:val="24"/>
          <w:lang w:eastAsia="zh-CN"/>
        </w:rPr>
        <w:t>投标人不得存在下列情形之一：</w:t>
      </w:r>
    </w:p>
    <w:p w14:paraId="262AE8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（1）为招标人不具有独立法人资格的附属机构（单位）。</w:t>
      </w:r>
    </w:p>
    <w:p w14:paraId="57363F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（2）为本标段前期准备提供设计或咨询服务的，但设计施工总承包的除外。</w:t>
      </w:r>
    </w:p>
    <w:p w14:paraId="572F4A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（3）为本标段的监理人。</w:t>
      </w:r>
    </w:p>
    <w:p w14:paraId="4C4F95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（4）为本标段的代建人。</w:t>
      </w:r>
    </w:p>
    <w:p w14:paraId="2431B4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（5）为本标段提供招标代理服务的。</w:t>
      </w:r>
    </w:p>
    <w:p w14:paraId="21D74E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（6）与本标段的监理人或代建人或招标代理机构同为一个法定代表人的。</w:t>
      </w:r>
    </w:p>
    <w:p w14:paraId="5BE08F1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（7）与本标段的监理人或代建人或招标代理机构相互控股或参股的。</w:t>
      </w:r>
    </w:p>
    <w:p w14:paraId="50DE29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（8）与本标段的监理人或代建人或招标代理机构相互任职或工作的。</w:t>
      </w:r>
    </w:p>
    <w:p w14:paraId="75EC78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（9）被责令停业的。</w:t>
      </w:r>
    </w:p>
    <w:p w14:paraId="0BCC8A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（10）被项目所在地县（市、区）、地级市和省暂停或取消投标资格的。</w:t>
      </w:r>
    </w:p>
    <w:p w14:paraId="40F2FC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（11）财产被接管或全部冻结的。</w:t>
      </w:r>
    </w:p>
    <w:p w14:paraId="44DFE2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（12）与招标人存在利害关系可能影响招标公正性的法人或者其他组织。</w:t>
      </w:r>
    </w:p>
    <w:p w14:paraId="5C0FA6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（13）单位负责人为同一人或者存在控股、管理关系的不同单位。</w:t>
      </w:r>
    </w:p>
    <w:p w14:paraId="5F6CE7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（14）其他法律法规规定的情形。</w:t>
      </w:r>
    </w:p>
    <w:p w14:paraId="6FF993BA">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1" w:name="bookmark31"/>
      <w:bookmarkEnd w:id="101"/>
      <w:bookmarkStart w:id="102" w:name="_Toc21680"/>
      <w:bookmarkStart w:id="103" w:name="_Toc32150"/>
      <w:bookmarkStart w:id="104" w:name="_Toc2747"/>
      <w:bookmarkStart w:id="105" w:name="_Toc20640"/>
      <w:r>
        <w:rPr>
          <w:rFonts w:hint="eastAsia" w:ascii="宋体" w:hAnsi="宋体" w:eastAsia="宋体" w:cs="宋体"/>
          <w:b/>
          <w:bCs/>
          <w:color w:val="auto"/>
          <w:sz w:val="24"/>
          <w:szCs w:val="24"/>
          <w:lang w:eastAsia="zh-CN"/>
        </w:rPr>
        <w:t>1.5　费用承担</w:t>
      </w:r>
      <w:bookmarkEnd w:id="102"/>
      <w:bookmarkEnd w:id="103"/>
      <w:bookmarkEnd w:id="104"/>
      <w:bookmarkEnd w:id="105"/>
    </w:p>
    <w:p w14:paraId="54A547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投标人准备和参加投标活动发生的费用自理。</w:t>
      </w:r>
    </w:p>
    <w:p w14:paraId="63AD0AD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6" w:name="bookmark32"/>
      <w:bookmarkEnd w:id="106"/>
      <w:bookmarkStart w:id="107" w:name="_Toc1048"/>
      <w:bookmarkStart w:id="108" w:name="_Toc1493"/>
      <w:bookmarkStart w:id="109" w:name="_Toc10491"/>
      <w:bookmarkStart w:id="110" w:name="_Toc29143"/>
      <w:r>
        <w:rPr>
          <w:rFonts w:hint="eastAsia" w:ascii="宋体" w:hAnsi="宋体" w:eastAsia="宋体" w:cs="宋体"/>
          <w:b/>
          <w:bCs/>
          <w:color w:val="auto"/>
          <w:sz w:val="24"/>
          <w:szCs w:val="24"/>
          <w:lang w:eastAsia="zh-CN"/>
        </w:rPr>
        <w:t>1.6　保密</w:t>
      </w:r>
      <w:bookmarkEnd w:id="107"/>
      <w:bookmarkEnd w:id="108"/>
      <w:bookmarkEnd w:id="109"/>
      <w:bookmarkEnd w:id="110"/>
    </w:p>
    <w:p w14:paraId="0085F1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参与招标投标活动的各方应对招标文件和投标文件中的商业和技术等秘密保密，违者应对由此造成的后果承担法律责任。</w:t>
      </w:r>
    </w:p>
    <w:p w14:paraId="2D8752A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1" w:name="bookmark33"/>
      <w:bookmarkEnd w:id="111"/>
      <w:bookmarkStart w:id="112" w:name="_Toc4818"/>
      <w:bookmarkStart w:id="113" w:name="_Toc30919"/>
      <w:bookmarkStart w:id="114" w:name="_Toc5765"/>
      <w:bookmarkStart w:id="115" w:name="_Toc2597"/>
      <w:r>
        <w:rPr>
          <w:rFonts w:hint="eastAsia" w:ascii="宋体" w:hAnsi="宋体" w:eastAsia="宋体" w:cs="宋体"/>
          <w:b/>
          <w:bCs/>
          <w:color w:val="auto"/>
          <w:sz w:val="24"/>
          <w:szCs w:val="24"/>
          <w:lang w:eastAsia="zh-CN"/>
        </w:rPr>
        <w:t>1.7　语言文字</w:t>
      </w:r>
      <w:bookmarkEnd w:id="112"/>
      <w:bookmarkEnd w:id="113"/>
      <w:bookmarkEnd w:id="114"/>
      <w:bookmarkEnd w:id="115"/>
    </w:p>
    <w:p w14:paraId="3B7B44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除专用术语外，与招标投标有关的语言均使用中文。必要时专用术语应附有中文注释。</w:t>
      </w:r>
    </w:p>
    <w:p w14:paraId="02F970E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6" w:name="bookmark34"/>
      <w:bookmarkEnd w:id="116"/>
      <w:bookmarkStart w:id="117" w:name="_Toc2908"/>
      <w:bookmarkStart w:id="118" w:name="_Toc31704"/>
      <w:bookmarkStart w:id="119" w:name="_Toc30286"/>
      <w:bookmarkStart w:id="120" w:name="_Toc2287"/>
      <w:r>
        <w:rPr>
          <w:rFonts w:hint="eastAsia" w:ascii="宋体" w:hAnsi="宋体" w:eastAsia="宋体" w:cs="宋体"/>
          <w:b/>
          <w:bCs/>
          <w:color w:val="auto"/>
          <w:sz w:val="24"/>
          <w:szCs w:val="24"/>
          <w:lang w:eastAsia="zh-CN"/>
        </w:rPr>
        <w:t>1.8　计量单位</w:t>
      </w:r>
      <w:bookmarkEnd w:id="117"/>
      <w:bookmarkEnd w:id="118"/>
      <w:bookmarkEnd w:id="119"/>
      <w:bookmarkEnd w:id="120"/>
    </w:p>
    <w:p w14:paraId="366CD4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所有计量均采用中华人民共和国法定计量单位。</w:t>
      </w:r>
    </w:p>
    <w:p w14:paraId="08273E9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1" w:name="bookmark35"/>
      <w:bookmarkEnd w:id="121"/>
      <w:bookmarkStart w:id="122" w:name="_Toc22697"/>
      <w:bookmarkStart w:id="123" w:name="_Toc29040"/>
      <w:bookmarkStart w:id="124" w:name="_Toc32022"/>
      <w:bookmarkStart w:id="125" w:name="_Toc31596"/>
      <w:r>
        <w:rPr>
          <w:rFonts w:hint="eastAsia" w:ascii="宋体" w:hAnsi="宋体" w:eastAsia="宋体" w:cs="宋体"/>
          <w:b/>
          <w:bCs/>
          <w:color w:val="auto"/>
          <w:sz w:val="24"/>
          <w:szCs w:val="24"/>
          <w:lang w:eastAsia="zh-CN"/>
        </w:rPr>
        <w:t>1.9　踏勘现场</w:t>
      </w:r>
      <w:bookmarkEnd w:id="122"/>
      <w:bookmarkEnd w:id="123"/>
      <w:bookmarkEnd w:id="124"/>
      <w:bookmarkEnd w:id="125"/>
    </w:p>
    <w:p w14:paraId="64985C7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1.9.1　</w:t>
      </w:r>
      <w:r>
        <w:rPr>
          <w:rFonts w:hint="eastAsia" w:ascii="宋体" w:hAnsi="宋体" w:eastAsia="宋体" w:cs="宋体"/>
          <w:color w:val="auto"/>
          <w:sz w:val="24"/>
          <w:szCs w:val="24"/>
          <w:lang w:eastAsia="zh-CN"/>
        </w:rPr>
        <w:t>投标人须知前附表规定组织踏勘现场的，招标人按照投标人须知前附表规定的时间和地点组织踏勘现场。</w:t>
      </w:r>
    </w:p>
    <w:p w14:paraId="441F99D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1.9.2　</w:t>
      </w:r>
      <w:r>
        <w:rPr>
          <w:rFonts w:hint="eastAsia" w:ascii="宋体" w:hAnsi="宋体" w:eastAsia="宋体" w:cs="宋体"/>
          <w:color w:val="auto"/>
          <w:sz w:val="24"/>
          <w:szCs w:val="24"/>
          <w:lang w:eastAsia="zh-CN"/>
        </w:rPr>
        <w:t>投标人踏勘现场发生的费用自理。</w:t>
      </w:r>
    </w:p>
    <w:p w14:paraId="0B5CD24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1.9.3　</w:t>
      </w:r>
      <w:r>
        <w:rPr>
          <w:rFonts w:hint="eastAsia" w:ascii="宋体" w:hAnsi="宋体" w:eastAsia="宋体" w:cs="宋体"/>
          <w:color w:val="auto"/>
          <w:sz w:val="24"/>
          <w:szCs w:val="24"/>
          <w:lang w:eastAsia="zh-CN"/>
        </w:rPr>
        <w:t>除招标人的原因外，投标人自行负责在踏勘现场中所发生的人员伤亡和财产损失。</w:t>
      </w:r>
    </w:p>
    <w:p w14:paraId="02FC929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1.9.4　</w:t>
      </w:r>
      <w:r>
        <w:rPr>
          <w:rFonts w:hint="eastAsia" w:ascii="宋体" w:hAnsi="宋体" w:eastAsia="宋体" w:cs="宋体"/>
          <w:color w:val="auto"/>
          <w:sz w:val="24"/>
          <w:szCs w:val="24"/>
          <w:lang w:eastAsia="zh-CN"/>
        </w:rPr>
        <w:t>招标人在踏勘现场中介绍的工程场地和相关的周边环境情况，供投标人在编制投标文件时参考，招标人不对投标人据此作出的判断和决策负责。</w:t>
      </w:r>
    </w:p>
    <w:p w14:paraId="2E91652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6" w:name="bookmark36"/>
      <w:bookmarkEnd w:id="126"/>
      <w:bookmarkStart w:id="127" w:name="_Toc29856"/>
      <w:bookmarkStart w:id="128" w:name="_Toc22172"/>
      <w:bookmarkStart w:id="129" w:name="_Toc15428"/>
      <w:bookmarkStart w:id="130" w:name="_Toc24906"/>
      <w:r>
        <w:rPr>
          <w:rFonts w:hint="eastAsia" w:ascii="宋体" w:hAnsi="宋体" w:eastAsia="宋体" w:cs="宋体"/>
          <w:b/>
          <w:bCs/>
          <w:color w:val="auto"/>
          <w:sz w:val="24"/>
          <w:szCs w:val="24"/>
          <w:lang w:eastAsia="zh-CN"/>
        </w:rPr>
        <w:t>1.10　投标预备会</w:t>
      </w:r>
      <w:bookmarkEnd w:id="127"/>
      <w:bookmarkEnd w:id="128"/>
      <w:bookmarkEnd w:id="129"/>
      <w:bookmarkEnd w:id="130"/>
    </w:p>
    <w:p w14:paraId="1AE36EE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1.10.1　</w:t>
      </w:r>
      <w:r>
        <w:rPr>
          <w:rFonts w:hint="eastAsia" w:ascii="宋体" w:hAnsi="宋体" w:eastAsia="宋体" w:cs="宋体"/>
          <w:color w:val="auto"/>
          <w:sz w:val="24"/>
          <w:szCs w:val="24"/>
          <w:lang w:eastAsia="zh-CN"/>
        </w:rPr>
        <w:t>投标人须知前附表规定召开投标预备会的，招标人按照投标人须知前附表规定的时间和地点召开投标预备会。</w:t>
      </w:r>
    </w:p>
    <w:p w14:paraId="22217E1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1.10.2　</w:t>
      </w:r>
      <w:r>
        <w:rPr>
          <w:rFonts w:hint="eastAsia" w:ascii="宋体" w:hAnsi="宋体" w:eastAsia="宋体" w:cs="宋体"/>
          <w:color w:val="auto"/>
          <w:sz w:val="24"/>
          <w:szCs w:val="24"/>
          <w:lang w:eastAsia="zh-CN"/>
        </w:rPr>
        <w:t>在投标预备会召开前，投标人应按投标人须知前附表第2.2.1项规定的形式将需要招标人澄清的问题送达招标人。</w:t>
      </w:r>
    </w:p>
    <w:p w14:paraId="79EDFAD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1.10.3　</w:t>
      </w:r>
      <w:r>
        <w:rPr>
          <w:rFonts w:hint="eastAsia" w:ascii="宋体" w:hAnsi="宋体" w:eastAsia="宋体" w:cs="宋体"/>
          <w:color w:val="auto"/>
          <w:sz w:val="24"/>
          <w:szCs w:val="24"/>
          <w:lang w:eastAsia="zh-CN"/>
        </w:rPr>
        <w:t>在投标人须知前附表规定的投标截止时间15日前，招标人将对投标人所提问题的澄清，以投标人须知前附表第2.2.2项规定的方式通知所有获取招标文件的投标人。该澄清通知为招标文件的组成部分。</w:t>
      </w:r>
    </w:p>
    <w:p w14:paraId="39BDBBF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1" w:name="bookmark37"/>
      <w:bookmarkEnd w:id="131"/>
      <w:bookmarkStart w:id="132" w:name="_Toc17697"/>
      <w:bookmarkStart w:id="133" w:name="_Toc13274"/>
      <w:bookmarkStart w:id="134" w:name="_Toc29006"/>
      <w:bookmarkStart w:id="135" w:name="_Toc19363"/>
      <w:r>
        <w:rPr>
          <w:rFonts w:hint="eastAsia" w:ascii="宋体" w:hAnsi="宋体" w:eastAsia="宋体" w:cs="宋体"/>
          <w:b/>
          <w:bCs/>
          <w:color w:val="auto"/>
          <w:sz w:val="24"/>
          <w:szCs w:val="24"/>
          <w:lang w:eastAsia="zh-CN"/>
        </w:rPr>
        <w:t>1.11　分包</w:t>
      </w:r>
      <w:bookmarkEnd w:id="132"/>
      <w:bookmarkEnd w:id="133"/>
      <w:bookmarkEnd w:id="134"/>
      <w:bookmarkEnd w:id="135"/>
    </w:p>
    <w:p w14:paraId="3EE0B7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须知前附表规定允许分包的，分包的内容、分包金额、接受分包的第三人资质要求见投标人须知前附表。投标人应在投标文件中明确是否在中标后将中标项目的部分非主体、非关键性工作进行分包。投标人拟分包时，分包人应具备与分包工程的标准和规模相适应的资质和业绩，在人力、设备、资金等方面具有承担分包工程施工的能力。</w:t>
      </w:r>
    </w:p>
    <w:p w14:paraId="4DFB726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6" w:name="bookmark38"/>
      <w:bookmarkEnd w:id="136"/>
      <w:bookmarkStart w:id="137" w:name="_Toc16231"/>
      <w:bookmarkStart w:id="138" w:name="_Toc20812"/>
      <w:bookmarkStart w:id="139" w:name="_Toc12534"/>
      <w:bookmarkStart w:id="140" w:name="_Toc24212"/>
      <w:r>
        <w:rPr>
          <w:rFonts w:hint="eastAsia" w:ascii="宋体" w:hAnsi="宋体" w:eastAsia="宋体" w:cs="宋体"/>
          <w:b/>
          <w:bCs/>
          <w:color w:val="auto"/>
          <w:sz w:val="24"/>
          <w:szCs w:val="24"/>
          <w:lang w:eastAsia="zh-CN"/>
        </w:rPr>
        <w:t>1.12　偏离</w:t>
      </w:r>
      <w:bookmarkEnd w:id="137"/>
      <w:bookmarkEnd w:id="138"/>
      <w:bookmarkEnd w:id="139"/>
      <w:bookmarkEnd w:id="140"/>
    </w:p>
    <w:p w14:paraId="4260CB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投标文件不允许偏离招标文件的实质性要求和条件。允许投标文件偏离招标文件的非实质性要求和条件的，其偏离内容、范围和幅度见投标人须知前附表。</w:t>
      </w:r>
    </w:p>
    <w:p w14:paraId="1672D27E">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141" w:name="bookmark39"/>
      <w:bookmarkEnd w:id="141"/>
      <w:bookmarkStart w:id="142" w:name="bookmark40"/>
      <w:bookmarkEnd w:id="142"/>
      <w:bookmarkStart w:id="143" w:name="_Toc24666"/>
      <w:bookmarkStart w:id="144" w:name="_Toc32737"/>
      <w:bookmarkStart w:id="145" w:name="_Toc13573"/>
      <w:bookmarkStart w:id="146" w:name="_Toc9378"/>
      <w:r>
        <w:rPr>
          <w:rFonts w:hint="eastAsia" w:ascii="宋体" w:hAnsi="宋体" w:eastAsia="宋体" w:cs="宋体"/>
          <w:b/>
          <w:bCs/>
          <w:color w:val="auto"/>
          <w:sz w:val="28"/>
          <w:szCs w:val="28"/>
          <w:lang w:eastAsia="zh-CN"/>
        </w:rPr>
        <w:t>2　招标文件</w:t>
      </w:r>
      <w:bookmarkEnd w:id="143"/>
      <w:bookmarkEnd w:id="144"/>
      <w:bookmarkEnd w:id="145"/>
      <w:bookmarkEnd w:id="146"/>
    </w:p>
    <w:p w14:paraId="4E01DE0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7" w:name="bookmark666"/>
      <w:bookmarkEnd w:id="147"/>
      <w:bookmarkStart w:id="148" w:name="_Toc3765"/>
      <w:bookmarkStart w:id="149" w:name="_Toc750"/>
      <w:bookmarkStart w:id="150" w:name="_Toc29325"/>
      <w:bookmarkStart w:id="151" w:name="_Toc30141"/>
      <w:r>
        <w:rPr>
          <w:rFonts w:hint="eastAsia" w:ascii="宋体" w:hAnsi="宋体" w:eastAsia="宋体" w:cs="宋体"/>
          <w:b/>
          <w:bCs/>
          <w:color w:val="auto"/>
          <w:sz w:val="24"/>
          <w:szCs w:val="24"/>
          <w:lang w:eastAsia="zh-CN"/>
        </w:rPr>
        <w:t>2.1　招标文件的组成</w:t>
      </w:r>
      <w:bookmarkEnd w:id="148"/>
      <w:bookmarkEnd w:id="149"/>
      <w:bookmarkEnd w:id="150"/>
      <w:bookmarkEnd w:id="151"/>
    </w:p>
    <w:p w14:paraId="38B06D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本招标文件包括下列内容：</w:t>
      </w:r>
    </w:p>
    <w:p w14:paraId="637877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（1）招标公告（或投标邀请书）。</w:t>
      </w:r>
    </w:p>
    <w:p w14:paraId="1F9B94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（2）投标人须知。</w:t>
      </w:r>
    </w:p>
    <w:p w14:paraId="2EA0DC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（3）评标定标办法。</w:t>
      </w:r>
    </w:p>
    <w:p w14:paraId="6C2674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（4）合同条款及格式。</w:t>
      </w:r>
    </w:p>
    <w:p w14:paraId="1A59D3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（5）工程量清单。</w:t>
      </w:r>
    </w:p>
    <w:p w14:paraId="03016E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（6）图纸。</w:t>
      </w:r>
    </w:p>
    <w:p w14:paraId="690AAE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（7）技术标准和要求。</w:t>
      </w:r>
    </w:p>
    <w:p w14:paraId="59DFF9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（8）投标文件格式。</w:t>
      </w:r>
    </w:p>
    <w:p w14:paraId="006873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（9）投标人须知前附表规定的其他材料。</w:t>
      </w:r>
    </w:p>
    <w:p w14:paraId="421812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根据本章第1.10款、第2.2款和第2.3款对招标文件所作的澄清、修改，构成招标文件的组成部分。</w:t>
      </w:r>
    </w:p>
    <w:p w14:paraId="307EB12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2" w:name="bookmark41"/>
      <w:bookmarkEnd w:id="152"/>
      <w:bookmarkStart w:id="153" w:name="_Toc3154"/>
      <w:bookmarkStart w:id="154" w:name="_Toc4707"/>
      <w:bookmarkStart w:id="155" w:name="_Toc24929"/>
      <w:bookmarkStart w:id="156" w:name="_Toc20099"/>
      <w:r>
        <w:rPr>
          <w:rFonts w:hint="eastAsia" w:ascii="宋体" w:hAnsi="宋体" w:eastAsia="宋体" w:cs="宋体"/>
          <w:b/>
          <w:bCs/>
          <w:color w:val="auto"/>
          <w:sz w:val="24"/>
          <w:szCs w:val="24"/>
          <w:lang w:eastAsia="zh-CN"/>
        </w:rPr>
        <w:t>2.2　招标文件的澄清</w:t>
      </w:r>
      <w:bookmarkEnd w:id="153"/>
      <w:bookmarkEnd w:id="154"/>
      <w:bookmarkEnd w:id="155"/>
      <w:bookmarkEnd w:id="156"/>
    </w:p>
    <w:p w14:paraId="075EF4B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2.2.1　</w:t>
      </w:r>
      <w:r>
        <w:rPr>
          <w:rFonts w:hint="eastAsia" w:ascii="宋体" w:hAnsi="宋体" w:eastAsia="宋体" w:cs="宋体"/>
          <w:color w:val="auto"/>
          <w:sz w:val="24"/>
          <w:szCs w:val="24"/>
          <w:lang w:eastAsia="zh-CN"/>
        </w:rPr>
        <w:t>投标人应仔细阅读和检查招标文件的全部内容。如发现缺页或附件不全，应及时向招标人提出，以便补齐。如有疑问，应在投标人须知前附表规定的时间前以规定的形式提出澄清申请，要求招标人对招标文件予以澄清。</w:t>
      </w:r>
    </w:p>
    <w:p w14:paraId="60DFF31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2.2.2　</w:t>
      </w:r>
      <w:r>
        <w:rPr>
          <w:rFonts w:hint="eastAsia" w:ascii="宋体" w:hAnsi="宋体" w:eastAsia="宋体" w:cs="宋体"/>
          <w:color w:val="auto"/>
          <w:sz w:val="24"/>
          <w:szCs w:val="24"/>
          <w:lang w:eastAsia="zh-CN"/>
        </w:rPr>
        <w:t>招标人可以对已发出的招标文件进行必要的澄清，但不指明澄清问题的来源。修改招标文件的时间距投标截止时间不足</w:t>
      </w:r>
      <w:r>
        <w:rPr>
          <w:rFonts w:hint="eastAsia" w:ascii="宋体" w:hAnsi="宋体" w:eastAsia="宋体" w:cs="宋体"/>
          <w:b/>
          <w:bCs/>
          <w:color w:val="auto"/>
          <w:sz w:val="24"/>
          <w:szCs w:val="24"/>
          <w:lang w:eastAsia="zh-CN"/>
        </w:rPr>
        <w:t>7</w:t>
      </w:r>
      <w:r>
        <w:rPr>
          <w:rFonts w:hint="eastAsia" w:ascii="宋体" w:hAnsi="宋体" w:eastAsia="宋体" w:cs="宋体"/>
          <w:color w:val="auto"/>
          <w:sz w:val="24"/>
          <w:szCs w:val="24"/>
          <w:lang w:eastAsia="zh-CN"/>
        </w:rPr>
        <w:t>日的，相应延长投标截止时间。澄清的内容可能影响投标文件编制的，招标人应当在投标截止时间至少15日前，以投标人须知前附表规定的形式通知所有获取招标文件的潜在投标人，不足15日的，招标人应当顺延提交投标文件的截止时间。</w:t>
      </w:r>
    </w:p>
    <w:p w14:paraId="0A7E946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2.2.3　</w:t>
      </w:r>
      <w:r>
        <w:rPr>
          <w:rFonts w:hint="eastAsia" w:ascii="宋体" w:hAnsi="宋体" w:eastAsia="宋体" w:cs="宋体"/>
          <w:color w:val="auto"/>
          <w:sz w:val="24"/>
          <w:szCs w:val="24"/>
          <w:lang w:eastAsia="zh-CN"/>
        </w:rPr>
        <w:t>投标人在收到澄清通知后，无需确认。</w:t>
      </w:r>
    </w:p>
    <w:p w14:paraId="3510DAD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7" w:name="bookmark42"/>
      <w:bookmarkEnd w:id="157"/>
      <w:bookmarkStart w:id="158" w:name="_Toc4912"/>
      <w:bookmarkStart w:id="159" w:name="_Toc27946"/>
      <w:bookmarkStart w:id="160" w:name="_Toc20173"/>
      <w:bookmarkStart w:id="161" w:name="_Toc4042"/>
      <w:r>
        <w:rPr>
          <w:rFonts w:hint="eastAsia" w:ascii="宋体" w:hAnsi="宋体" w:eastAsia="宋体" w:cs="宋体"/>
          <w:b/>
          <w:bCs/>
          <w:color w:val="auto"/>
          <w:sz w:val="24"/>
          <w:szCs w:val="24"/>
          <w:lang w:eastAsia="zh-CN"/>
        </w:rPr>
        <w:t>2.3　招标文件的修改</w:t>
      </w:r>
      <w:bookmarkEnd w:id="158"/>
      <w:bookmarkEnd w:id="159"/>
      <w:bookmarkEnd w:id="160"/>
      <w:bookmarkEnd w:id="161"/>
    </w:p>
    <w:p w14:paraId="62A90BC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2.3.1　</w:t>
      </w:r>
      <w:r>
        <w:rPr>
          <w:rFonts w:hint="eastAsia" w:ascii="宋体" w:hAnsi="宋体" w:eastAsia="宋体" w:cs="宋体"/>
          <w:color w:val="auto"/>
          <w:sz w:val="24"/>
          <w:szCs w:val="24"/>
          <w:lang w:eastAsia="zh-CN"/>
        </w:rPr>
        <w:t>招标人可以对已发出的招标文件进行必要的修改。修改招标文件的时间距投标截止时间不足</w:t>
      </w:r>
      <w:r>
        <w:rPr>
          <w:rFonts w:hint="eastAsia" w:ascii="宋体" w:hAnsi="宋体" w:eastAsia="宋体" w:cs="宋体"/>
          <w:b/>
          <w:bCs/>
          <w:color w:val="auto"/>
          <w:sz w:val="24"/>
          <w:szCs w:val="24"/>
          <w:lang w:eastAsia="zh-CN"/>
        </w:rPr>
        <w:t>7</w:t>
      </w:r>
      <w:r>
        <w:rPr>
          <w:rFonts w:hint="eastAsia" w:ascii="宋体" w:hAnsi="宋体" w:eastAsia="宋体" w:cs="宋体"/>
          <w:color w:val="auto"/>
          <w:sz w:val="24"/>
          <w:szCs w:val="24"/>
          <w:lang w:eastAsia="zh-CN"/>
        </w:rPr>
        <w:t>日的，相应延长投标截止时间。修改的内容可能影响投标文件编制的，招标人应当在投标截止时间至少15日前，以投标人须知前附表规定的形式通知所有获取招标文件的潜在投标人，不足15日的，招标人应当顺延提交投标文件的截止时间。</w:t>
      </w:r>
    </w:p>
    <w:p w14:paraId="0A35B3A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2.3.2　</w:t>
      </w:r>
      <w:r>
        <w:rPr>
          <w:rFonts w:hint="eastAsia" w:ascii="宋体" w:hAnsi="宋体" w:eastAsia="宋体" w:cs="宋体"/>
          <w:color w:val="auto"/>
          <w:sz w:val="24"/>
          <w:szCs w:val="24"/>
          <w:lang w:eastAsia="zh-CN"/>
        </w:rPr>
        <w:t>投标人收到修改通知后，无需确认。</w:t>
      </w:r>
    </w:p>
    <w:p w14:paraId="493ABA4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2.3.3</w:t>
      </w:r>
      <w:r>
        <w:rPr>
          <w:rFonts w:hint="eastAsia" w:ascii="宋体" w:hAnsi="宋体" w:eastAsia="宋体" w:cs="宋体"/>
          <w:color w:val="auto"/>
          <w:sz w:val="24"/>
          <w:szCs w:val="24"/>
          <w:lang w:eastAsia="zh-CN"/>
        </w:rPr>
        <w:t>潜在投标人或者其他利害关系人对招标文件有异议的，应当在投标截止时间10日前提出。招标人应当自收到异议之日起3日内作出答复；作出答复前，应当暂停招标投标活动。提出异议与作出答复均应以书面形式提出。</w:t>
      </w:r>
    </w:p>
    <w:p w14:paraId="6D092C1A">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162" w:name="bookmark44"/>
      <w:bookmarkEnd w:id="162"/>
      <w:bookmarkStart w:id="163" w:name="bookmark43"/>
      <w:bookmarkEnd w:id="163"/>
      <w:bookmarkStart w:id="164" w:name="_Toc23481"/>
      <w:bookmarkStart w:id="165" w:name="_Toc25919"/>
      <w:bookmarkStart w:id="166" w:name="_Toc24747"/>
      <w:bookmarkStart w:id="167" w:name="_Toc31474"/>
      <w:r>
        <w:rPr>
          <w:rFonts w:hint="eastAsia" w:ascii="宋体" w:hAnsi="宋体" w:eastAsia="宋体" w:cs="宋体"/>
          <w:b/>
          <w:bCs/>
          <w:color w:val="auto"/>
          <w:sz w:val="28"/>
          <w:szCs w:val="28"/>
          <w:lang w:eastAsia="zh-CN"/>
        </w:rPr>
        <w:t>3　投标文件</w:t>
      </w:r>
      <w:bookmarkEnd w:id="164"/>
      <w:bookmarkEnd w:id="165"/>
      <w:bookmarkEnd w:id="166"/>
      <w:bookmarkEnd w:id="167"/>
    </w:p>
    <w:p w14:paraId="13EDDA6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8" w:name="bookmark667"/>
      <w:bookmarkEnd w:id="168"/>
      <w:bookmarkStart w:id="169" w:name="_Toc2396"/>
      <w:bookmarkStart w:id="170" w:name="_Toc27817"/>
      <w:bookmarkStart w:id="171" w:name="_Toc18574"/>
      <w:bookmarkStart w:id="172" w:name="_Toc3025"/>
      <w:r>
        <w:rPr>
          <w:rFonts w:hint="eastAsia" w:ascii="宋体" w:hAnsi="宋体" w:eastAsia="宋体" w:cs="宋体"/>
          <w:b/>
          <w:bCs/>
          <w:color w:val="auto"/>
          <w:sz w:val="24"/>
          <w:szCs w:val="24"/>
          <w:lang w:eastAsia="zh-CN"/>
        </w:rPr>
        <w:t>3.1　投标文件的组成</w:t>
      </w:r>
      <w:bookmarkEnd w:id="169"/>
      <w:bookmarkEnd w:id="170"/>
      <w:bookmarkEnd w:id="171"/>
      <w:bookmarkEnd w:id="172"/>
    </w:p>
    <w:p w14:paraId="26DF9BA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3.1.1　</w:t>
      </w:r>
      <w:r>
        <w:rPr>
          <w:rFonts w:hint="eastAsia" w:ascii="宋体" w:hAnsi="宋体" w:eastAsia="宋体" w:cs="宋体"/>
          <w:color w:val="auto"/>
          <w:sz w:val="24"/>
          <w:szCs w:val="24"/>
          <w:lang w:eastAsia="zh-CN"/>
        </w:rPr>
        <w:t>投标文件应包括下列内容：</w:t>
      </w:r>
    </w:p>
    <w:p w14:paraId="6B63E68E">
      <w:pPr>
        <w:widowControl w:val="0"/>
        <w:kinsoku/>
        <w:topLinePunct/>
        <w:autoSpaceDE/>
        <w:autoSpaceDN/>
        <w:spacing w:line="520" w:lineRule="exact"/>
        <w:ind w:left="420" w:leftChars="20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资格审查资料：</w:t>
      </w:r>
    </w:p>
    <w:p w14:paraId="7290C3F4">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一、法定代表人身份证明、授权委托书（若有）</w:t>
      </w:r>
    </w:p>
    <w:p w14:paraId="36BA56E9">
      <w:pPr>
        <w:widowControl w:val="0"/>
        <w:kinsoku/>
        <w:topLinePunct/>
        <w:autoSpaceDE/>
        <w:autoSpaceDN/>
        <w:spacing w:line="520" w:lineRule="exact"/>
        <w:ind w:left="420" w:leftChars="200" w:firstLine="960" w:firstLineChars="400"/>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二、联合体协议书</w:t>
      </w:r>
    </w:p>
    <w:p w14:paraId="25A4F872">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三、投标保证金</w:t>
      </w:r>
    </w:p>
    <w:p w14:paraId="44DBF20C">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四、资格审查资料</w:t>
      </w:r>
    </w:p>
    <w:p w14:paraId="44E19EE2">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五、其他材料。</w:t>
      </w:r>
    </w:p>
    <w:p w14:paraId="1E992CDB">
      <w:pPr>
        <w:widowControl w:val="0"/>
        <w:kinsoku/>
        <w:topLinePunct/>
        <w:autoSpaceDE/>
        <w:autoSpaceDN/>
        <w:spacing w:line="520" w:lineRule="exact"/>
        <w:ind w:left="420" w:leftChars="20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技术标：</w:t>
      </w:r>
    </w:p>
    <w:p w14:paraId="755A7E7C">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一、施工组织设计</w:t>
      </w:r>
    </w:p>
    <w:p w14:paraId="2BB34C57">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二、拟分包项目情况表</w:t>
      </w:r>
    </w:p>
    <w:p w14:paraId="188471A9">
      <w:pPr>
        <w:widowControl w:val="0"/>
        <w:kinsoku/>
        <w:topLinePunct/>
        <w:autoSpaceDE/>
        <w:autoSpaceDN/>
        <w:spacing w:line="520" w:lineRule="exact"/>
        <w:ind w:left="420" w:leftChars="20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资信标：</w:t>
      </w:r>
    </w:p>
    <w:p w14:paraId="2C0921E2">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一、企业信用等级。</w:t>
      </w:r>
    </w:p>
    <w:p w14:paraId="7565AB7F">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二、评审打分业绩。</w:t>
      </w:r>
    </w:p>
    <w:p w14:paraId="58712384">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三、其他资料。</w:t>
      </w:r>
    </w:p>
    <w:p w14:paraId="076C6CE0">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四、原件的复制件。</w:t>
      </w:r>
    </w:p>
    <w:p w14:paraId="659992C2">
      <w:pPr>
        <w:widowControl w:val="0"/>
        <w:kinsoku/>
        <w:topLinePunct/>
        <w:autoSpaceDE/>
        <w:autoSpaceDN/>
        <w:adjustRightInd/>
        <w:spacing w:line="520" w:lineRule="exact"/>
        <w:ind w:left="420" w:leftChars="20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商务标：</w:t>
      </w:r>
    </w:p>
    <w:p w14:paraId="4F9FFDF5">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一、投标函及投标函附录。</w:t>
      </w:r>
    </w:p>
    <w:p w14:paraId="47DE85E8">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二、已标价工程量清单。</w:t>
      </w:r>
    </w:p>
    <w:p w14:paraId="3EC3F052">
      <w:pPr>
        <w:widowControl w:val="0"/>
        <w:kinsoku/>
        <w:topLinePunct/>
        <w:autoSpaceDE/>
        <w:autoSpaceDN/>
        <w:spacing w:line="520" w:lineRule="exact"/>
        <w:ind w:left="420" w:leftChars="20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三、其他材料。</w:t>
      </w:r>
    </w:p>
    <w:p w14:paraId="7DE747D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3.1.2　</w:t>
      </w:r>
      <w:r>
        <w:rPr>
          <w:rFonts w:hint="eastAsia" w:ascii="宋体" w:hAnsi="宋体" w:eastAsia="宋体" w:cs="宋体"/>
          <w:color w:val="auto"/>
          <w:sz w:val="24"/>
          <w:szCs w:val="24"/>
          <w:lang w:eastAsia="zh-CN"/>
        </w:rPr>
        <w:t>投标人须知前附表规定不接受联合体投标的，或投标人没有组成联合体的，投标文件不包括本章第3.1.1（2）目所指的联合体协议书。</w:t>
      </w:r>
    </w:p>
    <w:p w14:paraId="2CBCCD7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3" w:name="bookmark45"/>
      <w:bookmarkEnd w:id="173"/>
      <w:bookmarkStart w:id="174" w:name="_Toc30142"/>
      <w:bookmarkStart w:id="175" w:name="_Toc2127"/>
      <w:bookmarkStart w:id="176" w:name="_Toc7764"/>
      <w:bookmarkStart w:id="177" w:name="_Toc22578"/>
      <w:r>
        <w:rPr>
          <w:rFonts w:hint="eastAsia" w:ascii="宋体" w:hAnsi="宋体" w:eastAsia="宋体" w:cs="宋体"/>
          <w:b/>
          <w:bCs/>
          <w:color w:val="auto"/>
          <w:sz w:val="24"/>
          <w:szCs w:val="24"/>
          <w:lang w:eastAsia="zh-CN"/>
        </w:rPr>
        <w:t>3.2　投标报价</w:t>
      </w:r>
      <w:bookmarkEnd w:id="174"/>
      <w:bookmarkEnd w:id="175"/>
      <w:bookmarkEnd w:id="176"/>
      <w:bookmarkEnd w:id="177"/>
    </w:p>
    <w:p w14:paraId="6223228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3.2.1　</w:t>
      </w:r>
      <w:r>
        <w:rPr>
          <w:rFonts w:hint="eastAsia" w:ascii="宋体" w:hAnsi="宋体" w:eastAsia="宋体" w:cs="宋体"/>
          <w:color w:val="auto"/>
          <w:sz w:val="24"/>
          <w:szCs w:val="24"/>
          <w:lang w:eastAsia="zh-CN"/>
        </w:rPr>
        <w:t>投标人应按第五章“工程量清单”的要求填写相应表格。</w:t>
      </w:r>
    </w:p>
    <w:p w14:paraId="78F055C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3.2.2　</w:t>
      </w:r>
      <w:r>
        <w:rPr>
          <w:rFonts w:hint="eastAsia" w:ascii="宋体" w:hAnsi="宋体" w:eastAsia="宋体" w:cs="宋体"/>
          <w:color w:val="auto"/>
          <w:sz w:val="24"/>
          <w:szCs w:val="24"/>
          <w:lang w:eastAsia="zh-CN"/>
        </w:rPr>
        <w:t>投标人在投标截止时间前修改投标函中的投标总报价，应同时修改第五章“工程量清单”中的相应报价。此修改须符合本章第4.3款的有关要求。</w:t>
      </w:r>
    </w:p>
    <w:p w14:paraId="3717B11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8" w:name="bookmark46"/>
      <w:bookmarkEnd w:id="178"/>
      <w:bookmarkStart w:id="179" w:name="_Toc5095"/>
      <w:bookmarkStart w:id="180" w:name="_Toc14051"/>
      <w:bookmarkStart w:id="181" w:name="_Toc12010"/>
      <w:bookmarkStart w:id="182" w:name="_Toc10813"/>
      <w:r>
        <w:rPr>
          <w:rFonts w:hint="eastAsia" w:ascii="宋体" w:hAnsi="宋体" w:eastAsia="宋体" w:cs="宋体"/>
          <w:b/>
          <w:bCs/>
          <w:color w:val="auto"/>
          <w:sz w:val="24"/>
          <w:szCs w:val="24"/>
          <w:lang w:eastAsia="zh-CN"/>
        </w:rPr>
        <w:t>3.3　投标有效期</w:t>
      </w:r>
      <w:bookmarkEnd w:id="179"/>
      <w:bookmarkEnd w:id="180"/>
      <w:bookmarkEnd w:id="181"/>
      <w:bookmarkEnd w:id="182"/>
    </w:p>
    <w:p w14:paraId="22F1E50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3.3.1　</w:t>
      </w:r>
      <w:r>
        <w:rPr>
          <w:rFonts w:hint="eastAsia" w:ascii="宋体" w:hAnsi="宋体" w:eastAsia="宋体" w:cs="宋体"/>
          <w:color w:val="auto"/>
          <w:sz w:val="24"/>
          <w:szCs w:val="24"/>
          <w:lang w:eastAsia="zh-CN"/>
        </w:rPr>
        <w:t>在投标人须知前附表规定的投标有效期内，投标人不得要求撤销或修改其投标文件。</w:t>
      </w:r>
    </w:p>
    <w:p w14:paraId="34EBE1F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3.3.2　</w:t>
      </w:r>
      <w:r>
        <w:rPr>
          <w:rFonts w:hint="eastAsia" w:ascii="宋体" w:hAnsi="宋体" w:eastAsia="宋体" w:cs="宋体"/>
          <w:color w:val="auto"/>
          <w:sz w:val="24"/>
          <w:szCs w:val="24"/>
          <w:lang w:eastAsia="zh-CN"/>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活期存款利息。</w:t>
      </w:r>
    </w:p>
    <w:p w14:paraId="5848587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83" w:name="bookmark47"/>
      <w:bookmarkEnd w:id="183"/>
      <w:bookmarkStart w:id="184" w:name="_Toc24190"/>
      <w:bookmarkStart w:id="185" w:name="_Toc2929"/>
      <w:bookmarkStart w:id="186" w:name="_Toc24775"/>
      <w:bookmarkStart w:id="187" w:name="_Toc26391"/>
      <w:r>
        <w:rPr>
          <w:rFonts w:hint="eastAsia" w:ascii="宋体" w:hAnsi="宋体" w:eastAsia="宋体" w:cs="宋体"/>
          <w:b/>
          <w:bCs/>
          <w:color w:val="auto"/>
          <w:sz w:val="24"/>
          <w:szCs w:val="24"/>
          <w:lang w:eastAsia="zh-CN"/>
        </w:rPr>
        <w:t>3.4　投标保证金</w:t>
      </w:r>
      <w:bookmarkEnd w:id="184"/>
      <w:bookmarkEnd w:id="185"/>
      <w:bookmarkEnd w:id="186"/>
      <w:bookmarkEnd w:id="187"/>
    </w:p>
    <w:p w14:paraId="6A7756C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3.4.1　</w:t>
      </w:r>
      <w:r>
        <w:rPr>
          <w:rFonts w:hint="eastAsia" w:ascii="宋体" w:hAnsi="宋体" w:eastAsia="宋体" w:cs="宋体"/>
          <w:color w:val="auto"/>
          <w:sz w:val="24"/>
          <w:szCs w:val="24"/>
          <w:lang w:eastAsia="zh-CN"/>
        </w:rPr>
        <w:t>投标人在递交投标文件的同时，应按投标人须知前附表规定的金额、担保形式和第八章“投标文件格式”规定的投标保证金格式递交投标保证金，并作为其投标文件的组成部分。</w:t>
      </w:r>
      <w:r>
        <w:rPr>
          <w:rFonts w:hint="eastAsia" w:ascii="宋体" w:hAnsi="宋体" w:eastAsia="宋体" w:cs="宋体"/>
          <w:strike/>
          <w:color w:val="auto"/>
          <w:sz w:val="24"/>
          <w:szCs w:val="24"/>
          <w:lang w:eastAsia="zh-CN"/>
        </w:rPr>
        <w:t>联合体投标的，其投标保证金由牵头人递交，并应符合投标人须知前附表的规定。</w:t>
      </w:r>
    </w:p>
    <w:p w14:paraId="7F48DFF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3.4.2　</w:t>
      </w:r>
      <w:r>
        <w:rPr>
          <w:rFonts w:hint="eastAsia" w:ascii="宋体" w:hAnsi="宋体" w:eastAsia="宋体" w:cs="宋体"/>
          <w:color w:val="auto"/>
          <w:sz w:val="24"/>
          <w:szCs w:val="24"/>
          <w:lang w:eastAsia="zh-CN"/>
        </w:rPr>
        <w:t>投标人不按本章第3.4.1项要求提交投标保证金，或不是通过投标人的基本账户缴纳的，其投标文件将被否决。</w:t>
      </w:r>
    </w:p>
    <w:p w14:paraId="29C3FD9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3.4.3　</w:t>
      </w:r>
      <w:r>
        <w:rPr>
          <w:rFonts w:hint="eastAsia" w:ascii="宋体" w:hAnsi="宋体" w:eastAsia="宋体" w:cs="宋体"/>
          <w:color w:val="auto"/>
          <w:sz w:val="24"/>
          <w:szCs w:val="24"/>
          <w:lang w:eastAsia="zh-CN"/>
        </w:rPr>
        <w:t>非中标候选人的投标保证金及银行活期存款利息在中标通知书发出后5日内退回（当地交易平台或行政监督部门另有规定的除外）。中标候选人的投标保证金及银行活期存款利息在招标人与中标人签订书面合同后5日内退回。</w:t>
      </w:r>
    </w:p>
    <w:p w14:paraId="5EE53A9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3.4.4　</w:t>
      </w:r>
      <w:r>
        <w:rPr>
          <w:rFonts w:hint="eastAsia" w:ascii="宋体" w:hAnsi="宋体" w:eastAsia="宋体" w:cs="宋体"/>
          <w:color w:val="auto"/>
          <w:sz w:val="24"/>
          <w:szCs w:val="24"/>
          <w:lang w:eastAsia="zh-CN"/>
        </w:rPr>
        <w:t>有下列情形之一的，投标保证金将不予退还：</w:t>
      </w:r>
    </w:p>
    <w:p w14:paraId="1B0582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（1）投标人在规定的投标有效期内撤销或修改其投标文件。</w:t>
      </w:r>
    </w:p>
    <w:p w14:paraId="3D698C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（2）中标人在收到中标通知书后，无正当理由拒签合同协议书或未按招标文件规定提交履约担保。</w:t>
      </w:r>
    </w:p>
    <w:p w14:paraId="152EC3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（3）经查实，投标人在投标过程中存在串通投标或弄虚作假的。</w:t>
      </w:r>
    </w:p>
    <w:p w14:paraId="3E131F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（4）投标人须知前附表规定的其他情形。</w:t>
      </w:r>
    </w:p>
    <w:p w14:paraId="7EA48876">
      <w:pPr>
        <w:widowControl w:val="0"/>
        <w:kinsoku/>
        <w:topLinePunct/>
        <w:autoSpaceDE/>
        <w:autoSpaceDN/>
        <w:spacing w:line="520" w:lineRule="exact"/>
        <w:jc w:val="both"/>
        <w:outlineLvl w:val="2"/>
        <w:rPr>
          <w:rFonts w:hint="eastAsia" w:ascii="宋体" w:hAnsi="宋体" w:eastAsia="宋体" w:cs="宋体"/>
          <w:b/>
          <w:bCs/>
          <w:strike/>
          <w:color w:val="auto"/>
          <w:sz w:val="24"/>
          <w:szCs w:val="24"/>
          <w:lang w:eastAsia="zh-CN"/>
        </w:rPr>
      </w:pPr>
      <w:bookmarkStart w:id="188" w:name="bookmark48"/>
      <w:bookmarkEnd w:id="188"/>
      <w:bookmarkStart w:id="189" w:name="_Toc11347"/>
      <w:bookmarkStart w:id="190" w:name="_Toc31476"/>
      <w:bookmarkStart w:id="191" w:name="_Toc1228"/>
      <w:bookmarkStart w:id="192" w:name="_Toc5896"/>
      <w:r>
        <w:rPr>
          <w:rFonts w:hint="eastAsia" w:ascii="宋体" w:hAnsi="宋体" w:eastAsia="宋体" w:cs="宋体"/>
          <w:b/>
          <w:bCs/>
          <w:strike/>
          <w:color w:val="auto"/>
          <w:sz w:val="24"/>
          <w:szCs w:val="24"/>
          <w:lang w:eastAsia="zh-CN"/>
        </w:rPr>
        <w:t>3.5　资格审查资料（适用于已进行资格预审的）</w:t>
      </w:r>
      <w:bookmarkEnd w:id="189"/>
      <w:bookmarkEnd w:id="190"/>
      <w:bookmarkEnd w:id="191"/>
      <w:bookmarkEnd w:id="192"/>
    </w:p>
    <w:p w14:paraId="09141F9D">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投标人在编制投标文件时，如果投标人在资质条件、组织机构、财务能力、信誉等资格条件与资格预审时提交的资格预审申请文件相比较发生变化的，应按新情况更新或补充其在资格预审申请文件中提供的资料，以证实其各项资格条件仍能继续满足资格预审文件的要求，具备承担本标段施工的资质条件、能力和信誉。</w:t>
      </w:r>
    </w:p>
    <w:p w14:paraId="640D908A">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若无更新或补充，可不必提交与资格预审申请文件中相同的资料。</w:t>
      </w:r>
    </w:p>
    <w:p w14:paraId="776EFB6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93" w:name="bookmark49"/>
      <w:bookmarkEnd w:id="193"/>
      <w:bookmarkStart w:id="194" w:name="_Toc5578"/>
      <w:bookmarkStart w:id="195" w:name="_Toc10067"/>
      <w:bookmarkStart w:id="196" w:name="_Toc28597"/>
      <w:bookmarkStart w:id="197" w:name="_Toc1401"/>
      <w:r>
        <w:rPr>
          <w:rFonts w:hint="eastAsia" w:ascii="宋体" w:hAnsi="宋体" w:eastAsia="宋体" w:cs="宋体"/>
          <w:b/>
          <w:bCs/>
          <w:color w:val="auto"/>
          <w:sz w:val="24"/>
          <w:szCs w:val="24"/>
          <w:lang w:eastAsia="zh-CN"/>
        </w:rPr>
        <w:t>3.5　资格审查资料（适用于未进行资格预审的）</w:t>
      </w:r>
      <w:bookmarkEnd w:id="194"/>
      <w:bookmarkEnd w:id="195"/>
      <w:bookmarkEnd w:id="196"/>
      <w:bookmarkEnd w:id="197"/>
    </w:p>
    <w:p w14:paraId="77AFDFF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3.5.1　</w:t>
      </w:r>
      <w:r>
        <w:rPr>
          <w:rFonts w:hint="eastAsia" w:ascii="宋体" w:hAnsi="宋体" w:eastAsia="宋体" w:cs="宋体"/>
          <w:color w:val="auto"/>
          <w:sz w:val="24"/>
          <w:szCs w:val="24"/>
          <w:lang w:eastAsia="zh-CN"/>
        </w:rPr>
        <w:t>“投标人基本情况表”应附投标人营业执照、资质证书和安全生产许可证等材料的复制件。</w:t>
      </w:r>
    </w:p>
    <w:p w14:paraId="312F9AB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3.5.2　</w:t>
      </w:r>
      <w:r>
        <w:rPr>
          <w:rFonts w:hint="eastAsia" w:ascii="宋体" w:hAnsi="宋体" w:eastAsia="宋体" w:cs="宋体"/>
          <w:color w:val="auto"/>
          <w:sz w:val="24"/>
          <w:szCs w:val="24"/>
          <w:lang w:eastAsia="zh-CN"/>
        </w:rPr>
        <w:t>“近年财务状况”应附经会计师事务所或审计机构审计的财务会计报表，包括资产负债表、现金流量表、利润表和财务情况说明书（或财务报表附注）的复制件，具体年份要求见投标人须知前附表。</w:t>
      </w:r>
    </w:p>
    <w:p w14:paraId="0A500B52">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3.5.3</w:t>
      </w:r>
      <w:r>
        <w:rPr>
          <w:rFonts w:hint="eastAsia" w:ascii="宋体" w:hAnsi="宋体" w:eastAsia="宋体" w:cs="宋体"/>
          <w:color w:val="auto"/>
          <w:sz w:val="24"/>
          <w:szCs w:val="24"/>
          <w:lang w:eastAsia="zh-CN"/>
        </w:rPr>
        <w:t>“近年完成的类似项目情况表”应附招标公告规定的业绩证明材料复制件，具体年份要求见投标人须知前附表。每张表格只填写一个项目，并标明序号。</w:t>
      </w:r>
    </w:p>
    <w:p w14:paraId="3BCF074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3.5.4</w:t>
      </w:r>
      <w:r>
        <w:rPr>
          <w:rFonts w:hint="eastAsia" w:ascii="宋体" w:hAnsi="宋体" w:eastAsia="宋体" w:cs="宋体"/>
          <w:color w:val="auto"/>
          <w:sz w:val="24"/>
          <w:szCs w:val="24"/>
          <w:lang w:eastAsia="zh-CN"/>
        </w:rPr>
        <w:t>“正在施工和新承接的项目情况表”应附中标通知书或合同协议书复制件。每张表格只填写一个项目，并标明序号。</w:t>
      </w:r>
    </w:p>
    <w:p w14:paraId="10571B5E">
      <w:pPr>
        <w:widowControl w:val="0"/>
        <w:kinsoku/>
        <w:topLinePunct/>
        <w:autoSpaceDE/>
        <w:autoSpaceDN/>
        <w:spacing w:line="520" w:lineRule="exact"/>
        <w:ind w:firstLine="482" w:firstLineChars="200"/>
        <w:jc w:val="both"/>
        <w:rPr>
          <w:rFonts w:hint="eastAsia" w:ascii="宋体" w:hAnsi="宋体" w:eastAsia="宋体" w:cs="宋体"/>
          <w:strike/>
          <w:color w:val="auto"/>
          <w:sz w:val="24"/>
          <w:szCs w:val="24"/>
          <w:lang w:eastAsia="zh-CN"/>
        </w:rPr>
      </w:pPr>
      <w:r>
        <w:rPr>
          <w:rFonts w:hint="eastAsia" w:ascii="宋体" w:hAnsi="宋体" w:eastAsia="宋体" w:cs="宋体"/>
          <w:b/>
          <w:bCs/>
          <w:strike/>
          <w:color w:val="auto"/>
          <w:sz w:val="24"/>
          <w:szCs w:val="24"/>
          <w:lang w:eastAsia="zh-CN"/>
        </w:rPr>
        <w:t>3.5.5</w:t>
      </w:r>
      <w:r>
        <w:rPr>
          <w:rFonts w:hint="eastAsia" w:ascii="宋体" w:hAnsi="宋体" w:eastAsia="宋体" w:cs="宋体"/>
          <w:strike/>
          <w:color w:val="auto"/>
          <w:sz w:val="24"/>
          <w:szCs w:val="24"/>
          <w:lang w:eastAsia="zh-CN"/>
        </w:rPr>
        <w:t>投标人须知前附表规定接受联合体投标的，本章第3.5.1项～第3.5.4项规定的表格和资料应包括联合体各方相关情况。</w:t>
      </w:r>
    </w:p>
    <w:p w14:paraId="78C1A03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98" w:name="bookmark50"/>
      <w:bookmarkEnd w:id="198"/>
      <w:bookmarkStart w:id="199" w:name="_Toc15638"/>
      <w:bookmarkStart w:id="200" w:name="_Toc9084"/>
      <w:bookmarkStart w:id="201" w:name="_Toc5934"/>
      <w:bookmarkStart w:id="202" w:name="_Toc2157"/>
      <w:r>
        <w:rPr>
          <w:rFonts w:hint="eastAsia" w:ascii="宋体" w:hAnsi="宋体" w:eastAsia="宋体" w:cs="宋体"/>
          <w:b/>
          <w:bCs/>
          <w:color w:val="auto"/>
          <w:sz w:val="24"/>
          <w:szCs w:val="24"/>
          <w:lang w:eastAsia="zh-CN"/>
        </w:rPr>
        <w:t>3.6　备选投标方案</w:t>
      </w:r>
      <w:bookmarkEnd w:id="199"/>
      <w:bookmarkEnd w:id="200"/>
      <w:bookmarkEnd w:id="201"/>
      <w:bookmarkEnd w:id="202"/>
    </w:p>
    <w:p w14:paraId="372B56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投标人须知前附表另有规定外，投标人不得递交备选投标方案。允许投标人递交备选投标方案，只有中标人所递交的备选投标方案方可予以考虑。评标委员会认为中标人递交的备选投标方案优于其按照招标文件要求编制的投标方案时，招标人可以接受该备选投标方案。</w:t>
      </w:r>
    </w:p>
    <w:p w14:paraId="14AB498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03" w:name="bookmark51"/>
      <w:bookmarkEnd w:id="203"/>
      <w:bookmarkStart w:id="204" w:name="_Toc12008"/>
      <w:bookmarkStart w:id="205" w:name="_Toc16310"/>
      <w:bookmarkStart w:id="206" w:name="_Toc20222"/>
      <w:bookmarkStart w:id="207" w:name="_Toc24786"/>
      <w:r>
        <w:rPr>
          <w:rFonts w:hint="eastAsia" w:ascii="宋体" w:hAnsi="宋体" w:eastAsia="宋体" w:cs="宋体"/>
          <w:b/>
          <w:bCs/>
          <w:color w:val="auto"/>
          <w:sz w:val="24"/>
          <w:szCs w:val="24"/>
          <w:lang w:eastAsia="zh-CN"/>
        </w:rPr>
        <w:t>3.7　投标文件的编制</w:t>
      </w:r>
      <w:bookmarkEnd w:id="204"/>
      <w:bookmarkEnd w:id="205"/>
      <w:bookmarkEnd w:id="206"/>
      <w:bookmarkEnd w:id="207"/>
    </w:p>
    <w:p w14:paraId="0A30BB1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3.7.1　</w:t>
      </w:r>
      <w:r>
        <w:rPr>
          <w:rFonts w:hint="eastAsia" w:ascii="宋体" w:hAnsi="宋体" w:eastAsia="宋体" w:cs="宋体"/>
          <w:color w:val="auto"/>
          <w:sz w:val="24"/>
          <w:szCs w:val="24"/>
          <w:lang w:eastAsia="zh-CN"/>
        </w:rPr>
        <w:t>投标文件应按第八章“投标文件格式”进行编写，如有必要，可以增加附页，作为投标文件的组成部分。其中，投标函附录在满足招标文件实质性要求的基础上，可以提出比招标文件要求更有利于招标人的承诺。</w:t>
      </w:r>
    </w:p>
    <w:p w14:paraId="0A85AB7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3.7.2　</w:t>
      </w:r>
      <w:r>
        <w:rPr>
          <w:rFonts w:hint="eastAsia" w:ascii="宋体" w:hAnsi="宋体" w:eastAsia="宋体" w:cs="宋体"/>
          <w:color w:val="auto"/>
          <w:sz w:val="24"/>
          <w:szCs w:val="24"/>
          <w:lang w:eastAsia="zh-CN"/>
        </w:rPr>
        <w:t>投标文件应当对招标文件有关工期、投标有效期、质量要求、技术标准和要求、招标范围等实质性内容作出响应。</w:t>
      </w:r>
    </w:p>
    <w:p w14:paraId="451076E2">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3.7.3　</w:t>
      </w:r>
      <w:r>
        <w:rPr>
          <w:rFonts w:hint="eastAsia" w:ascii="宋体" w:hAnsi="宋体" w:eastAsia="宋体" w:cs="宋体"/>
          <w:color w:val="auto"/>
          <w:sz w:val="24"/>
          <w:szCs w:val="24"/>
          <w:lang w:eastAsia="zh-CN"/>
        </w:rPr>
        <w:t>投标文件制作具体要求见投标人须知前附表。</w:t>
      </w:r>
    </w:p>
    <w:p w14:paraId="23AD96D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3.7.4　</w:t>
      </w:r>
      <w:r>
        <w:rPr>
          <w:rFonts w:hint="eastAsia" w:ascii="宋体" w:hAnsi="宋体" w:eastAsia="宋体" w:cs="宋体"/>
          <w:color w:val="auto"/>
          <w:sz w:val="24"/>
          <w:szCs w:val="24"/>
          <w:lang w:eastAsia="zh-CN"/>
        </w:rPr>
        <w:t>投标文件份数的具体要求见投标人须知前附表。</w:t>
      </w:r>
    </w:p>
    <w:p w14:paraId="55808EAB">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208" w:name="bookmark53"/>
      <w:bookmarkEnd w:id="208"/>
      <w:bookmarkStart w:id="209" w:name="bookmark52"/>
      <w:bookmarkEnd w:id="209"/>
      <w:bookmarkStart w:id="210" w:name="_Toc17689"/>
      <w:bookmarkStart w:id="211" w:name="_Toc17642"/>
      <w:bookmarkStart w:id="212" w:name="_Toc10291"/>
      <w:bookmarkStart w:id="213" w:name="_Toc8549"/>
      <w:r>
        <w:rPr>
          <w:rFonts w:hint="eastAsia" w:ascii="宋体" w:hAnsi="宋体" w:eastAsia="宋体" w:cs="宋体"/>
          <w:b/>
          <w:bCs/>
          <w:color w:val="auto"/>
          <w:sz w:val="28"/>
          <w:szCs w:val="28"/>
          <w:lang w:eastAsia="zh-CN"/>
        </w:rPr>
        <w:t>4　投标</w:t>
      </w:r>
      <w:bookmarkEnd w:id="210"/>
      <w:bookmarkEnd w:id="211"/>
      <w:bookmarkEnd w:id="212"/>
      <w:bookmarkEnd w:id="213"/>
    </w:p>
    <w:p w14:paraId="3FEE2AC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14" w:name="bookmark668"/>
      <w:bookmarkEnd w:id="214"/>
      <w:bookmarkStart w:id="215" w:name="_Toc16943"/>
      <w:bookmarkStart w:id="216" w:name="_Toc22987"/>
      <w:bookmarkStart w:id="217" w:name="_Toc1096"/>
      <w:bookmarkStart w:id="218" w:name="_Toc4615"/>
      <w:r>
        <w:rPr>
          <w:rFonts w:hint="eastAsia" w:ascii="宋体" w:hAnsi="宋体" w:eastAsia="宋体" w:cs="宋体"/>
          <w:b/>
          <w:bCs/>
          <w:color w:val="auto"/>
          <w:sz w:val="24"/>
          <w:szCs w:val="24"/>
          <w:lang w:eastAsia="zh-CN"/>
        </w:rPr>
        <w:t>4.1　投标文件的密封和标识</w:t>
      </w:r>
      <w:bookmarkEnd w:id="215"/>
      <w:bookmarkEnd w:id="216"/>
      <w:bookmarkEnd w:id="217"/>
      <w:bookmarkEnd w:id="218"/>
    </w:p>
    <w:p w14:paraId="2EEC33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投标文件应按照本章第3.7.3项要求制作投标文件，并在投标时上传加密的电子投标文件。未按要求加密的投标文件，招标人（“电子交易平台”）将拒绝接收并提示。</w:t>
      </w:r>
    </w:p>
    <w:p w14:paraId="3689C7E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19" w:name="bookmark54"/>
      <w:bookmarkEnd w:id="219"/>
      <w:bookmarkStart w:id="220" w:name="_Toc1525"/>
      <w:bookmarkStart w:id="221" w:name="_Toc18743"/>
      <w:bookmarkStart w:id="222" w:name="_Toc4317"/>
      <w:bookmarkStart w:id="223" w:name="_Toc11675"/>
      <w:r>
        <w:rPr>
          <w:rFonts w:hint="eastAsia" w:ascii="宋体" w:hAnsi="宋体" w:eastAsia="宋体" w:cs="宋体"/>
          <w:b/>
          <w:bCs/>
          <w:color w:val="auto"/>
          <w:sz w:val="24"/>
          <w:szCs w:val="24"/>
          <w:lang w:eastAsia="zh-CN"/>
        </w:rPr>
        <w:t>4.2　投标文件的递交</w:t>
      </w:r>
      <w:bookmarkEnd w:id="220"/>
      <w:bookmarkEnd w:id="221"/>
      <w:bookmarkEnd w:id="222"/>
      <w:bookmarkEnd w:id="223"/>
    </w:p>
    <w:p w14:paraId="5EC5E3F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4.2.1　</w:t>
      </w:r>
      <w:r>
        <w:rPr>
          <w:rFonts w:hint="eastAsia" w:ascii="宋体" w:hAnsi="宋体" w:eastAsia="宋体" w:cs="宋体"/>
          <w:color w:val="auto"/>
          <w:sz w:val="24"/>
          <w:szCs w:val="24"/>
          <w:lang w:eastAsia="zh-CN"/>
        </w:rPr>
        <w:t>投标人应在本章第1.10.3项规定的投标截止时间前递交投标文件。</w:t>
      </w:r>
    </w:p>
    <w:p w14:paraId="68C87EA2">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4.2.2　</w:t>
      </w:r>
      <w:r>
        <w:rPr>
          <w:rFonts w:hint="eastAsia" w:ascii="宋体" w:hAnsi="宋体" w:eastAsia="宋体" w:cs="宋体"/>
          <w:color w:val="auto"/>
          <w:sz w:val="24"/>
          <w:szCs w:val="24"/>
          <w:lang w:eastAsia="zh-CN"/>
        </w:rPr>
        <w:t>投标人递交投标文件的方式和地点见投标人须知前附表。</w:t>
      </w:r>
    </w:p>
    <w:p w14:paraId="6EAEF44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4.2.3　</w:t>
      </w:r>
      <w:r>
        <w:rPr>
          <w:rFonts w:hint="eastAsia" w:ascii="宋体" w:hAnsi="宋体" w:eastAsia="宋体" w:cs="宋体"/>
          <w:color w:val="auto"/>
          <w:sz w:val="24"/>
          <w:szCs w:val="24"/>
          <w:lang w:eastAsia="zh-CN"/>
        </w:rPr>
        <w:t>投标人所递交的投标文件不予退还。</w:t>
      </w:r>
    </w:p>
    <w:p w14:paraId="48DD2E90">
      <w:pPr>
        <w:widowControl w:val="0"/>
        <w:kinsoku/>
        <w:topLinePunct/>
        <w:autoSpaceDE/>
        <w:autoSpaceDN/>
        <w:spacing w:line="520" w:lineRule="exact"/>
        <w:ind w:firstLine="482" w:firstLineChars="200"/>
        <w:jc w:val="both"/>
        <w:rPr>
          <w:rFonts w:hint="eastAsia" w:ascii="宋体" w:hAnsi="宋体" w:eastAsia="宋体" w:cs="宋体"/>
          <w:dstrike/>
          <w:color w:val="auto"/>
          <w:sz w:val="24"/>
          <w:szCs w:val="24"/>
          <w:lang w:eastAsia="zh-CN"/>
        </w:rPr>
      </w:pPr>
      <w:r>
        <w:rPr>
          <w:rFonts w:hint="eastAsia" w:ascii="宋体" w:hAnsi="宋体" w:eastAsia="宋体" w:cs="宋体"/>
          <w:b/>
          <w:bCs/>
          <w:color w:val="auto"/>
          <w:sz w:val="24"/>
          <w:szCs w:val="24"/>
          <w:lang w:eastAsia="zh-CN"/>
        </w:rPr>
        <w:t>4.2.4　</w:t>
      </w:r>
      <w:r>
        <w:rPr>
          <w:rFonts w:hint="eastAsia" w:ascii="宋体" w:hAnsi="宋体" w:eastAsia="宋体" w:cs="宋体"/>
          <w:color w:val="auto"/>
          <w:sz w:val="24"/>
          <w:szCs w:val="24"/>
          <w:lang w:eastAsia="zh-CN"/>
        </w:rPr>
        <w:t>投标人完成电子投标文件上传后，电子招标投标交易平台即时向投标人发出递交回执通知。递交时间以递交回执通知载明的传输完成时间为准。</w:t>
      </w:r>
    </w:p>
    <w:p w14:paraId="6850392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4.2.5　</w:t>
      </w:r>
      <w:r>
        <w:rPr>
          <w:rFonts w:hint="eastAsia" w:ascii="宋体" w:hAnsi="宋体" w:eastAsia="宋体" w:cs="宋体"/>
          <w:color w:val="auto"/>
          <w:sz w:val="24"/>
          <w:szCs w:val="24"/>
          <w:lang w:eastAsia="zh-CN"/>
        </w:rPr>
        <w:t>当出现投标人须知前附表规定的任何一种情形的，其投标文件将被拒收。</w:t>
      </w:r>
    </w:p>
    <w:p w14:paraId="68AC99A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24" w:name="bookmark55"/>
      <w:bookmarkEnd w:id="224"/>
      <w:bookmarkStart w:id="225" w:name="_Toc26625"/>
      <w:bookmarkStart w:id="226" w:name="_Toc23267"/>
      <w:bookmarkStart w:id="227" w:name="_Toc12952"/>
      <w:bookmarkStart w:id="228" w:name="_Toc18929"/>
      <w:r>
        <w:rPr>
          <w:rFonts w:hint="eastAsia" w:ascii="宋体" w:hAnsi="宋体" w:eastAsia="宋体" w:cs="宋体"/>
          <w:b/>
          <w:bCs/>
          <w:color w:val="auto"/>
          <w:sz w:val="24"/>
          <w:szCs w:val="24"/>
          <w:lang w:eastAsia="zh-CN"/>
        </w:rPr>
        <w:t>4.3　投标文件的修改与撤回</w:t>
      </w:r>
      <w:bookmarkEnd w:id="225"/>
      <w:bookmarkEnd w:id="226"/>
      <w:bookmarkEnd w:id="227"/>
      <w:bookmarkEnd w:id="228"/>
    </w:p>
    <w:p w14:paraId="408E8BE2">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4.3.1　</w:t>
      </w:r>
      <w:r>
        <w:rPr>
          <w:rFonts w:hint="eastAsia" w:ascii="宋体" w:hAnsi="宋体" w:eastAsia="宋体" w:cs="宋体"/>
          <w:color w:val="auto"/>
          <w:sz w:val="24"/>
          <w:szCs w:val="24"/>
          <w:lang w:eastAsia="zh-CN"/>
        </w:rPr>
        <w:t>在本章第1.10.3项规定的投标截止时间前，投标人可以修改或撤回已递交的投标文件。</w:t>
      </w:r>
    </w:p>
    <w:p w14:paraId="37992123">
      <w:pPr>
        <w:widowControl w:val="0"/>
        <w:kinsoku/>
        <w:topLinePunct/>
        <w:autoSpaceDE/>
        <w:autoSpaceDN/>
        <w:spacing w:line="520" w:lineRule="exact"/>
        <w:ind w:firstLine="482" w:firstLineChars="200"/>
        <w:jc w:val="both"/>
        <w:rPr>
          <w:rFonts w:hint="eastAsia" w:ascii="宋体" w:hAnsi="宋体" w:eastAsia="宋体" w:cs="宋体"/>
          <w:dstrike/>
          <w:color w:val="auto"/>
          <w:sz w:val="24"/>
          <w:szCs w:val="24"/>
          <w:lang w:eastAsia="zh-CN"/>
        </w:rPr>
      </w:pPr>
      <w:r>
        <w:rPr>
          <w:rFonts w:hint="eastAsia" w:ascii="宋体" w:hAnsi="宋体" w:eastAsia="宋体" w:cs="宋体"/>
          <w:b/>
          <w:bCs/>
          <w:color w:val="auto"/>
          <w:sz w:val="24"/>
          <w:szCs w:val="24"/>
          <w:lang w:eastAsia="zh-CN"/>
        </w:rPr>
        <w:t>4.3.2　</w:t>
      </w:r>
      <w:r>
        <w:rPr>
          <w:rFonts w:hint="eastAsia" w:ascii="宋体" w:hAnsi="宋体" w:eastAsia="宋体" w:cs="宋体"/>
          <w:color w:val="auto"/>
          <w:sz w:val="24"/>
          <w:szCs w:val="24"/>
          <w:lang w:eastAsia="zh-CN"/>
        </w:rPr>
        <w:t>投标人修改已递交投标文件时，应先在交易平台对原投标文件进行撤回操作，修改完成后再重新上传已修改的投标文件，交易平台将完整记录投标人的撤回修改情况。</w:t>
      </w:r>
    </w:p>
    <w:p w14:paraId="089912D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4.3.3　</w:t>
      </w:r>
      <w:r>
        <w:rPr>
          <w:rFonts w:hint="eastAsia" w:ascii="宋体" w:hAnsi="宋体" w:eastAsia="宋体" w:cs="宋体"/>
          <w:color w:val="auto"/>
          <w:sz w:val="24"/>
          <w:szCs w:val="24"/>
          <w:lang w:eastAsia="zh-CN"/>
        </w:rPr>
        <w:t>修改的内容为投标文件的组成部分。修改的投标文件应按照本章第3节、第4节规定进行编制并递交。</w:t>
      </w:r>
    </w:p>
    <w:p w14:paraId="73753EE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4.3.4　</w:t>
      </w:r>
      <w:r>
        <w:rPr>
          <w:rFonts w:hint="eastAsia" w:ascii="宋体" w:hAnsi="宋体" w:eastAsia="宋体" w:cs="宋体"/>
          <w:color w:val="auto"/>
          <w:sz w:val="24"/>
          <w:szCs w:val="24"/>
          <w:lang w:eastAsia="zh-CN"/>
        </w:rPr>
        <w:t>投标人撤回投标文件的，招标人自收到投标人书面撤回通知之日起5日内退还已收取的投标保证金及银行活期存款利息。</w:t>
      </w:r>
    </w:p>
    <w:p w14:paraId="73FB6B4D">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229" w:name="bookmark56"/>
      <w:bookmarkEnd w:id="229"/>
      <w:bookmarkStart w:id="230" w:name="bookmark57"/>
      <w:bookmarkEnd w:id="230"/>
      <w:bookmarkStart w:id="231" w:name="_Toc29048"/>
      <w:bookmarkStart w:id="232" w:name="_Toc17853"/>
      <w:bookmarkStart w:id="233" w:name="_Toc2702"/>
      <w:bookmarkStart w:id="234" w:name="_Toc7874"/>
      <w:r>
        <w:rPr>
          <w:rFonts w:hint="eastAsia" w:ascii="宋体" w:hAnsi="宋体" w:eastAsia="宋体" w:cs="宋体"/>
          <w:b/>
          <w:bCs/>
          <w:color w:val="auto"/>
          <w:sz w:val="28"/>
          <w:szCs w:val="28"/>
          <w:lang w:eastAsia="zh-CN"/>
        </w:rPr>
        <w:t>5　开标</w:t>
      </w:r>
      <w:bookmarkEnd w:id="231"/>
      <w:bookmarkEnd w:id="232"/>
      <w:bookmarkEnd w:id="233"/>
      <w:bookmarkEnd w:id="234"/>
    </w:p>
    <w:p w14:paraId="0F50502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35" w:name="bookmark669"/>
      <w:bookmarkEnd w:id="235"/>
      <w:bookmarkStart w:id="236" w:name="_Toc17376"/>
      <w:bookmarkStart w:id="237" w:name="_Toc24716"/>
      <w:bookmarkStart w:id="238" w:name="_Toc31697"/>
      <w:bookmarkStart w:id="239" w:name="_Toc13213"/>
      <w:r>
        <w:rPr>
          <w:rFonts w:hint="eastAsia" w:ascii="宋体" w:hAnsi="宋体" w:eastAsia="宋体" w:cs="宋体"/>
          <w:b/>
          <w:bCs/>
          <w:color w:val="auto"/>
          <w:sz w:val="24"/>
          <w:szCs w:val="24"/>
          <w:lang w:eastAsia="zh-CN"/>
        </w:rPr>
        <w:t>5.1开标时间和地点</w:t>
      </w:r>
      <w:bookmarkEnd w:id="236"/>
      <w:bookmarkEnd w:id="237"/>
      <w:bookmarkEnd w:id="238"/>
      <w:bookmarkEnd w:id="239"/>
    </w:p>
    <w:p w14:paraId="171FA0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招标人在本章第1.10.3项规定的投标截止时间（开标时间），通过电子招标投标交易平台公开开标，具体要求见投标人须知前附表规定。</w:t>
      </w:r>
    </w:p>
    <w:p w14:paraId="3355129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40" w:name="bookmark58"/>
      <w:bookmarkEnd w:id="240"/>
      <w:bookmarkStart w:id="241" w:name="_Toc6908"/>
      <w:bookmarkStart w:id="242" w:name="_Toc30179"/>
      <w:bookmarkStart w:id="243" w:name="_Toc11375"/>
      <w:bookmarkStart w:id="244" w:name="_Toc19128"/>
      <w:r>
        <w:rPr>
          <w:rFonts w:hint="eastAsia" w:ascii="宋体" w:hAnsi="宋体" w:eastAsia="宋体" w:cs="宋体"/>
          <w:b/>
          <w:bCs/>
          <w:color w:val="auto"/>
          <w:sz w:val="24"/>
          <w:szCs w:val="24"/>
          <w:lang w:eastAsia="zh-CN"/>
        </w:rPr>
        <w:t>5.2　开标程序</w:t>
      </w:r>
      <w:bookmarkEnd w:id="241"/>
      <w:bookmarkEnd w:id="242"/>
      <w:bookmarkEnd w:id="243"/>
      <w:bookmarkEnd w:id="244"/>
    </w:p>
    <w:p w14:paraId="61B737A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开标程序见投标人须知前附表。</w:t>
      </w:r>
    </w:p>
    <w:p w14:paraId="4CDE9A6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45" w:name="bookmark59"/>
      <w:bookmarkEnd w:id="245"/>
      <w:bookmarkStart w:id="246" w:name="_Toc24857"/>
      <w:bookmarkStart w:id="247" w:name="_Toc2423"/>
      <w:bookmarkStart w:id="248" w:name="_Toc2025"/>
      <w:bookmarkStart w:id="249" w:name="_Toc6278"/>
      <w:r>
        <w:rPr>
          <w:rFonts w:hint="eastAsia" w:ascii="宋体" w:hAnsi="宋体" w:eastAsia="宋体" w:cs="宋体"/>
          <w:b/>
          <w:bCs/>
          <w:color w:val="auto"/>
          <w:sz w:val="24"/>
          <w:szCs w:val="24"/>
          <w:lang w:eastAsia="zh-CN"/>
        </w:rPr>
        <w:t>5.3　特殊情况处置</w:t>
      </w:r>
      <w:bookmarkEnd w:id="246"/>
      <w:bookmarkEnd w:id="247"/>
      <w:bookmarkEnd w:id="248"/>
      <w:bookmarkEnd w:id="249"/>
    </w:p>
    <w:p w14:paraId="12D5EC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特殊情况处置见投标人须知前附表。</w:t>
      </w:r>
    </w:p>
    <w:p w14:paraId="33D66CF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50" w:name="bookmark60"/>
      <w:bookmarkEnd w:id="250"/>
      <w:bookmarkStart w:id="251" w:name="_Toc31062"/>
      <w:bookmarkStart w:id="252" w:name="_Toc13408"/>
      <w:bookmarkStart w:id="253" w:name="_Toc25828"/>
      <w:bookmarkStart w:id="254" w:name="_Toc27006"/>
      <w:r>
        <w:rPr>
          <w:rFonts w:hint="eastAsia" w:ascii="宋体" w:hAnsi="宋体" w:eastAsia="宋体" w:cs="宋体"/>
          <w:b/>
          <w:bCs/>
          <w:color w:val="auto"/>
          <w:sz w:val="24"/>
          <w:szCs w:val="24"/>
          <w:lang w:eastAsia="zh-CN"/>
        </w:rPr>
        <w:t>5.4　开标异议</w:t>
      </w:r>
      <w:bookmarkEnd w:id="251"/>
      <w:bookmarkEnd w:id="252"/>
      <w:bookmarkEnd w:id="253"/>
      <w:bookmarkEnd w:id="254"/>
    </w:p>
    <w:p w14:paraId="441ED4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投标人对开标有异议的，应当通过书面形式提出，招标人将在开标结束前通过书面形式作出答复。</w:t>
      </w:r>
    </w:p>
    <w:p w14:paraId="6DDBBE2C">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255" w:name="bookmark61"/>
      <w:bookmarkEnd w:id="255"/>
      <w:bookmarkStart w:id="256" w:name="bookmark62"/>
      <w:bookmarkEnd w:id="256"/>
      <w:bookmarkStart w:id="257" w:name="_Toc29557"/>
      <w:bookmarkStart w:id="258" w:name="_Toc22704"/>
      <w:bookmarkStart w:id="259" w:name="_Toc27306"/>
      <w:bookmarkStart w:id="260" w:name="_Toc28072"/>
      <w:r>
        <w:rPr>
          <w:rFonts w:hint="eastAsia" w:ascii="宋体" w:hAnsi="宋体" w:eastAsia="宋体" w:cs="宋体"/>
          <w:b/>
          <w:bCs/>
          <w:color w:val="auto"/>
          <w:sz w:val="28"/>
          <w:szCs w:val="28"/>
          <w:lang w:eastAsia="zh-CN"/>
        </w:rPr>
        <w:t>6　评标</w:t>
      </w:r>
      <w:bookmarkEnd w:id="257"/>
      <w:bookmarkEnd w:id="258"/>
      <w:bookmarkEnd w:id="259"/>
      <w:bookmarkEnd w:id="260"/>
    </w:p>
    <w:p w14:paraId="221B86A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61" w:name="bookmark670"/>
      <w:bookmarkEnd w:id="261"/>
      <w:bookmarkStart w:id="262" w:name="_Toc26681"/>
      <w:bookmarkStart w:id="263" w:name="_Toc10654"/>
      <w:bookmarkStart w:id="264" w:name="_Toc17430"/>
      <w:bookmarkStart w:id="265" w:name="_Toc19240"/>
      <w:r>
        <w:rPr>
          <w:rFonts w:hint="eastAsia" w:ascii="宋体" w:hAnsi="宋体" w:eastAsia="宋体" w:cs="宋体"/>
          <w:b/>
          <w:bCs/>
          <w:color w:val="auto"/>
          <w:sz w:val="24"/>
          <w:szCs w:val="24"/>
          <w:lang w:eastAsia="zh-CN"/>
        </w:rPr>
        <w:t>6.1　评标委员会</w:t>
      </w:r>
      <w:bookmarkEnd w:id="262"/>
      <w:bookmarkEnd w:id="263"/>
      <w:bookmarkEnd w:id="264"/>
      <w:bookmarkEnd w:id="265"/>
    </w:p>
    <w:p w14:paraId="1509D1C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6.1.1　</w:t>
      </w:r>
      <w:r>
        <w:rPr>
          <w:rFonts w:hint="eastAsia" w:ascii="宋体" w:hAnsi="宋体" w:eastAsia="宋体" w:cs="宋体"/>
          <w:color w:val="auto"/>
          <w:sz w:val="24"/>
          <w:szCs w:val="24"/>
          <w:lang w:eastAsia="zh-CN"/>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34C22EC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6.1.2　</w:t>
      </w:r>
      <w:r>
        <w:rPr>
          <w:rFonts w:hint="eastAsia" w:ascii="宋体" w:hAnsi="宋体" w:eastAsia="宋体" w:cs="宋体"/>
          <w:color w:val="auto"/>
          <w:sz w:val="24"/>
          <w:szCs w:val="24"/>
          <w:lang w:eastAsia="zh-CN"/>
        </w:rPr>
        <w:t>评标委员会成员有下列情形之一的，应当回避：</w:t>
      </w:r>
    </w:p>
    <w:p w14:paraId="1888DC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（1）投标人或投标人的主要负责人的近亲属。</w:t>
      </w:r>
    </w:p>
    <w:p w14:paraId="5589EA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（2）项目主管部门或者行政监督部门的人员。</w:t>
      </w:r>
    </w:p>
    <w:p w14:paraId="26EB6E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（3）与投标人有经济利益关系，可能影响对投标公正评审的。</w:t>
      </w:r>
    </w:p>
    <w:p w14:paraId="30EF0D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（4）曾因在招标、评标以及其他与招标投标有关活动中从事违法行为而受过行政处罚或刑事处罚的。</w:t>
      </w:r>
    </w:p>
    <w:p w14:paraId="5DDF9D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（5）法律、法规、规章规定应当回避的其他情形。</w:t>
      </w:r>
    </w:p>
    <w:p w14:paraId="66AF910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66" w:name="bookmark63"/>
      <w:bookmarkEnd w:id="266"/>
      <w:bookmarkStart w:id="267" w:name="_Toc16756"/>
      <w:bookmarkStart w:id="268" w:name="_Toc13705"/>
      <w:bookmarkStart w:id="269" w:name="_Toc3693"/>
      <w:bookmarkStart w:id="270" w:name="_Toc31465"/>
      <w:r>
        <w:rPr>
          <w:rFonts w:hint="eastAsia" w:ascii="宋体" w:hAnsi="宋体" w:eastAsia="宋体" w:cs="宋体"/>
          <w:b/>
          <w:bCs/>
          <w:color w:val="auto"/>
          <w:sz w:val="24"/>
          <w:szCs w:val="24"/>
          <w:lang w:eastAsia="zh-CN"/>
        </w:rPr>
        <w:t>6.2　评标原则</w:t>
      </w:r>
      <w:bookmarkEnd w:id="267"/>
      <w:bookmarkEnd w:id="268"/>
      <w:bookmarkEnd w:id="269"/>
      <w:bookmarkEnd w:id="270"/>
    </w:p>
    <w:p w14:paraId="785B2A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评标活动遵循公平、公正、科学和择优的原则。</w:t>
      </w:r>
    </w:p>
    <w:p w14:paraId="5C7F5D1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71" w:name="bookmark64"/>
      <w:bookmarkEnd w:id="271"/>
      <w:bookmarkStart w:id="272" w:name="_Toc5694"/>
      <w:bookmarkStart w:id="273" w:name="_Toc177"/>
      <w:bookmarkStart w:id="274" w:name="_Toc8116"/>
      <w:bookmarkStart w:id="275" w:name="_Toc2545"/>
      <w:r>
        <w:rPr>
          <w:rFonts w:hint="eastAsia" w:ascii="宋体" w:hAnsi="宋体" w:eastAsia="宋体" w:cs="宋体"/>
          <w:b/>
          <w:bCs/>
          <w:color w:val="auto"/>
          <w:sz w:val="24"/>
          <w:szCs w:val="24"/>
          <w:lang w:eastAsia="zh-CN"/>
        </w:rPr>
        <w:t>6.3　评标办法与中标候选人推荐</w:t>
      </w:r>
      <w:bookmarkEnd w:id="272"/>
      <w:bookmarkEnd w:id="273"/>
      <w:bookmarkEnd w:id="274"/>
      <w:bookmarkEnd w:id="275"/>
    </w:p>
    <w:p w14:paraId="1D225B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评标委员会按照第三章“评标定标办法”规定的方法、评审因素、标准和程序对投标文件进行评审并推荐中标候选人，中标候选人数量详见投标人须知前附表。第3章“评标定标办法”没有规定的方法、评审因素和标准，不作为评标依据。</w:t>
      </w:r>
    </w:p>
    <w:p w14:paraId="4A23B10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76" w:name="bookmark65"/>
      <w:bookmarkEnd w:id="276"/>
      <w:bookmarkStart w:id="277" w:name="_Toc31455"/>
      <w:bookmarkStart w:id="278" w:name="_Toc11969"/>
      <w:bookmarkStart w:id="279" w:name="_Toc6678"/>
      <w:bookmarkStart w:id="280" w:name="_Toc2660"/>
      <w:r>
        <w:rPr>
          <w:rFonts w:hint="eastAsia" w:ascii="宋体" w:hAnsi="宋体" w:eastAsia="宋体" w:cs="宋体"/>
          <w:b/>
          <w:bCs/>
          <w:color w:val="auto"/>
          <w:sz w:val="24"/>
          <w:szCs w:val="24"/>
          <w:lang w:eastAsia="zh-CN"/>
        </w:rPr>
        <w:t>6.4　中标候选人公示及媒介</w:t>
      </w:r>
      <w:bookmarkEnd w:id="277"/>
      <w:bookmarkEnd w:id="278"/>
      <w:bookmarkEnd w:id="279"/>
      <w:bookmarkEnd w:id="280"/>
    </w:p>
    <w:p w14:paraId="564BF1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人自确定中标候选人之日起3日内，认真审查评标委员会提交的书面评标报告，发现异常情形的，依法依规进行复核和纠正，应在原发布招标公告或资格预审公告的媒介上发布中标公示，公示期为3日，公示媒介见投标人须知前附表。</w:t>
      </w:r>
    </w:p>
    <w:p w14:paraId="3A89FF87">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281" w:name="bookmark67"/>
      <w:bookmarkEnd w:id="281"/>
      <w:bookmarkStart w:id="282" w:name="bookmark66"/>
      <w:bookmarkEnd w:id="282"/>
      <w:bookmarkStart w:id="283" w:name="_Toc10628"/>
      <w:bookmarkStart w:id="284" w:name="_Toc29439"/>
      <w:bookmarkStart w:id="285" w:name="_Toc11995"/>
      <w:bookmarkStart w:id="286" w:name="_Toc2772"/>
      <w:r>
        <w:rPr>
          <w:rFonts w:hint="eastAsia" w:ascii="宋体" w:hAnsi="宋体" w:eastAsia="宋体" w:cs="宋体"/>
          <w:b/>
          <w:bCs/>
          <w:color w:val="auto"/>
          <w:sz w:val="28"/>
          <w:szCs w:val="28"/>
          <w:lang w:eastAsia="zh-CN"/>
        </w:rPr>
        <w:t>7　合同授予</w:t>
      </w:r>
      <w:bookmarkEnd w:id="283"/>
      <w:bookmarkEnd w:id="284"/>
      <w:bookmarkEnd w:id="285"/>
      <w:bookmarkEnd w:id="286"/>
    </w:p>
    <w:p w14:paraId="5B1CB4E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87" w:name="bookmark671"/>
      <w:bookmarkEnd w:id="287"/>
      <w:bookmarkStart w:id="288" w:name="_Toc21769"/>
      <w:bookmarkStart w:id="289" w:name="_Toc32061"/>
      <w:bookmarkStart w:id="290" w:name="_Toc21450"/>
      <w:bookmarkStart w:id="291" w:name="_Toc9174"/>
      <w:r>
        <w:rPr>
          <w:rFonts w:hint="eastAsia" w:ascii="宋体" w:hAnsi="宋体" w:eastAsia="宋体" w:cs="宋体"/>
          <w:b/>
          <w:bCs/>
          <w:color w:val="auto"/>
          <w:sz w:val="24"/>
          <w:szCs w:val="24"/>
          <w:lang w:eastAsia="zh-CN"/>
        </w:rPr>
        <w:t>7.1　定标方式</w:t>
      </w:r>
      <w:bookmarkEnd w:id="288"/>
      <w:bookmarkEnd w:id="289"/>
      <w:bookmarkEnd w:id="290"/>
      <w:bookmarkEnd w:id="291"/>
    </w:p>
    <w:p w14:paraId="77542F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7.1.1　除投标人须知前附表规定评标委员会直接确定中标人外，招标人依据评标委员会推荐的中标候选人确定中标人。</w:t>
      </w:r>
      <w:r>
        <w:rPr>
          <w:rFonts w:hint="eastAsia" w:ascii="宋体" w:hAnsi="宋体" w:eastAsia="宋体" w:cs="宋体"/>
          <w:strike/>
          <w:color w:val="auto"/>
          <w:sz w:val="24"/>
          <w:szCs w:val="24"/>
          <w:lang w:eastAsia="zh-CN"/>
        </w:rPr>
        <w:t>采用评定分离的，由招标人在投标人须知前附表7.1.1项中明确。</w:t>
      </w:r>
      <w:r>
        <w:rPr>
          <w:rFonts w:hint="eastAsia" w:ascii="宋体" w:hAnsi="宋体" w:eastAsia="宋体" w:cs="宋体"/>
          <w:color w:val="auto"/>
          <w:sz w:val="24"/>
          <w:szCs w:val="24"/>
          <w:lang w:eastAsia="zh-CN"/>
        </w:rPr>
        <w:t>定标前，招标人可对中标候选人的证书、业绩、诚信等进行核查。</w:t>
      </w:r>
      <w:r>
        <w:rPr>
          <w:rFonts w:hint="eastAsia" w:ascii="宋体" w:hAnsi="宋体" w:eastAsia="宋体" w:cs="宋体"/>
          <w:strike/>
          <w:color w:val="auto"/>
          <w:sz w:val="24"/>
          <w:szCs w:val="24"/>
          <w:lang w:eastAsia="zh-CN"/>
        </w:rPr>
        <w:t>评定分离的定标办法按本章7.1.7项规定的定标程序和方法，组建定标委员会确定中标人。</w:t>
      </w:r>
    </w:p>
    <w:p w14:paraId="73C03B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7.1.2　依法必须招标的项目，中标候选人放弃中标、因不可抗力提出不能履行合同，或者招标文件规定应当提交履约担保而在规定的期限内未能提交，或者被查实存在影响中标结果的违法行为等情形，不符合中标条件的，取消其中标资格。</w:t>
      </w:r>
    </w:p>
    <w:p w14:paraId="30BEDA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7.1.3　招标人在定标前，应通过中国裁判文书网查询中标候选人及其法定代表人和拟派项目负责人有无行贿犯罪记录，若发现有未如实填报或隐瞒不报情况的，一律取消其中标资格并上报行政主管部门，由行政主管部门列为不良行为记录。</w:t>
      </w:r>
    </w:p>
    <w:p w14:paraId="24E395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7.1.4</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rPr>
        <w:t>招标人在定标前，应查询中标候选人及其法定代表人和拟派项目负责人的失信被执行人名单[以“信用中国”网站（</w:t>
      </w:r>
      <w:r>
        <w:fldChar w:fldCharType="begin"/>
      </w:r>
      <w:r>
        <w:instrText xml:space="preserve"> HYPERLINK "http://www.creditchina.gov.cn/" </w:instrText>
      </w:r>
      <w:r>
        <w:fldChar w:fldCharType="separate"/>
      </w:r>
      <w:r>
        <w:rPr>
          <w:rFonts w:hint="eastAsia" w:ascii="宋体" w:hAnsi="宋体" w:eastAsia="宋体" w:cs="宋体"/>
          <w:color w:val="auto"/>
          <w:sz w:val="24"/>
          <w:szCs w:val="24"/>
        </w:rPr>
        <w:t>www.creditchina.gov.cn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）查询为准]，若发现有未如实填报或隐瞒不报情况的，一律取消其中标资格并上报行政主管部门，由行政主管部门列为不良行为记录。</w:t>
      </w:r>
    </w:p>
    <w:p w14:paraId="49E6FE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7.1.5　招标人在定标前，应查询中标候选人资质动态核查处于“合格”状态（根据相关文件要求进行核查），若发现有未如实填报或隐瞒不报情况的，一律取消其中标资格并上报行政主管部门，由行政主管部门列为不良行为记录；核查结果“不合格”的，取消其中标资格。</w:t>
      </w:r>
    </w:p>
    <w:p w14:paraId="3DC7513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7.1.6</w:t>
      </w:r>
      <w:r>
        <w:rPr>
          <w:rFonts w:hint="eastAsia" w:ascii="宋体" w:hAnsi="宋体" w:eastAsia="宋体" w:cs="宋体"/>
          <w:color w:val="auto"/>
          <w:sz w:val="24"/>
          <w:szCs w:val="24"/>
          <w:lang w:eastAsia="zh-CN"/>
        </w:rPr>
        <w:t>　出现本章第7.1.2项～第7.1.5项情形被取消中标资格的，招标人可以按照评标委员会提出的中标候选人名单排序依次确定其他中标候选人为中标人</w:t>
      </w:r>
      <w:r>
        <w:rPr>
          <w:rFonts w:hint="eastAsia" w:ascii="宋体" w:hAnsi="宋体" w:eastAsia="宋体" w:cs="宋体"/>
          <w:strike/>
          <w:color w:val="auto"/>
          <w:sz w:val="24"/>
          <w:szCs w:val="24"/>
          <w:lang w:eastAsia="zh-CN"/>
        </w:rPr>
        <w:t>（采用“评定分离”的，在剩余推荐名单的中标候选人确定为中标人）</w:t>
      </w:r>
      <w:r>
        <w:rPr>
          <w:rFonts w:hint="eastAsia" w:ascii="宋体" w:hAnsi="宋体" w:eastAsia="宋体" w:cs="宋体"/>
          <w:color w:val="auto"/>
          <w:sz w:val="24"/>
          <w:szCs w:val="24"/>
          <w:lang w:eastAsia="zh-CN"/>
        </w:rPr>
        <w:t>，也可以重新招标。</w:t>
      </w:r>
    </w:p>
    <w:p w14:paraId="22842398">
      <w:pPr>
        <w:widowControl w:val="0"/>
        <w:kinsoku/>
        <w:topLinePunct/>
        <w:autoSpaceDE/>
        <w:autoSpaceDN/>
        <w:spacing w:line="520" w:lineRule="exact"/>
        <w:ind w:firstLine="482" w:firstLineChars="200"/>
        <w:jc w:val="both"/>
        <w:rPr>
          <w:rFonts w:hint="eastAsia" w:ascii="宋体" w:hAnsi="宋体" w:eastAsia="宋体" w:cs="宋体"/>
          <w:strike/>
          <w:color w:val="auto"/>
          <w:sz w:val="24"/>
          <w:szCs w:val="24"/>
          <w:lang w:eastAsia="zh-CN"/>
        </w:rPr>
      </w:pPr>
      <w:r>
        <w:rPr>
          <w:rFonts w:hint="eastAsia" w:ascii="宋体" w:hAnsi="宋体" w:eastAsia="宋体" w:cs="宋体"/>
          <w:b/>
          <w:bCs/>
          <w:strike/>
          <w:color w:val="auto"/>
          <w:sz w:val="24"/>
          <w:szCs w:val="24"/>
          <w:lang w:eastAsia="zh-CN"/>
        </w:rPr>
        <w:t>7.1.7</w:t>
      </w:r>
      <w:r>
        <w:rPr>
          <w:rFonts w:hint="eastAsia" w:ascii="宋体" w:hAnsi="宋体" w:eastAsia="宋体" w:cs="宋体"/>
          <w:strike/>
          <w:color w:val="auto"/>
          <w:sz w:val="24"/>
          <w:szCs w:val="24"/>
          <w:lang w:eastAsia="zh-CN"/>
        </w:rPr>
        <w:t>　评定分离定标办法</w:t>
      </w:r>
    </w:p>
    <w:p w14:paraId="42564BEB">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（1）定标原则</w:t>
      </w:r>
    </w:p>
    <w:p w14:paraId="03AB5E13">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定标应遵循招标人负责制、兼顾择优和竞价、公平竞争的原则。</w:t>
      </w:r>
    </w:p>
    <w:p w14:paraId="6044C15D">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（2）评定分离定标组织</w:t>
      </w:r>
    </w:p>
    <w:p w14:paraId="48BAEB0B">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定标工作由招标人组建的定标委员会负责，定标委员会的组建见投标人须知前附表，定标委员会成员为不少于5人的单数。</w:t>
      </w:r>
    </w:p>
    <w:p w14:paraId="45D7F22B">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0872280D">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定标委员会成员与中标候选人有利害关系的应主动说明并申请回避。</w:t>
      </w:r>
    </w:p>
    <w:p w14:paraId="1E7738B1">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定标委员会名单在中标结果确定前应保密。</w:t>
      </w:r>
    </w:p>
    <w:p w14:paraId="5EC69A18">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定标委员会应推举产生1名定标委员会组长。定标委员会组长负责组织定标、掌握定标进程、现场面试、编写定标报告等工作，定标委员会组长（集体议事法除外）与其他成员具有同等的权利。定标委员会成员对所提出的意见承担个人责任。</w:t>
      </w:r>
    </w:p>
    <w:p w14:paraId="0412629D">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定标委员会应当按照招标文件确定的定标标准和方法，客观、公正定标，招标文件没有规定的定标标准和方法不得作为定标的依据。</w:t>
      </w:r>
    </w:p>
    <w:p w14:paraId="505DD6FC">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（3）定标会议时间和地点见投标人须知前附表。</w:t>
      </w:r>
    </w:p>
    <w:p w14:paraId="3B0D52FF">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4）招标人可在投标人须知前附表规定的时间前对所有中标候选人进行考察、质询。考察、质询小组应由投标须知前附表规定的人数组成。考察、质询小组应由3人及以上单数组成。考察、质询小组应如实记录考察、质询情况，并出具考察、质询报告作为定标要素之一。考察、质询报告应客观公正，不得有明示或暗示中标人的内容。</w:t>
      </w:r>
    </w:p>
    <w:p w14:paraId="0935C520">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（5）现场面试见投标人须知前附表。招标人在定标阶段对中标候选人的法定代表人、拟派项目负责人开展现场面试。现场面试由定标委员会具体实施。</w:t>
      </w:r>
    </w:p>
    <w:p w14:paraId="6ED810D9">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（6）定标因素由招标人在投标人须知前附表中根据项目实际情况进行调整并细化。</w:t>
      </w:r>
    </w:p>
    <w:p w14:paraId="720B45D2">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（7）定标方法可采用下列方法或者下列方法的组合：</w:t>
      </w:r>
    </w:p>
    <w:p w14:paraId="35828632">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1）票决法，由定标委员会直接票决方式确定中标人。</w:t>
      </w:r>
    </w:p>
    <w:p w14:paraId="6B62FE35">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2）集体议事法，由定标委员会集体商议，在组成成员各自发表意见的基础上，由定标委员会组长最终确定中标人。所有参加会议的定标委员会成员的意见应作书面记录，并由本人签字确认。</w:t>
      </w:r>
    </w:p>
    <w:p w14:paraId="4FBF337C">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3）投标须知前附表规定的其他定标办法。</w:t>
      </w:r>
    </w:p>
    <w:p w14:paraId="7526FC2D">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（8）定标后有下列情形之一的，招标人可以组织原定标委员会从其他中标候选人中按原定标方法确定中标人：</w:t>
      </w:r>
    </w:p>
    <w:p w14:paraId="73A54C45">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1）中标人放弃中标资格或者拒不签订合同的；</w:t>
      </w:r>
    </w:p>
    <w:p w14:paraId="276BF212">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2）中标人被查实存在违法行为影响中标结果的；</w:t>
      </w:r>
    </w:p>
    <w:p w14:paraId="733271E1">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3）投标须知前附表规定的其他情形。</w:t>
      </w:r>
    </w:p>
    <w:p w14:paraId="7147C0AB">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（9）定标后有下列情形之一的，应重新定标：</w:t>
      </w:r>
    </w:p>
    <w:p w14:paraId="68B74ABE">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1）查实定标委员会未按定标办法公正履职的；</w:t>
      </w:r>
    </w:p>
    <w:p w14:paraId="5ABB4725">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2）有定标委员会成员与中标候选人有利害关系且未申请回避的；</w:t>
      </w:r>
    </w:p>
    <w:p w14:paraId="5DA53466">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3）投标须知前附表规定的其他情形。</w:t>
      </w:r>
    </w:p>
    <w:p w14:paraId="25D824B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92" w:name="bookmark68"/>
      <w:bookmarkEnd w:id="292"/>
      <w:bookmarkStart w:id="293" w:name="_Toc22990"/>
      <w:bookmarkStart w:id="294" w:name="_Toc55"/>
      <w:bookmarkStart w:id="295" w:name="_Toc14151"/>
      <w:bookmarkStart w:id="296" w:name="_Toc17024"/>
      <w:r>
        <w:rPr>
          <w:rFonts w:hint="eastAsia" w:ascii="宋体" w:hAnsi="宋体" w:eastAsia="宋体" w:cs="宋体"/>
          <w:b/>
          <w:bCs/>
          <w:color w:val="auto"/>
          <w:sz w:val="24"/>
          <w:szCs w:val="24"/>
          <w:lang w:eastAsia="zh-CN"/>
        </w:rPr>
        <w:t>7.2　中标通知</w:t>
      </w:r>
      <w:bookmarkEnd w:id="293"/>
      <w:bookmarkEnd w:id="294"/>
      <w:bookmarkEnd w:id="295"/>
      <w:bookmarkEnd w:id="296"/>
    </w:p>
    <w:p w14:paraId="70055D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在本章第3.3款规定的投标有效期内，招标人应通过电子招投标交易平台以数据电文形式向中标人发出中标通知书，同时将中标结果通知未中标的投标人。招标人应当及时将中标结果</w:t>
      </w:r>
      <w:r>
        <w:rPr>
          <w:rFonts w:hint="eastAsia" w:ascii="宋体" w:hAnsi="宋体" w:eastAsia="宋体" w:cs="宋体"/>
          <w:strike/>
          <w:color w:val="auto"/>
          <w:sz w:val="24"/>
          <w:szCs w:val="24"/>
          <w:lang w:eastAsia="zh-CN"/>
        </w:rPr>
        <w:t>（定标结果）</w:t>
      </w:r>
      <w:r>
        <w:rPr>
          <w:rFonts w:hint="eastAsia" w:ascii="宋体" w:hAnsi="宋体" w:eastAsia="宋体" w:cs="宋体"/>
          <w:color w:val="auto"/>
          <w:sz w:val="24"/>
          <w:szCs w:val="24"/>
          <w:lang w:eastAsia="zh-CN"/>
        </w:rPr>
        <w:t>进行中标公告。</w:t>
      </w:r>
    </w:p>
    <w:p w14:paraId="18DCA82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297" w:name="bookmark69"/>
      <w:bookmarkEnd w:id="297"/>
      <w:bookmarkStart w:id="298" w:name="_Toc32217"/>
      <w:bookmarkStart w:id="299" w:name="_Toc14881"/>
      <w:bookmarkStart w:id="300" w:name="_Toc25924"/>
      <w:bookmarkStart w:id="301" w:name="_Toc26454"/>
      <w:r>
        <w:rPr>
          <w:rFonts w:hint="eastAsia" w:ascii="宋体" w:hAnsi="宋体" w:eastAsia="宋体" w:cs="宋体"/>
          <w:b/>
          <w:bCs/>
          <w:color w:val="auto"/>
          <w:sz w:val="24"/>
          <w:szCs w:val="24"/>
          <w:lang w:eastAsia="zh-CN"/>
        </w:rPr>
        <w:t>7.3　履约担保</w:t>
      </w:r>
      <w:bookmarkEnd w:id="298"/>
      <w:bookmarkEnd w:id="299"/>
      <w:bookmarkEnd w:id="300"/>
      <w:bookmarkEnd w:id="301"/>
    </w:p>
    <w:p w14:paraId="642BF6D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7.3.1　</w:t>
      </w:r>
      <w:r>
        <w:rPr>
          <w:rFonts w:hint="eastAsia" w:ascii="宋体" w:hAnsi="宋体" w:eastAsia="宋体" w:cs="宋体"/>
          <w:color w:val="auto"/>
          <w:sz w:val="24"/>
          <w:szCs w:val="24"/>
          <w:lang w:eastAsia="zh-CN"/>
        </w:rPr>
        <w:t>在签订合同前，中标人应按投标人须知前附表规定的金额、担保形式和招标文件第四章“合同条款及格式”规定的履约担保格式向招标人提交履约担保。</w:t>
      </w:r>
      <w:r>
        <w:rPr>
          <w:rFonts w:hint="eastAsia" w:ascii="宋体" w:hAnsi="宋体" w:eastAsia="宋体" w:cs="宋体"/>
          <w:strike/>
          <w:color w:val="auto"/>
          <w:sz w:val="24"/>
          <w:szCs w:val="24"/>
          <w:lang w:eastAsia="zh-CN"/>
        </w:rPr>
        <w:t>联合体中标的，其履约担保由牵头人递交，并应符合投标人须知前附表规定的金额、担保形式和招标文件第四章“合同条款及格式”规定的履约担保格式要求。</w:t>
      </w:r>
    </w:p>
    <w:p w14:paraId="05A9C76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7.3.2　</w:t>
      </w:r>
      <w:r>
        <w:rPr>
          <w:rFonts w:hint="eastAsia" w:ascii="宋体" w:hAnsi="宋体" w:eastAsia="宋体" w:cs="宋体"/>
          <w:color w:val="auto"/>
          <w:sz w:val="24"/>
          <w:szCs w:val="24"/>
          <w:lang w:eastAsia="zh-CN"/>
        </w:rPr>
        <w:t>中标人不能按本章第7.3.1项要求提交履约担保的，视为放弃中标，其投标保证金不予退还，给招标人造成的损失超过投标保证金数额的，中标人还应当对超过部分予以赔偿。</w:t>
      </w:r>
    </w:p>
    <w:p w14:paraId="5D52F1A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02" w:name="bookmark70"/>
      <w:bookmarkEnd w:id="302"/>
      <w:bookmarkStart w:id="303" w:name="_Toc26181"/>
      <w:bookmarkStart w:id="304" w:name="_Toc12367"/>
      <w:bookmarkStart w:id="305" w:name="_Toc15982"/>
      <w:bookmarkStart w:id="306" w:name="_Toc14662"/>
      <w:r>
        <w:rPr>
          <w:rFonts w:hint="eastAsia" w:ascii="宋体" w:hAnsi="宋体" w:eastAsia="宋体" w:cs="宋体"/>
          <w:b/>
          <w:bCs/>
          <w:color w:val="auto"/>
          <w:sz w:val="24"/>
          <w:szCs w:val="24"/>
          <w:lang w:eastAsia="zh-CN"/>
        </w:rPr>
        <w:t>7.4　签订合同</w:t>
      </w:r>
      <w:bookmarkEnd w:id="303"/>
      <w:bookmarkEnd w:id="304"/>
      <w:bookmarkEnd w:id="305"/>
      <w:bookmarkEnd w:id="306"/>
    </w:p>
    <w:p w14:paraId="520DD249">
      <w:pPr>
        <w:widowControl w:val="0"/>
        <w:kinsoku/>
        <w:topLinePunct/>
        <w:autoSpaceDE/>
        <w:autoSpaceDN/>
        <w:spacing w:line="520" w:lineRule="exact"/>
        <w:ind w:left="3" w:right="1" w:firstLine="479"/>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7.4.1　</w:t>
      </w:r>
      <w:r>
        <w:rPr>
          <w:rFonts w:hint="eastAsia" w:ascii="宋体" w:hAnsi="宋体" w:eastAsia="宋体" w:cs="宋体"/>
          <w:color w:val="auto"/>
          <w:sz w:val="24"/>
          <w:szCs w:val="24"/>
          <w:lang w:eastAsia="zh-CN"/>
        </w:rPr>
        <w:t>招标人和中标人应当自中标通知书发出之日起30日内，</w:t>
      </w:r>
      <w:r>
        <w:rPr>
          <w:rFonts w:hint="eastAsia" w:ascii="宋体" w:hAnsi="宋体" w:eastAsia="宋体" w:cs="宋体"/>
          <w:color w:val="auto"/>
          <w:spacing w:val="-3"/>
          <w:sz w:val="24"/>
          <w:szCs w:val="24"/>
          <w:lang w:eastAsia="zh-CN"/>
        </w:rPr>
        <w:t>根据招标文件和中标</w:t>
      </w:r>
      <w:r>
        <w:rPr>
          <w:rFonts w:hint="eastAsia" w:ascii="宋体" w:hAnsi="宋体" w:eastAsia="宋体" w:cs="宋体"/>
          <w:color w:val="auto"/>
          <w:spacing w:val="-1"/>
          <w:sz w:val="24"/>
          <w:szCs w:val="24"/>
          <w:lang w:eastAsia="zh-CN"/>
        </w:rPr>
        <w:t>人的投标文件订立书合同。</w:t>
      </w:r>
    </w:p>
    <w:p w14:paraId="774917F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7.4.2　</w:t>
      </w:r>
      <w:r>
        <w:rPr>
          <w:rFonts w:hint="eastAsia" w:ascii="宋体" w:hAnsi="宋体" w:eastAsia="宋体" w:cs="宋体"/>
          <w:color w:val="auto"/>
          <w:sz w:val="24"/>
          <w:szCs w:val="24"/>
          <w:lang w:eastAsia="zh-CN"/>
        </w:rPr>
        <w:t>发出中标通知书后，招标人无正当理由拒签合同的，招标人向中标人退还双倍的投标保证金。</w:t>
      </w:r>
    </w:p>
    <w:p w14:paraId="4A28D8E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7.4.3　</w:t>
      </w:r>
      <w:r>
        <w:rPr>
          <w:rFonts w:hint="eastAsia" w:ascii="宋体" w:hAnsi="宋体" w:eastAsia="宋体" w:cs="宋体"/>
          <w:color w:val="auto"/>
          <w:sz w:val="24"/>
          <w:szCs w:val="24"/>
          <w:lang w:eastAsia="zh-CN"/>
        </w:rPr>
        <w:t>发出中标通知书后，中标人无正当理由拒签合同的，招标人取消其中标资格，其投标保证金不予退还；给招标人造成的损失超过投标保证金数额的，中标人还应当对超过部分予以赔偿。</w:t>
      </w:r>
    </w:p>
    <w:p w14:paraId="1C155003">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307" w:name="bookmark71"/>
      <w:bookmarkEnd w:id="307"/>
      <w:bookmarkStart w:id="308" w:name="bookmark72"/>
      <w:bookmarkEnd w:id="308"/>
      <w:bookmarkStart w:id="309" w:name="_Toc10413"/>
      <w:bookmarkStart w:id="310" w:name="_Toc32135"/>
      <w:bookmarkStart w:id="311" w:name="_Toc31049"/>
      <w:bookmarkStart w:id="312" w:name="_Toc26376"/>
      <w:r>
        <w:rPr>
          <w:rFonts w:hint="eastAsia" w:ascii="宋体" w:hAnsi="宋体" w:eastAsia="宋体" w:cs="宋体"/>
          <w:b/>
          <w:bCs/>
          <w:color w:val="auto"/>
          <w:sz w:val="28"/>
          <w:szCs w:val="28"/>
          <w:lang w:eastAsia="zh-CN"/>
        </w:rPr>
        <w:t>8　重新招标和不再招标</w:t>
      </w:r>
      <w:bookmarkEnd w:id="309"/>
      <w:bookmarkEnd w:id="310"/>
      <w:bookmarkEnd w:id="311"/>
      <w:bookmarkEnd w:id="312"/>
    </w:p>
    <w:p w14:paraId="78AB4AD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13" w:name="bookmark672"/>
      <w:bookmarkEnd w:id="313"/>
      <w:bookmarkStart w:id="314" w:name="_Toc20377"/>
      <w:bookmarkStart w:id="315" w:name="_Toc17097"/>
      <w:bookmarkStart w:id="316" w:name="_Toc29237"/>
      <w:bookmarkStart w:id="317" w:name="_Toc7336"/>
      <w:r>
        <w:rPr>
          <w:rFonts w:hint="eastAsia" w:ascii="宋体" w:hAnsi="宋体" w:eastAsia="宋体" w:cs="宋体"/>
          <w:b/>
          <w:bCs/>
          <w:color w:val="auto"/>
          <w:sz w:val="24"/>
          <w:szCs w:val="24"/>
          <w:lang w:eastAsia="zh-CN"/>
        </w:rPr>
        <w:t>8.1　重新招标</w:t>
      </w:r>
      <w:bookmarkEnd w:id="314"/>
      <w:bookmarkEnd w:id="315"/>
      <w:bookmarkEnd w:id="316"/>
      <w:bookmarkEnd w:id="317"/>
    </w:p>
    <w:p w14:paraId="5E6427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有下列情形之一的，招标人将重新招标：</w:t>
      </w:r>
    </w:p>
    <w:p w14:paraId="43448A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（1）投标报名截止时间止，报名参加投标的潜在投标人少于3个的；或投标截止时间止，投标人少于3个的。</w:t>
      </w:r>
    </w:p>
    <w:p w14:paraId="37755B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（2）经评标委员会评审后否决所有投标的。</w:t>
      </w:r>
    </w:p>
    <w:p w14:paraId="2C3A98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（3）评标委员会否决不合格投标后因有效标不足3个使得投标明显缺乏竞争，评标委员会否决全部投标的。</w:t>
      </w:r>
    </w:p>
    <w:p w14:paraId="5F0B19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（4）同意延长投标有效期的投标人少于3个的。</w:t>
      </w:r>
    </w:p>
    <w:p w14:paraId="47CE6D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（5）出现本须知第7.1.6项情形的。</w:t>
      </w:r>
    </w:p>
    <w:p w14:paraId="5550B75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18" w:name="bookmark73"/>
      <w:bookmarkEnd w:id="318"/>
      <w:bookmarkStart w:id="319" w:name="_Toc3397"/>
      <w:bookmarkStart w:id="320" w:name="_Toc17540"/>
      <w:bookmarkStart w:id="321" w:name="_Toc30639"/>
      <w:bookmarkStart w:id="322" w:name="_Toc13002"/>
      <w:r>
        <w:rPr>
          <w:rFonts w:hint="eastAsia" w:ascii="宋体" w:hAnsi="宋体" w:eastAsia="宋体" w:cs="宋体"/>
          <w:b/>
          <w:bCs/>
          <w:color w:val="auto"/>
          <w:sz w:val="24"/>
          <w:szCs w:val="24"/>
          <w:lang w:eastAsia="zh-CN"/>
        </w:rPr>
        <w:t>8.2　不再招标</w:t>
      </w:r>
      <w:bookmarkEnd w:id="319"/>
      <w:bookmarkEnd w:id="320"/>
      <w:bookmarkEnd w:id="321"/>
      <w:bookmarkEnd w:id="322"/>
    </w:p>
    <w:p w14:paraId="149770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重新招标后，仍出现本章8.1款（1）规定情形的，属于必须审批、核准的水利工程建设项目，经原审批、核准部门审批、核准后不再进行招标。</w:t>
      </w:r>
    </w:p>
    <w:p w14:paraId="10D6333D">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323" w:name="bookmark74"/>
      <w:bookmarkEnd w:id="323"/>
      <w:bookmarkStart w:id="324" w:name="_Toc11704"/>
      <w:bookmarkStart w:id="325" w:name="_Toc22668"/>
      <w:bookmarkStart w:id="326" w:name="_Toc23093"/>
      <w:bookmarkStart w:id="327" w:name="_Toc26795"/>
      <w:r>
        <w:rPr>
          <w:rFonts w:hint="eastAsia" w:ascii="宋体" w:hAnsi="宋体" w:eastAsia="宋体" w:cs="宋体"/>
          <w:b/>
          <w:bCs/>
          <w:color w:val="auto"/>
          <w:sz w:val="28"/>
          <w:szCs w:val="28"/>
          <w:lang w:eastAsia="zh-CN"/>
        </w:rPr>
        <w:t>9　纪律和监督</w:t>
      </w:r>
      <w:bookmarkEnd w:id="324"/>
      <w:bookmarkEnd w:id="325"/>
      <w:bookmarkEnd w:id="326"/>
      <w:bookmarkEnd w:id="327"/>
    </w:p>
    <w:p w14:paraId="04786DC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28" w:name="bookmark75"/>
      <w:bookmarkEnd w:id="328"/>
      <w:bookmarkStart w:id="329" w:name="_Toc22400"/>
      <w:bookmarkStart w:id="330" w:name="_Toc14827"/>
      <w:bookmarkStart w:id="331" w:name="_Toc19872"/>
      <w:bookmarkStart w:id="332" w:name="_Toc19251"/>
      <w:r>
        <w:rPr>
          <w:rFonts w:hint="eastAsia" w:ascii="宋体" w:hAnsi="宋体" w:eastAsia="宋体" w:cs="宋体"/>
          <w:b/>
          <w:bCs/>
          <w:color w:val="auto"/>
          <w:sz w:val="24"/>
          <w:szCs w:val="24"/>
          <w:lang w:eastAsia="zh-CN"/>
        </w:rPr>
        <w:t>9.1　对招标人的纪律要求</w:t>
      </w:r>
      <w:bookmarkEnd w:id="329"/>
      <w:bookmarkEnd w:id="330"/>
      <w:bookmarkEnd w:id="331"/>
      <w:bookmarkEnd w:id="332"/>
    </w:p>
    <w:p w14:paraId="1B180A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招标人不得泄露招标投标活动中应当保密的情况和资料，不得与投标人串通损害国家利益、社会公共利益或者他人合法权益。</w:t>
      </w:r>
    </w:p>
    <w:p w14:paraId="0461BF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下列行为均属招标人与投标人串通投标：</w:t>
      </w:r>
    </w:p>
    <w:p w14:paraId="3506B5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（1）招标人在开标前开启投标文件并将有关信息泄露给其他投标人。</w:t>
      </w:r>
    </w:p>
    <w:p w14:paraId="5D7717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（2）招标人直接或者间接向投标人泄露标底、评标委员会成员等信息。</w:t>
      </w:r>
    </w:p>
    <w:p w14:paraId="3CC611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（3）招标人明示或者暗示投标人压低或者抬高投标报价。</w:t>
      </w:r>
    </w:p>
    <w:p w14:paraId="158755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（4）招标人授意投标人撤换、修改投标文件。</w:t>
      </w:r>
    </w:p>
    <w:p w14:paraId="03E2B0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（5）招标人明示或者暗示投标人为特定投标人中标提供方便。</w:t>
      </w:r>
    </w:p>
    <w:p w14:paraId="2A9024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（6）招标人与投标人为谋求特定投标人中标而采取的其他串通行为。</w:t>
      </w:r>
    </w:p>
    <w:p w14:paraId="76C5AA4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33" w:name="bookmark76"/>
      <w:bookmarkEnd w:id="333"/>
      <w:bookmarkStart w:id="334" w:name="_Toc13611"/>
      <w:bookmarkStart w:id="335" w:name="_Toc565"/>
      <w:bookmarkStart w:id="336" w:name="_Toc32274"/>
      <w:bookmarkStart w:id="337" w:name="_Toc21947"/>
      <w:r>
        <w:rPr>
          <w:rFonts w:hint="eastAsia" w:ascii="宋体" w:hAnsi="宋体" w:eastAsia="宋体" w:cs="宋体"/>
          <w:b/>
          <w:bCs/>
          <w:color w:val="auto"/>
          <w:sz w:val="24"/>
          <w:szCs w:val="24"/>
          <w:lang w:eastAsia="zh-CN"/>
        </w:rPr>
        <w:t>9.2　对投标人的纪律要求</w:t>
      </w:r>
      <w:bookmarkEnd w:id="334"/>
      <w:bookmarkEnd w:id="335"/>
      <w:bookmarkEnd w:id="336"/>
      <w:bookmarkEnd w:id="337"/>
    </w:p>
    <w:p w14:paraId="18230F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不得相互串通投标或者与招标人串通投标，不得向招标人或者评标委员会成员行贿谋取中标，不得以他人名义投标或者以其他方式弄虚作假骗取中标；投标人不得以任何方式干扰、影响评标工作。具体行为见投标人须知前附表。</w:t>
      </w:r>
    </w:p>
    <w:p w14:paraId="14271413">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38" w:name="bookmark77"/>
      <w:bookmarkEnd w:id="338"/>
      <w:bookmarkStart w:id="339" w:name="_Toc20854"/>
      <w:bookmarkStart w:id="340" w:name="_Toc6194"/>
      <w:bookmarkStart w:id="341" w:name="_Toc22663"/>
      <w:bookmarkStart w:id="342" w:name="_Toc1785"/>
      <w:r>
        <w:rPr>
          <w:rFonts w:hint="eastAsia" w:ascii="宋体" w:hAnsi="宋体" w:eastAsia="宋体" w:cs="宋体"/>
          <w:b/>
          <w:bCs/>
          <w:color w:val="auto"/>
          <w:sz w:val="24"/>
          <w:szCs w:val="24"/>
          <w:lang w:eastAsia="zh-CN"/>
        </w:rPr>
        <w:t>9.3　对评标委员会成员的纪律要求</w:t>
      </w:r>
      <w:bookmarkEnd w:id="339"/>
      <w:bookmarkEnd w:id="340"/>
      <w:bookmarkEnd w:id="341"/>
      <w:bookmarkEnd w:id="342"/>
    </w:p>
    <w:p w14:paraId="3A39E4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评标委员会成员不得私下接触投标人，不得收受投标人给予的财物或者其他好处，不得向招标人征询确定中标人的意向，不得接受任何单位或者个人明示或者暗示提出的倾向或者排斥特定投标人的要求，不得有其他不客观、不公正履行职务的行为。</w:t>
      </w:r>
    </w:p>
    <w:p w14:paraId="5A12675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43" w:name="bookmark78"/>
      <w:bookmarkEnd w:id="343"/>
      <w:bookmarkStart w:id="344" w:name="_Toc9416"/>
      <w:bookmarkStart w:id="345" w:name="_Toc8389"/>
      <w:bookmarkStart w:id="346" w:name="_Toc24077"/>
      <w:bookmarkStart w:id="347" w:name="_Toc7582"/>
      <w:r>
        <w:rPr>
          <w:rFonts w:hint="eastAsia" w:ascii="宋体" w:hAnsi="宋体" w:eastAsia="宋体" w:cs="宋体"/>
          <w:b/>
          <w:bCs/>
          <w:color w:val="auto"/>
          <w:sz w:val="24"/>
          <w:szCs w:val="24"/>
          <w:lang w:eastAsia="zh-CN"/>
        </w:rPr>
        <w:t>9.4　对与评标活动有关的工作人员的纪律要求</w:t>
      </w:r>
      <w:bookmarkEnd w:id="344"/>
      <w:bookmarkEnd w:id="345"/>
      <w:bookmarkEnd w:id="346"/>
      <w:bookmarkEnd w:id="347"/>
    </w:p>
    <w:p w14:paraId="0F1385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B073D4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48" w:name="bookmark79"/>
      <w:bookmarkEnd w:id="348"/>
      <w:bookmarkStart w:id="349" w:name="_Toc17913"/>
      <w:bookmarkStart w:id="350" w:name="_Toc537"/>
      <w:bookmarkStart w:id="351" w:name="_Toc17389"/>
      <w:bookmarkStart w:id="352" w:name="_Toc32255"/>
      <w:r>
        <w:rPr>
          <w:rFonts w:hint="eastAsia" w:ascii="宋体" w:hAnsi="宋体" w:eastAsia="宋体" w:cs="宋体"/>
          <w:b/>
          <w:bCs/>
          <w:color w:val="auto"/>
          <w:sz w:val="24"/>
          <w:szCs w:val="24"/>
          <w:lang w:eastAsia="zh-CN"/>
        </w:rPr>
        <w:t>9.5　异议与投诉</w:t>
      </w:r>
      <w:bookmarkEnd w:id="349"/>
      <w:bookmarkEnd w:id="350"/>
      <w:bookmarkEnd w:id="351"/>
      <w:bookmarkEnd w:id="352"/>
    </w:p>
    <w:p w14:paraId="5FC5CF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投标人和其他利害关系人认为本次招标活动违反法律、法规和规章规定的，有权按照《中华人民共和国招标投标法实施条例》等规定提出书面异议和投诉。异议与投诉见投标人须知前附表。</w:t>
      </w:r>
    </w:p>
    <w:p w14:paraId="42B0FA3A">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353" w:name="bookmark80"/>
      <w:bookmarkEnd w:id="353"/>
      <w:bookmarkStart w:id="354" w:name="bookmark81"/>
      <w:bookmarkEnd w:id="354"/>
      <w:bookmarkStart w:id="355" w:name="_Toc12014"/>
      <w:bookmarkStart w:id="356" w:name="_Toc25885"/>
      <w:bookmarkStart w:id="357" w:name="_Toc9975"/>
      <w:bookmarkStart w:id="358" w:name="_Toc6579"/>
      <w:r>
        <w:rPr>
          <w:rFonts w:hint="eastAsia" w:ascii="宋体" w:hAnsi="宋体" w:eastAsia="宋体" w:cs="宋体"/>
          <w:b/>
          <w:bCs/>
          <w:color w:val="auto"/>
          <w:sz w:val="28"/>
          <w:szCs w:val="28"/>
          <w:lang w:eastAsia="zh-CN"/>
        </w:rPr>
        <w:t>10　其他内容</w:t>
      </w:r>
      <w:bookmarkEnd w:id="355"/>
      <w:bookmarkEnd w:id="356"/>
      <w:bookmarkEnd w:id="357"/>
      <w:bookmarkEnd w:id="358"/>
    </w:p>
    <w:p w14:paraId="1A7C5BF0">
      <w:pPr>
        <w:widowControl w:val="0"/>
        <w:kinsoku/>
        <w:topLinePunct/>
        <w:autoSpaceDE/>
        <w:autoSpaceDN/>
        <w:spacing w:line="520" w:lineRule="exact"/>
        <w:jc w:val="both"/>
        <w:outlineLvl w:val="2"/>
        <w:rPr>
          <w:rFonts w:hint="eastAsia" w:ascii="宋体" w:hAnsi="宋体" w:eastAsia="宋体" w:cs="宋体"/>
          <w:color w:val="auto"/>
          <w:sz w:val="24"/>
          <w:szCs w:val="24"/>
          <w:lang w:eastAsia="zh-CN"/>
        </w:rPr>
      </w:pPr>
      <w:bookmarkStart w:id="359" w:name="bookmark673"/>
      <w:bookmarkEnd w:id="359"/>
      <w:bookmarkStart w:id="360" w:name="_Toc25420"/>
      <w:bookmarkStart w:id="361" w:name="_Toc13139"/>
      <w:bookmarkStart w:id="362" w:name="_Toc32226"/>
      <w:bookmarkStart w:id="363" w:name="_Toc32414"/>
      <w:r>
        <w:rPr>
          <w:rFonts w:hint="eastAsia" w:ascii="宋体" w:hAnsi="宋体" w:eastAsia="宋体" w:cs="宋体"/>
          <w:b/>
          <w:bCs/>
          <w:color w:val="auto"/>
          <w:sz w:val="24"/>
          <w:szCs w:val="24"/>
          <w:lang w:eastAsia="zh-CN"/>
        </w:rPr>
        <w:t>10.1　类似项目</w:t>
      </w:r>
      <w:bookmarkEnd w:id="360"/>
      <w:bookmarkEnd w:id="361"/>
      <w:bookmarkEnd w:id="362"/>
      <w:bookmarkEnd w:id="363"/>
    </w:p>
    <w:p w14:paraId="2FDFCA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类似项目的要求见投标人须知前附表。</w:t>
      </w:r>
    </w:p>
    <w:p w14:paraId="3755243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64" w:name="bookmark82"/>
      <w:bookmarkEnd w:id="364"/>
      <w:bookmarkStart w:id="365" w:name="_Toc26933"/>
      <w:bookmarkStart w:id="366" w:name="_Toc17418"/>
      <w:bookmarkStart w:id="367" w:name="_Toc4129"/>
      <w:bookmarkStart w:id="368" w:name="_Toc13111"/>
      <w:r>
        <w:rPr>
          <w:rFonts w:hint="eastAsia" w:ascii="宋体" w:hAnsi="宋体" w:eastAsia="宋体" w:cs="宋体"/>
          <w:b/>
          <w:bCs/>
          <w:color w:val="auto"/>
          <w:sz w:val="24"/>
          <w:szCs w:val="24"/>
          <w:lang w:eastAsia="zh-CN"/>
        </w:rPr>
        <w:t>10.2　投标文件的澄清、说明</w:t>
      </w:r>
      <w:bookmarkEnd w:id="365"/>
      <w:bookmarkEnd w:id="366"/>
      <w:bookmarkEnd w:id="367"/>
      <w:bookmarkEnd w:id="368"/>
    </w:p>
    <w:p w14:paraId="585C01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评标过程中，评标委员会认为有必要对投标文件中的问题进行询标，或拟作出否决投标决定前对相关投标人进行询问核实，投标文件的澄清、质询见投标人须知前附表。</w:t>
      </w:r>
    </w:p>
    <w:p w14:paraId="5CB2F81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69" w:name="bookmark83"/>
      <w:bookmarkEnd w:id="369"/>
      <w:bookmarkStart w:id="370" w:name="_Toc4212"/>
      <w:bookmarkStart w:id="371" w:name="_Toc30312"/>
      <w:bookmarkStart w:id="372" w:name="_Toc25888"/>
      <w:bookmarkStart w:id="373" w:name="_Toc12527"/>
      <w:r>
        <w:rPr>
          <w:rFonts w:hint="eastAsia" w:ascii="宋体" w:hAnsi="宋体" w:eastAsia="宋体" w:cs="宋体"/>
          <w:b/>
          <w:bCs/>
          <w:color w:val="auto"/>
          <w:sz w:val="24"/>
          <w:szCs w:val="24"/>
          <w:lang w:eastAsia="zh-CN"/>
        </w:rPr>
        <w:t>10.3　实质性响应招标文件资料及评审打分资料</w:t>
      </w:r>
      <w:bookmarkEnd w:id="370"/>
      <w:bookmarkEnd w:id="371"/>
      <w:bookmarkEnd w:id="372"/>
      <w:bookmarkEnd w:id="373"/>
    </w:p>
    <w:p w14:paraId="58E5AE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实质性响应招标文件资料及评审打分资料详见投标人须知前附表。</w:t>
      </w:r>
    </w:p>
    <w:p w14:paraId="7E74A8FD">
      <w:pPr>
        <w:widowControl w:val="0"/>
        <w:kinsoku/>
        <w:topLinePunct/>
        <w:autoSpaceDE/>
        <w:autoSpaceDN/>
        <w:spacing w:line="520" w:lineRule="exact"/>
        <w:jc w:val="both"/>
        <w:outlineLvl w:val="2"/>
        <w:rPr>
          <w:rFonts w:hint="eastAsia" w:ascii="宋体" w:hAnsi="宋体" w:eastAsia="宋体" w:cs="宋体"/>
          <w:color w:val="auto"/>
          <w:sz w:val="24"/>
          <w:szCs w:val="24"/>
          <w:lang w:eastAsia="zh-CN"/>
        </w:rPr>
      </w:pPr>
      <w:bookmarkStart w:id="374" w:name="bookmark84"/>
      <w:bookmarkEnd w:id="374"/>
      <w:bookmarkStart w:id="375" w:name="_Toc26053"/>
      <w:bookmarkStart w:id="376" w:name="_Toc16730"/>
      <w:bookmarkStart w:id="377" w:name="_Toc17432"/>
      <w:bookmarkStart w:id="378" w:name="_Toc3832"/>
      <w:r>
        <w:rPr>
          <w:rFonts w:hint="eastAsia" w:ascii="宋体" w:hAnsi="宋体" w:eastAsia="宋体" w:cs="宋体"/>
          <w:b/>
          <w:bCs/>
          <w:color w:val="auto"/>
          <w:sz w:val="24"/>
          <w:szCs w:val="24"/>
          <w:lang w:eastAsia="zh-CN"/>
        </w:rPr>
        <w:t>10.4　中标人的投标文件</w:t>
      </w:r>
      <w:bookmarkEnd w:id="375"/>
      <w:bookmarkEnd w:id="376"/>
      <w:bookmarkEnd w:id="377"/>
      <w:bookmarkEnd w:id="378"/>
    </w:p>
    <w:p w14:paraId="5C83EB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中标人须在签订合同前向招标人另行提交投标人须知前附表规定份数的投标文件副本。</w:t>
      </w:r>
    </w:p>
    <w:p w14:paraId="4BEF1FAA">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79" w:name="bookmark85"/>
      <w:bookmarkEnd w:id="379"/>
      <w:bookmarkStart w:id="380" w:name="_Toc11549"/>
      <w:bookmarkStart w:id="381" w:name="_Toc20927"/>
      <w:bookmarkStart w:id="382" w:name="_Toc685"/>
      <w:bookmarkStart w:id="383" w:name="_Toc15312"/>
      <w:r>
        <w:rPr>
          <w:rFonts w:hint="eastAsia" w:ascii="宋体" w:hAnsi="宋体" w:eastAsia="宋体" w:cs="宋体"/>
          <w:b/>
          <w:bCs/>
          <w:color w:val="auto"/>
          <w:sz w:val="24"/>
          <w:szCs w:val="24"/>
          <w:lang w:eastAsia="zh-CN"/>
        </w:rPr>
        <w:t>10.5　招标人最高投标限价或其计算方法</w:t>
      </w:r>
      <w:bookmarkEnd w:id="380"/>
      <w:bookmarkEnd w:id="381"/>
      <w:bookmarkEnd w:id="382"/>
      <w:bookmarkEnd w:id="383"/>
    </w:p>
    <w:p w14:paraId="2F9E88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招标人最高投标限价或其计算方法见投标人须知前附表。</w:t>
      </w:r>
    </w:p>
    <w:p w14:paraId="6FD97636">
      <w:pPr>
        <w:widowControl w:val="0"/>
        <w:kinsoku/>
        <w:topLinePunct/>
        <w:autoSpaceDE/>
        <w:autoSpaceDN/>
        <w:spacing w:line="520" w:lineRule="exact"/>
        <w:jc w:val="both"/>
        <w:outlineLvl w:val="2"/>
        <w:rPr>
          <w:rFonts w:hint="eastAsia" w:ascii="宋体" w:hAnsi="宋体" w:eastAsia="宋体" w:cs="宋体"/>
          <w:color w:val="auto"/>
          <w:sz w:val="24"/>
          <w:szCs w:val="24"/>
          <w:lang w:eastAsia="zh-CN"/>
        </w:rPr>
      </w:pPr>
      <w:bookmarkStart w:id="384" w:name="bookmark86"/>
      <w:bookmarkEnd w:id="384"/>
      <w:bookmarkStart w:id="385" w:name="_Toc7105"/>
      <w:bookmarkStart w:id="386" w:name="_Toc16224"/>
      <w:bookmarkStart w:id="387" w:name="_Toc22652"/>
      <w:bookmarkStart w:id="388" w:name="_Toc15070"/>
      <w:r>
        <w:rPr>
          <w:rFonts w:hint="eastAsia" w:ascii="宋体" w:hAnsi="宋体" w:eastAsia="宋体" w:cs="宋体"/>
          <w:b/>
          <w:bCs/>
          <w:color w:val="auto"/>
          <w:sz w:val="24"/>
          <w:szCs w:val="24"/>
          <w:lang w:eastAsia="zh-CN"/>
        </w:rPr>
        <w:t>10.6　在建合同工程的认定及变更证明</w:t>
      </w:r>
      <w:bookmarkEnd w:id="385"/>
      <w:bookmarkEnd w:id="386"/>
      <w:bookmarkEnd w:id="387"/>
      <w:bookmarkEnd w:id="388"/>
    </w:p>
    <w:p w14:paraId="0498EB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在建合同工程的认定及变更证明见投标人须知前附表。</w:t>
      </w:r>
    </w:p>
    <w:p w14:paraId="79803D7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89" w:name="bookmark87"/>
      <w:bookmarkEnd w:id="389"/>
      <w:bookmarkStart w:id="390" w:name="_Toc3100"/>
      <w:bookmarkStart w:id="391" w:name="_Toc24265"/>
      <w:bookmarkStart w:id="392" w:name="_Toc16176"/>
      <w:bookmarkStart w:id="393" w:name="_Toc12643"/>
      <w:r>
        <w:rPr>
          <w:rFonts w:hint="eastAsia" w:ascii="宋体" w:hAnsi="宋体" w:eastAsia="宋体" w:cs="宋体"/>
          <w:b/>
          <w:bCs/>
          <w:color w:val="auto"/>
          <w:sz w:val="24"/>
          <w:szCs w:val="24"/>
          <w:lang w:eastAsia="zh-CN"/>
        </w:rPr>
        <w:t>10.7　特别说明</w:t>
      </w:r>
      <w:bookmarkEnd w:id="390"/>
      <w:bookmarkEnd w:id="391"/>
      <w:bookmarkEnd w:id="392"/>
      <w:bookmarkEnd w:id="393"/>
    </w:p>
    <w:p w14:paraId="47C272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特别说明见投标人须知前附表。</w:t>
      </w:r>
    </w:p>
    <w:p w14:paraId="09AB4BD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394" w:name="_Toc1206"/>
      <w:bookmarkStart w:id="395" w:name="_Toc9597"/>
      <w:bookmarkStart w:id="396" w:name="_Toc25138"/>
      <w:bookmarkStart w:id="397" w:name="_Toc13880"/>
      <w:r>
        <w:rPr>
          <w:rFonts w:hint="eastAsia" w:ascii="宋体" w:hAnsi="宋体" w:eastAsia="宋体" w:cs="宋体"/>
          <w:b/>
          <w:bCs/>
          <w:color w:val="auto"/>
          <w:sz w:val="24"/>
          <w:szCs w:val="24"/>
          <w:lang w:eastAsia="zh-CN"/>
        </w:rPr>
        <w:t>10.8　否决投标的情形</w:t>
      </w:r>
      <w:bookmarkEnd w:id="394"/>
      <w:bookmarkEnd w:id="395"/>
      <w:bookmarkEnd w:id="396"/>
      <w:bookmarkEnd w:id="397"/>
    </w:p>
    <w:p w14:paraId="0B89EF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否决投标的情形见投标人须知前附表。</w:t>
      </w:r>
    </w:p>
    <w:p w14:paraId="45A73494">
      <w:pPr>
        <w:widowControl w:val="0"/>
        <w:kinsoku/>
        <w:topLinePunct/>
        <w:autoSpaceDE/>
        <w:autoSpaceDN/>
        <w:spacing w:line="520" w:lineRule="exact"/>
        <w:jc w:val="both"/>
        <w:outlineLvl w:val="1"/>
        <w:rPr>
          <w:rFonts w:hint="eastAsia" w:ascii="宋体" w:hAnsi="宋体" w:eastAsia="宋体" w:cs="宋体"/>
          <w:b/>
          <w:bCs/>
          <w:color w:val="auto"/>
          <w:sz w:val="28"/>
          <w:szCs w:val="28"/>
          <w:lang w:eastAsia="zh-CN"/>
        </w:rPr>
      </w:pPr>
      <w:bookmarkStart w:id="398" w:name="bookmark88"/>
      <w:bookmarkEnd w:id="398"/>
      <w:bookmarkStart w:id="399" w:name="_Toc25898"/>
      <w:bookmarkStart w:id="400" w:name="_Toc5764"/>
      <w:bookmarkStart w:id="401" w:name="_Toc27170"/>
      <w:bookmarkStart w:id="402" w:name="_Toc3923"/>
      <w:r>
        <w:rPr>
          <w:rFonts w:hint="eastAsia" w:ascii="宋体" w:hAnsi="宋体" w:eastAsia="宋体" w:cs="宋体"/>
          <w:b/>
          <w:bCs/>
          <w:color w:val="auto"/>
          <w:sz w:val="28"/>
          <w:szCs w:val="28"/>
          <w:lang w:eastAsia="zh-CN"/>
        </w:rPr>
        <w:t>11　需要补充的内容</w:t>
      </w:r>
      <w:bookmarkEnd w:id="399"/>
      <w:bookmarkEnd w:id="400"/>
      <w:bookmarkEnd w:id="401"/>
      <w:bookmarkEnd w:id="402"/>
    </w:p>
    <w:p w14:paraId="3A98F4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需要补充的内容：见投标人须知前附表。</w:t>
      </w:r>
    </w:p>
    <w:p w14:paraId="18D83C5F">
      <w:pPr>
        <w:jc w:val="both"/>
        <w:rPr>
          <w:rFonts w:hint="eastAsia" w:ascii="宋体" w:hAnsi="宋体" w:eastAsia="宋体" w:cs="宋体"/>
          <w:color w:val="auto"/>
          <w:sz w:val="28"/>
          <w:szCs w:val="28"/>
          <w:lang w:eastAsia="zh-CN"/>
        </w:rPr>
      </w:pPr>
      <w:r>
        <w:rPr>
          <w:rFonts w:ascii="宋体" w:hAnsi="宋体" w:eastAsia="宋体" w:cs="宋体"/>
          <w:color w:val="auto"/>
          <w:sz w:val="24"/>
          <w:szCs w:val="24"/>
          <w:lang w:eastAsia="zh-CN"/>
        </w:rPr>
        <w:br w:type="page"/>
      </w:r>
      <w:r>
        <w:rPr>
          <w:rFonts w:ascii="宋体" w:hAnsi="宋体" w:eastAsia="宋体" w:cs="宋体"/>
          <w:b/>
          <w:bCs/>
          <w:color w:val="auto"/>
          <w:sz w:val="28"/>
          <w:szCs w:val="28"/>
          <w:lang w:eastAsia="zh-CN"/>
        </w:rPr>
        <w:t>附件一：</w:t>
      </w:r>
    </w:p>
    <w:p w14:paraId="3A90B638">
      <w:pPr>
        <w:pStyle w:val="8"/>
        <w:spacing w:line="520" w:lineRule="exact"/>
        <w:jc w:val="both"/>
        <w:rPr>
          <w:color w:val="auto"/>
          <w:lang w:eastAsia="zh-CN"/>
        </w:rPr>
      </w:pPr>
    </w:p>
    <w:p w14:paraId="5CAB548A">
      <w:pPr>
        <w:pStyle w:val="8"/>
        <w:spacing w:line="520" w:lineRule="exact"/>
        <w:jc w:val="both"/>
        <w:rPr>
          <w:color w:val="auto"/>
          <w:lang w:eastAsia="zh-CN"/>
        </w:rPr>
      </w:pPr>
    </w:p>
    <w:p w14:paraId="33D715F0">
      <w:pPr>
        <w:spacing w:line="520" w:lineRule="exact"/>
        <w:ind w:left="3141"/>
        <w:jc w:val="both"/>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招标文件澄清申请函</w:t>
      </w:r>
    </w:p>
    <w:p w14:paraId="5D716FED">
      <w:pPr>
        <w:spacing w:line="520" w:lineRule="exact"/>
        <w:ind w:left="4045"/>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编号：</w:t>
      </w:r>
    </w:p>
    <w:p w14:paraId="63DFCBD6">
      <w:pPr>
        <w:pStyle w:val="8"/>
        <w:widowControl w:val="0"/>
        <w:kinsoku/>
        <w:wordWrap w:val="0"/>
        <w:topLinePunct/>
        <w:autoSpaceDE/>
        <w:autoSpaceDN/>
        <w:spacing w:line="520" w:lineRule="exact"/>
        <w:jc w:val="both"/>
        <w:rPr>
          <w:color w:val="auto"/>
          <w:lang w:eastAsia="zh-CN"/>
        </w:rPr>
      </w:pPr>
    </w:p>
    <w:p w14:paraId="1B9BAA6F">
      <w:pPr>
        <w:widowControl w:val="0"/>
        <w:tabs>
          <w:tab w:val="left" w:pos="1918"/>
        </w:tabs>
        <w:kinsoku/>
        <w:wordWrap w:val="0"/>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lang w:eastAsia="zh-CN"/>
        </w:rPr>
        <w:t>招标人名称</w:t>
      </w:r>
      <w:r>
        <w:rPr>
          <w:rFonts w:hint="eastAsia" w:ascii="宋体" w:hAnsi="宋体" w:eastAsia="宋体" w:cs="宋体"/>
          <w:color w:val="auto"/>
          <w:sz w:val="24"/>
          <w:szCs w:val="24"/>
          <w:lang w:eastAsia="zh-CN"/>
        </w:rPr>
        <w:t>）：</w:t>
      </w:r>
    </w:p>
    <w:p w14:paraId="3DE6280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经过仔细阅读</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lang w:eastAsia="zh-CN"/>
        </w:rPr>
        <w:t>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lang w:eastAsia="zh-CN"/>
        </w:rPr>
        <w:t>标段名称</w:t>
      </w:r>
      <w:r>
        <w:rPr>
          <w:rFonts w:hint="eastAsia" w:ascii="宋体" w:hAnsi="宋体" w:eastAsia="宋体" w:cs="宋体"/>
          <w:color w:val="auto"/>
          <w:sz w:val="24"/>
          <w:szCs w:val="24"/>
          <w:lang w:eastAsia="zh-CN"/>
        </w:rPr>
        <w:t>）招标文件后，我方申请对以下问题予以澄清：</w:t>
      </w:r>
    </w:p>
    <w:p w14:paraId="419BA915">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p>
    <w:p w14:paraId="0BB2581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p>
    <w:p w14:paraId="53EAD69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p w14:paraId="7337C721">
      <w:pPr>
        <w:pStyle w:val="8"/>
        <w:widowControl w:val="0"/>
        <w:kinsoku/>
        <w:wordWrap w:val="0"/>
        <w:topLinePunct/>
        <w:autoSpaceDE/>
        <w:autoSpaceDN/>
        <w:spacing w:line="520" w:lineRule="exact"/>
        <w:jc w:val="both"/>
        <w:rPr>
          <w:rFonts w:hint="eastAsia" w:ascii="宋体" w:hAnsi="宋体" w:eastAsia="宋体" w:cs="宋体"/>
          <w:color w:val="auto"/>
          <w:lang w:eastAsia="zh-CN"/>
        </w:rPr>
      </w:pPr>
    </w:p>
    <w:p w14:paraId="3DDF407D">
      <w:pPr>
        <w:pStyle w:val="8"/>
        <w:spacing w:line="520" w:lineRule="exact"/>
        <w:jc w:val="both"/>
        <w:rPr>
          <w:color w:val="auto"/>
          <w:lang w:eastAsia="zh-CN"/>
        </w:rPr>
      </w:pPr>
    </w:p>
    <w:p w14:paraId="38B9CCDC">
      <w:pPr>
        <w:pStyle w:val="8"/>
        <w:spacing w:line="520" w:lineRule="exact"/>
        <w:jc w:val="both"/>
        <w:rPr>
          <w:color w:val="auto"/>
          <w:lang w:eastAsia="zh-CN"/>
        </w:rPr>
      </w:pPr>
    </w:p>
    <w:p w14:paraId="4AF4D868">
      <w:pPr>
        <w:pStyle w:val="8"/>
        <w:spacing w:line="520" w:lineRule="exact"/>
        <w:jc w:val="both"/>
        <w:rPr>
          <w:color w:val="auto"/>
          <w:lang w:eastAsia="zh-CN"/>
        </w:rPr>
      </w:pPr>
    </w:p>
    <w:p w14:paraId="2E1EE85F">
      <w:pPr>
        <w:pStyle w:val="8"/>
        <w:spacing w:line="520" w:lineRule="exact"/>
        <w:jc w:val="both"/>
        <w:rPr>
          <w:color w:val="auto"/>
          <w:lang w:eastAsia="zh-CN"/>
        </w:rPr>
      </w:pPr>
    </w:p>
    <w:p w14:paraId="72C54F23">
      <w:pPr>
        <w:pStyle w:val="8"/>
        <w:spacing w:line="520" w:lineRule="exact"/>
        <w:jc w:val="both"/>
        <w:rPr>
          <w:color w:val="auto"/>
          <w:lang w:eastAsia="zh-CN"/>
        </w:rPr>
      </w:pPr>
    </w:p>
    <w:p w14:paraId="1679EEA0">
      <w:pPr>
        <w:pStyle w:val="8"/>
        <w:spacing w:line="520" w:lineRule="exact"/>
        <w:jc w:val="both"/>
        <w:rPr>
          <w:color w:val="auto"/>
          <w:lang w:eastAsia="zh-CN"/>
        </w:rPr>
      </w:pPr>
    </w:p>
    <w:p w14:paraId="5EC41BCF">
      <w:pPr>
        <w:pStyle w:val="8"/>
        <w:spacing w:line="520" w:lineRule="exact"/>
        <w:jc w:val="both"/>
        <w:rPr>
          <w:color w:val="auto"/>
          <w:lang w:eastAsia="zh-CN"/>
        </w:rPr>
      </w:pPr>
    </w:p>
    <w:p w14:paraId="246BAA12">
      <w:pPr>
        <w:pStyle w:val="8"/>
        <w:spacing w:line="520" w:lineRule="exact"/>
        <w:jc w:val="both"/>
        <w:rPr>
          <w:color w:val="auto"/>
          <w:lang w:eastAsia="zh-CN"/>
        </w:rPr>
      </w:pPr>
    </w:p>
    <w:p w14:paraId="51682E28">
      <w:pPr>
        <w:spacing w:line="520" w:lineRule="exact"/>
        <w:ind w:left="495"/>
        <w:jc w:val="both"/>
        <w:rPr>
          <w:rFonts w:hint="eastAsia" w:ascii="宋体" w:hAnsi="宋体" w:eastAsia="宋体" w:cs="宋体"/>
          <w:color w:val="auto"/>
          <w:lang w:eastAsia="zh-CN"/>
        </w:rPr>
      </w:pPr>
      <w:r>
        <w:rPr>
          <w:rFonts w:ascii="宋体" w:hAnsi="宋体" w:eastAsia="宋体" w:cs="宋体"/>
          <w:color w:val="auto"/>
          <w:lang w:eastAsia="zh-CN"/>
        </w:rPr>
        <w:t>注：投标人要求招标人澄清招标文件有关问题时，适用于本格式。</w:t>
      </w:r>
    </w:p>
    <w:p w14:paraId="24BFA886">
      <w:pPr>
        <w:spacing w:line="520" w:lineRule="exact"/>
        <w:jc w:val="both"/>
        <w:rPr>
          <w:rFonts w:hint="eastAsia" w:ascii="宋体" w:hAnsi="宋体" w:eastAsia="宋体" w:cs="宋体"/>
          <w:color w:val="auto"/>
          <w:lang w:eastAsia="zh-CN"/>
        </w:rPr>
      </w:pPr>
      <w:r>
        <w:rPr>
          <w:rFonts w:ascii="宋体" w:hAnsi="宋体" w:eastAsia="宋体" w:cs="宋体"/>
          <w:color w:val="auto"/>
          <w:lang w:eastAsia="zh-CN"/>
        </w:rPr>
        <w:br w:type="page"/>
      </w:r>
    </w:p>
    <w:p w14:paraId="67B0D70C">
      <w:pPr>
        <w:widowControl w:val="0"/>
        <w:topLinePunct/>
        <w:autoSpaceDE/>
        <w:autoSpaceDN/>
        <w:spacing w:line="560" w:lineRule="exact"/>
        <w:ind w:left="24"/>
        <w:jc w:val="both"/>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附件二：</w:t>
      </w:r>
    </w:p>
    <w:p w14:paraId="0636D44F">
      <w:pPr>
        <w:widowControl w:val="0"/>
        <w:topLinePunct/>
        <w:autoSpaceDE/>
        <w:autoSpaceDN/>
        <w:spacing w:line="560" w:lineRule="exact"/>
        <w:ind w:left="3272"/>
        <w:jc w:val="both"/>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招标文件澄清通知</w:t>
      </w:r>
    </w:p>
    <w:p w14:paraId="007B923A">
      <w:pPr>
        <w:widowControl w:val="0"/>
        <w:topLinePunct/>
        <w:autoSpaceDE/>
        <w:autoSpaceDN/>
        <w:spacing w:line="560" w:lineRule="exact"/>
        <w:ind w:left="4037"/>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编号：</w:t>
      </w:r>
    </w:p>
    <w:p w14:paraId="1FA55F0A">
      <w:pPr>
        <w:widowControl w:val="0"/>
        <w:topLinePunct/>
        <w:autoSpaceDE/>
        <w:autoSpaceDN/>
        <w:spacing w:line="560" w:lineRule="exact"/>
        <w:ind w:left="4"/>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各投标人：</w:t>
      </w:r>
    </w:p>
    <w:p w14:paraId="263BBD4E">
      <w:pPr>
        <w:widowControl w:val="0"/>
        <w:kinsoku/>
        <w:topLinePunct/>
        <w:autoSpaceDE/>
        <w:autoSpaceDN/>
        <w:spacing w:line="56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经研究，对</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标段名称</w:t>
      </w:r>
      <w:r>
        <w:rPr>
          <w:rFonts w:ascii="宋体" w:hAnsi="宋体" w:eastAsia="宋体" w:cs="宋体"/>
          <w:color w:val="auto"/>
          <w:sz w:val="24"/>
          <w:szCs w:val="24"/>
          <w:lang w:eastAsia="zh-CN"/>
        </w:rPr>
        <w:t>）招标文件，作如下澄清：</w:t>
      </w:r>
    </w:p>
    <w:p w14:paraId="5CDA20EE">
      <w:pPr>
        <w:widowControl w:val="0"/>
        <w:kinsoku/>
        <w:topLinePunct/>
        <w:autoSpaceDE/>
        <w:autoSpaceDN/>
        <w:spacing w:line="560" w:lineRule="exact"/>
        <w:ind w:firstLine="480" w:firstLineChars="200"/>
        <w:jc w:val="both"/>
        <w:rPr>
          <w:rFonts w:ascii="Times New Roman" w:hAnsi="Times New Roman" w:eastAsia="宋体" w:cs="Times New Roman"/>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w:t>
      </w:r>
    </w:p>
    <w:p w14:paraId="372E2683">
      <w:pPr>
        <w:widowControl w:val="0"/>
        <w:kinsoku/>
        <w:topLinePunct/>
        <w:autoSpaceDE/>
        <w:autoSpaceDN/>
        <w:spacing w:line="560" w:lineRule="exact"/>
        <w:ind w:firstLine="480" w:firstLineChars="200"/>
        <w:jc w:val="both"/>
        <w:rPr>
          <w:rFonts w:ascii="Times New Roman" w:hAnsi="Times New Roman" w:eastAsia="宋体" w:cs="Times New Roman"/>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w:t>
      </w:r>
    </w:p>
    <w:p w14:paraId="00883BDF">
      <w:pPr>
        <w:widowControl w:val="0"/>
        <w:kinsoku/>
        <w:topLinePunct/>
        <w:autoSpaceDE/>
        <w:autoSpaceDN/>
        <w:spacing w:line="560" w:lineRule="exact"/>
        <w:ind w:firstLine="480" w:firstLineChars="200"/>
        <w:jc w:val="both"/>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w:t>
      </w:r>
    </w:p>
    <w:p w14:paraId="056D8A0B">
      <w:pPr>
        <w:pStyle w:val="8"/>
        <w:widowControl w:val="0"/>
        <w:kinsoku/>
        <w:topLinePunct/>
        <w:autoSpaceDE/>
        <w:autoSpaceDN/>
        <w:spacing w:line="560" w:lineRule="exact"/>
        <w:ind w:firstLine="420" w:firstLineChars="200"/>
        <w:jc w:val="both"/>
        <w:rPr>
          <w:color w:val="auto"/>
          <w:lang w:eastAsia="zh-CN"/>
        </w:rPr>
      </w:pPr>
    </w:p>
    <w:p w14:paraId="56558C08">
      <w:pPr>
        <w:pStyle w:val="8"/>
        <w:widowControl w:val="0"/>
        <w:topLinePunct/>
        <w:autoSpaceDE/>
        <w:autoSpaceDN/>
        <w:spacing w:line="560" w:lineRule="exact"/>
        <w:jc w:val="both"/>
        <w:rPr>
          <w:color w:val="auto"/>
          <w:lang w:eastAsia="zh-CN"/>
        </w:rPr>
      </w:pPr>
    </w:p>
    <w:p w14:paraId="2AE9F18C">
      <w:pPr>
        <w:pStyle w:val="8"/>
        <w:widowControl w:val="0"/>
        <w:topLinePunct/>
        <w:autoSpaceDE/>
        <w:autoSpaceDN/>
        <w:spacing w:line="560" w:lineRule="exact"/>
        <w:jc w:val="both"/>
        <w:rPr>
          <w:color w:val="auto"/>
          <w:lang w:eastAsia="zh-CN"/>
        </w:rPr>
      </w:pPr>
    </w:p>
    <w:p w14:paraId="6BE44BE4">
      <w:pPr>
        <w:pStyle w:val="8"/>
        <w:widowControl w:val="0"/>
        <w:topLinePunct/>
        <w:autoSpaceDE/>
        <w:autoSpaceDN/>
        <w:spacing w:line="560" w:lineRule="exact"/>
        <w:jc w:val="both"/>
        <w:rPr>
          <w:color w:val="auto"/>
          <w:lang w:eastAsia="zh-CN"/>
        </w:rPr>
      </w:pPr>
    </w:p>
    <w:p w14:paraId="30406756">
      <w:pPr>
        <w:pStyle w:val="8"/>
        <w:widowControl w:val="0"/>
        <w:topLinePunct/>
        <w:autoSpaceDE/>
        <w:autoSpaceDN/>
        <w:spacing w:line="560" w:lineRule="exact"/>
        <w:jc w:val="both"/>
        <w:rPr>
          <w:color w:val="auto"/>
          <w:lang w:eastAsia="zh-CN"/>
        </w:rPr>
      </w:pPr>
    </w:p>
    <w:p w14:paraId="31C90B4F">
      <w:pPr>
        <w:pStyle w:val="8"/>
        <w:widowControl w:val="0"/>
        <w:topLinePunct/>
        <w:autoSpaceDE/>
        <w:autoSpaceDN/>
        <w:spacing w:line="560" w:lineRule="exact"/>
        <w:jc w:val="both"/>
        <w:rPr>
          <w:color w:val="auto"/>
          <w:lang w:eastAsia="zh-CN"/>
        </w:rPr>
      </w:pPr>
    </w:p>
    <w:p w14:paraId="08C3B0F7">
      <w:pPr>
        <w:pStyle w:val="8"/>
        <w:widowControl w:val="0"/>
        <w:topLinePunct/>
        <w:autoSpaceDE/>
        <w:autoSpaceDN/>
        <w:spacing w:line="560" w:lineRule="exact"/>
        <w:jc w:val="both"/>
        <w:rPr>
          <w:color w:val="auto"/>
          <w:lang w:eastAsia="zh-CN"/>
        </w:rPr>
      </w:pPr>
    </w:p>
    <w:p w14:paraId="5668B059">
      <w:pPr>
        <w:widowControl w:val="0"/>
        <w:tabs>
          <w:tab w:val="left" w:pos="6830"/>
        </w:tabs>
        <w:topLinePunct/>
        <w:autoSpaceDE/>
        <w:autoSpaceDN/>
        <w:spacing w:line="560" w:lineRule="exact"/>
        <w:ind w:left="5991" w:right="168" w:hanging="1189"/>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招标人：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（盖单位公章）</w:t>
      </w:r>
    </w:p>
    <w:p w14:paraId="09421E27">
      <w:pPr>
        <w:widowControl w:val="0"/>
        <w:tabs>
          <w:tab w:val="left" w:pos="6830"/>
        </w:tabs>
        <w:kinsoku/>
        <w:topLinePunct/>
        <w:autoSpaceDE/>
        <w:autoSpaceDN/>
        <w:spacing w:line="560" w:lineRule="exact"/>
        <w:ind w:left="6293" w:right="170" w:hanging="1191"/>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p>
    <w:p w14:paraId="488B6D26">
      <w:pPr>
        <w:pStyle w:val="8"/>
        <w:widowControl w:val="0"/>
        <w:topLinePunct/>
        <w:autoSpaceDE/>
        <w:autoSpaceDN/>
        <w:spacing w:line="560" w:lineRule="exact"/>
        <w:jc w:val="both"/>
        <w:rPr>
          <w:color w:val="auto"/>
          <w:lang w:eastAsia="zh-CN"/>
        </w:rPr>
      </w:pPr>
    </w:p>
    <w:p w14:paraId="27E72060">
      <w:pPr>
        <w:pStyle w:val="8"/>
        <w:widowControl w:val="0"/>
        <w:topLinePunct/>
        <w:autoSpaceDE/>
        <w:autoSpaceDN/>
        <w:spacing w:line="560" w:lineRule="exact"/>
        <w:jc w:val="both"/>
        <w:rPr>
          <w:color w:val="auto"/>
          <w:lang w:eastAsia="zh-CN"/>
        </w:rPr>
      </w:pPr>
    </w:p>
    <w:p w14:paraId="68D1C6FC">
      <w:pPr>
        <w:pStyle w:val="8"/>
        <w:widowControl w:val="0"/>
        <w:topLinePunct/>
        <w:autoSpaceDE/>
        <w:autoSpaceDN/>
        <w:spacing w:line="560" w:lineRule="exact"/>
        <w:jc w:val="both"/>
        <w:rPr>
          <w:color w:val="auto"/>
          <w:lang w:eastAsia="zh-CN"/>
        </w:rPr>
      </w:pPr>
    </w:p>
    <w:p w14:paraId="52CB8FA8">
      <w:pPr>
        <w:widowControl w:val="0"/>
        <w:topLinePunct/>
        <w:autoSpaceDE/>
        <w:autoSpaceDN/>
        <w:spacing w:line="560" w:lineRule="exact"/>
        <w:ind w:firstLine="420"/>
        <w:jc w:val="both"/>
        <w:rPr>
          <w:rFonts w:hint="eastAsia" w:ascii="宋体" w:hAnsi="宋体" w:eastAsia="宋体" w:cs="宋体"/>
          <w:color w:val="auto"/>
          <w:lang w:eastAsia="zh-CN"/>
        </w:rPr>
      </w:pPr>
      <w:r>
        <w:rPr>
          <w:rFonts w:ascii="宋体" w:hAnsi="宋体" w:eastAsia="宋体" w:cs="宋体"/>
          <w:color w:val="auto"/>
          <w:lang w:eastAsia="zh-CN"/>
        </w:rPr>
        <w:t>注：招标人对招标文件有关问题澄清时，适用于本格式。招标人可根据需要将附件二与附件三内容合并发出。</w:t>
      </w:r>
    </w:p>
    <w:p w14:paraId="6652FF43">
      <w:pPr>
        <w:widowControl w:val="0"/>
        <w:topLinePunct/>
        <w:autoSpaceDE/>
        <w:autoSpaceDN/>
        <w:spacing w:line="560" w:lineRule="exact"/>
        <w:jc w:val="both"/>
        <w:rPr>
          <w:rFonts w:hint="eastAsia" w:ascii="宋体" w:hAnsi="宋体" w:eastAsia="宋体" w:cs="宋体"/>
          <w:color w:val="auto"/>
          <w:lang w:eastAsia="zh-CN"/>
        </w:rPr>
      </w:pPr>
      <w:r>
        <w:rPr>
          <w:rFonts w:ascii="宋体" w:hAnsi="宋体" w:eastAsia="宋体" w:cs="宋体"/>
          <w:color w:val="auto"/>
          <w:lang w:eastAsia="zh-CN"/>
        </w:rPr>
        <w:br w:type="page"/>
      </w:r>
    </w:p>
    <w:p w14:paraId="1917A860">
      <w:pPr>
        <w:widowControl w:val="0"/>
        <w:kinsoku/>
        <w:topLinePunct/>
        <w:autoSpaceDE/>
        <w:autoSpaceDN/>
        <w:spacing w:line="520" w:lineRule="exact"/>
        <w:ind w:left="22"/>
        <w:jc w:val="both"/>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附件三：</w:t>
      </w:r>
    </w:p>
    <w:p w14:paraId="3BA32818">
      <w:pPr>
        <w:pStyle w:val="8"/>
        <w:widowControl w:val="0"/>
        <w:kinsoku/>
        <w:topLinePunct/>
        <w:autoSpaceDE/>
        <w:autoSpaceDN/>
        <w:spacing w:line="520" w:lineRule="exact"/>
        <w:jc w:val="both"/>
        <w:rPr>
          <w:color w:val="auto"/>
          <w:lang w:eastAsia="zh-CN"/>
        </w:rPr>
      </w:pPr>
    </w:p>
    <w:p w14:paraId="7D45E38D">
      <w:pPr>
        <w:widowControl w:val="0"/>
        <w:kinsoku/>
        <w:topLinePunct/>
        <w:autoSpaceDE/>
        <w:autoSpaceDN/>
        <w:spacing w:line="520" w:lineRule="exact"/>
        <w:ind w:left="3270"/>
        <w:jc w:val="both"/>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招标文件修改通知</w:t>
      </w:r>
    </w:p>
    <w:p w14:paraId="7D379952">
      <w:pPr>
        <w:widowControl w:val="0"/>
        <w:kinsoku/>
        <w:topLinePunct/>
        <w:autoSpaceDE/>
        <w:autoSpaceDN/>
        <w:spacing w:line="520" w:lineRule="exact"/>
        <w:ind w:left="4035"/>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编号：</w:t>
      </w:r>
    </w:p>
    <w:p w14:paraId="5901DDCB">
      <w:pPr>
        <w:widowControl w:val="0"/>
        <w:kinsoku/>
        <w:topLinePunct/>
        <w:autoSpaceDE/>
        <w:autoSpaceDN/>
        <w:spacing w:line="520" w:lineRule="exact"/>
        <w:ind w:left="1"/>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各投标人：</w:t>
      </w:r>
    </w:p>
    <w:p w14:paraId="37A68A17">
      <w:pPr>
        <w:widowControl w:val="0"/>
        <w:kinsoku/>
        <w:topLinePunct/>
        <w:autoSpaceDE/>
        <w:autoSpaceDN/>
        <w:spacing w:line="520" w:lineRule="exact"/>
        <w:ind w:right="57" w:firstLine="48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经研究，对</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标段名称</w:t>
      </w:r>
      <w:r>
        <w:rPr>
          <w:rFonts w:ascii="宋体" w:hAnsi="宋体" w:eastAsia="宋体" w:cs="宋体"/>
          <w:color w:val="auto"/>
          <w:sz w:val="24"/>
          <w:szCs w:val="24"/>
          <w:lang w:eastAsia="zh-CN"/>
        </w:rPr>
        <w:t>）招标文件，作如下修改：</w:t>
      </w:r>
    </w:p>
    <w:p w14:paraId="0B0C69ED">
      <w:pPr>
        <w:widowControl w:val="0"/>
        <w:kinsoku/>
        <w:topLinePunct/>
        <w:autoSpaceDE/>
        <w:autoSpaceDN/>
        <w:spacing w:line="520" w:lineRule="exact"/>
        <w:ind w:left="497"/>
        <w:jc w:val="both"/>
        <w:rPr>
          <w:rFonts w:ascii="Times New Roman" w:hAnsi="Times New Roman" w:eastAsia="宋体" w:cs="Times New Roman"/>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w:t>
      </w:r>
    </w:p>
    <w:p w14:paraId="76486D34">
      <w:pPr>
        <w:widowControl w:val="0"/>
        <w:kinsoku/>
        <w:topLinePunct/>
        <w:autoSpaceDE/>
        <w:autoSpaceDN/>
        <w:spacing w:line="520" w:lineRule="exact"/>
        <w:ind w:left="474"/>
        <w:jc w:val="both"/>
        <w:rPr>
          <w:rFonts w:ascii="Times New Roman" w:hAnsi="Times New Roman" w:eastAsia="宋体" w:cs="Times New Roman"/>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w:t>
      </w:r>
    </w:p>
    <w:p w14:paraId="5392685D">
      <w:pPr>
        <w:widowControl w:val="0"/>
        <w:kinsoku/>
        <w:topLinePunct/>
        <w:autoSpaceDE/>
        <w:autoSpaceDN/>
        <w:spacing w:line="520" w:lineRule="exact"/>
        <w:ind w:left="496"/>
        <w:jc w:val="both"/>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w:t>
      </w:r>
    </w:p>
    <w:p w14:paraId="32BA9705">
      <w:pPr>
        <w:pStyle w:val="8"/>
        <w:widowControl w:val="0"/>
        <w:kinsoku/>
        <w:topLinePunct/>
        <w:autoSpaceDE/>
        <w:autoSpaceDN/>
        <w:spacing w:line="520" w:lineRule="exact"/>
        <w:jc w:val="both"/>
        <w:rPr>
          <w:color w:val="auto"/>
          <w:lang w:eastAsia="zh-CN"/>
        </w:rPr>
      </w:pPr>
    </w:p>
    <w:p w14:paraId="3B406F7C">
      <w:pPr>
        <w:pStyle w:val="8"/>
        <w:widowControl w:val="0"/>
        <w:kinsoku/>
        <w:topLinePunct/>
        <w:autoSpaceDE/>
        <w:autoSpaceDN/>
        <w:spacing w:line="520" w:lineRule="exact"/>
        <w:jc w:val="both"/>
        <w:rPr>
          <w:color w:val="auto"/>
          <w:lang w:eastAsia="zh-CN"/>
        </w:rPr>
      </w:pPr>
    </w:p>
    <w:p w14:paraId="3201CBA1">
      <w:pPr>
        <w:pStyle w:val="8"/>
        <w:widowControl w:val="0"/>
        <w:kinsoku/>
        <w:topLinePunct/>
        <w:autoSpaceDE/>
        <w:autoSpaceDN/>
        <w:spacing w:line="520" w:lineRule="exact"/>
        <w:jc w:val="both"/>
        <w:rPr>
          <w:color w:val="auto"/>
          <w:lang w:eastAsia="zh-CN"/>
        </w:rPr>
      </w:pPr>
    </w:p>
    <w:p w14:paraId="09EDA254">
      <w:pPr>
        <w:pStyle w:val="8"/>
        <w:widowControl w:val="0"/>
        <w:kinsoku/>
        <w:topLinePunct/>
        <w:autoSpaceDE/>
        <w:autoSpaceDN/>
        <w:spacing w:line="520" w:lineRule="exact"/>
        <w:jc w:val="both"/>
        <w:rPr>
          <w:color w:val="auto"/>
          <w:lang w:eastAsia="zh-CN"/>
        </w:rPr>
      </w:pPr>
    </w:p>
    <w:p w14:paraId="7C7924E3">
      <w:pPr>
        <w:pStyle w:val="8"/>
        <w:widowControl w:val="0"/>
        <w:kinsoku/>
        <w:topLinePunct/>
        <w:autoSpaceDE/>
        <w:autoSpaceDN/>
        <w:spacing w:line="520" w:lineRule="exact"/>
        <w:jc w:val="both"/>
        <w:rPr>
          <w:color w:val="auto"/>
          <w:lang w:eastAsia="zh-CN"/>
        </w:rPr>
      </w:pPr>
    </w:p>
    <w:p w14:paraId="4E891765">
      <w:pPr>
        <w:widowControl w:val="0"/>
        <w:tabs>
          <w:tab w:val="left" w:pos="6829"/>
        </w:tabs>
        <w:kinsoku/>
        <w:topLinePunct/>
        <w:autoSpaceDE/>
        <w:autoSpaceDN/>
        <w:spacing w:line="520" w:lineRule="exact"/>
        <w:jc w:val="right"/>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招标人：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（盖单位公章）</w:t>
      </w:r>
    </w:p>
    <w:p w14:paraId="7C534C23">
      <w:pPr>
        <w:widowControl w:val="0"/>
        <w:tabs>
          <w:tab w:val="left" w:pos="6829"/>
        </w:tabs>
        <w:kinsoku/>
        <w:topLinePunct/>
        <w:autoSpaceDE/>
        <w:autoSpaceDN/>
        <w:spacing w:line="520" w:lineRule="exact"/>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p>
    <w:p w14:paraId="229CE1BD">
      <w:pPr>
        <w:pStyle w:val="8"/>
        <w:widowControl w:val="0"/>
        <w:kinsoku/>
        <w:topLinePunct/>
        <w:autoSpaceDE/>
        <w:autoSpaceDN/>
        <w:spacing w:line="520" w:lineRule="exact"/>
        <w:jc w:val="both"/>
        <w:rPr>
          <w:color w:val="auto"/>
          <w:lang w:eastAsia="zh-CN"/>
        </w:rPr>
      </w:pPr>
    </w:p>
    <w:p w14:paraId="778CCF6C">
      <w:pPr>
        <w:pStyle w:val="8"/>
        <w:widowControl w:val="0"/>
        <w:kinsoku/>
        <w:topLinePunct/>
        <w:autoSpaceDE/>
        <w:autoSpaceDN/>
        <w:spacing w:line="520" w:lineRule="exact"/>
        <w:jc w:val="both"/>
        <w:rPr>
          <w:color w:val="auto"/>
          <w:lang w:eastAsia="zh-CN"/>
        </w:rPr>
      </w:pPr>
    </w:p>
    <w:p w14:paraId="6FFE522D">
      <w:pPr>
        <w:pStyle w:val="8"/>
        <w:widowControl w:val="0"/>
        <w:kinsoku/>
        <w:topLinePunct/>
        <w:autoSpaceDE/>
        <w:autoSpaceDN/>
        <w:spacing w:line="520" w:lineRule="exact"/>
        <w:jc w:val="both"/>
        <w:rPr>
          <w:color w:val="auto"/>
          <w:lang w:eastAsia="zh-CN"/>
        </w:rPr>
      </w:pPr>
    </w:p>
    <w:p w14:paraId="0AA37094">
      <w:pPr>
        <w:pStyle w:val="8"/>
        <w:widowControl w:val="0"/>
        <w:kinsoku/>
        <w:topLinePunct/>
        <w:autoSpaceDE/>
        <w:autoSpaceDN/>
        <w:spacing w:line="520" w:lineRule="exact"/>
        <w:jc w:val="both"/>
        <w:rPr>
          <w:color w:val="auto"/>
          <w:lang w:eastAsia="zh-CN"/>
        </w:rPr>
      </w:pPr>
    </w:p>
    <w:p w14:paraId="3B22845B">
      <w:pPr>
        <w:pStyle w:val="8"/>
        <w:widowControl w:val="0"/>
        <w:kinsoku/>
        <w:topLinePunct/>
        <w:autoSpaceDE/>
        <w:autoSpaceDN/>
        <w:spacing w:line="520" w:lineRule="exact"/>
        <w:jc w:val="both"/>
        <w:rPr>
          <w:color w:val="auto"/>
          <w:lang w:eastAsia="zh-CN"/>
        </w:rPr>
      </w:pPr>
    </w:p>
    <w:p w14:paraId="363C5F71">
      <w:pPr>
        <w:pStyle w:val="8"/>
        <w:widowControl w:val="0"/>
        <w:kinsoku/>
        <w:topLinePunct/>
        <w:autoSpaceDE/>
        <w:autoSpaceDN/>
        <w:spacing w:line="520" w:lineRule="exact"/>
        <w:jc w:val="both"/>
        <w:rPr>
          <w:color w:val="auto"/>
          <w:lang w:eastAsia="zh-CN"/>
        </w:rPr>
      </w:pPr>
    </w:p>
    <w:p w14:paraId="4526375C">
      <w:pPr>
        <w:pStyle w:val="8"/>
        <w:widowControl w:val="0"/>
        <w:kinsoku/>
        <w:topLinePunct/>
        <w:autoSpaceDE/>
        <w:autoSpaceDN/>
        <w:spacing w:line="520" w:lineRule="exact"/>
        <w:jc w:val="both"/>
        <w:rPr>
          <w:color w:val="auto"/>
          <w:lang w:eastAsia="zh-CN"/>
        </w:rPr>
      </w:pPr>
    </w:p>
    <w:p w14:paraId="66269EEF">
      <w:pPr>
        <w:pStyle w:val="8"/>
        <w:widowControl w:val="0"/>
        <w:kinsoku/>
        <w:topLinePunct/>
        <w:autoSpaceDE/>
        <w:autoSpaceDN/>
        <w:spacing w:line="520" w:lineRule="exact"/>
        <w:jc w:val="both"/>
        <w:rPr>
          <w:color w:val="auto"/>
          <w:lang w:eastAsia="zh-CN"/>
        </w:rPr>
      </w:pPr>
    </w:p>
    <w:p w14:paraId="72AC20D8">
      <w:pPr>
        <w:widowControl w:val="0"/>
        <w:kinsoku/>
        <w:topLinePunct/>
        <w:autoSpaceDE/>
        <w:autoSpaceDN/>
        <w:spacing w:line="520" w:lineRule="exact"/>
        <w:ind w:left="417"/>
        <w:jc w:val="both"/>
        <w:rPr>
          <w:rFonts w:hint="eastAsia" w:ascii="宋体" w:hAnsi="宋体" w:eastAsia="宋体" w:cs="宋体"/>
          <w:color w:val="auto"/>
          <w:lang w:eastAsia="zh-CN"/>
        </w:rPr>
      </w:pPr>
      <w:r>
        <w:rPr>
          <w:rFonts w:ascii="宋体" w:hAnsi="宋体" w:eastAsia="宋体" w:cs="宋体"/>
          <w:color w:val="auto"/>
          <w:lang w:eastAsia="zh-CN"/>
        </w:rPr>
        <w:t>注：招标人对招标文件修改时，适用于本格式。</w:t>
      </w:r>
    </w:p>
    <w:p w14:paraId="5074FF7F">
      <w:pPr>
        <w:widowControl w:val="0"/>
        <w:kinsoku/>
        <w:topLinePunct/>
        <w:autoSpaceDE/>
        <w:autoSpaceDN/>
        <w:spacing w:line="520" w:lineRule="exact"/>
        <w:jc w:val="both"/>
        <w:rPr>
          <w:rFonts w:hint="eastAsia" w:ascii="宋体" w:hAnsi="宋体" w:eastAsia="宋体" w:cs="宋体"/>
          <w:color w:val="auto"/>
          <w:lang w:eastAsia="zh-CN"/>
        </w:rPr>
      </w:pPr>
      <w:r>
        <w:rPr>
          <w:rFonts w:ascii="宋体" w:hAnsi="宋体" w:eastAsia="宋体" w:cs="宋体"/>
          <w:color w:val="auto"/>
          <w:lang w:eastAsia="zh-CN"/>
        </w:rPr>
        <w:br w:type="page"/>
      </w:r>
    </w:p>
    <w:p w14:paraId="337A7CE2">
      <w:pPr>
        <w:spacing w:before="56" w:line="219" w:lineRule="auto"/>
        <w:ind w:left="32"/>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附件四：</w:t>
      </w:r>
    </w:p>
    <w:p w14:paraId="7D15CA75">
      <w:pPr>
        <w:spacing w:before="211" w:line="221" w:lineRule="auto"/>
        <w:ind w:left="3984"/>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开标记录表</w:t>
      </w:r>
    </w:p>
    <w:p w14:paraId="4804DAF9">
      <w:pPr>
        <w:pStyle w:val="8"/>
        <w:spacing w:line="266" w:lineRule="auto"/>
        <w:rPr>
          <w:color w:val="auto"/>
          <w:lang w:eastAsia="zh-CN"/>
        </w:rPr>
      </w:pPr>
    </w:p>
    <w:p w14:paraId="7D514EA8">
      <w:pPr>
        <w:pStyle w:val="8"/>
        <w:spacing w:line="266" w:lineRule="auto"/>
        <w:rPr>
          <w:color w:val="auto"/>
          <w:lang w:eastAsia="zh-CN"/>
        </w:rPr>
      </w:pPr>
    </w:p>
    <w:p w14:paraId="334378D2">
      <w:pPr>
        <w:tabs>
          <w:tab w:val="left" w:pos="2400"/>
        </w:tabs>
        <w:spacing w:before="81" w:line="339"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标段名称</w:t>
      </w:r>
      <w:r>
        <w:rPr>
          <w:rFonts w:ascii="宋体" w:hAnsi="宋体" w:eastAsia="宋体" w:cs="宋体"/>
          <w:color w:val="auto"/>
          <w:sz w:val="24"/>
          <w:szCs w:val="24"/>
          <w:lang w:eastAsia="zh-CN"/>
        </w:rPr>
        <w:t>）</w:t>
      </w:r>
    </w:p>
    <w:p w14:paraId="3E7ED872">
      <w:pPr>
        <w:tabs>
          <w:tab w:val="left" w:pos="2400"/>
        </w:tabs>
        <w:spacing w:before="81" w:line="339" w:lineRule="auto"/>
        <w:ind w:left="11" w:hanging="11"/>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开标时间：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时</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分</w:t>
      </w:r>
    </w:p>
    <w:tbl>
      <w:tblPr>
        <w:tblStyle w:val="20"/>
        <w:tblW w:w="87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8"/>
        <w:gridCol w:w="1295"/>
        <w:gridCol w:w="819"/>
        <w:gridCol w:w="1032"/>
        <w:gridCol w:w="676"/>
        <w:gridCol w:w="623"/>
        <w:gridCol w:w="1081"/>
        <w:gridCol w:w="1331"/>
        <w:gridCol w:w="1221"/>
      </w:tblGrid>
      <w:tr w14:paraId="59411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53" w:hRule="atLeast"/>
          <w:jc w:val="center"/>
        </w:trPr>
        <w:tc>
          <w:tcPr>
            <w:tcW w:w="718" w:type="dxa"/>
            <w:tcBorders>
              <w:top w:val="single" w:color="000000" w:sz="6" w:space="0"/>
              <w:left w:val="single" w:color="000000" w:sz="6" w:space="0"/>
            </w:tcBorders>
            <w:vAlign w:val="center"/>
          </w:tcPr>
          <w:p w14:paraId="2342642F">
            <w:pPr>
              <w:pStyle w:val="21"/>
              <w:widowControl w:val="0"/>
              <w:kinsoku/>
              <w:wordWrap w:val="0"/>
              <w:topLinePunct/>
              <w:autoSpaceDE/>
              <w:autoSpaceDN/>
              <w:jc w:val="center"/>
              <w:rPr>
                <w:rFonts w:hint="eastAsia"/>
                <w:color w:val="auto"/>
                <w:sz w:val="21"/>
                <w:szCs w:val="21"/>
              </w:rPr>
            </w:pPr>
            <w:r>
              <w:rPr>
                <w:rFonts w:hint="eastAsia"/>
                <w:color w:val="auto"/>
                <w:sz w:val="21"/>
                <w:szCs w:val="21"/>
              </w:rPr>
              <w:t>序号</w:t>
            </w:r>
          </w:p>
        </w:tc>
        <w:tc>
          <w:tcPr>
            <w:tcW w:w="1295" w:type="dxa"/>
            <w:tcBorders>
              <w:top w:val="single" w:color="000000" w:sz="6" w:space="0"/>
            </w:tcBorders>
            <w:vAlign w:val="center"/>
          </w:tcPr>
          <w:p w14:paraId="450A1F96">
            <w:pPr>
              <w:pStyle w:val="21"/>
              <w:widowControl w:val="0"/>
              <w:kinsoku/>
              <w:wordWrap w:val="0"/>
              <w:topLinePunct/>
              <w:autoSpaceDE/>
              <w:autoSpaceDN/>
              <w:jc w:val="center"/>
              <w:rPr>
                <w:rFonts w:hint="eastAsia"/>
                <w:color w:val="auto"/>
                <w:sz w:val="21"/>
                <w:szCs w:val="21"/>
              </w:rPr>
            </w:pPr>
            <w:r>
              <w:rPr>
                <w:rFonts w:hint="eastAsia"/>
                <w:color w:val="auto"/>
                <w:sz w:val="21"/>
                <w:szCs w:val="21"/>
              </w:rPr>
              <w:t>投标人</w:t>
            </w:r>
          </w:p>
        </w:tc>
        <w:tc>
          <w:tcPr>
            <w:tcW w:w="819" w:type="dxa"/>
            <w:tcBorders>
              <w:top w:val="single" w:color="000000" w:sz="6" w:space="0"/>
            </w:tcBorders>
            <w:vAlign w:val="center"/>
          </w:tcPr>
          <w:p w14:paraId="306AA665">
            <w:pPr>
              <w:pStyle w:val="21"/>
              <w:widowControl w:val="0"/>
              <w:kinsoku/>
              <w:wordWrap w:val="0"/>
              <w:topLinePunct/>
              <w:autoSpaceDE/>
              <w:autoSpaceDN/>
              <w:jc w:val="center"/>
              <w:rPr>
                <w:rFonts w:hint="eastAsia"/>
                <w:color w:val="auto"/>
                <w:sz w:val="21"/>
                <w:szCs w:val="21"/>
              </w:rPr>
            </w:pPr>
            <w:r>
              <w:rPr>
                <w:rFonts w:hint="eastAsia"/>
                <w:color w:val="auto"/>
                <w:sz w:val="21"/>
                <w:szCs w:val="21"/>
              </w:rPr>
              <w:t>投标保证金</w:t>
            </w:r>
          </w:p>
        </w:tc>
        <w:tc>
          <w:tcPr>
            <w:tcW w:w="1032" w:type="dxa"/>
            <w:tcBorders>
              <w:top w:val="single" w:color="000000" w:sz="6" w:space="0"/>
            </w:tcBorders>
            <w:vAlign w:val="center"/>
          </w:tcPr>
          <w:p w14:paraId="067E2F8F">
            <w:pPr>
              <w:pStyle w:val="21"/>
              <w:widowControl w:val="0"/>
              <w:kinsoku/>
              <w:wordWrap w:val="0"/>
              <w:topLinePunct/>
              <w:autoSpaceDE/>
              <w:autoSpaceDN/>
              <w:jc w:val="center"/>
              <w:rPr>
                <w:rFonts w:hint="eastAsia"/>
                <w:color w:val="auto"/>
                <w:sz w:val="21"/>
                <w:szCs w:val="21"/>
              </w:rPr>
            </w:pPr>
            <w:r>
              <w:rPr>
                <w:rFonts w:hint="eastAsia"/>
                <w:color w:val="auto"/>
                <w:sz w:val="21"/>
                <w:szCs w:val="21"/>
              </w:rPr>
              <w:t>投标报价（元）</w:t>
            </w:r>
          </w:p>
        </w:tc>
        <w:tc>
          <w:tcPr>
            <w:tcW w:w="676" w:type="dxa"/>
            <w:tcBorders>
              <w:top w:val="single" w:color="000000" w:sz="6" w:space="0"/>
            </w:tcBorders>
            <w:vAlign w:val="center"/>
          </w:tcPr>
          <w:p w14:paraId="31F343A3">
            <w:pPr>
              <w:pStyle w:val="21"/>
              <w:widowControl w:val="0"/>
              <w:kinsoku/>
              <w:wordWrap w:val="0"/>
              <w:topLinePunct/>
              <w:autoSpaceDE/>
              <w:autoSpaceDN/>
              <w:jc w:val="center"/>
              <w:rPr>
                <w:rFonts w:hint="eastAsia"/>
                <w:color w:val="auto"/>
                <w:sz w:val="21"/>
                <w:szCs w:val="21"/>
              </w:rPr>
            </w:pPr>
            <w:r>
              <w:rPr>
                <w:rFonts w:hint="eastAsia"/>
                <w:color w:val="auto"/>
                <w:sz w:val="21"/>
                <w:szCs w:val="21"/>
              </w:rPr>
              <w:t>质量</w:t>
            </w:r>
          </w:p>
          <w:p w14:paraId="5C769104">
            <w:pPr>
              <w:pStyle w:val="21"/>
              <w:widowControl w:val="0"/>
              <w:kinsoku/>
              <w:wordWrap w:val="0"/>
              <w:topLinePunct/>
              <w:autoSpaceDE/>
              <w:autoSpaceDN/>
              <w:jc w:val="center"/>
              <w:rPr>
                <w:rFonts w:hint="eastAsia"/>
                <w:color w:val="auto"/>
                <w:sz w:val="21"/>
                <w:szCs w:val="21"/>
              </w:rPr>
            </w:pPr>
            <w:r>
              <w:rPr>
                <w:rFonts w:hint="eastAsia"/>
                <w:color w:val="auto"/>
                <w:sz w:val="21"/>
                <w:szCs w:val="21"/>
              </w:rPr>
              <w:t>目标</w:t>
            </w:r>
          </w:p>
        </w:tc>
        <w:tc>
          <w:tcPr>
            <w:tcW w:w="623" w:type="dxa"/>
            <w:tcBorders>
              <w:top w:val="single" w:color="000000" w:sz="6" w:space="0"/>
            </w:tcBorders>
            <w:vAlign w:val="center"/>
          </w:tcPr>
          <w:p w14:paraId="4BA62743">
            <w:pPr>
              <w:pStyle w:val="21"/>
              <w:widowControl w:val="0"/>
              <w:kinsoku/>
              <w:wordWrap w:val="0"/>
              <w:topLinePunct/>
              <w:autoSpaceDE/>
              <w:autoSpaceDN/>
              <w:jc w:val="center"/>
              <w:rPr>
                <w:rFonts w:hint="eastAsia"/>
                <w:color w:val="auto"/>
                <w:sz w:val="21"/>
                <w:szCs w:val="21"/>
              </w:rPr>
            </w:pPr>
            <w:r>
              <w:rPr>
                <w:rFonts w:hint="eastAsia"/>
                <w:color w:val="auto"/>
                <w:sz w:val="21"/>
                <w:szCs w:val="21"/>
              </w:rPr>
              <w:t>工期</w:t>
            </w:r>
          </w:p>
        </w:tc>
        <w:tc>
          <w:tcPr>
            <w:tcW w:w="1081" w:type="dxa"/>
            <w:tcBorders>
              <w:top w:val="single" w:color="000000" w:sz="6" w:space="0"/>
            </w:tcBorders>
            <w:vAlign w:val="center"/>
          </w:tcPr>
          <w:p w14:paraId="403D02E4">
            <w:pPr>
              <w:pStyle w:val="21"/>
              <w:widowControl w:val="0"/>
              <w:kinsoku/>
              <w:wordWrap w:val="0"/>
              <w:topLinePunct/>
              <w:autoSpaceDE/>
              <w:autoSpaceDN/>
              <w:jc w:val="center"/>
              <w:rPr>
                <w:rFonts w:hint="eastAsia"/>
                <w:color w:val="auto"/>
                <w:sz w:val="21"/>
                <w:szCs w:val="21"/>
              </w:rPr>
            </w:pPr>
            <w:r>
              <w:rPr>
                <w:rFonts w:hint="eastAsia"/>
                <w:color w:val="auto"/>
                <w:sz w:val="21"/>
                <w:szCs w:val="21"/>
              </w:rPr>
              <w:t>项目负责人</w:t>
            </w:r>
          </w:p>
        </w:tc>
        <w:tc>
          <w:tcPr>
            <w:tcW w:w="1331" w:type="dxa"/>
            <w:tcBorders>
              <w:top w:val="single" w:color="000000" w:sz="6" w:space="0"/>
            </w:tcBorders>
            <w:vAlign w:val="center"/>
          </w:tcPr>
          <w:p w14:paraId="7FA4BE97">
            <w:pPr>
              <w:pStyle w:val="21"/>
              <w:widowControl w:val="0"/>
              <w:kinsoku/>
              <w:wordWrap w:val="0"/>
              <w:topLinePunct/>
              <w:autoSpaceDE/>
              <w:autoSpaceDN/>
              <w:jc w:val="center"/>
              <w:rPr>
                <w:rFonts w:hint="eastAsia"/>
                <w:color w:val="auto"/>
                <w:sz w:val="21"/>
                <w:szCs w:val="21"/>
              </w:rPr>
            </w:pPr>
            <w:r>
              <w:rPr>
                <w:rFonts w:hint="eastAsia"/>
                <w:color w:val="auto"/>
                <w:sz w:val="21"/>
                <w:szCs w:val="21"/>
              </w:rPr>
              <w:t>企业信用等级</w:t>
            </w:r>
          </w:p>
        </w:tc>
        <w:tc>
          <w:tcPr>
            <w:tcW w:w="1221" w:type="dxa"/>
            <w:tcBorders>
              <w:top w:val="single" w:color="000000" w:sz="6" w:space="0"/>
              <w:right w:val="single" w:color="000000" w:sz="6" w:space="0"/>
            </w:tcBorders>
            <w:vAlign w:val="center"/>
          </w:tcPr>
          <w:p w14:paraId="6E3097EB">
            <w:pPr>
              <w:pStyle w:val="21"/>
              <w:widowControl w:val="0"/>
              <w:kinsoku/>
              <w:wordWrap w:val="0"/>
              <w:topLinePunct/>
              <w:autoSpaceDE/>
              <w:autoSpaceDN/>
              <w:jc w:val="center"/>
              <w:rPr>
                <w:rFonts w:hint="eastAsia"/>
                <w:color w:val="auto"/>
                <w:sz w:val="21"/>
                <w:szCs w:val="21"/>
              </w:rPr>
            </w:pPr>
            <w:r>
              <w:rPr>
                <w:rFonts w:hint="eastAsia"/>
                <w:color w:val="auto"/>
                <w:sz w:val="21"/>
                <w:szCs w:val="21"/>
              </w:rPr>
              <w:t>开标备注</w:t>
            </w:r>
          </w:p>
        </w:tc>
      </w:tr>
      <w:tr w14:paraId="2520A0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jc w:val="center"/>
        </w:trPr>
        <w:tc>
          <w:tcPr>
            <w:tcW w:w="718" w:type="dxa"/>
            <w:tcBorders>
              <w:left w:val="single" w:color="000000" w:sz="6" w:space="0"/>
            </w:tcBorders>
          </w:tcPr>
          <w:p w14:paraId="31021CAF">
            <w:pPr>
              <w:rPr>
                <w:rFonts w:hint="eastAsia" w:ascii="宋体" w:hAnsi="宋体" w:eastAsia="宋体" w:cs="宋体"/>
                <w:color w:val="auto"/>
              </w:rPr>
            </w:pPr>
          </w:p>
        </w:tc>
        <w:tc>
          <w:tcPr>
            <w:tcW w:w="1295" w:type="dxa"/>
          </w:tcPr>
          <w:p w14:paraId="391337B2">
            <w:pPr>
              <w:rPr>
                <w:rFonts w:hint="eastAsia" w:ascii="宋体" w:hAnsi="宋体" w:eastAsia="宋体" w:cs="宋体"/>
                <w:color w:val="auto"/>
              </w:rPr>
            </w:pPr>
          </w:p>
        </w:tc>
        <w:tc>
          <w:tcPr>
            <w:tcW w:w="819" w:type="dxa"/>
          </w:tcPr>
          <w:p w14:paraId="314C8480">
            <w:pPr>
              <w:rPr>
                <w:rFonts w:hint="eastAsia" w:ascii="宋体" w:hAnsi="宋体" w:eastAsia="宋体" w:cs="宋体"/>
                <w:color w:val="auto"/>
              </w:rPr>
            </w:pPr>
          </w:p>
        </w:tc>
        <w:tc>
          <w:tcPr>
            <w:tcW w:w="1032" w:type="dxa"/>
          </w:tcPr>
          <w:p w14:paraId="5F83FE5C">
            <w:pPr>
              <w:rPr>
                <w:rFonts w:hint="eastAsia" w:ascii="宋体" w:hAnsi="宋体" w:eastAsia="宋体" w:cs="宋体"/>
                <w:color w:val="auto"/>
              </w:rPr>
            </w:pPr>
          </w:p>
        </w:tc>
        <w:tc>
          <w:tcPr>
            <w:tcW w:w="676" w:type="dxa"/>
          </w:tcPr>
          <w:p w14:paraId="65C203C9">
            <w:pPr>
              <w:rPr>
                <w:rFonts w:hint="eastAsia" w:ascii="宋体" w:hAnsi="宋体" w:eastAsia="宋体" w:cs="宋体"/>
                <w:color w:val="auto"/>
              </w:rPr>
            </w:pPr>
          </w:p>
        </w:tc>
        <w:tc>
          <w:tcPr>
            <w:tcW w:w="623" w:type="dxa"/>
          </w:tcPr>
          <w:p w14:paraId="5F18133B">
            <w:pPr>
              <w:rPr>
                <w:rFonts w:hint="eastAsia" w:ascii="宋体" w:hAnsi="宋体" w:eastAsia="宋体" w:cs="宋体"/>
                <w:color w:val="auto"/>
              </w:rPr>
            </w:pPr>
          </w:p>
        </w:tc>
        <w:tc>
          <w:tcPr>
            <w:tcW w:w="1081" w:type="dxa"/>
          </w:tcPr>
          <w:p w14:paraId="39A696C6">
            <w:pPr>
              <w:rPr>
                <w:rFonts w:hint="eastAsia" w:ascii="宋体" w:hAnsi="宋体" w:eastAsia="宋体" w:cs="宋体"/>
                <w:color w:val="auto"/>
              </w:rPr>
            </w:pPr>
          </w:p>
        </w:tc>
        <w:tc>
          <w:tcPr>
            <w:tcW w:w="1331" w:type="dxa"/>
          </w:tcPr>
          <w:p w14:paraId="46F309B0">
            <w:pPr>
              <w:rPr>
                <w:rFonts w:hint="eastAsia" w:ascii="宋体" w:hAnsi="宋体" w:eastAsia="宋体" w:cs="宋体"/>
                <w:color w:val="auto"/>
              </w:rPr>
            </w:pPr>
          </w:p>
        </w:tc>
        <w:tc>
          <w:tcPr>
            <w:tcW w:w="1221" w:type="dxa"/>
            <w:tcBorders>
              <w:right w:val="single" w:color="000000" w:sz="6" w:space="0"/>
            </w:tcBorders>
          </w:tcPr>
          <w:p w14:paraId="74C78405">
            <w:pPr>
              <w:rPr>
                <w:rFonts w:hint="eastAsia" w:ascii="宋体" w:hAnsi="宋体" w:eastAsia="宋体" w:cs="宋体"/>
                <w:color w:val="auto"/>
              </w:rPr>
            </w:pPr>
          </w:p>
        </w:tc>
      </w:tr>
      <w:tr w14:paraId="394FC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jc w:val="center"/>
        </w:trPr>
        <w:tc>
          <w:tcPr>
            <w:tcW w:w="718" w:type="dxa"/>
            <w:tcBorders>
              <w:left w:val="single" w:color="000000" w:sz="6" w:space="0"/>
            </w:tcBorders>
          </w:tcPr>
          <w:p w14:paraId="6FC9F677">
            <w:pPr>
              <w:rPr>
                <w:rFonts w:hint="eastAsia" w:ascii="宋体" w:hAnsi="宋体" w:eastAsia="宋体" w:cs="宋体"/>
                <w:color w:val="auto"/>
              </w:rPr>
            </w:pPr>
          </w:p>
        </w:tc>
        <w:tc>
          <w:tcPr>
            <w:tcW w:w="1295" w:type="dxa"/>
          </w:tcPr>
          <w:p w14:paraId="32011BAF">
            <w:pPr>
              <w:rPr>
                <w:rFonts w:hint="eastAsia" w:ascii="宋体" w:hAnsi="宋体" w:eastAsia="宋体" w:cs="宋体"/>
                <w:color w:val="auto"/>
              </w:rPr>
            </w:pPr>
          </w:p>
        </w:tc>
        <w:tc>
          <w:tcPr>
            <w:tcW w:w="819" w:type="dxa"/>
          </w:tcPr>
          <w:p w14:paraId="6F8FC424">
            <w:pPr>
              <w:rPr>
                <w:rFonts w:hint="eastAsia" w:ascii="宋体" w:hAnsi="宋体" w:eastAsia="宋体" w:cs="宋体"/>
                <w:color w:val="auto"/>
              </w:rPr>
            </w:pPr>
          </w:p>
        </w:tc>
        <w:tc>
          <w:tcPr>
            <w:tcW w:w="1032" w:type="dxa"/>
          </w:tcPr>
          <w:p w14:paraId="7964826D">
            <w:pPr>
              <w:rPr>
                <w:rFonts w:hint="eastAsia" w:ascii="宋体" w:hAnsi="宋体" w:eastAsia="宋体" w:cs="宋体"/>
                <w:color w:val="auto"/>
              </w:rPr>
            </w:pPr>
          </w:p>
        </w:tc>
        <w:tc>
          <w:tcPr>
            <w:tcW w:w="676" w:type="dxa"/>
          </w:tcPr>
          <w:p w14:paraId="1FEC786D">
            <w:pPr>
              <w:rPr>
                <w:rFonts w:hint="eastAsia" w:ascii="宋体" w:hAnsi="宋体" w:eastAsia="宋体" w:cs="宋体"/>
                <w:color w:val="auto"/>
              </w:rPr>
            </w:pPr>
          </w:p>
        </w:tc>
        <w:tc>
          <w:tcPr>
            <w:tcW w:w="623" w:type="dxa"/>
          </w:tcPr>
          <w:p w14:paraId="4DD4A592">
            <w:pPr>
              <w:rPr>
                <w:rFonts w:hint="eastAsia" w:ascii="宋体" w:hAnsi="宋体" w:eastAsia="宋体" w:cs="宋体"/>
                <w:color w:val="auto"/>
              </w:rPr>
            </w:pPr>
          </w:p>
        </w:tc>
        <w:tc>
          <w:tcPr>
            <w:tcW w:w="1081" w:type="dxa"/>
          </w:tcPr>
          <w:p w14:paraId="71E09FD0">
            <w:pPr>
              <w:rPr>
                <w:rFonts w:hint="eastAsia" w:ascii="宋体" w:hAnsi="宋体" w:eastAsia="宋体" w:cs="宋体"/>
                <w:color w:val="auto"/>
              </w:rPr>
            </w:pPr>
          </w:p>
        </w:tc>
        <w:tc>
          <w:tcPr>
            <w:tcW w:w="1331" w:type="dxa"/>
          </w:tcPr>
          <w:p w14:paraId="515FDD3B">
            <w:pPr>
              <w:rPr>
                <w:rFonts w:hint="eastAsia" w:ascii="宋体" w:hAnsi="宋体" w:eastAsia="宋体" w:cs="宋体"/>
                <w:color w:val="auto"/>
              </w:rPr>
            </w:pPr>
          </w:p>
        </w:tc>
        <w:tc>
          <w:tcPr>
            <w:tcW w:w="1221" w:type="dxa"/>
            <w:tcBorders>
              <w:right w:val="single" w:color="000000" w:sz="6" w:space="0"/>
            </w:tcBorders>
          </w:tcPr>
          <w:p w14:paraId="65B70536">
            <w:pPr>
              <w:rPr>
                <w:rFonts w:hint="eastAsia" w:ascii="宋体" w:hAnsi="宋体" w:eastAsia="宋体" w:cs="宋体"/>
                <w:color w:val="auto"/>
              </w:rPr>
            </w:pPr>
          </w:p>
        </w:tc>
      </w:tr>
      <w:tr w14:paraId="36E4B1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jc w:val="center"/>
        </w:trPr>
        <w:tc>
          <w:tcPr>
            <w:tcW w:w="718" w:type="dxa"/>
            <w:tcBorders>
              <w:left w:val="single" w:color="000000" w:sz="6" w:space="0"/>
            </w:tcBorders>
          </w:tcPr>
          <w:p w14:paraId="45A71FDF">
            <w:pPr>
              <w:rPr>
                <w:rFonts w:hint="eastAsia" w:ascii="宋体" w:hAnsi="宋体" w:eastAsia="宋体" w:cs="宋体"/>
                <w:color w:val="auto"/>
              </w:rPr>
            </w:pPr>
          </w:p>
        </w:tc>
        <w:tc>
          <w:tcPr>
            <w:tcW w:w="1295" w:type="dxa"/>
          </w:tcPr>
          <w:p w14:paraId="377E8C92">
            <w:pPr>
              <w:rPr>
                <w:rFonts w:hint="eastAsia" w:ascii="宋体" w:hAnsi="宋体" w:eastAsia="宋体" w:cs="宋体"/>
                <w:color w:val="auto"/>
              </w:rPr>
            </w:pPr>
          </w:p>
        </w:tc>
        <w:tc>
          <w:tcPr>
            <w:tcW w:w="819" w:type="dxa"/>
          </w:tcPr>
          <w:p w14:paraId="0CE39FB9">
            <w:pPr>
              <w:rPr>
                <w:rFonts w:hint="eastAsia" w:ascii="宋体" w:hAnsi="宋体" w:eastAsia="宋体" w:cs="宋体"/>
                <w:color w:val="auto"/>
              </w:rPr>
            </w:pPr>
          </w:p>
        </w:tc>
        <w:tc>
          <w:tcPr>
            <w:tcW w:w="1032" w:type="dxa"/>
          </w:tcPr>
          <w:p w14:paraId="13733827">
            <w:pPr>
              <w:rPr>
                <w:rFonts w:hint="eastAsia" w:ascii="宋体" w:hAnsi="宋体" w:eastAsia="宋体" w:cs="宋体"/>
                <w:color w:val="auto"/>
              </w:rPr>
            </w:pPr>
          </w:p>
        </w:tc>
        <w:tc>
          <w:tcPr>
            <w:tcW w:w="676" w:type="dxa"/>
          </w:tcPr>
          <w:p w14:paraId="463DEFA2">
            <w:pPr>
              <w:rPr>
                <w:rFonts w:hint="eastAsia" w:ascii="宋体" w:hAnsi="宋体" w:eastAsia="宋体" w:cs="宋体"/>
                <w:color w:val="auto"/>
              </w:rPr>
            </w:pPr>
          </w:p>
        </w:tc>
        <w:tc>
          <w:tcPr>
            <w:tcW w:w="623" w:type="dxa"/>
          </w:tcPr>
          <w:p w14:paraId="511EEDEC">
            <w:pPr>
              <w:rPr>
                <w:rFonts w:hint="eastAsia" w:ascii="宋体" w:hAnsi="宋体" w:eastAsia="宋体" w:cs="宋体"/>
                <w:color w:val="auto"/>
              </w:rPr>
            </w:pPr>
          </w:p>
        </w:tc>
        <w:tc>
          <w:tcPr>
            <w:tcW w:w="1081" w:type="dxa"/>
          </w:tcPr>
          <w:p w14:paraId="2A9A48EF">
            <w:pPr>
              <w:rPr>
                <w:rFonts w:hint="eastAsia" w:ascii="宋体" w:hAnsi="宋体" w:eastAsia="宋体" w:cs="宋体"/>
                <w:color w:val="auto"/>
              </w:rPr>
            </w:pPr>
          </w:p>
        </w:tc>
        <w:tc>
          <w:tcPr>
            <w:tcW w:w="1331" w:type="dxa"/>
          </w:tcPr>
          <w:p w14:paraId="7BECB643">
            <w:pPr>
              <w:rPr>
                <w:rFonts w:hint="eastAsia" w:ascii="宋体" w:hAnsi="宋体" w:eastAsia="宋体" w:cs="宋体"/>
                <w:color w:val="auto"/>
              </w:rPr>
            </w:pPr>
          </w:p>
        </w:tc>
        <w:tc>
          <w:tcPr>
            <w:tcW w:w="1221" w:type="dxa"/>
            <w:tcBorders>
              <w:right w:val="single" w:color="000000" w:sz="6" w:space="0"/>
            </w:tcBorders>
          </w:tcPr>
          <w:p w14:paraId="43192672">
            <w:pPr>
              <w:rPr>
                <w:rFonts w:hint="eastAsia" w:ascii="宋体" w:hAnsi="宋体" w:eastAsia="宋体" w:cs="宋体"/>
                <w:color w:val="auto"/>
              </w:rPr>
            </w:pPr>
          </w:p>
        </w:tc>
      </w:tr>
      <w:tr w14:paraId="488DB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718" w:type="dxa"/>
            <w:tcBorders>
              <w:left w:val="single" w:color="000000" w:sz="6" w:space="0"/>
            </w:tcBorders>
          </w:tcPr>
          <w:p w14:paraId="7E884BF0">
            <w:pPr>
              <w:rPr>
                <w:rFonts w:hint="eastAsia" w:ascii="宋体" w:hAnsi="宋体" w:eastAsia="宋体" w:cs="宋体"/>
                <w:color w:val="auto"/>
              </w:rPr>
            </w:pPr>
          </w:p>
        </w:tc>
        <w:tc>
          <w:tcPr>
            <w:tcW w:w="1295" w:type="dxa"/>
          </w:tcPr>
          <w:p w14:paraId="4DD64287">
            <w:pPr>
              <w:rPr>
                <w:rFonts w:hint="eastAsia" w:ascii="宋体" w:hAnsi="宋体" w:eastAsia="宋体" w:cs="宋体"/>
                <w:color w:val="auto"/>
              </w:rPr>
            </w:pPr>
          </w:p>
        </w:tc>
        <w:tc>
          <w:tcPr>
            <w:tcW w:w="819" w:type="dxa"/>
          </w:tcPr>
          <w:p w14:paraId="2FC31720">
            <w:pPr>
              <w:rPr>
                <w:rFonts w:hint="eastAsia" w:ascii="宋体" w:hAnsi="宋体" w:eastAsia="宋体" w:cs="宋体"/>
                <w:color w:val="auto"/>
              </w:rPr>
            </w:pPr>
          </w:p>
        </w:tc>
        <w:tc>
          <w:tcPr>
            <w:tcW w:w="1032" w:type="dxa"/>
          </w:tcPr>
          <w:p w14:paraId="6A5AF78C">
            <w:pPr>
              <w:rPr>
                <w:rFonts w:hint="eastAsia" w:ascii="宋体" w:hAnsi="宋体" w:eastAsia="宋体" w:cs="宋体"/>
                <w:color w:val="auto"/>
              </w:rPr>
            </w:pPr>
          </w:p>
        </w:tc>
        <w:tc>
          <w:tcPr>
            <w:tcW w:w="676" w:type="dxa"/>
          </w:tcPr>
          <w:p w14:paraId="3ED7964B">
            <w:pPr>
              <w:rPr>
                <w:rFonts w:hint="eastAsia" w:ascii="宋体" w:hAnsi="宋体" w:eastAsia="宋体" w:cs="宋体"/>
                <w:color w:val="auto"/>
              </w:rPr>
            </w:pPr>
          </w:p>
        </w:tc>
        <w:tc>
          <w:tcPr>
            <w:tcW w:w="623" w:type="dxa"/>
          </w:tcPr>
          <w:p w14:paraId="6FAD8C51">
            <w:pPr>
              <w:rPr>
                <w:rFonts w:hint="eastAsia" w:ascii="宋体" w:hAnsi="宋体" w:eastAsia="宋体" w:cs="宋体"/>
                <w:color w:val="auto"/>
              </w:rPr>
            </w:pPr>
          </w:p>
        </w:tc>
        <w:tc>
          <w:tcPr>
            <w:tcW w:w="1081" w:type="dxa"/>
          </w:tcPr>
          <w:p w14:paraId="6FECEDCB">
            <w:pPr>
              <w:rPr>
                <w:rFonts w:hint="eastAsia" w:ascii="宋体" w:hAnsi="宋体" w:eastAsia="宋体" w:cs="宋体"/>
                <w:color w:val="auto"/>
              </w:rPr>
            </w:pPr>
          </w:p>
        </w:tc>
        <w:tc>
          <w:tcPr>
            <w:tcW w:w="1331" w:type="dxa"/>
          </w:tcPr>
          <w:p w14:paraId="6F6B7403">
            <w:pPr>
              <w:rPr>
                <w:rFonts w:hint="eastAsia" w:ascii="宋体" w:hAnsi="宋体" w:eastAsia="宋体" w:cs="宋体"/>
                <w:color w:val="auto"/>
              </w:rPr>
            </w:pPr>
          </w:p>
        </w:tc>
        <w:tc>
          <w:tcPr>
            <w:tcW w:w="1221" w:type="dxa"/>
            <w:tcBorders>
              <w:right w:val="single" w:color="000000" w:sz="6" w:space="0"/>
            </w:tcBorders>
          </w:tcPr>
          <w:p w14:paraId="084E8D41">
            <w:pPr>
              <w:rPr>
                <w:rFonts w:hint="eastAsia" w:ascii="宋体" w:hAnsi="宋体" w:eastAsia="宋体" w:cs="宋体"/>
                <w:color w:val="auto"/>
              </w:rPr>
            </w:pPr>
          </w:p>
        </w:tc>
      </w:tr>
      <w:tr w14:paraId="0D8BF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jc w:val="center"/>
        </w:trPr>
        <w:tc>
          <w:tcPr>
            <w:tcW w:w="718" w:type="dxa"/>
            <w:tcBorders>
              <w:left w:val="single" w:color="000000" w:sz="6" w:space="0"/>
            </w:tcBorders>
          </w:tcPr>
          <w:p w14:paraId="00582849">
            <w:pPr>
              <w:rPr>
                <w:rFonts w:hint="eastAsia" w:ascii="宋体" w:hAnsi="宋体" w:eastAsia="宋体" w:cs="宋体"/>
                <w:color w:val="auto"/>
              </w:rPr>
            </w:pPr>
          </w:p>
        </w:tc>
        <w:tc>
          <w:tcPr>
            <w:tcW w:w="1295" w:type="dxa"/>
          </w:tcPr>
          <w:p w14:paraId="510E36C9">
            <w:pPr>
              <w:rPr>
                <w:rFonts w:hint="eastAsia" w:ascii="宋体" w:hAnsi="宋体" w:eastAsia="宋体" w:cs="宋体"/>
                <w:color w:val="auto"/>
              </w:rPr>
            </w:pPr>
          </w:p>
        </w:tc>
        <w:tc>
          <w:tcPr>
            <w:tcW w:w="819" w:type="dxa"/>
          </w:tcPr>
          <w:p w14:paraId="295894B0">
            <w:pPr>
              <w:rPr>
                <w:rFonts w:hint="eastAsia" w:ascii="宋体" w:hAnsi="宋体" w:eastAsia="宋体" w:cs="宋体"/>
                <w:color w:val="auto"/>
              </w:rPr>
            </w:pPr>
          </w:p>
        </w:tc>
        <w:tc>
          <w:tcPr>
            <w:tcW w:w="1032" w:type="dxa"/>
          </w:tcPr>
          <w:p w14:paraId="464CF9BB">
            <w:pPr>
              <w:rPr>
                <w:rFonts w:hint="eastAsia" w:ascii="宋体" w:hAnsi="宋体" w:eastAsia="宋体" w:cs="宋体"/>
                <w:color w:val="auto"/>
              </w:rPr>
            </w:pPr>
          </w:p>
        </w:tc>
        <w:tc>
          <w:tcPr>
            <w:tcW w:w="676" w:type="dxa"/>
          </w:tcPr>
          <w:p w14:paraId="121553F4">
            <w:pPr>
              <w:rPr>
                <w:rFonts w:hint="eastAsia" w:ascii="宋体" w:hAnsi="宋体" w:eastAsia="宋体" w:cs="宋体"/>
                <w:color w:val="auto"/>
              </w:rPr>
            </w:pPr>
          </w:p>
        </w:tc>
        <w:tc>
          <w:tcPr>
            <w:tcW w:w="623" w:type="dxa"/>
          </w:tcPr>
          <w:p w14:paraId="57426306">
            <w:pPr>
              <w:rPr>
                <w:rFonts w:hint="eastAsia" w:ascii="宋体" w:hAnsi="宋体" w:eastAsia="宋体" w:cs="宋体"/>
                <w:color w:val="auto"/>
              </w:rPr>
            </w:pPr>
          </w:p>
        </w:tc>
        <w:tc>
          <w:tcPr>
            <w:tcW w:w="1081" w:type="dxa"/>
          </w:tcPr>
          <w:p w14:paraId="28DDBD8A">
            <w:pPr>
              <w:rPr>
                <w:rFonts w:hint="eastAsia" w:ascii="宋体" w:hAnsi="宋体" w:eastAsia="宋体" w:cs="宋体"/>
                <w:color w:val="auto"/>
              </w:rPr>
            </w:pPr>
          </w:p>
        </w:tc>
        <w:tc>
          <w:tcPr>
            <w:tcW w:w="1331" w:type="dxa"/>
          </w:tcPr>
          <w:p w14:paraId="5DBD213C">
            <w:pPr>
              <w:rPr>
                <w:rFonts w:hint="eastAsia" w:ascii="宋体" w:hAnsi="宋体" w:eastAsia="宋体" w:cs="宋体"/>
                <w:color w:val="auto"/>
              </w:rPr>
            </w:pPr>
          </w:p>
        </w:tc>
        <w:tc>
          <w:tcPr>
            <w:tcW w:w="1221" w:type="dxa"/>
            <w:tcBorders>
              <w:right w:val="single" w:color="000000" w:sz="6" w:space="0"/>
            </w:tcBorders>
          </w:tcPr>
          <w:p w14:paraId="3BB0ED4A">
            <w:pPr>
              <w:rPr>
                <w:rFonts w:hint="eastAsia" w:ascii="宋体" w:hAnsi="宋体" w:eastAsia="宋体" w:cs="宋体"/>
                <w:color w:val="auto"/>
              </w:rPr>
            </w:pPr>
          </w:p>
        </w:tc>
      </w:tr>
      <w:tr w14:paraId="63DEE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718" w:type="dxa"/>
            <w:tcBorders>
              <w:left w:val="single" w:color="000000" w:sz="6" w:space="0"/>
            </w:tcBorders>
          </w:tcPr>
          <w:p w14:paraId="4DC2EDE2">
            <w:pPr>
              <w:rPr>
                <w:rFonts w:hint="eastAsia" w:ascii="宋体" w:hAnsi="宋体" w:eastAsia="宋体" w:cs="宋体"/>
                <w:color w:val="auto"/>
              </w:rPr>
            </w:pPr>
          </w:p>
        </w:tc>
        <w:tc>
          <w:tcPr>
            <w:tcW w:w="1295" w:type="dxa"/>
          </w:tcPr>
          <w:p w14:paraId="4A2CCD7E">
            <w:pPr>
              <w:rPr>
                <w:rFonts w:hint="eastAsia" w:ascii="宋体" w:hAnsi="宋体" w:eastAsia="宋体" w:cs="宋体"/>
                <w:color w:val="auto"/>
              </w:rPr>
            </w:pPr>
          </w:p>
        </w:tc>
        <w:tc>
          <w:tcPr>
            <w:tcW w:w="819" w:type="dxa"/>
          </w:tcPr>
          <w:p w14:paraId="33D4452C">
            <w:pPr>
              <w:rPr>
                <w:rFonts w:hint="eastAsia" w:ascii="宋体" w:hAnsi="宋体" w:eastAsia="宋体" w:cs="宋体"/>
                <w:color w:val="auto"/>
              </w:rPr>
            </w:pPr>
          </w:p>
        </w:tc>
        <w:tc>
          <w:tcPr>
            <w:tcW w:w="1032" w:type="dxa"/>
          </w:tcPr>
          <w:p w14:paraId="716E8020">
            <w:pPr>
              <w:rPr>
                <w:rFonts w:hint="eastAsia" w:ascii="宋体" w:hAnsi="宋体" w:eastAsia="宋体" w:cs="宋体"/>
                <w:color w:val="auto"/>
              </w:rPr>
            </w:pPr>
          </w:p>
        </w:tc>
        <w:tc>
          <w:tcPr>
            <w:tcW w:w="676" w:type="dxa"/>
          </w:tcPr>
          <w:p w14:paraId="37362EFB">
            <w:pPr>
              <w:rPr>
                <w:rFonts w:hint="eastAsia" w:ascii="宋体" w:hAnsi="宋体" w:eastAsia="宋体" w:cs="宋体"/>
                <w:color w:val="auto"/>
              </w:rPr>
            </w:pPr>
          </w:p>
        </w:tc>
        <w:tc>
          <w:tcPr>
            <w:tcW w:w="623" w:type="dxa"/>
          </w:tcPr>
          <w:p w14:paraId="34B527A1">
            <w:pPr>
              <w:rPr>
                <w:rFonts w:hint="eastAsia" w:ascii="宋体" w:hAnsi="宋体" w:eastAsia="宋体" w:cs="宋体"/>
                <w:color w:val="auto"/>
              </w:rPr>
            </w:pPr>
          </w:p>
        </w:tc>
        <w:tc>
          <w:tcPr>
            <w:tcW w:w="1081" w:type="dxa"/>
          </w:tcPr>
          <w:p w14:paraId="24BE1A2A">
            <w:pPr>
              <w:rPr>
                <w:rFonts w:hint="eastAsia" w:ascii="宋体" w:hAnsi="宋体" w:eastAsia="宋体" w:cs="宋体"/>
                <w:color w:val="auto"/>
              </w:rPr>
            </w:pPr>
          </w:p>
        </w:tc>
        <w:tc>
          <w:tcPr>
            <w:tcW w:w="1331" w:type="dxa"/>
          </w:tcPr>
          <w:p w14:paraId="2BFE8C75">
            <w:pPr>
              <w:rPr>
                <w:rFonts w:hint="eastAsia" w:ascii="宋体" w:hAnsi="宋体" w:eastAsia="宋体" w:cs="宋体"/>
                <w:color w:val="auto"/>
              </w:rPr>
            </w:pPr>
          </w:p>
        </w:tc>
        <w:tc>
          <w:tcPr>
            <w:tcW w:w="1221" w:type="dxa"/>
            <w:tcBorders>
              <w:right w:val="single" w:color="000000" w:sz="6" w:space="0"/>
            </w:tcBorders>
          </w:tcPr>
          <w:p w14:paraId="5F5F3E1E">
            <w:pPr>
              <w:rPr>
                <w:rFonts w:hint="eastAsia" w:ascii="宋体" w:hAnsi="宋体" w:eastAsia="宋体" w:cs="宋体"/>
                <w:color w:val="auto"/>
              </w:rPr>
            </w:pPr>
          </w:p>
        </w:tc>
      </w:tr>
      <w:tr w14:paraId="66CE8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jc w:val="center"/>
        </w:trPr>
        <w:tc>
          <w:tcPr>
            <w:tcW w:w="718" w:type="dxa"/>
            <w:tcBorders>
              <w:left w:val="single" w:color="000000" w:sz="6" w:space="0"/>
            </w:tcBorders>
          </w:tcPr>
          <w:p w14:paraId="79783A4B">
            <w:pPr>
              <w:rPr>
                <w:rFonts w:hint="eastAsia" w:ascii="宋体" w:hAnsi="宋体" w:eastAsia="宋体" w:cs="宋体"/>
                <w:color w:val="auto"/>
              </w:rPr>
            </w:pPr>
          </w:p>
        </w:tc>
        <w:tc>
          <w:tcPr>
            <w:tcW w:w="1295" w:type="dxa"/>
          </w:tcPr>
          <w:p w14:paraId="146142B7">
            <w:pPr>
              <w:rPr>
                <w:rFonts w:hint="eastAsia" w:ascii="宋体" w:hAnsi="宋体" w:eastAsia="宋体" w:cs="宋体"/>
                <w:color w:val="auto"/>
              </w:rPr>
            </w:pPr>
          </w:p>
        </w:tc>
        <w:tc>
          <w:tcPr>
            <w:tcW w:w="819" w:type="dxa"/>
          </w:tcPr>
          <w:p w14:paraId="72491682">
            <w:pPr>
              <w:rPr>
                <w:rFonts w:hint="eastAsia" w:ascii="宋体" w:hAnsi="宋体" w:eastAsia="宋体" w:cs="宋体"/>
                <w:color w:val="auto"/>
              </w:rPr>
            </w:pPr>
          </w:p>
        </w:tc>
        <w:tc>
          <w:tcPr>
            <w:tcW w:w="1032" w:type="dxa"/>
          </w:tcPr>
          <w:p w14:paraId="78F1639F">
            <w:pPr>
              <w:rPr>
                <w:rFonts w:hint="eastAsia" w:ascii="宋体" w:hAnsi="宋体" w:eastAsia="宋体" w:cs="宋体"/>
                <w:color w:val="auto"/>
              </w:rPr>
            </w:pPr>
          </w:p>
        </w:tc>
        <w:tc>
          <w:tcPr>
            <w:tcW w:w="676" w:type="dxa"/>
          </w:tcPr>
          <w:p w14:paraId="5F87C844">
            <w:pPr>
              <w:rPr>
                <w:rFonts w:hint="eastAsia" w:ascii="宋体" w:hAnsi="宋体" w:eastAsia="宋体" w:cs="宋体"/>
                <w:color w:val="auto"/>
              </w:rPr>
            </w:pPr>
          </w:p>
        </w:tc>
        <w:tc>
          <w:tcPr>
            <w:tcW w:w="623" w:type="dxa"/>
          </w:tcPr>
          <w:p w14:paraId="771ABC21">
            <w:pPr>
              <w:rPr>
                <w:rFonts w:hint="eastAsia" w:ascii="宋体" w:hAnsi="宋体" w:eastAsia="宋体" w:cs="宋体"/>
                <w:color w:val="auto"/>
              </w:rPr>
            </w:pPr>
          </w:p>
        </w:tc>
        <w:tc>
          <w:tcPr>
            <w:tcW w:w="1081" w:type="dxa"/>
          </w:tcPr>
          <w:p w14:paraId="57B03F9D">
            <w:pPr>
              <w:rPr>
                <w:rFonts w:hint="eastAsia" w:ascii="宋体" w:hAnsi="宋体" w:eastAsia="宋体" w:cs="宋体"/>
                <w:color w:val="auto"/>
              </w:rPr>
            </w:pPr>
          </w:p>
        </w:tc>
        <w:tc>
          <w:tcPr>
            <w:tcW w:w="1331" w:type="dxa"/>
          </w:tcPr>
          <w:p w14:paraId="1F854D2B">
            <w:pPr>
              <w:rPr>
                <w:rFonts w:hint="eastAsia" w:ascii="宋体" w:hAnsi="宋体" w:eastAsia="宋体" w:cs="宋体"/>
                <w:color w:val="auto"/>
              </w:rPr>
            </w:pPr>
          </w:p>
        </w:tc>
        <w:tc>
          <w:tcPr>
            <w:tcW w:w="1221" w:type="dxa"/>
            <w:tcBorders>
              <w:right w:val="single" w:color="000000" w:sz="6" w:space="0"/>
            </w:tcBorders>
          </w:tcPr>
          <w:p w14:paraId="57EE2A02">
            <w:pPr>
              <w:rPr>
                <w:rFonts w:hint="eastAsia" w:ascii="宋体" w:hAnsi="宋体" w:eastAsia="宋体" w:cs="宋体"/>
                <w:color w:val="auto"/>
              </w:rPr>
            </w:pPr>
          </w:p>
        </w:tc>
      </w:tr>
      <w:tr w14:paraId="58A4F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jc w:val="center"/>
        </w:trPr>
        <w:tc>
          <w:tcPr>
            <w:tcW w:w="718" w:type="dxa"/>
            <w:tcBorders>
              <w:left w:val="single" w:color="000000" w:sz="6" w:space="0"/>
            </w:tcBorders>
          </w:tcPr>
          <w:p w14:paraId="1B65681F">
            <w:pPr>
              <w:rPr>
                <w:rFonts w:hint="eastAsia" w:ascii="宋体" w:hAnsi="宋体" w:eastAsia="宋体" w:cs="宋体"/>
                <w:color w:val="auto"/>
              </w:rPr>
            </w:pPr>
          </w:p>
        </w:tc>
        <w:tc>
          <w:tcPr>
            <w:tcW w:w="1295" w:type="dxa"/>
          </w:tcPr>
          <w:p w14:paraId="1C582A55">
            <w:pPr>
              <w:rPr>
                <w:rFonts w:hint="eastAsia" w:ascii="宋体" w:hAnsi="宋体" w:eastAsia="宋体" w:cs="宋体"/>
                <w:color w:val="auto"/>
              </w:rPr>
            </w:pPr>
          </w:p>
        </w:tc>
        <w:tc>
          <w:tcPr>
            <w:tcW w:w="819" w:type="dxa"/>
          </w:tcPr>
          <w:p w14:paraId="7D5CB3C6">
            <w:pPr>
              <w:rPr>
                <w:rFonts w:hint="eastAsia" w:ascii="宋体" w:hAnsi="宋体" w:eastAsia="宋体" w:cs="宋体"/>
                <w:color w:val="auto"/>
              </w:rPr>
            </w:pPr>
          </w:p>
        </w:tc>
        <w:tc>
          <w:tcPr>
            <w:tcW w:w="1032" w:type="dxa"/>
          </w:tcPr>
          <w:p w14:paraId="6869BC45">
            <w:pPr>
              <w:rPr>
                <w:rFonts w:hint="eastAsia" w:ascii="宋体" w:hAnsi="宋体" w:eastAsia="宋体" w:cs="宋体"/>
                <w:color w:val="auto"/>
              </w:rPr>
            </w:pPr>
          </w:p>
        </w:tc>
        <w:tc>
          <w:tcPr>
            <w:tcW w:w="676" w:type="dxa"/>
          </w:tcPr>
          <w:p w14:paraId="3B68A152">
            <w:pPr>
              <w:rPr>
                <w:rFonts w:hint="eastAsia" w:ascii="宋体" w:hAnsi="宋体" w:eastAsia="宋体" w:cs="宋体"/>
                <w:color w:val="auto"/>
              </w:rPr>
            </w:pPr>
          </w:p>
        </w:tc>
        <w:tc>
          <w:tcPr>
            <w:tcW w:w="623" w:type="dxa"/>
          </w:tcPr>
          <w:p w14:paraId="3801A31A">
            <w:pPr>
              <w:rPr>
                <w:rFonts w:hint="eastAsia" w:ascii="宋体" w:hAnsi="宋体" w:eastAsia="宋体" w:cs="宋体"/>
                <w:color w:val="auto"/>
              </w:rPr>
            </w:pPr>
          </w:p>
        </w:tc>
        <w:tc>
          <w:tcPr>
            <w:tcW w:w="1081" w:type="dxa"/>
          </w:tcPr>
          <w:p w14:paraId="31DAEDE5">
            <w:pPr>
              <w:rPr>
                <w:rFonts w:hint="eastAsia" w:ascii="宋体" w:hAnsi="宋体" w:eastAsia="宋体" w:cs="宋体"/>
                <w:color w:val="auto"/>
              </w:rPr>
            </w:pPr>
          </w:p>
        </w:tc>
        <w:tc>
          <w:tcPr>
            <w:tcW w:w="1331" w:type="dxa"/>
          </w:tcPr>
          <w:p w14:paraId="36E52EAD">
            <w:pPr>
              <w:rPr>
                <w:rFonts w:hint="eastAsia" w:ascii="宋体" w:hAnsi="宋体" w:eastAsia="宋体" w:cs="宋体"/>
                <w:color w:val="auto"/>
              </w:rPr>
            </w:pPr>
          </w:p>
        </w:tc>
        <w:tc>
          <w:tcPr>
            <w:tcW w:w="1221" w:type="dxa"/>
            <w:tcBorders>
              <w:right w:val="single" w:color="000000" w:sz="6" w:space="0"/>
            </w:tcBorders>
          </w:tcPr>
          <w:p w14:paraId="113C7D70">
            <w:pPr>
              <w:rPr>
                <w:rFonts w:hint="eastAsia" w:ascii="宋体" w:hAnsi="宋体" w:eastAsia="宋体" w:cs="宋体"/>
                <w:color w:val="auto"/>
              </w:rPr>
            </w:pPr>
          </w:p>
        </w:tc>
      </w:tr>
      <w:tr w14:paraId="1E556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718" w:type="dxa"/>
            <w:tcBorders>
              <w:left w:val="single" w:color="000000" w:sz="6" w:space="0"/>
            </w:tcBorders>
          </w:tcPr>
          <w:p w14:paraId="4C7085F8">
            <w:pPr>
              <w:rPr>
                <w:rFonts w:hint="eastAsia" w:ascii="宋体" w:hAnsi="宋体" w:eastAsia="宋体" w:cs="宋体"/>
                <w:color w:val="auto"/>
              </w:rPr>
            </w:pPr>
          </w:p>
        </w:tc>
        <w:tc>
          <w:tcPr>
            <w:tcW w:w="1295" w:type="dxa"/>
          </w:tcPr>
          <w:p w14:paraId="13D04D11">
            <w:pPr>
              <w:rPr>
                <w:rFonts w:hint="eastAsia" w:ascii="宋体" w:hAnsi="宋体" w:eastAsia="宋体" w:cs="宋体"/>
                <w:color w:val="auto"/>
              </w:rPr>
            </w:pPr>
          </w:p>
        </w:tc>
        <w:tc>
          <w:tcPr>
            <w:tcW w:w="819" w:type="dxa"/>
          </w:tcPr>
          <w:p w14:paraId="39295413">
            <w:pPr>
              <w:rPr>
                <w:rFonts w:hint="eastAsia" w:ascii="宋体" w:hAnsi="宋体" w:eastAsia="宋体" w:cs="宋体"/>
                <w:color w:val="auto"/>
              </w:rPr>
            </w:pPr>
          </w:p>
        </w:tc>
        <w:tc>
          <w:tcPr>
            <w:tcW w:w="1032" w:type="dxa"/>
          </w:tcPr>
          <w:p w14:paraId="018B4103">
            <w:pPr>
              <w:rPr>
                <w:rFonts w:hint="eastAsia" w:ascii="宋体" w:hAnsi="宋体" w:eastAsia="宋体" w:cs="宋体"/>
                <w:color w:val="auto"/>
              </w:rPr>
            </w:pPr>
          </w:p>
        </w:tc>
        <w:tc>
          <w:tcPr>
            <w:tcW w:w="676" w:type="dxa"/>
          </w:tcPr>
          <w:p w14:paraId="5649B6FA">
            <w:pPr>
              <w:rPr>
                <w:rFonts w:hint="eastAsia" w:ascii="宋体" w:hAnsi="宋体" w:eastAsia="宋体" w:cs="宋体"/>
                <w:color w:val="auto"/>
              </w:rPr>
            </w:pPr>
          </w:p>
        </w:tc>
        <w:tc>
          <w:tcPr>
            <w:tcW w:w="623" w:type="dxa"/>
          </w:tcPr>
          <w:p w14:paraId="64FD7913">
            <w:pPr>
              <w:rPr>
                <w:rFonts w:hint="eastAsia" w:ascii="宋体" w:hAnsi="宋体" w:eastAsia="宋体" w:cs="宋体"/>
                <w:color w:val="auto"/>
              </w:rPr>
            </w:pPr>
          </w:p>
        </w:tc>
        <w:tc>
          <w:tcPr>
            <w:tcW w:w="1081" w:type="dxa"/>
          </w:tcPr>
          <w:p w14:paraId="6B1AB48D">
            <w:pPr>
              <w:rPr>
                <w:rFonts w:hint="eastAsia" w:ascii="宋体" w:hAnsi="宋体" w:eastAsia="宋体" w:cs="宋体"/>
                <w:color w:val="auto"/>
              </w:rPr>
            </w:pPr>
          </w:p>
        </w:tc>
        <w:tc>
          <w:tcPr>
            <w:tcW w:w="1331" w:type="dxa"/>
          </w:tcPr>
          <w:p w14:paraId="7A8D7F94">
            <w:pPr>
              <w:rPr>
                <w:rFonts w:hint="eastAsia" w:ascii="宋体" w:hAnsi="宋体" w:eastAsia="宋体" w:cs="宋体"/>
                <w:color w:val="auto"/>
              </w:rPr>
            </w:pPr>
          </w:p>
        </w:tc>
        <w:tc>
          <w:tcPr>
            <w:tcW w:w="1221" w:type="dxa"/>
            <w:tcBorders>
              <w:right w:val="single" w:color="000000" w:sz="6" w:space="0"/>
            </w:tcBorders>
          </w:tcPr>
          <w:p w14:paraId="2164426F">
            <w:pPr>
              <w:rPr>
                <w:rFonts w:hint="eastAsia" w:ascii="宋体" w:hAnsi="宋体" w:eastAsia="宋体" w:cs="宋体"/>
                <w:color w:val="auto"/>
              </w:rPr>
            </w:pPr>
          </w:p>
        </w:tc>
      </w:tr>
      <w:tr w14:paraId="63A8A8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718" w:type="dxa"/>
            <w:tcBorders>
              <w:left w:val="single" w:color="000000" w:sz="6" w:space="0"/>
            </w:tcBorders>
          </w:tcPr>
          <w:p w14:paraId="4D0DD8AD">
            <w:pPr>
              <w:rPr>
                <w:rFonts w:hint="eastAsia" w:ascii="宋体" w:hAnsi="宋体" w:eastAsia="宋体" w:cs="宋体"/>
                <w:color w:val="auto"/>
              </w:rPr>
            </w:pPr>
          </w:p>
        </w:tc>
        <w:tc>
          <w:tcPr>
            <w:tcW w:w="1295" w:type="dxa"/>
          </w:tcPr>
          <w:p w14:paraId="273E3300">
            <w:pPr>
              <w:rPr>
                <w:rFonts w:hint="eastAsia" w:ascii="宋体" w:hAnsi="宋体" w:eastAsia="宋体" w:cs="宋体"/>
                <w:color w:val="auto"/>
              </w:rPr>
            </w:pPr>
          </w:p>
        </w:tc>
        <w:tc>
          <w:tcPr>
            <w:tcW w:w="819" w:type="dxa"/>
          </w:tcPr>
          <w:p w14:paraId="18374BC9">
            <w:pPr>
              <w:rPr>
                <w:rFonts w:hint="eastAsia" w:ascii="宋体" w:hAnsi="宋体" w:eastAsia="宋体" w:cs="宋体"/>
                <w:color w:val="auto"/>
              </w:rPr>
            </w:pPr>
          </w:p>
        </w:tc>
        <w:tc>
          <w:tcPr>
            <w:tcW w:w="1032" w:type="dxa"/>
          </w:tcPr>
          <w:p w14:paraId="1C632E1F">
            <w:pPr>
              <w:rPr>
                <w:rFonts w:hint="eastAsia" w:ascii="宋体" w:hAnsi="宋体" w:eastAsia="宋体" w:cs="宋体"/>
                <w:color w:val="auto"/>
              </w:rPr>
            </w:pPr>
          </w:p>
        </w:tc>
        <w:tc>
          <w:tcPr>
            <w:tcW w:w="676" w:type="dxa"/>
          </w:tcPr>
          <w:p w14:paraId="23ED1568">
            <w:pPr>
              <w:rPr>
                <w:rFonts w:hint="eastAsia" w:ascii="宋体" w:hAnsi="宋体" w:eastAsia="宋体" w:cs="宋体"/>
                <w:color w:val="auto"/>
              </w:rPr>
            </w:pPr>
          </w:p>
        </w:tc>
        <w:tc>
          <w:tcPr>
            <w:tcW w:w="623" w:type="dxa"/>
          </w:tcPr>
          <w:p w14:paraId="595B0ED2">
            <w:pPr>
              <w:rPr>
                <w:rFonts w:hint="eastAsia" w:ascii="宋体" w:hAnsi="宋体" w:eastAsia="宋体" w:cs="宋体"/>
                <w:color w:val="auto"/>
              </w:rPr>
            </w:pPr>
          </w:p>
        </w:tc>
        <w:tc>
          <w:tcPr>
            <w:tcW w:w="1081" w:type="dxa"/>
          </w:tcPr>
          <w:p w14:paraId="1554788A">
            <w:pPr>
              <w:rPr>
                <w:rFonts w:hint="eastAsia" w:ascii="宋体" w:hAnsi="宋体" w:eastAsia="宋体" w:cs="宋体"/>
                <w:color w:val="auto"/>
              </w:rPr>
            </w:pPr>
          </w:p>
        </w:tc>
        <w:tc>
          <w:tcPr>
            <w:tcW w:w="1331" w:type="dxa"/>
          </w:tcPr>
          <w:p w14:paraId="64A10F56">
            <w:pPr>
              <w:rPr>
                <w:rFonts w:hint="eastAsia" w:ascii="宋体" w:hAnsi="宋体" w:eastAsia="宋体" w:cs="宋体"/>
                <w:color w:val="auto"/>
              </w:rPr>
            </w:pPr>
          </w:p>
        </w:tc>
        <w:tc>
          <w:tcPr>
            <w:tcW w:w="1221" w:type="dxa"/>
            <w:tcBorders>
              <w:right w:val="single" w:color="000000" w:sz="6" w:space="0"/>
            </w:tcBorders>
          </w:tcPr>
          <w:p w14:paraId="11D641D8">
            <w:pPr>
              <w:rPr>
                <w:rFonts w:hint="eastAsia" w:ascii="宋体" w:hAnsi="宋体" w:eastAsia="宋体" w:cs="宋体"/>
                <w:color w:val="auto"/>
              </w:rPr>
            </w:pPr>
          </w:p>
        </w:tc>
      </w:tr>
      <w:tr w14:paraId="05916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832" w:type="dxa"/>
            <w:gridSpan w:val="3"/>
            <w:tcBorders>
              <w:left w:val="single" w:color="000000" w:sz="6" w:space="0"/>
              <w:bottom w:val="single" w:color="000000" w:sz="6" w:space="0"/>
            </w:tcBorders>
          </w:tcPr>
          <w:p w14:paraId="585AD673">
            <w:pPr>
              <w:pStyle w:val="21"/>
              <w:spacing w:before="161" w:line="219" w:lineRule="auto"/>
              <w:jc w:val="center"/>
              <w:rPr>
                <w:rFonts w:hint="eastAsia"/>
                <w:color w:val="auto"/>
                <w:sz w:val="21"/>
                <w:szCs w:val="21"/>
              </w:rPr>
            </w:pPr>
            <w:r>
              <w:rPr>
                <w:rFonts w:hint="eastAsia"/>
                <w:color w:val="auto"/>
                <w:sz w:val="21"/>
                <w:szCs w:val="21"/>
              </w:rPr>
              <w:t>招标人最高投标限价</w:t>
            </w:r>
          </w:p>
        </w:tc>
        <w:tc>
          <w:tcPr>
            <w:tcW w:w="5964" w:type="dxa"/>
            <w:gridSpan w:val="6"/>
            <w:tcBorders>
              <w:bottom w:val="single" w:color="000000" w:sz="6" w:space="0"/>
              <w:right w:val="single" w:color="000000" w:sz="6" w:space="0"/>
            </w:tcBorders>
          </w:tcPr>
          <w:p w14:paraId="2FE1D411">
            <w:pPr>
              <w:rPr>
                <w:rFonts w:hint="eastAsia" w:ascii="宋体" w:hAnsi="宋体" w:eastAsia="宋体" w:cs="宋体"/>
                <w:color w:val="auto"/>
              </w:rPr>
            </w:pPr>
          </w:p>
        </w:tc>
      </w:tr>
    </w:tbl>
    <w:p w14:paraId="35E7D546">
      <w:pPr>
        <w:spacing w:before="156" w:line="220" w:lineRule="auto"/>
        <w:ind w:left="217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开标结束时间：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时</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分</w:t>
      </w:r>
    </w:p>
    <w:p w14:paraId="19EDAEE8">
      <w:pPr>
        <w:pStyle w:val="8"/>
        <w:spacing w:line="256" w:lineRule="auto"/>
        <w:rPr>
          <w:color w:val="auto"/>
          <w:lang w:eastAsia="zh-CN"/>
        </w:rPr>
      </w:pPr>
    </w:p>
    <w:p w14:paraId="4E5BB0E7">
      <w:pPr>
        <w:pStyle w:val="8"/>
        <w:spacing w:line="257" w:lineRule="auto"/>
        <w:rPr>
          <w:color w:val="auto"/>
          <w:lang w:eastAsia="zh-CN"/>
        </w:rPr>
      </w:pPr>
    </w:p>
    <w:p w14:paraId="2E9E77B8">
      <w:pPr>
        <w:spacing w:before="78" w:line="220" w:lineRule="auto"/>
        <w:ind w:left="1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招标人代表：</w:t>
      </w:r>
      <w:r>
        <w:rPr>
          <w:rFonts w:hint="eastAsia" w:ascii="宋体" w:hAnsi="宋体" w:eastAsia="宋体" w:cs="宋体"/>
          <w:color w:val="auto"/>
          <w:sz w:val="24"/>
          <w:szCs w:val="24"/>
          <w:u w:val="single"/>
          <w:lang w:eastAsia="zh-CN"/>
        </w:rPr>
        <w:t>　　　　　　</w:t>
      </w:r>
    </w:p>
    <w:p w14:paraId="1063939B">
      <w:pPr>
        <w:spacing w:before="180" w:line="222" w:lineRule="auto"/>
        <w:ind w:left="8"/>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记录人：</w:t>
      </w:r>
      <w:r>
        <w:rPr>
          <w:rFonts w:hint="eastAsia" w:ascii="宋体" w:hAnsi="宋体" w:eastAsia="宋体" w:cs="宋体"/>
          <w:color w:val="auto"/>
          <w:sz w:val="24"/>
          <w:szCs w:val="24"/>
          <w:u w:val="single"/>
          <w:lang w:eastAsia="zh-CN"/>
        </w:rPr>
        <w:t>　　　　　　　　</w:t>
      </w:r>
    </w:p>
    <w:p w14:paraId="572258E8">
      <w:pPr>
        <w:spacing w:before="180" w:line="220" w:lineRule="auto"/>
        <w:ind w:left="1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监标人：</w:t>
      </w:r>
      <w:r>
        <w:rPr>
          <w:rFonts w:hint="eastAsia" w:ascii="宋体" w:hAnsi="宋体" w:eastAsia="宋体" w:cs="宋体"/>
          <w:color w:val="auto"/>
          <w:sz w:val="24"/>
          <w:szCs w:val="24"/>
          <w:u w:val="single"/>
          <w:lang w:eastAsia="zh-CN"/>
        </w:rPr>
        <w:t>　　　　　　　　</w:t>
      </w:r>
    </w:p>
    <w:p w14:paraId="5BB98D94">
      <w:pPr>
        <w:pStyle w:val="8"/>
        <w:spacing w:line="256" w:lineRule="auto"/>
        <w:rPr>
          <w:color w:val="auto"/>
          <w:lang w:eastAsia="zh-CN"/>
        </w:rPr>
      </w:pPr>
    </w:p>
    <w:p w14:paraId="787943AC">
      <w:pPr>
        <w:pStyle w:val="8"/>
        <w:spacing w:line="256" w:lineRule="auto"/>
        <w:rPr>
          <w:color w:val="auto"/>
          <w:lang w:eastAsia="zh-CN"/>
        </w:rPr>
      </w:pPr>
    </w:p>
    <w:p w14:paraId="5F2626AD">
      <w:pPr>
        <w:tabs>
          <w:tab w:val="left" w:pos="6360"/>
        </w:tabs>
        <w:spacing w:before="79" w:line="220" w:lineRule="auto"/>
        <w:ind w:left="5400"/>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p>
    <w:p w14:paraId="55A6AB2A">
      <w:pPr>
        <w:pStyle w:val="8"/>
        <w:spacing w:line="258" w:lineRule="auto"/>
        <w:rPr>
          <w:color w:val="auto"/>
          <w:lang w:eastAsia="zh-CN"/>
        </w:rPr>
      </w:pPr>
    </w:p>
    <w:p w14:paraId="76014ECF">
      <w:pPr>
        <w:pStyle w:val="8"/>
        <w:spacing w:line="259" w:lineRule="auto"/>
        <w:rPr>
          <w:color w:val="auto"/>
          <w:lang w:eastAsia="zh-CN"/>
        </w:rPr>
      </w:pPr>
    </w:p>
    <w:p w14:paraId="2B395243">
      <w:pPr>
        <w:spacing w:before="68" w:line="220" w:lineRule="auto"/>
        <w:ind w:left="8"/>
        <w:rPr>
          <w:rFonts w:hint="eastAsia" w:ascii="宋体" w:hAnsi="宋体" w:eastAsia="宋体" w:cs="宋体"/>
          <w:color w:val="auto"/>
          <w:lang w:eastAsia="zh-CN"/>
        </w:rPr>
      </w:pPr>
      <w:r>
        <w:rPr>
          <w:rFonts w:ascii="宋体" w:hAnsi="宋体" w:eastAsia="宋体" w:cs="宋体"/>
          <w:color w:val="auto"/>
          <w:lang w:eastAsia="zh-CN"/>
        </w:rPr>
        <w:t>注：可以根据招标项目的实际需要对本开标记录表进行适当修改。</w:t>
      </w:r>
    </w:p>
    <w:p w14:paraId="51159FF1">
      <w:pPr>
        <w:rPr>
          <w:rFonts w:hint="eastAsia" w:ascii="宋体" w:hAnsi="宋体" w:eastAsia="宋体" w:cs="宋体"/>
          <w:color w:val="auto"/>
          <w:lang w:eastAsia="zh-CN"/>
        </w:rPr>
      </w:pPr>
      <w:r>
        <w:rPr>
          <w:rFonts w:ascii="宋体" w:hAnsi="宋体" w:eastAsia="宋体" w:cs="宋体"/>
          <w:color w:val="auto"/>
          <w:lang w:eastAsia="zh-CN"/>
        </w:rPr>
        <w:br w:type="page"/>
      </w:r>
    </w:p>
    <w:p w14:paraId="45A5C4F4">
      <w:pPr>
        <w:spacing w:before="56" w:line="219" w:lineRule="auto"/>
        <w:ind w:left="32"/>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附件五：</w:t>
      </w:r>
    </w:p>
    <w:p w14:paraId="0381ADC5">
      <w:pPr>
        <w:spacing w:before="212" w:line="219" w:lineRule="auto"/>
        <w:ind w:left="3728"/>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中标通知书</w:t>
      </w:r>
    </w:p>
    <w:p w14:paraId="20F40BFA">
      <w:pPr>
        <w:spacing w:before="205" w:line="220" w:lineRule="auto"/>
        <w:ind w:left="3851"/>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编号：</w:t>
      </w:r>
    </w:p>
    <w:p w14:paraId="4D7C2C25">
      <w:pPr>
        <w:pStyle w:val="8"/>
        <w:spacing w:line="255" w:lineRule="auto"/>
        <w:rPr>
          <w:color w:val="auto"/>
          <w:lang w:eastAsia="zh-CN"/>
        </w:rPr>
      </w:pPr>
    </w:p>
    <w:p w14:paraId="2FB6555E">
      <w:pPr>
        <w:widowControl w:val="0"/>
        <w:tabs>
          <w:tab w:val="left" w:pos="2400"/>
        </w:tabs>
        <w:kinsoku/>
        <w:wordWrap w:val="0"/>
        <w:topLinePunct/>
        <w:autoSpaceDE/>
        <w:autoSpaceDN/>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中标单位名称</w:t>
      </w:r>
      <w:r>
        <w:rPr>
          <w:rFonts w:ascii="宋体" w:hAnsi="宋体" w:eastAsia="宋体" w:cs="宋体"/>
          <w:color w:val="auto"/>
          <w:sz w:val="24"/>
          <w:szCs w:val="24"/>
          <w:lang w:eastAsia="zh-CN"/>
        </w:rPr>
        <w:t>）：</w:t>
      </w:r>
    </w:p>
    <w:p w14:paraId="00F5CD65">
      <w:pPr>
        <w:widowControl w:val="0"/>
        <w:kinsoku/>
        <w:wordWrap w:val="0"/>
        <w:topLinePunct/>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你方于</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投标日期</w:t>
      </w:r>
      <w:r>
        <w:rPr>
          <w:rFonts w:ascii="宋体" w:hAnsi="宋体" w:eastAsia="宋体" w:cs="宋体"/>
          <w:color w:val="auto"/>
          <w:sz w:val="24"/>
          <w:szCs w:val="24"/>
          <w:lang w:eastAsia="zh-CN"/>
        </w:rPr>
        <w:t>）所递交的</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标段名称</w:t>
      </w:r>
      <w:r>
        <w:rPr>
          <w:rFonts w:ascii="宋体" w:hAnsi="宋体" w:eastAsia="宋体" w:cs="宋体"/>
          <w:color w:val="auto"/>
          <w:sz w:val="24"/>
          <w:szCs w:val="24"/>
          <w:lang w:eastAsia="zh-CN"/>
        </w:rPr>
        <w:t>）投标文件已被我方接受，并被确定为中标人。</w:t>
      </w:r>
    </w:p>
    <w:p w14:paraId="70D551C9">
      <w:pPr>
        <w:widowControl w:val="0"/>
        <w:kinsoku/>
        <w:wordWrap w:val="0"/>
        <w:topLinePunct/>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中标价：</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元。</w:t>
      </w:r>
    </w:p>
    <w:p w14:paraId="42AF91C5">
      <w:pPr>
        <w:widowControl w:val="0"/>
        <w:kinsoku/>
        <w:wordWrap w:val="0"/>
        <w:topLinePunct/>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工期：</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个月</w:t>
      </w:r>
      <w:r>
        <w:rPr>
          <w:rFonts w:ascii="华文隶书" w:hAnsi="华文隶书" w:eastAsia="华文隶书" w:cs="华文隶书"/>
          <w:color w:val="auto"/>
          <w:sz w:val="24"/>
          <w:szCs w:val="24"/>
          <w:lang w:eastAsia="zh-CN"/>
        </w:rPr>
        <w:t>（或日历天）</w:t>
      </w:r>
      <w:r>
        <w:rPr>
          <w:rFonts w:ascii="宋体" w:hAnsi="宋体" w:eastAsia="宋体" w:cs="宋体"/>
          <w:color w:val="auto"/>
          <w:sz w:val="24"/>
          <w:szCs w:val="24"/>
          <w:lang w:eastAsia="zh-CN"/>
        </w:rPr>
        <w:t>。</w:t>
      </w:r>
    </w:p>
    <w:p w14:paraId="6477FA6C">
      <w:pPr>
        <w:widowControl w:val="0"/>
        <w:kinsoku/>
        <w:wordWrap w:val="0"/>
        <w:topLinePunct/>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工程质量：符合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标准。</w:t>
      </w:r>
    </w:p>
    <w:p w14:paraId="69CEE27D">
      <w:pPr>
        <w:widowControl w:val="0"/>
        <w:kinsoku/>
        <w:wordWrap w:val="0"/>
        <w:topLinePunct/>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项目负责人：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姓名</w:t>
      </w:r>
      <w:r>
        <w:rPr>
          <w:rFonts w:ascii="宋体" w:hAnsi="宋体" w:eastAsia="宋体" w:cs="宋体"/>
          <w:color w:val="auto"/>
          <w:sz w:val="24"/>
          <w:szCs w:val="24"/>
          <w:lang w:eastAsia="zh-CN"/>
        </w:rPr>
        <w:t>），身份证号码</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p>
    <w:p w14:paraId="40D3CCC5">
      <w:pPr>
        <w:widowControl w:val="0"/>
        <w:kinsoku/>
        <w:wordWrap w:val="0"/>
        <w:topLinePunct/>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技术负责人：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姓名</w:t>
      </w:r>
      <w:r>
        <w:rPr>
          <w:rFonts w:ascii="宋体" w:hAnsi="宋体" w:eastAsia="宋体" w:cs="宋体"/>
          <w:color w:val="auto"/>
          <w:sz w:val="24"/>
          <w:szCs w:val="24"/>
          <w:lang w:eastAsia="zh-CN"/>
        </w:rPr>
        <w:t>），身份证号码</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p>
    <w:p w14:paraId="186388F8">
      <w:pPr>
        <w:widowControl w:val="0"/>
        <w:kinsoku/>
        <w:wordWrap w:val="0"/>
        <w:topLinePunct/>
        <w:autoSpaceDE/>
        <w:autoSpaceDN/>
        <w:spacing w:line="520" w:lineRule="exact"/>
        <w:ind w:firstLine="480" w:firstLineChars="200"/>
        <w:rPr>
          <w:rFonts w:hint="eastAsia" w:ascii="宋体" w:hAnsi="宋体" w:eastAsia="宋体" w:cs="宋体"/>
          <w:strike/>
          <w:color w:val="auto"/>
          <w:sz w:val="24"/>
          <w:szCs w:val="24"/>
          <w:lang w:eastAsia="zh-CN"/>
        </w:rPr>
      </w:pPr>
      <w:r>
        <w:rPr>
          <w:rFonts w:ascii="宋体" w:hAnsi="宋体" w:eastAsia="宋体" w:cs="宋体"/>
          <w:strike/>
          <w:color w:val="auto"/>
          <w:sz w:val="24"/>
          <w:szCs w:val="24"/>
          <w:lang w:eastAsia="zh-CN"/>
        </w:rPr>
        <w:t>副项目负责人：</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w:t>
      </w:r>
      <w:r>
        <w:rPr>
          <w:rFonts w:ascii="宋体" w:hAnsi="宋体" w:eastAsia="宋体" w:cs="宋体"/>
          <w:i/>
          <w:iCs/>
          <w:strike/>
          <w:color w:val="auto"/>
          <w:sz w:val="25"/>
          <w:szCs w:val="25"/>
          <w:lang w:eastAsia="zh-CN"/>
        </w:rPr>
        <w:t>姓名</w:t>
      </w:r>
      <w:r>
        <w:rPr>
          <w:rFonts w:ascii="宋体" w:hAnsi="宋体" w:eastAsia="宋体" w:cs="宋体"/>
          <w:strike/>
          <w:color w:val="auto"/>
          <w:sz w:val="24"/>
          <w:szCs w:val="24"/>
          <w:lang w:eastAsia="zh-CN"/>
        </w:rPr>
        <w:t>），身份证号码</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w:t>
      </w:r>
    </w:p>
    <w:p w14:paraId="3D8A5F0C">
      <w:pPr>
        <w:widowControl w:val="0"/>
        <w:kinsoku/>
        <w:wordWrap w:val="0"/>
        <w:topLinePunct/>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请你方在接到本通知书后的</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日内到</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详细地址</w:t>
      </w:r>
      <w:r>
        <w:rPr>
          <w:rFonts w:ascii="宋体" w:hAnsi="宋体" w:eastAsia="宋体" w:cs="宋体"/>
          <w:color w:val="auto"/>
          <w:sz w:val="24"/>
          <w:szCs w:val="24"/>
          <w:lang w:eastAsia="zh-CN"/>
        </w:rPr>
        <w:t>）与我方签订施工合同协议书，在此之前按招标文件第</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章投标人须知第</w:t>
      </w:r>
      <w:r>
        <w:rPr>
          <w:rFonts w:ascii="Times New Roman" w:hAnsi="Times New Roman" w:eastAsia="Times New Roman" w:cs="Times New Roman"/>
          <w:color w:val="auto"/>
          <w:sz w:val="24"/>
          <w:szCs w:val="24"/>
          <w:lang w:eastAsia="zh-CN"/>
        </w:rPr>
        <w:t>7.3</w:t>
      </w:r>
      <w:r>
        <w:rPr>
          <w:rFonts w:ascii="宋体" w:hAnsi="宋体" w:eastAsia="宋体" w:cs="宋体"/>
          <w:color w:val="auto"/>
          <w:sz w:val="24"/>
          <w:szCs w:val="24"/>
          <w:lang w:eastAsia="zh-CN"/>
        </w:rPr>
        <w:t>条规定向我方提交履约担保。</w:t>
      </w:r>
    </w:p>
    <w:p w14:paraId="006D17BF">
      <w:pPr>
        <w:widowControl w:val="0"/>
        <w:kinsoku/>
        <w:wordWrap w:val="0"/>
        <w:topLinePunct/>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特此通知。</w:t>
      </w:r>
    </w:p>
    <w:p w14:paraId="74349954">
      <w:pPr>
        <w:pStyle w:val="8"/>
        <w:widowControl w:val="0"/>
        <w:kinsoku/>
        <w:wordWrap w:val="0"/>
        <w:topLinePunct/>
        <w:autoSpaceDE/>
        <w:autoSpaceDN/>
        <w:spacing w:line="520" w:lineRule="exact"/>
        <w:ind w:firstLine="420" w:firstLineChars="200"/>
        <w:rPr>
          <w:color w:val="auto"/>
          <w:lang w:eastAsia="zh-CN"/>
        </w:rPr>
      </w:pPr>
    </w:p>
    <w:p w14:paraId="20EB2C65">
      <w:pPr>
        <w:pStyle w:val="8"/>
        <w:widowControl w:val="0"/>
        <w:kinsoku/>
        <w:wordWrap w:val="0"/>
        <w:topLinePunct/>
        <w:autoSpaceDE/>
        <w:autoSpaceDN/>
        <w:spacing w:line="520" w:lineRule="exact"/>
        <w:ind w:firstLine="420" w:firstLineChars="200"/>
        <w:rPr>
          <w:color w:val="auto"/>
          <w:lang w:eastAsia="zh-CN"/>
        </w:rPr>
      </w:pPr>
    </w:p>
    <w:p w14:paraId="7912EDE3">
      <w:pPr>
        <w:pStyle w:val="8"/>
        <w:spacing w:line="520" w:lineRule="exact"/>
        <w:rPr>
          <w:color w:val="auto"/>
          <w:lang w:eastAsia="zh-CN"/>
        </w:rPr>
      </w:pPr>
    </w:p>
    <w:p w14:paraId="663D1D71">
      <w:pPr>
        <w:pStyle w:val="8"/>
        <w:spacing w:line="520" w:lineRule="exact"/>
        <w:rPr>
          <w:color w:val="auto"/>
          <w:lang w:eastAsia="zh-CN"/>
        </w:rPr>
      </w:pPr>
    </w:p>
    <w:p w14:paraId="519F5B2E">
      <w:pPr>
        <w:pStyle w:val="8"/>
        <w:spacing w:line="250" w:lineRule="auto"/>
        <w:rPr>
          <w:color w:val="auto"/>
          <w:lang w:eastAsia="zh-CN"/>
        </w:rPr>
      </w:pPr>
    </w:p>
    <w:p w14:paraId="6979D976">
      <w:pPr>
        <w:pStyle w:val="8"/>
        <w:spacing w:line="250" w:lineRule="auto"/>
        <w:rPr>
          <w:color w:val="auto"/>
          <w:lang w:eastAsia="zh-CN"/>
        </w:rPr>
      </w:pPr>
    </w:p>
    <w:p w14:paraId="02987756">
      <w:pPr>
        <w:pStyle w:val="8"/>
        <w:spacing w:line="250" w:lineRule="auto"/>
        <w:rPr>
          <w:color w:val="auto"/>
          <w:lang w:eastAsia="zh-CN"/>
        </w:rPr>
      </w:pPr>
    </w:p>
    <w:p w14:paraId="2E26CE33">
      <w:pPr>
        <w:spacing w:before="78" w:line="219" w:lineRule="auto"/>
        <w:ind w:left="361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招标人：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（盖单位公章）</w:t>
      </w:r>
    </w:p>
    <w:p w14:paraId="21C13799">
      <w:pPr>
        <w:tabs>
          <w:tab w:val="left" w:pos="5760"/>
        </w:tabs>
        <w:spacing w:before="182" w:line="362" w:lineRule="auto"/>
        <w:ind w:left="5039" w:right="312" w:hanging="1429"/>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法定代表人：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（签字或盖章）</w:t>
      </w:r>
    </w:p>
    <w:p w14:paraId="0C7EB47D">
      <w:pPr>
        <w:tabs>
          <w:tab w:val="left" w:pos="5760"/>
        </w:tabs>
        <w:spacing w:before="182" w:line="363" w:lineRule="auto"/>
        <w:ind w:left="5607" w:right="312" w:hanging="1429"/>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p>
    <w:p w14:paraId="73DED2F5">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46500002">
      <w:pPr>
        <w:spacing w:before="56" w:line="219" w:lineRule="auto"/>
        <w:ind w:left="32"/>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附件六：</w:t>
      </w:r>
    </w:p>
    <w:p w14:paraId="061D2213">
      <w:pPr>
        <w:pStyle w:val="8"/>
        <w:spacing w:line="520" w:lineRule="exact"/>
        <w:rPr>
          <w:color w:val="auto"/>
          <w:lang w:eastAsia="zh-CN"/>
        </w:rPr>
      </w:pPr>
    </w:p>
    <w:p w14:paraId="26B0E21C">
      <w:pPr>
        <w:pStyle w:val="8"/>
        <w:spacing w:line="520" w:lineRule="exact"/>
        <w:rPr>
          <w:color w:val="auto"/>
          <w:lang w:eastAsia="zh-CN"/>
        </w:rPr>
      </w:pPr>
    </w:p>
    <w:p w14:paraId="6ADF1048">
      <w:pPr>
        <w:spacing w:line="520" w:lineRule="exact"/>
        <w:jc w:val="center"/>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中标结果通知书</w:t>
      </w:r>
    </w:p>
    <w:p w14:paraId="0A807845">
      <w:pPr>
        <w:spacing w:line="520" w:lineRule="exact"/>
        <w:jc w:val="cente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编号：</w:t>
      </w:r>
    </w:p>
    <w:p w14:paraId="7D92A7EF">
      <w:pPr>
        <w:tabs>
          <w:tab w:val="left" w:pos="2520"/>
        </w:tabs>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（未中标人名称）：</w:t>
      </w:r>
    </w:p>
    <w:p w14:paraId="7E4176DA">
      <w:pPr>
        <w:spacing w:line="520" w:lineRule="exact"/>
        <w:ind w:left="9" w:firstLine="481"/>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我方已接受</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中标人名称</w:t>
      </w:r>
      <w:r>
        <w:rPr>
          <w:rFonts w:ascii="宋体" w:hAnsi="宋体" w:eastAsia="宋体" w:cs="宋体"/>
          <w:color w:val="auto"/>
          <w:sz w:val="24"/>
          <w:szCs w:val="24"/>
          <w:lang w:eastAsia="zh-CN"/>
        </w:rPr>
        <w:t>）于</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投标日期</w:t>
      </w:r>
      <w:r>
        <w:rPr>
          <w:rFonts w:ascii="宋体" w:hAnsi="宋体" w:eastAsia="宋体" w:cs="宋体"/>
          <w:color w:val="auto"/>
          <w:sz w:val="24"/>
          <w:szCs w:val="24"/>
          <w:lang w:eastAsia="zh-CN"/>
        </w:rPr>
        <w:t>）所递交的</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标段名称</w:t>
      </w:r>
      <w:r>
        <w:rPr>
          <w:rFonts w:ascii="宋体" w:hAnsi="宋体" w:eastAsia="宋体" w:cs="宋体"/>
          <w:color w:val="auto"/>
          <w:sz w:val="24"/>
          <w:szCs w:val="24"/>
          <w:lang w:eastAsia="zh-CN"/>
        </w:rPr>
        <w:t>）投标文件，确定</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中标人名称</w:t>
      </w:r>
      <w:r>
        <w:rPr>
          <w:rFonts w:ascii="宋体" w:hAnsi="宋体" w:eastAsia="宋体" w:cs="宋体"/>
          <w:color w:val="auto"/>
          <w:sz w:val="24"/>
          <w:szCs w:val="24"/>
          <w:lang w:eastAsia="zh-CN"/>
        </w:rPr>
        <w:t>）为中标人。</w:t>
      </w:r>
    </w:p>
    <w:p w14:paraId="3079934A">
      <w:pPr>
        <w:pStyle w:val="8"/>
        <w:spacing w:line="520" w:lineRule="exact"/>
        <w:rPr>
          <w:color w:val="auto"/>
          <w:lang w:eastAsia="zh-CN"/>
        </w:rPr>
      </w:pPr>
    </w:p>
    <w:p w14:paraId="43144EBB">
      <w:pPr>
        <w:spacing w:line="520" w:lineRule="exact"/>
        <w:ind w:left="490"/>
        <w:rPr>
          <w:rFonts w:ascii="Times New Roman" w:hAnsi="Times New Roman" w:eastAsia="Times New Roman" w:cs="Times New Roman"/>
          <w:color w:val="auto"/>
          <w:sz w:val="24"/>
          <w:szCs w:val="24"/>
          <w:lang w:eastAsia="zh-CN"/>
        </w:rPr>
      </w:pPr>
      <w:r>
        <w:rPr>
          <w:rFonts w:ascii="宋体" w:hAnsi="宋体" w:eastAsia="宋体" w:cs="宋体"/>
          <w:color w:val="auto"/>
          <w:sz w:val="24"/>
          <w:szCs w:val="24"/>
          <w:lang w:eastAsia="zh-CN"/>
        </w:rPr>
        <w:t>感谢你单位对我方工作的大力支持</w:t>
      </w:r>
      <w:r>
        <w:rPr>
          <w:rFonts w:ascii="Times New Roman" w:hAnsi="Times New Roman" w:eastAsia="Times New Roman" w:cs="Times New Roman"/>
          <w:color w:val="auto"/>
          <w:sz w:val="24"/>
          <w:szCs w:val="24"/>
          <w:lang w:eastAsia="zh-CN"/>
        </w:rPr>
        <w:t>!</w:t>
      </w:r>
    </w:p>
    <w:p w14:paraId="7D1D3565">
      <w:pPr>
        <w:pStyle w:val="8"/>
        <w:spacing w:line="520" w:lineRule="exact"/>
        <w:rPr>
          <w:color w:val="auto"/>
          <w:lang w:eastAsia="zh-CN"/>
        </w:rPr>
      </w:pPr>
    </w:p>
    <w:p w14:paraId="64965F3F">
      <w:pPr>
        <w:pStyle w:val="8"/>
        <w:spacing w:line="520" w:lineRule="exact"/>
        <w:rPr>
          <w:color w:val="auto"/>
          <w:lang w:eastAsia="zh-CN"/>
        </w:rPr>
      </w:pPr>
    </w:p>
    <w:p w14:paraId="77D0E1F4">
      <w:pPr>
        <w:pStyle w:val="8"/>
        <w:spacing w:line="520" w:lineRule="exact"/>
        <w:rPr>
          <w:color w:val="auto"/>
          <w:lang w:eastAsia="zh-CN"/>
        </w:rPr>
      </w:pPr>
    </w:p>
    <w:p w14:paraId="23794754">
      <w:pPr>
        <w:pStyle w:val="8"/>
        <w:spacing w:line="520" w:lineRule="exact"/>
        <w:rPr>
          <w:color w:val="auto"/>
          <w:lang w:eastAsia="zh-CN"/>
        </w:rPr>
      </w:pPr>
    </w:p>
    <w:p w14:paraId="7EB21463">
      <w:pPr>
        <w:pStyle w:val="8"/>
        <w:spacing w:line="520" w:lineRule="exact"/>
        <w:rPr>
          <w:color w:val="auto"/>
          <w:lang w:eastAsia="zh-CN"/>
        </w:rPr>
      </w:pPr>
    </w:p>
    <w:p w14:paraId="10C526FC">
      <w:pPr>
        <w:spacing w:line="520" w:lineRule="exact"/>
        <w:ind w:left="361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招标人：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（盖单位公章）</w:t>
      </w:r>
    </w:p>
    <w:p w14:paraId="76753F53">
      <w:pPr>
        <w:tabs>
          <w:tab w:val="left" w:pos="5760"/>
        </w:tabs>
        <w:spacing w:line="520" w:lineRule="exact"/>
        <w:ind w:left="5039" w:right="351" w:hanging="1429"/>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法定代表人：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（签字或盖章）</w:t>
      </w:r>
    </w:p>
    <w:p w14:paraId="0B0B52AF">
      <w:pPr>
        <w:tabs>
          <w:tab w:val="left" w:pos="5760"/>
        </w:tabs>
        <w:spacing w:line="520" w:lineRule="exact"/>
        <w:ind w:left="5681" w:right="351" w:hanging="1429"/>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p>
    <w:p w14:paraId="4C6FBD0B">
      <w:pPr>
        <w:spacing w:line="520" w:lineRule="exact"/>
        <w:rPr>
          <w:rFonts w:hint="eastAsia" w:ascii="宋体" w:hAnsi="宋体" w:eastAsia="宋体" w:cs="宋体"/>
          <w:color w:val="auto"/>
          <w:sz w:val="24"/>
          <w:szCs w:val="24"/>
          <w:lang w:eastAsia="zh-CN"/>
        </w:rPr>
        <w:sectPr>
          <w:footerReference r:id="rId5" w:type="default"/>
          <w:pgSz w:w="11907" w:h="16841"/>
          <w:pgMar w:top="1425" w:right="1462" w:bottom="1254" w:left="1588" w:header="0" w:footer="1093" w:gutter="0"/>
          <w:pgNumType w:fmt="numberInDash" w:start="1"/>
          <w:cols w:space="720" w:num="1"/>
        </w:sectPr>
      </w:pPr>
    </w:p>
    <w:p w14:paraId="75B4350C">
      <w:pPr>
        <w:widowControl w:val="0"/>
        <w:kinsoku/>
        <w:topLinePunct/>
        <w:autoSpaceDE/>
        <w:autoSpaceDN/>
        <w:spacing w:line="560" w:lineRule="exact"/>
        <w:jc w:val="center"/>
        <w:outlineLvl w:val="0"/>
        <w:rPr>
          <w:rFonts w:hint="eastAsia" w:ascii="宋体" w:hAnsi="宋体" w:eastAsia="宋体" w:cs="宋体"/>
          <w:b/>
          <w:bCs/>
          <w:color w:val="auto"/>
          <w:sz w:val="36"/>
          <w:szCs w:val="36"/>
          <w:lang w:eastAsia="zh-CN"/>
        </w:rPr>
      </w:pPr>
      <w:bookmarkStart w:id="403" w:name="bookmark90"/>
      <w:bookmarkEnd w:id="403"/>
      <w:bookmarkStart w:id="404" w:name="bookmark89"/>
      <w:bookmarkEnd w:id="404"/>
      <w:bookmarkStart w:id="405" w:name="bookmark91"/>
      <w:bookmarkEnd w:id="405"/>
      <w:bookmarkStart w:id="406" w:name="_Toc389"/>
      <w:bookmarkStart w:id="407" w:name="_Toc30180"/>
      <w:bookmarkStart w:id="408" w:name="_Toc31103"/>
      <w:bookmarkStart w:id="409" w:name="_Toc24062"/>
      <w:r>
        <w:rPr>
          <w:rFonts w:ascii="宋体" w:hAnsi="宋体" w:eastAsia="宋体" w:cs="宋体"/>
          <w:b/>
          <w:bCs/>
          <w:color w:val="auto"/>
          <w:sz w:val="36"/>
          <w:szCs w:val="36"/>
          <w:lang w:eastAsia="zh-CN"/>
        </w:rPr>
        <w:t>第三章</w:t>
      </w:r>
      <w:r>
        <w:rPr>
          <w:rFonts w:hint="eastAsia" w:ascii="宋体" w:hAnsi="宋体" w:eastAsia="宋体" w:cs="宋体"/>
          <w:b/>
          <w:bCs/>
          <w:color w:val="auto"/>
          <w:sz w:val="36"/>
          <w:szCs w:val="36"/>
          <w:lang w:eastAsia="zh-CN"/>
        </w:rPr>
        <w:t>　</w:t>
      </w:r>
      <w:r>
        <w:rPr>
          <w:rFonts w:ascii="宋体" w:hAnsi="宋体" w:eastAsia="宋体" w:cs="宋体"/>
          <w:b/>
          <w:bCs/>
          <w:color w:val="auto"/>
          <w:sz w:val="36"/>
          <w:szCs w:val="36"/>
          <w:lang w:eastAsia="zh-CN"/>
        </w:rPr>
        <w:t>评标定标办法（综合评估法）</w:t>
      </w:r>
      <w:bookmarkEnd w:id="406"/>
      <w:bookmarkEnd w:id="407"/>
      <w:bookmarkEnd w:id="408"/>
      <w:bookmarkEnd w:id="409"/>
    </w:p>
    <w:p w14:paraId="1D63F656">
      <w:pPr>
        <w:widowControl w:val="0"/>
        <w:kinsoku/>
        <w:topLinePunct/>
        <w:autoSpaceDE/>
        <w:autoSpaceDN/>
        <w:spacing w:line="560" w:lineRule="exact"/>
        <w:jc w:val="center"/>
        <w:outlineLvl w:val="1"/>
        <w:rPr>
          <w:rFonts w:hint="eastAsia" w:ascii="宋体" w:hAnsi="宋体" w:eastAsia="宋体" w:cs="宋体"/>
          <w:color w:val="auto"/>
          <w:sz w:val="31"/>
          <w:szCs w:val="31"/>
          <w:lang w:eastAsia="zh-CN"/>
        </w:rPr>
      </w:pPr>
      <w:bookmarkStart w:id="410" w:name="bookmark674"/>
      <w:bookmarkEnd w:id="410"/>
      <w:bookmarkStart w:id="411" w:name="_Toc7669"/>
      <w:bookmarkStart w:id="412" w:name="_Toc15210"/>
      <w:bookmarkStart w:id="413" w:name="_Toc29397"/>
      <w:bookmarkStart w:id="414" w:name="_Toc9645"/>
      <w:r>
        <w:rPr>
          <w:rFonts w:ascii="宋体" w:hAnsi="宋体" w:eastAsia="宋体" w:cs="宋体"/>
          <w:b/>
          <w:bCs/>
          <w:color w:val="auto"/>
          <w:sz w:val="31"/>
          <w:szCs w:val="31"/>
          <w:lang w:eastAsia="zh-CN"/>
        </w:rPr>
        <w:t>第</w:t>
      </w:r>
      <w:r>
        <w:rPr>
          <w:rFonts w:ascii="Times New Roman" w:hAnsi="Times New Roman" w:eastAsia="Times New Roman" w:cs="Times New Roman"/>
          <w:b/>
          <w:bCs/>
          <w:color w:val="auto"/>
          <w:sz w:val="31"/>
          <w:szCs w:val="31"/>
          <w:lang w:eastAsia="zh-CN"/>
        </w:rPr>
        <w:t>1</w:t>
      </w:r>
      <w:r>
        <w:rPr>
          <w:rFonts w:ascii="宋体" w:hAnsi="宋体" w:eastAsia="宋体" w:cs="宋体"/>
          <w:b/>
          <w:bCs/>
          <w:color w:val="auto"/>
          <w:sz w:val="31"/>
          <w:szCs w:val="31"/>
          <w:lang w:eastAsia="zh-CN"/>
        </w:rPr>
        <w:t>节</w:t>
      </w:r>
      <w:r>
        <w:rPr>
          <w:rFonts w:hint="eastAsia" w:ascii="宋体" w:hAnsi="宋体" w:eastAsia="宋体" w:cs="宋体"/>
          <w:b/>
          <w:bCs/>
          <w:color w:val="auto"/>
          <w:sz w:val="31"/>
          <w:szCs w:val="31"/>
          <w:lang w:eastAsia="zh-CN"/>
        </w:rPr>
        <w:t>　</w:t>
      </w:r>
      <w:r>
        <w:rPr>
          <w:rFonts w:ascii="宋体" w:hAnsi="宋体" w:eastAsia="宋体" w:cs="宋体"/>
          <w:b/>
          <w:bCs/>
          <w:color w:val="auto"/>
          <w:sz w:val="31"/>
          <w:szCs w:val="31"/>
          <w:lang w:eastAsia="zh-CN"/>
        </w:rPr>
        <w:t>评标办法</w:t>
      </w:r>
      <w:bookmarkEnd w:id="411"/>
      <w:bookmarkEnd w:id="412"/>
      <w:bookmarkEnd w:id="413"/>
      <w:bookmarkEnd w:id="414"/>
    </w:p>
    <w:p w14:paraId="1EEE0727">
      <w:pPr>
        <w:widowControl w:val="0"/>
        <w:kinsoku/>
        <w:topLinePunct/>
        <w:autoSpaceDE/>
        <w:autoSpaceDN/>
        <w:spacing w:line="560" w:lineRule="exact"/>
        <w:jc w:val="center"/>
        <w:outlineLvl w:val="1"/>
        <w:rPr>
          <w:rFonts w:hint="eastAsia" w:ascii="宋体" w:hAnsi="宋体" w:eastAsia="宋体" w:cs="宋体"/>
          <w:color w:val="auto"/>
          <w:sz w:val="28"/>
          <w:szCs w:val="28"/>
          <w:lang w:eastAsia="zh-CN"/>
        </w:rPr>
      </w:pPr>
      <w:bookmarkStart w:id="415" w:name="bookmark675"/>
      <w:bookmarkEnd w:id="415"/>
      <w:bookmarkStart w:id="416" w:name="_Toc561"/>
      <w:bookmarkStart w:id="417" w:name="_Toc25334"/>
      <w:bookmarkStart w:id="418" w:name="_Toc15924"/>
      <w:bookmarkStart w:id="419" w:name="_Toc18443"/>
      <w:r>
        <w:rPr>
          <w:rFonts w:ascii="宋体" w:hAnsi="宋体" w:eastAsia="宋体" w:cs="宋体"/>
          <w:b/>
          <w:bCs/>
          <w:color w:val="auto"/>
          <w:sz w:val="28"/>
          <w:szCs w:val="28"/>
          <w:lang w:eastAsia="zh-CN"/>
        </w:rPr>
        <w:t>方法二：技术打分制的综合评估法</w:t>
      </w:r>
      <w:bookmarkEnd w:id="416"/>
      <w:bookmarkEnd w:id="417"/>
      <w:bookmarkEnd w:id="418"/>
      <w:bookmarkEnd w:id="419"/>
    </w:p>
    <w:p w14:paraId="2C9528B4">
      <w:pPr>
        <w:pStyle w:val="8"/>
        <w:widowControl w:val="0"/>
        <w:kinsoku/>
        <w:topLinePunct/>
        <w:autoSpaceDE/>
        <w:autoSpaceDN/>
        <w:spacing w:line="520" w:lineRule="exact"/>
        <w:ind w:firstLine="420" w:firstLineChars="200"/>
        <w:jc w:val="both"/>
        <w:rPr>
          <w:color w:val="auto"/>
          <w:lang w:eastAsia="zh-CN"/>
        </w:rPr>
      </w:pPr>
    </w:p>
    <w:p w14:paraId="71474A71">
      <w:pPr>
        <w:widowControl w:val="0"/>
        <w:kinsoku/>
        <w:topLinePunct/>
        <w:autoSpaceDE/>
        <w:autoSpaceDN/>
        <w:spacing w:line="520" w:lineRule="exact"/>
        <w:jc w:val="both"/>
        <w:outlineLvl w:val="2"/>
        <w:rPr>
          <w:rFonts w:hint="eastAsia" w:ascii="宋体" w:hAnsi="宋体" w:eastAsia="宋体" w:cs="宋体"/>
          <w:color w:val="auto"/>
          <w:sz w:val="28"/>
          <w:szCs w:val="28"/>
          <w:lang w:eastAsia="zh-CN"/>
        </w:rPr>
      </w:pPr>
      <w:bookmarkStart w:id="420" w:name="bookmark677"/>
      <w:bookmarkEnd w:id="420"/>
      <w:bookmarkStart w:id="421" w:name="_Toc28651"/>
      <w:bookmarkStart w:id="422" w:name="_Toc25101"/>
      <w:bookmarkStart w:id="423" w:name="_Toc24215"/>
      <w:bookmarkStart w:id="424" w:name="_Toc19753"/>
      <w:r>
        <w:rPr>
          <w:rFonts w:ascii="Times New Roman" w:hAnsi="Times New Roman" w:eastAsia="Times New Roman" w:cs="Times New Roman"/>
          <w:b/>
          <w:bCs/>
          <w:color w:val="auto"/>
          <w:sz w:val="28"/>
          <w:szCs w:val="28"/>
          <w:lang w:eastAsia="zh-CN"/>
        </w:rPr>
        <w:t>1</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依据</w:t>
      </w:r>
      <w:bookmarkEnd w:id="421"/>
      <w:bookmarkEnd w:id="422"/>
      <w:bookmarkEnd w:id="423"/>
      <w:bookmarkEnd w:id="424"/>
    </w:p>
    <w:p w14:paraId="56FFD5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为规范招标的评标工作，根据《中华人民共和国招标投标法》、《中华人民共和国招标投标法实施条例》、《评标委员会和评标办法暂行规定》（原国家发展计划委员会等七部委令第</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号）、《工程建设项目施工招标投标办法》（原国家发展计划委员会等七部委令第</w:t>
      </w:r>
      <w:r>
        <w:rPr>
          <w:rFonts w:ascii="Times New Roman" w:hAnsi="Times New Roman" w:eastAsia="Times New Roman" w:cs="Times New Roman"/>
          <w:color w:val="auto"/>
          <w:sz w:val="24"/>
          <w:szCs w:val="24"/>
          <w:lang w:eastAsia="zh-CN"/>
        </w:rPr>
        <w:t>30</w:t>
      </w:r>
      <w:r>
        <w:rPr>
          <w:rFonts w:ascii="宋体" w:hAnsi="宋体" w:eastAsia="宋体" w:cs="宋体"/>
          <w:color w:val="auto"/>
          <w:sz w:val="24"/>
          <w:szCs w:val="24"/>
          <w:lang w:eastAsia="zh-CN"/>
        </w:rPr>
        <w:t>号）、《关于废止和修改部分招标投标规章和规范性文件的决定》（九部委第</w:t>
      </w:r>
      <w:r>
        <w:rPr>
          <w:rFonts w:ascii="Times New Roman" w:hAnsi="Times New Roman" w:eastAsia="Times New Roman" w:cs="Times New Roman"/>
          <w:color w:val="auto"/>
          <w:sz w:val="24"/>
          <w:szCs w:val="24"/>
          <w:lang w:eastAsia="zh-CN"/>
        </w:rPr>
        <w:t>23</w:t>
      </w:r>
      <w:r>
        <w:rPr>
          <w:rFonts w:ascii="宋体" w:hAnsi="宋体" w:eastAsia="宋体" w:cs="宋体"/>
          <w:color w:val="auto"/>
          <w:sz w:val="24"/>
          <w:szCs w:val="24"/>
          <w:lang w:eastAsia="zh-CN"/>
        </w:rPr>
        <w:t>号令）等有关的法律、法规和规章制度规定，制定本办法。</w:t>
      </w:r>
    </w:p>
    <w:p w14:paraId="2F9E15D7">
      <w:pPr>
        <w:widowControl w:val="0"/>
        <w:kinsoku/>
        <w:topLinePunct/>
        <w:autoSpaceDE/>
        <w:autoSpaceDN/>
        <w:spacing w:line="520" w:lineRule="exact"/>
        <w:jc w:val="both"/>
        <w:outlineLvl w:val="2"/>
        <w:rPr>
          <w:rFonts w:hint="eastAsia" w:ascii="宋体" w:hAnsi="宋体" w:eastAsia="宋体" w:cs="宋体"/>
          <w:color w:val="auto"/>
          <w:sz w:val="28"/>
          <w:szCs w:val="28"/>
          <w:lang w:eastAsia="zh-CN"/>
        </w:rPr>
      </w:pPr>
      <w:bookmarkStart w:id="425" w:name="bookmark109"/>
      <w:bookmarkEnd w:id="425"/>
      <w:bookmarkStart w:id="426" w:name="_Toc23228"/>
      <w:bookmarkStart w:id="427" w:name="_Toc2720"/>
      <w:bookmarkStart w:id="428" w:name="_Toc22604"/>
      <w:bookmarkStart w:id="429" w:name="_Toc6577"/>
      <w:r>
        <w:rPr>
          <w:rFonts w:ascii="Times New Roman" w:hAnsi="Times New Roman" w:eastAsia="Times New Roman" w:cs="Times New Roman"/>
          <w:b/>
          <w:bCs/>
          <w:color w:val="auto"/>
          <w:sz w:val="28"/>
          <w:szCs w:val="28"/>
          <w:lang w:eastAsia="zh-CN"/>
        </w:rPr>
        <w:t>2</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评标原则</w:t>
      </w:r>
      <w:bookmarkEnd w:id="426"/>
      <w:bookmarkEnd w:id="427"/>
      <w:bookmarkEnd w:id="428"/>
      <w:bookmarkEnd w:id="429"/>
    </w:p>
    <w:p w14:paraId="5EB8AE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评标应遵循公平、公正、科学、择优的原则。</w:t>
      </w:r>
    </w:p>
    <w:p w14:paraId="6DFAE7FD">
      <w:pPr>
        <w:widowControl w:val="0"/>
        <w:kinsoku/>
        <w:topLinePunct/>
        <w:autoSpaceDE/>
        <w:autoSpaceDN/>
        <w:spacing w:line="520" w:lineRule="exact"/>
        <w:jc w:val="both"/>
        <w:outlineLvl w:val="2"/>
        <w:rPr>
          <w:rFonts w:hint="eastAsia" w:ascii="宋体" w:hAnsi="宋体" w:eastAsia="宋体" w:cs="宋体"/>
          <w:color w:val="auto"/>
          <w:sz w:val="28"/>
          <w:szCs w:val="28"/>
          <w:lang w:eastAsia="zh-CN"/>
        </w:rPr>
      </w:pPr>
      <w:bookmarkStart w:id="430" w:name="bookmark110"/>
      <w:bookmarkEnd w:id="430"/>
      <w:bookmarkStart w:id="431" w:name="_Toc32593"/>
      <w:bookmarkStart w:id="432" w:name="_Toc22553"/>
      <w:bookmarkStart w:id="433" w:name="_Toc11569"/>
      <w:bookmarkStart w:id="434" w:name="_Toc27728"/>
      <w:r>
        <w:rPr>
          <w:rFonts w:ascii="Times New Roman" w:hAnsi="Times New Roman" w:eastAsia="Times New Roman" w:cs="Times New Roman"/>
          <w:b/>
          <w:bCs/>
          <w:color w:val="auto"/>
          <w:sz w:val="28"/>
          <w:szCs w:val="28"/>
          <w:lang w:eastAsia="zh-CN"/>
        </w:rPr>
        <w:t>3</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评标组织</w:t>
      </w:r>
      <w:bookmarkEnd w:id="431"/>
      <w:bookmarkEnd w:id="432"/>
      <w:bookmarkEnd w:id="433"/>
      <w:bookmarkEnd w:id="434"/>
    </w:p>
    <w:p w14:paraId="4DA2D3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评标工作由招标人依法组建的评标委员会负责，评标委员会的组建办法详见投标人须知前附表。</w:t>
      </w:r>
    </w:p>
    <w:p w14:paraId="7AAB6D25">
      <w:pPr>
        <w:widowControl w:val="0"/>
        <w:kinsoku/>
        <w:topLinePunct/>
        <w:autoSpaceDE/>
        <w:autoSpaceDN/>
        <w:spacing w:line="520" w:lineRule="exact"/>
        <w:jc w:val="both"/>
        <w:outlineLvl w:val="2"/>
        <w:rPr>
          <w:rFonts w:hint="eastAsia" w:ascii="宋体" w:hAnsi="宋体" w:eastAsia="宋体" w:cs="宋体"/>
          <w:color w:val="auto"/>
          <w:sz w:val="28"/>
          <w:szCs w:val="28"/>
          <w:lang w:eastAsia="zh-CN"/>
        </w:rPr>
      </w:pPr>
      <w:bookmarkStart w:id="435" w:name="bookmark112"/>
      <w:bookmarkEnd w:id="435"/>
      <w:bookmarkStart w:id="436" w:name="bookmark111"/>
      <w:bookmarkEnd w:id="436"/>
      <w:bookmarkStart w:id="437" w:name="_Toc18915"/>
      <w:bookmarkStart w:id="438" w:name="_Toc23628"/>
      <w:bookmarkStart w:id="439" w:name="_Toc3000"/>
      <w:bookmarkStart w:id="440" w:name="_Toc30255"/>
      <w:r>
        <w:rPr>
          <w:rFonts w:ascii="Times New Roman" w:hAnsi="Times New Roman" w:eastAsia="Times New Roman" w:cs="Times New Roman"/>
          <w:b/>
          <w:bCs/>
          <w:color w:val="auto"/>
          <w:sz w:val="28"/>
          <w:szCs w:val="28"/>
          <w:lang w:eastAsia="zh-CN"/>
        </w:rPr>
        <w:t>4</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评标程序和内容</w:t>
      </w:r>
      <w:bookmarkEnd w:id="437"/>
      <w:bookmarkEnd w:id="438"/>
      <w:bookmarkEnd w:id="439"/>
      <w:bookmarkEnd w:id="440"/>
    </w:p>
    <w:p w14:paraId="1D871549">
      <w:pPr>
        <w:widowControl w:val="0"/>
        <w:kinsoku/>
        <w:topLinePunct/>
        <w:autoSpaceDE/>
        <w:autoSpaceDN/>
        <w:spacing w:line="520" w:lineRule="exact"/>
        <w:ind w:firstLine="480" w:firstLineChars="200"/>
        <w:jc w:val="both"/>
        <w:outlineLvl w:val="3"/>
        <w:rPr>
          <w:rFonts w:hint="eastAsia" w:ascii="宋体" w:hAnsi="宋体" w:eastAsia="宋体" w:cs="宋体"/>
          <w:color w:val="auto"/>
          <w:sz w:val="24"/>
          <w:szCs w:val="24"/>
          <w:lang w:eastAsia="zh-CN"/>
        </w:rPr>
      </w:pPr>
      <w:bookmarkStart w:id="441" w:name="bookmark678"/>
      <w:bookmarkEnd w:id="441"/>
      <w:bookmarkStart w:id="442" w:name="_Toc16002"/>
      <w:r>
        <w:rPr>
          <w:rFonts w:ascii="Times New Roman" w:hAnsi="Times New Roman" w:eastAsia="Times New Roman" w:cs="Times New Roman"/>
          <w:b/>
          <w:bCs/>
          <w:color w:val="auto"/>
          <w:sz w:val="24"/>
          <w:szCs w:val="24"/>
          <w:lang w:eastAsia="zh-CN"/>
        </w:rPr>
        <w:t>4.1</w:t>
      </w:r>
      <w:r>
        <w:rPr>
          <w:rFonts w:hint="eastAsia" w:ascii="Times New Roman" w:hAnsi="Times New Roman" w:eastAsia="宋体" w:cs="Times New Roman"/>
          <w:b/>
          <w:bCs/>
          <w:color w:val="auto"/>
          <w:sz w:val="24"/>
          <w:szCs w:val="24"/>
          <w:lang w:eastAsia="zh-CN"/>
        </w:rPr>
        <w:t>　</w:t>
      </w:r>
      <w:r>
        <w:rPr>
          <w:rFonts w:ascii="宋体" w:hAnsi="宋体" w:eastAsia="宋体" w:cs="宋体"/>
          <w:b/>
          <w:bCs/>
          <w:color w:val="auto"/>
          <w:sz w:val="24"/>
          <w:szCs w:val="24"/>
          <w:lang w:eastAsia="zh-CN"/>
        </w:rPr>
        <w:t>评标的一般程序</w:t>
      </w:r>
      <w:bookmarkEnd w:id="442"/>
    </w:p>
    <w:p w14:paraId="62485A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）熟悉招标文件和评标办法。</w:t>
      </w:r>
    </w:p>
    <w:p w14:paraId="0CBC17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）投标文件的技术符合性审查。</w:t>
      </w:r>
    </w:p>
    <w:p w14:paraId="26E175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）投标文件的技术评审。</w:t>
      </w:r>
    </w:p>
    <w:p w14:paraId="3253C6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）投标文件的资信评审。</w:t>
      </w:r>
    </w:p>
    <w:p w14:paraId="52E628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）投标文件的商务符合性审查。</w:t>
      </w:r>
    </w:p>
    <w:p w14:paraId="62B352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）投标文件的商务评审。</w:t>
      </w:r>
    </w:p>
    <w:p w14:paraId="147121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）必要时对投标文件中的问题进行询标，拟作出否决投标决定前，应对相关投标人进行询问核实。</w:t>
      </w:r>
    </w:p>
    <w:p w14:paraId="530C5D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）推荐中标候选人。</w:t>
      </w:r>
    </w:p>
    <w:p w14:paraId="1C6B3F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）完成评标报告。</w:t>
      </w:r>
    </w:p>
    <w:p w14:paraId="596B4434">
      <w:pPr>
        <w:widowControl w:val="0"/>
        <w:kinsoku/>
        <w:topLinePunct/>
        <w:autoSpaceDE/>
        <w:autoSpaceDN/>
        <w:spacing w:line="520" w:lineRule="exact"/>
        <w:ind w:firstLine="480" w:firstLineChars="200"/>
        <w:jc w:val="both"/>
        <w:outlineLvl w:val="3"/>
        <w:rPr>
          <w:rFonts w:hint="eastAsia" w:ascii="宋体" w:hAnsi="宋体" w:eastAsia="宋体" w:cs="宋体"/>
          <w:color w:val="auto"/>
          <w:sz w:val="24"/>
          <w:szCs w:val="24"/>
          <w:lang w:eastAsia="zh-CN"/>
        </w:rPr>
      </w:pPr>
      <w:bookmarkStart w:id="443" w:name="bookmark113"/>
      <w:bookmarkEnd w:id="443"/>
      <w:bookmarkStart w:id="444" w:name="_Toc2766"/>
      <w:r>
        <w:rPr>
          <w:rFonts w:ascii="Times New Roman" w:hAnsi="Times New Roman" w:eastAsia="Times New Roman" w:cs="Times New Roman"/>
          <w:b/>
          <w:bCs/>
          <w:color w:val="auto"/>
          <w:sz w:val="24"/>
          <w:szCs w:val="24"/>
          <w:lang w:eastAsia="zh-CN"/>
        </w:rPr>
        <w:t>4.2</w:t>
      </w:r>
      <w:r>
        <w:rPr>
          <w:rFonts w:hint="eastAsia" w:ascii="Times New Roman" w:hAnsi="Times New Roman" w:eastAsia="宋体" w:cs="Times New Roman"/>
          <w:b/>
          <w:bCs/>
          <w:color w:val="auto"/>
          <w:sz w:val="24"/>
          <w:szCs w:val="24"/>
          <w:lang w:eastAsia="zh-CN"/>
        </w:rPr>
        <w:t>　</w:t>
      </w:r>
      <w:r>
        <w:rPr>
          <w:rFonts w:ascii="宋体" w:hAnsi="宋体" w:eastAsia="宋体" w:cs="宋体"/>
          <w:b/>
          <w:bCs/>
          <w:color w:val="auto"/>
          <w:sz w:val="24"/>
          <w:szCs w:val="24"/>
          <w:lang w:eastAsia="zh-CN"/>
        </w:rPr>
        <w:t>投标文件的技术符合性审查</w:t>
      </w:r>
      <w:bookmarkEnd w:id="444"/>
    </w:p>
    <w:p w14:paraId="032462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4.2.1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评标委员会应依照招标文件的要求和规定，首先对投标人的投标资格和投标文件进行技术符合性审查。技术符合性审查未通过的投标文件不再进入后续评审。</w:t>
      </w:r>
    </w:p>
    <w:p w14:paraId="25D6FF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4.2.2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投标人不得通过补充、修改或撤销投标文件中的内容使其成为实质性响应的投标。投标人在投标截止以后不得提交任何资料作为评标依据。</w:t>
      </w:r>
    </w:p>
    <w:p w14:paraId="440D64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4.2.3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投标文件如存在投标人须知前附表10.8 “1.技术符合性审查”情况之一的，由评标委员会全体成员按照少数服从多数的原则记名投票（不得弃权）认定，作为技术符合性审查未通过予以否决其投标，不再进行后续的评审。</w:t>
      </w:r>
    </w:p>
    <w:p w14:paraId="50E59FCE">
      <w:pPr>
        <w:widowControl w:val="0"/>
        <w:kinsoku/>
        <w:topLinePunct/>
        <w:autoSpaceDE/>
        <w:autoSpaceDN/>
        <w:spacing w:line="520" w:lineRule="exact"/>
        <w:ind w:firstLine="480" w:firstLineChars="200"/>
        <w:jc w:val="both"/>
        <w:outlineLvl w:val="3"/>
        <w:rPr>
          <w:rFonts w:hint="eastAsia" w:ascii="宋体" w:hAnsi="宋体" w:eastAsia="宋体" w:cs="宋体"/>
          <w:color w:val="auto"/>
          <w:sz w:val="24"/>
          <w:szCs w:val="24"/>
          <w:lang w:eastAsia="zh-CN"/>
        </w:rPr>
      </w:pPr>
      <w:bookmarkStart w:id="445" w:name="bookmark114"/>
      <w:bookmarkEnd w:id="445"/>
      <w:bookmarkStart w:id="446" w:name="_Toc28893"/>
      <w:r>
        <w:rPr>
          <w:rFonts w:ascii="Times New Roman" w:hAnsi="Times New Roman" w:eastAsia="Times New Roman" w:cs="Times New Roman"/>
          <w:b/>
          <w:bCs/>
          <w:color w:val="auto"/>
          <w:sz w:val="24"/>
          <w:szCs w:val="24"/>
          <w:lang w:eastAsia="zh-CN"/>
        </w:rPr>
        <w:t>4.3</w:t>
      </w:r>
      <w:r>
        <w:rPr>
          <w:rFonts w:hint="eastAsia" w:ascii="Times New Roman" w:hAnsi="Times New Roman" w:eastAsia="宋体" w:cs="Times New Roman"/>
          <w:b/>
          <w:bCs/>
          <w:color w:val="auto"/>
          <w:sz w:val="24"/>
          <w:szCs w:val="24"/>
          <w:lang w:eastAsia="zh-CN"/>
        </w:rPr>
        <w:t>　</w:t>
      </w:r>
      <w:r>
        <w:rPr>
          <w:rFonts w:ascii="宋体" w:hAnsi="宋体" w:eastAsia="宋体" w:cs="宋体"/>
          <w:b/>
          <w:bCs/>
          <w:color w:val="auto"/>
          <w:sz w:val="24"/>
          <w:szCs w:val="24"/>
          <w:lang w:eastAsia="zh-CN"/>
        </w:rPr>
        <w:t>投标文件的技术评审</w:t>
      </w:r>
      <w:bookmarkEnd w:id="446"/>
    </w:p>
    <w:p w14:paraId="143075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4.3.1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评标委员会应对通过技术符合性审查的投标文件进行技术评审。</w:t>
      </w:r>
    </w:p>
    <w:p w14:paraId="220B58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4.3.2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投标文件如存在投标人须知前附表10.8“2.技术评审”情况之一的，由评标委员会全体成员按照少数服从多数的原则记名投票（不得弃权）认定，作为技术评审不合格处理予以否决其投标，不再进行后续评审。</w:t>
      </w:r>
    </w:p>
    <w:p w14:paraId="285964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4.3.3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技术评审不合格的投标文件不再进入后续评审。</w:t>
      </w:r>
    </w:p>
    <w:p w14:paraId="08668C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4.3.4</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评标委员会对通过技术评审的投标文件进行技术评分，评标专家对投标文件的技术部分进行详细评审后采用记名方式各自评分，技术评分为全体评标专家评分（扣除一个最高和一个最低分）的算术平均值（保留</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位小数，四舍五入）。如某一份评分表的某一项评分，超过评分细则所规定的分值范围，则该份评分表无效。技术评分满分</w:t>
      </w:r>
      <w:r>
        <w:rPr>
          <w:rFonts w:hint="eastAsia" w:ascii="宋体" w:hAnsi="宋体" w:eastAsia="宋体" w:cs="宋体"/>
          <w:color w:val="auto"/>
          <w:sz w:val="24"/>
          <w:szCs w:val="24"/>
          <w:u w:val="single"/>
          <w:lang w:eastAsia="zh-CN"/>
        </w:rPr>
        <w:t>23.0</w:t>
      </w:r>
      <w:r>
        <w:rPr>
          <w:rFonts w:ascii="宋体" w:hAnsi="宋体" w:eastAsia="宋体" w:cs="宋体"/>
          <w:color w:val="auto"/>
          <w:sz w:val="24"/>
          <w:szCs w:val="24"/>
          <w:lang w:eastAsia="zh-CN"/>
        </w:rPr>
        <w:t>分</w:t>
      </w:r>
      <w:r>
        <w:rPr>
          <w:rFonts w:ascii="宋体" w:hAnsi="宋体" w:eastAsia="宋体" w:cs="宋体"/>
          <w:i/>
          <w:iCs/>
          <w:color w:val="auto"/>
          <w:sz w:val="25"/>
          <w:szCs w:val="25"/>
          <w:lang w:eastAsia="zh-CN"/>
        </w:rPr>
        <w:t>（</w:t>
      </w:r>
      <w:r>
        <w:rPr>
          <w:rFonts w:hint="eastAsia" w:ascii="宋体" w:hAnsi="宋体" w:eastAsia="宋体" w:cs="宋体"/>
          <w:i/>
          <w:iCs/>
          <w:color w:val="auto"/>
          <w:sz w:val="25"/>
          <w:szCs w:val="25"/>
          <w:lang w:eastAsia="zh-CN"/>
        </w:rPr>
        <w:t>与资信评分之和不得超过30分，且各分项最低得分不得低于分项最高得分的60%，缺项不受最低分限制按零分计</w:t>
      </w:r>
      <w:r>
        <w:rPr>
          <w:rFonts w:ascii="宋体" w:hAnsi="宋体" w:eastAsia="宋体" w:cs="宋体"/>
          <w:i/>
          <w:iCs/>
          <w:color w:val="auto"/>
          <w:sz w:val="25"/>
          <w:szCs w:val="25"/>
          <w:lang w:eastAsia="zh-CN"/>
        </w:rPr>
        <w:t>）</w:t>
      </w:r>
      <w:r>
        <w:rPr>
          <w:rFonts w:ascii="宋体" w:hAnsi="宋体" w:eastAsia="宋体" w:cs="宋体"/>
          <w:color w:val="auto"/>
          <w:sz w:val="24"/>
          <w:szCs w:val="24"/>
          <w:lang w:eastAsia="zh-CN"/>
        </w:rPr>
        <w:t>。</w:t>
      </w:r>
    </w:p>
    <w:p w14:paraId="6122B0D5">
      <w:pPr>
        <w:widowControl w:val="0"/>
        <w:kinsoku/>
        <w:topLinePunct/>
        <w:autoSpaceDE/>
        <w:autoSpaceDN/>
        <w:spacing w:line="520" w:lineRule="exact"/>
        <w:ind w:left="3559"/>
        <w:jc w:val="both"/>
        <w:rPr>
          <w:rFonts w:hint="eastAsia" w:ascii="宋体" w:hAnsi="宋体" w:eastAsia="宋体" w:cs="宋体"/>
          <w:color w:val="auto"/>
          <w:sz w:val="24"/>
          <w:szCs w:val="24"/>
        </w:rPr>
      </w:pPr>
      <w:r>
        <w:rPr>
          <w:rFonts w:ascii="宋体" w:hAnsi="宋体" w:eastAsia="宋体" w:cs="宋体"/>
          <w:b/>
          <w:bCs/>
          <w:color w:val="auto"/>
          <w:sz w:val="24"/>
          <w:szCs w:val="24"/>
        </w:rPr>
        <w:t>技术评分标准表</w:t>
      </w:r>
    </w:p>
    <w:tbl>
      <w:tblPr>
        <w:tblStyle w:val="20"/>
        <w:tblW w:w="8759"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7"/>
        <w:gridCol w:w="5800"/>
        <w:gridCol w:w="1133"/>
        <w:gridCol w:w="999"/>
      </w:tblGrid>
      <w:tr w14:paraId="33756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827" w:type="dxa"/>
            <w:vMerge w:val="restart"/>
            <w:tcBorders>
              <w:top w:val="single" w:color="000000" w:sz="6" w:space="0"/>
              <w:left w:val="single" w:color="000000" w:sz="6" w:space="0"/>
              <w:bottom w:val="nil"/>
            </w:tcBorders>
            <w:vAlign w:val="center"/>
          </w:tcPr>
          <w:p w14:paraId="0AE6C34F">
            <w:pPr>
              <w:pStyle w:val="21"/>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5800" w:type="dxa"/>
            <w:vMerge w:val="restart"/>
            <w:tcBorders>
              <w:top w:val="single" w:color="000000" w:sz="6" w:space="0"/>
              <w:bottom w:val="nil"/>
            </w:tcBorders>
            <w:vAlign w:val="center"/>
          </w:tcPr>
          <w:p w14:paraId="51DF5EB4">
            <w:pPr>
              <w:pStyle w:val="21"/>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内</w:t>
            </w:r>
            <w:r>
              <w:rPr>
                <w:rFonts w:hint="eastAsia" w:asciiTheme="minorEastAsia" w:hAnsiTheme="minorEastAsia" w:eastAsiaTheme="minorEastAsia" w:cstheme="minorEastAsia"/>
                <w:color w:val="auto"/>
                <w:sz w:val="24"/>
                <w:szCs w:val="24"/>
                <w:lang w:eastAsia="zh-CN"/>
              </w:rPr>
              <w:t>　</w:t>
            </w:r>
            <w:r>
              <w:rPr>
                <w:rFonts w:hint="eastAsia" w:asciiTheme="minorEastAsia" w:hAnsiTheme="minorEastAsia" w:eastAsiaTheme="minorEastAsia" w:cstheme="minorEastAsia"/>
                <w:color w:val="auto"/>
                <w:sz w:val="24"/>
                <w:szCs w:val="24"/>
              </w:rPr>
              <w:t>容</w:t>
            </w:r>
            <w:r>
              <w:rPr>
                <w:rFonts w:hint="eastAsia" w:asciiTheme="minorEastAsia" w:hAnsiTheme="minorEastAsia" w:eastAsiaTheme="minorEastAsia" w:cstheme="minorEastAsia"/>
                <w:color w:val="auto"/>
                <w:sz w:val="24"/>
                <w:szCs w:val="24"/>
                <w:lang w:eastAsia="zh-CN"/>
              </w:rPr>
              <w:t>　</w:t>
            </w:r>
            <w:r>
              <w:rPr>
                <w:rFonts w:hint="eastAsia" w:asciiTheme="minorEastAsia" w:hAnsiTheme="minorEastAsia" w:eastAsiaTheme="minorEastAsia" w:cstheme="minorEastAsia"/>
                <w:color w:val="auto"/>
                <w:sz w:val="24"/>
                <w:szCs w:val="24"/>
              </w:rPr>
              <w:t>要</w:t>
            </w:r>
            <w:r>
              <w:rPr>
                <w:rFonts w:hint="eastAsia" w:asciiTheme="minorEastAsia" w:hAnsiTheme="minorEastAsia" w:eastAsiaTheme="minorEastAsia" w:cstheme="minorEastAsia"/>
                <w:color w:val="auto"/>
                <w:sz w:val="24"/>
                <w:szCs w:val="24"/>
                <w:lang w:eastAsia="zh-CN"/>
              </w:rPr>
              <w:t>　</w:t>
            </w:r>
            <w:r>
              <w:rPr>
                <w:rFonts w:hint="eastAsia" w:asciiTheme="minorEastAsia" w:hAnsiTheme="minorEastAsia" w:eastAsiaTheme="minorEastAsia" w:cstheme="minorEastAsia"/>
                <w:color w:val="auto"/>
                <w:sz w:val="24"/>
                <w:szCs w:val="24"/>
              </w:rPr>
              <w:t>求</w:t>
            </w:r>
          </w:p>
        </w:tc>
        <w:tc>
          <w:tcPr>
            <w:tcW w:w="2132" w:type="dxa"/>
            <w:gridSpan w:val="2"/>
            <w:tcBorders>
              <w:top w:val="single" w:color="000000" w:sz="6" w:space="0"/>
              <w:right w:val="single" w:color="000000" w:sz="6" w:space="0"/>
            </w:tcBorders>
            <w:vAlign w:val="center"/>
          </w:tcPr>
          <w:p w14:paraId="0140F14B">
            <w:pPr>
              <w:pStyle w:val="21"/>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eastAsia="zh-CN"/>
              </w:rPr>
              <w:t>　</w:t>
            </w:r>
            <w:r>
              <w:rPr>
                <w:rFonts w:hint="eastAsia" w:asciiTheme="minorEastAsia" w:hAnsiTheme="minorEastAsia" w:eastAsiaTheme="minorEastAsia" w:cstheme="minorEastAsia"/>
                <w:color w:val="auto"/>
                <w:sz w:val="24"/>
                <w:szCs w:val="24"/>
              </w:rPr>
              <w:t>分</w:t>
            </w:r>
          </w:p>
        </w:tc>
      </w:tr>
      <w:tr w14:paraId="21D9A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827" w:type="dxa"/>
            <w:vMerge w:val="continue"/>
            <w:tcBorders>
              <w:top w:val="nil"/>
              <w:left w:val="single" w:color="000000" w:sz="6" w:space="0"/>
            </w:tcBorders>
            <w:vAlign w:val="center"/>
          </w:tcPr>
          <w:p w14:paraId="3AB5F2CA">
            <w:pPr>
              <w:jc w:val="center"/>
              <w:rPr>
                <w:rFonts w:hint="eastAsia" w:asciiTheme="minorEastAsia" w:hAnsiTheme="minorEastAsia" w:eastAsiaTheme="minorEastAsia" w:cstheme="minorEastAsia"/>
                <w:color w:val="auto"/>
                <w:sz w:val="24"/>
                <w:szCs w:val="24"/>
              </w:rPr>
            </w:pPr>
          </w:p>
        </w:tc>
        <w:tc>
          <w:tcPr>
            <w:tcW w:w="5800" w:type="dxa"/>
            <w:vMerge w:val="continue"/>
            <w:tcBorders>
              <w:top w:val="nil"/>
            </w:tcBorders>
            <w:vAlign w:val="center"/>
          </w:tcPr>
          <w:p w14:paraId="713007C2">
            <w:pPr>
              <w:jc w:val="center"/>
              <w:rPr>
                <w:rFonts w:hint="eastAsia" w:asciiTheme="minorEastAsia" w:hAnsiTheme="minorEastAsia" w:eastAsiaTheme="minorEastAsia" w:cstheme="minorEastAsia"/>
                <w:color w:val="auto"/>
                <w:sz w:val="24"/>
                <w:szCs w:val="24"/>
              </w:rPr>
            </w:pPr>
          </w:p>
        </w:tc>
        <w:tc>
          <w:tcPr>
            <w:tcW w:w="1133" w:type="dxa"/>
            <w:vAlign w:val="center"/>
          </w:tcPr>
          <w:p w14:paraId="5AA693DD">
            <w:pPr>
              <w:pStyle w:val="21"/>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最高</w:t>
            </w:r>
          </w:p>
        </w:tc>
        <w:tc>
          <w:tcPr>
            <w:tcW w:w="999" w:type="dxa"/>
            <w:tcBorders>
              <w:right w:val="single" w:color="000000" w:sz="6" w:space="0"/>
            </w:tcBorders>
            <w:vAlign w:val="center"/>
          </w:tcPr>
          <w:p w14:paraId="43835ED3">
            <w:pPr>
              <w:pStyle w:val="21"/>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最低</w:t>
            </w:r>
          </w:p>
        </w:tc>
      </w:tr>
      <w:tr w14:paraId="003E5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27" w:type="dxa"/>
            <w:tcBorders>
              <w:left w:val="single" w:color="000000" w:sz="6" w:space="0"/>
            </w:tcBorders>
            <w:vAlign w:val="center"/>
          </w:tcPr>
          <w:p w14:paraId="34FB3570">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5800" w:type="dxa"/>
            <w:vAlign w:val="center"/>
          </w:tcPr>
          <w:p w14:paraId="243DD66B">
            <w:pPr>
              <w:ind w:left="105" w:leftChars="50" w:right="105" w:rightChars="5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项目管理人员的配备和专业配置</w:t>
            </w:r>
          </w:p>
        </w:tc>
        <w:tc>
          <w:tcPr>
            <w:tcW w:w="1133" w:type="dxa"/>
            <w:vAlign w:val="center"/>
          </w:tcPr>
          <w:p w14:paraId="73577A58">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2.0</w:t>
            </w:r>
          </w:p>
        </w:tc>
        <w:tc>
          <w:tcPr>
            <w:tcW w:w="999" w:type="dxa"/>
            <w:tcBorders>
              <w:right w:val="single" w:color="000000" w:sz="6" w:space="0"/>
            </w:tcBorders>
            <w:vAlign w:val="center"/>
          </w:tcPr>
          <w:p w14:paraId="7DFD7A00">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1.6</w:t>
            </w:r>
          </w:p>
        </w:tc>
      </w:tr>
      <w:tr w14:paraId="089B7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center"/>
          </w:tcPr>
          <w:p w14:paraId="71D8E727">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5800" w:type="dxa"/>
            <w:vAlign w:val="center"/>
          </w:tcPr>
          <w:p w14:paraId="2928B403">
            <w:pPr>
              <w:ind w:left="105" w:leftChars="50" w:right="105" w:rightChars="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施工总平面布置</w:t>
            </w:r>
          </w:p>
        </w:tc>
        <w:tc>
          <w:tcPr>
            <w:tcW w:w="1133" w:type="dxa"/>
            <w:vAlign w:val="center"/>
          </w:tcPr>
          <w:p w14:paraId="198EAE16">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2.0</w:t>
            </w:r>
          </w:p>
        </w:tc>
        <w:tc>
          <w:tcPr>
            <w:tcW w:w="999" w:type="dxa"/>
            <w:tcBorders>
              <w:right w:val="single" w:color="000000" w:sz="6" w:space="0"/>
            </w:tcBorders>
            <w:vAlign w:val="center"/>
          </w:tcPr>
          <w:p w14:paraId="11B9310D">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1.6</w:t>
            </w:r>
          </w:p>
        </w:tc>
      </w:tr>
      <w:tr w14:paraId="6BEA7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center"/>
          </w:tcPr>
          <w:p w14:paraId="4F06B88B">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5800" w:type="dxa"/>
            <w:vAlign w:val="center"/>
          </w:tcPr>
          <w:p w14:paraId="4FE28AFB">
            <w:pPr>
              <w:ind w:left="105" w:leftChars="50" w:right="105" w:rightChars="5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施工进度计划</w:t>
            </w:r>
          </w:p>
        </w:tc>
        <w:tc>
          <w:tcPr>
            <w:tcW w:w="1133" w:type="dxa"/>
            <w:vAlign w:val="center"/>
          </w:tcPr>
          <w:p w14:paraId="40FA9AE5">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2.0</w:t>
            </w:r>
          </w:p>
        </w:tc>
        <w:tc>
          <w:tcPr>
            <w:tcW w:w="999" w:type="dxa"/>
            <w:tcBorders>
              <w:right w:val="single" w:color="000000" w:sz="6" w:space="0"/>
            </w:tcBorders>
            <w:vAlign w:val="center"/>
          </w:tcPr>
          <w:p w14:paraId="6915299E">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1.6</w:t>
            </w:r>
          </w:p>
        </w:tc>
      </w:tr>
      <w:tr w14:paraId="548BC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27" w:type="dxa"/>
            <w:tcBorders>
              <w:left w:val="single" w:color="000000" w:sz="6" w:space="0"/>
            </w:tcBorders>
            <w:vAlign w:val="center"/>
          </w:tcPr>
          <w:p w14:paraId="1D04BDCA">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5800" w:type="dxa"/>
            <w:vAlign w:val="center"/>
          </w:tcPr>
          <w:p w14:paraId="59F1AEE5">
            <w:pPr>
              <w:ind w:left="105" w:leftChars="50" w:right="105" w:rightChars="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施工质量的控制</w:t>
            </w:r>
          </w:p>
        </w:tc>
        <w:tc>
          <w:tcPr>
            <w:tcW w:w="1133" w:type="dxa"/>
            <w:vAlign w:val="center"/>
          </w:tcPr>
          <w:p w14:paraId="27CF7018">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2.0</w:t>
            </w:r>
          </w:p>
        </w:tc>
        <w:tc>
          <w:tcPr>
            <w:tcW w:w="999" w:type="dxa"/>
            <w:tcBorders>
              <w:right w:val="single" w:color="000000" w:sz="6" w:space="0"/>
            </w:tcBorders>
            <w:vAlign w:val="center"/>
          </w:tcPr>
          <w:p w14:paraId="5C0C0795">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1.6</w:t>
            </w:r>
          </w:p>
        </w:tc>
      </w:tr>
      <w:tr w14:paraId="58336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center"/>
          </w:tcPr>
          <w:p w14:paraId="118B598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5800" w:type="dxa"/>
            <w:vAlign w:val="center"/>
          </w:tcPr>
          <w:p w14:paraId="29F5D766">
            <w:pPr>
              <w:ind w:left="105" w:leftChars="50" w:right="105" w:rightChars="5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施工设备和检验仪器的投入</w:t>
            </w:r>
          </w:p>
        </w:tc>
        <w:tc>
          <w:tcPr>
            <w:tcW w:w="1133" w:type="dxa"/>
            <w:vAlign w:val="center"/>
          </w:tcPr>
          <w:p w14:paraId="5755319B">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2.0</w:t>
            </w:r>
          </w:p>
        </w:tc>
        <w:tc>
          <w:tcPr>
            <w:tcW w:w="999" w:type="dxa"/>
            <w:tcBorders>
              <w:right w:val="single" w:color="000000" w:sz="6" w:space="0"/>
            </w:tcBorders>
            <w:vAlign w:val="center"/>
          </w:tcPr>
          <w:p w14:paraId="7A5CE112">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1.6</w:t>
            </w:r>
          </w:p>
        </w:tc>
      </w:tr>
      <w:tr w14:paraId="621DF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center"/>
          </w:tcPr>
          <w:p w14:paraId="460DF7E5">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5800" w:type="dxa"/>
            <w:vAlign w:val="center"/>
          </w:tcPr>
          <w:p w14:paraId="20EBE103">
            <w:pPr>
              <w:ind w:left="105" w:leftChars="50" w:right="105" w:rightChars="5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各专业工种的配置和劳动力的投入</w:t>
            </w:r>
          </w:p>
        </w:tc>
        <w:tc>
          <w:tcPr>
            <w:tcW w:w="1133" w:type="dxa"/>
            <w:vAlign w:val="center"/>
          </w:tcPr>
          <w:p w14:paraId="1423FB3F">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2.0</w:t>
            </w:r>
          </w:p>
        </w:tc>
        <w:tc>
          <w:tcPr>
            <w:tcW w:w="999" w:type="dxa"/>
            <w:tcBorders>
              <w:right w:val="single" w:color="000000" w:sz="6" w:space="0"/>
            </w:tcBorders>
            <w:vAlign w:val="center"/>
          </w:tcPr>
          <w:p w14:paraId="436A5A7B">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1.6</w:t>
            </w:r>
          </w:p>
        </w:tc>
      </w:tr>
      <w:tr w14:paraId="3CF50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27" w:type="dxa"/>
            <w:tcBorders>
              <w:left w:val="single" w:color="000000" w:sz="6" w:space="0"/>
            </w:tcBorders>
            <w:vAlign w:val="center"/>
          </w:tcPr>
          <w:p w14:paraId="335FF582">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w:t>
            </w:r>
          </w:p>
        </w:tc>
        <w:tc>
          <w:tcPr>
            <w:tcW w:w="5800" w:type="dxa"/>
            <w:vAlign w:val="center"/>
          </w:tcPr>
          <w:p w14:paraId="035A47AF">
            <w:pPr>
              <w:ind w:left="105" w:leftChars="50" w:right="105" w:rightChars="5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工程的关键部位和关键施工方案(导流、泵站、地基处理、基坑围护、金属结构、机电设备采购与安装、BIM技术要求等)</w:t>
            </w:r>
          </w:p>
        </w:tc>
        <w:tc>
          <w:tcPr>
            <w:tcW w:w="1133" w:type="dxa"/>
            <w:vAlign w:val="center"/>
          </w:tcPr>
          <w:p w14:paraId="397CB4AE">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5.0</w:t>
            </w:r>
          </w:p>
        </w:tc>
        <w:tc>
          <w:tcPr>
            <w:tcW w:w="999" w:type="dxa"/>
            <w:tcBorders>
              <w:right w:val="single" w:color="000000" w:sz="6" w:space="0"/>
            </w:tcBorders>
            <w:vAlign w:val="center"/>
          </w:tcPr>
          <w:p w14:paraId="002C4238">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4.0</w:t>
            </w:r>
          </w:p>
        </w:tc>
      </w:tr>
      <w:tr w14:paraId="70F20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center"/>
          </w:tcPr>
          <w:p w14:paraId="1FB3E2B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5800" w:type="dxa"/>
            <w:vAlign w:val="center"/>
          </w:tcPr>
          <w:p w14:paraId="530DFF17">
            <w:pPr>
              <w:ind w:left="105" w:leftChars="50" w:right="105" w:rightChars="5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安全、文明施工及标化建设、扬尘防治</w:t>
            </w:r>
          </w:p>
        </w:tc>
        <w:tc>
          <w:tcPr>
            <w:tcW w:w="1133" w:type="dxa"/>
            <w:vAlign w:val="center"/>
          </w:tcPr>
          <w:p w14:paraId="5B00096B">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3.0</w:t>
            </w:r>
          </w:p>
        </w:tc>
        <w:tc>
          <w:tcPr>
            <w:tcW w:w="999" w:type="dxa"/>
            <w:tcBorders>
              <w:right w:val="single" w:color="000000" w:sz="6" w:space="0"/>
            </w:tcBorders>
            <w:vAlign w:val="center"/>
          </w:tcPr>
          <w:p w14:paraId="2B763593">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2.4</w:t>
            </w:r>
          </w:p>
        </w:tc>
      </w:tr>
      <w:tr w14:paraId="0CC64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center"/>
          </w:tcPr>
          <w:p w14:paraId="10979E8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5800" w:type="dxa"/>
            <w:vAlign w:val="center"/>
          </w:tcPr>
          <w:p w14:paraId="23AA27D2">
            <w:pPr>
              <w:ind w:left="105" w:leftChars="50" w:right="105" w:rightChars="5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安全度汛、防台防涝、主汛期施工</w:t>
            </w:r>
          </w:p>
        </w:tc>
        <w:tc>
          <w:tcPr>
            <w:tcW w:w="1133" w:type="dxa"/>
            <w:vAlign w:val="center"/>
          </w:tcPr>
          <w:p w14:paraId="51C6574A">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3.0</w:t>
            </w:r>
          </w:p>
        </w:tc>
        <w:tc>
          <w:tcPr>
            <w:tcW w:w="999" w:type="dxa"/>
            <w:tcBorders>
              <w:right w:val="single" w:color="000000" w:sz="6" w:space="0"/>
            </w:tcBorders>
            <w:vAlign w:val="center"/>
          </w:tcPr>
          <w:p w14:paraId="410F8DF8">
            <w:pPr>
              <w:jc w:val="center"/>
              <w:textAlignment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2.4</w:t>
            </w:r>
          </w:p>
        </w:tc>
      </w:tr>
      <w:tr w14:paraId="176C6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827" w:type="dxa"/>
            <w:tcBorders>
              <w:left w:val="single" w:color="000000" w:sz="6" w:space="0"/>
              <w:bottom w:val="single" w:color="000000" w:sz="6" w:space="0"/>
            </w:tcBorders>
            <w:vAlign w:val="center"/>
          </w:tcPr>
          <w:p w14:paraId="2D783ED9">
            <w:pPr>
              <w:jc w:val="center"/>
              <w:rPr>
                <w:rFonts w:hint="eastAsia" w:asciiTheme="minorEastAsia" w:hAnsiTheme="minorEastAsia" w:eastAsiaTheme="minorEastAsia" w:cstheme="minorEastAsia"/>
                <w:b/>
                <w:bCs/>
                <w:color w:val="auto"/>
                <w:sz w:val="24"/>
                <w:szCs w:val="24"/>
              </w:rPr>
            </w:pPr>
          </w:p>
        </w:tc>
        <w:tc>
          <w:tcPr>
            <w:tcW w:w="5800" w:type="dxa"/>
            <w:tcBorders>
              <w:bottom w:val="single" w:color="000000" w:sz="6" w:space="0"/>
            </w:tcBorders>
            <w:vAlign w:val="center"/>
          </w:tcPr>
          <w:p w14:paraId="790FE44B">
            <w:pPr>
              <w:pStyle w:val="21"/>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合</w:t>
            </w:r>
            <w:r>
              <w:rPr>
                <w:rFonts w:hint="eastAsia" w:asciiTheme="minorEastAsia" w:hAnsiTheme="minorEastAsia" w:eastAsiaTheme="minorEastAsia" w:cstheme="minorEastAsia"/>
                <w:b/>
                <w:bCs/>
                <w:color w:val="auto"/>
                <w:sz w:val="24"/>
                <w:szCs w:val="24"/>
                <w:lang w:eastAsia="zh-CN"/>
              </w:rPr>
              <w:t>　</w:t>
            </w:r>
            <w:r>
              <w:rPr>
                <w:rFonts w:hint="eastAsia" w:asciiTheme="minorEastAsia" w:hAnsiTheme="minorEastAsia" w:eastAsiaTheme="minorEastAsia" w:cstheme="minorEastAsia"/>
                <w:b/>
                <w:bCs/>
                <w:color w:val="auto"/>
                <w:sz w:val="24"/>
                <w:szCs w:val="24"/>
              </w:rPr>
              <w:t>计</w:t>
            </w:r>
          </w:p>
        </w:tc>
        <w:tc>
          <w:tcPr>
            <w:tcW w:w="1133" w:type="dxa"/>
            <w:tcBorders>
              <w:bottom w:val="single" w:color="000000" w:sz="6" w:space="0"/>
            </w:tcBorders>
            <w:vAlign w:val="center"/>
          </w:tcPr>
          <w:p w14:paraId="71B60CCD">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23.0</w:t>
            </w:r>
          </w:p>
        </w:tc>
        <w:tc>
          <w:tcPr>
            <w:tcW w:w="999" w:type="dxa"/>
            <w:tcBorders>
              <w:bottom w:val="single" w:color="000000" w:sz="6" w:space="0"/>
              <w:right w:val="single" w:color="000000" w:sz="6" w:space="0"/>
            </w:tcBorders>
            <w:vAlign w:val="center"/>
          </w:tcPr>
          <w:p w14:paraId="7016028A">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18.4</w:t>
            </w:r>
          </w:p>
        </w:tc>
      </w:tr>
    </w:tbl>
    <w:p w14:paraId="33F4481D">
      <w:pPr>
        <w:widowControl w:val="0"/>
        <w:kinsoku/>
        <w:wordWrap w:val="0"/>
        <w:topLinePunct/>
        <w:autoSpaceDE/>
        <w:autoSpaceDN/>
        <w:spacing w:line="214" w:lineRule="auto"/>
        <w:ind w:firstLine="440" w:firstLineChars="200"/>
        <w:jc w:val="both"/>
        <w:rPr>
          <w:rFonts w:hint="eastAsia" w:ascii="宋体" w:hAnsi="宋体" w:eastAsia="宋体" w:cs="宋体"/>
          <w:i/>
          <w:iCs/>
          <w:color w:val="auto"/>
          <w:sz w:val="22"/>
          <w:szCs w:val="22"/>
          <w:lang w:eastAsia="zh-CN"/>
        </w:rPr>
      </w:pPr>
      <w:r>
        <w:rPr>
          <w:rFonts w:hint="eastAsia" w:ascii="宋体" w:hAnsi="宋体" w:eastAsia="宋体" w:cs="宋体"/>
          <w:i/>
          <w:iCs/>
          <w:color w:val="auto"/>
          <w:sz w:val="22"/>
          <w:szCs w:val="22"/>
          <w:lang w:eastAsia="zh-CN"/>
        </w:rPr>
        <w:t>注：技术评审内容可根据项目实际情况进行调整。</w:t>
      </w:r>
    </w:p>
    <w:p w14:paraId="3D7F43AC">
      <w:pPr>
        <w:widowControl w:val="0"/>
        <w:kinsoku/>
        <w:wordWrap w:val="0"/>
        <w:topLinePunct/>
        <w:autoSpaceDE/>
        <w:autoSpaceDN/>
        <w:spacing w:line="360" w:lineRule="auto"/>
        <w:ind w:firstLine="480" w:firstLineChars="200"/>
        <w:jc w:val="both"/>
        <w:outlineLvl w:val="3"/>
        <w:rPr>
          <w:rFonts w:hint="eastAsia" w:ascii="宋体" w:hAnsi="宋体" w:eastAsia="宋体" w:cs="宋体"/>
          <w:color w:val="auto"/>
          <w:sz w:val="24"/>
          <w:szCs w:val="24"/>
          <w:lang w:eastAsia="zh-CN"/>
        </w:rPr>
      </w:pPr>
      <w:bookmarkStart w:id="447" w:name="bookmark115"/>
      <w:bookmarkEnd w:id="447"/>
      <w:bookmarkStart w:id="448" w:name="_Toc13062"/>
      <w:r>
        <w:rPr>
          <w:rFonts w:ascii="Times New Roman" w:hAnsi="Times New Roman" w:eastAsia="Times New Roman" w:cs="Times New Roman"/>
          <w:color w:val="auto"/>
          <w:sz w:val="24"/>
          <w:szCs w:val="24"/>
          <w:lang w:eastAsia="zh-CN"/>
        </w:rPr>
        <w:t>4.4</w:t>
      </w:r>
      <w:r>
        <w:rPr>
          <w:rFonts w:hint="eastAsia" w:ascii="Times New Roman" w:hAnsi="Times New Roman" w:eastAsia="宋体" w:cs="Times New Roman"/>
          <w:color w:val="auto"/>
          <w:sz w:val="24"/>
          <w:szCs w:val="24"/>
          <w:lang w:eastAsia="zh-CN"/>
        </w:rPr>
        <w:t>　</w:t>
      </w:r>
      <w:r>
        <w:rPr>
          <w:rFonts w:ascii="宋体" w:hAnsi="宋体" w:eastAsia="宋体" w:cs="宋体"/>
          <w:b/>
          <w:bCs/>
          <w:color w:val="auto"/>
          <w:sz w:val="24"/>
          <w:szCs w:val="24"/>
          <w:lang w:eastAsia="zh-CN"/>
        </w:rPr>
        <w:t>投标文件的资信评分</w:t>
      </w:r>
      <w:bookmarkEnd w:id="448"/>
    </w:p>
    <w:p w14:paraId="5653EDBB">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4.1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评标委员会应对通过技术评审的投标文件进行资信符合性审查。资信符合性审查未通过的投标文件不再进入后续评审。</w:t>
      </w:r>
    </w:p>
    <w:p w14:paraId="6CD40D60">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4.2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投标文件如存在投标人须知前附表10.8“3.资信符合性审查”情况之一的，由评标委员会全体成员按照少数服从多数的原则记名投票（不得弃权）认定，作为资信符合性审查未通过予以否决其投标，不再进行后续评审</w:t>
      </w:r>
      <w:r>
        <w:rPr>
          <w:rFonts w:hint="eastAsia" w:ascii="宋体" w:hAnsi="宋体" w:eastAsia="宋体" w:cs="宋体"/>
          <w:color w:val="auto"/>
          <w:sz w:val="24"/>
          <w:szCs w:val="24"/>
          <w:lang w:eastAsia="zh-CN"/>
        </w:rPr>
        <w:t>。</w:t>
      </w:r>
    </w:p>
    <w:p w14:paraId="1E12120A">
      <w:pPr>
        <w:widowControl w:val="0"/>
        <w:kinsoku/>
        <w:wordWrap w:val="0"/>
        <w:topLinePunct/>
        <w:autoSpaceDE/>
        <w:autoSpaceDN/>
        <w:spacing w:line="360" w:lineRule="auto"/>
        <w:ind w:firstLine="480" w:firstLineChars="200"/>
        <w:jc w:val="both"/>
        <w:rPr>
          <w:color w:val="auto"/>
          <w:lang w:eastAsia="zh-CN"/>
        </w:rPr>
      </w:pPr>
      <w:r>
        <w:rPr>
          <w:rFonts w:ascii="Times New Roman" w:hAnsi="Times New Roman" w:eastAsia="Times New Roman" w:cs="Times New Roman"/>
          <w:b/>
          <w:bCs/>
          <w:color w:val="auto"/>
          <w:sz w:val="24"/>
          <w:szCs w:val="24"/>
          <w:lang w:eastAsia="zh-CN"/>
        </w:rPr>
        <w:t>4.3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投标文件的资信评审包括企业信用评价等级、项目负责人类似业绩等因素，资信评分满分</w:t>
      </w:r>
      <w:r>
        <w:rPr>
          <w:rFonts w:hint="eastAsia" w:ascii="宋体" w:hAnsi="宋体" w:eastAsia="宋体" w:cs="宋体"/>
          <w:color w:val="auto"/>
          <w:sz w:val="24"/>
          <w:szCs w:val="24"/>
          <w:u w:val="single"/>
          <w:lang w:eastAsia="zh-CN"/>
        </w:rPr>
        <w:t>7</w:t>
      </w:r>
      <w:r>
        <w:rPr>
          <w:rFonts w:ascii="宋体" w:hAnsi="宋体" w:eastAsia="宋体" w:cs="宋体"/>
          <w:color w:val="auto"/>
          <w:sz w:val="24"/>
          <w:szCs w:val="24"/>
          <w:lang w:eastAsia="zh-CN"/>
        </w:rPr>
        <w:t>分</w:t>
      </w:r>
      <w:r>
        <w:rPr>
          <w:rFonts w:hint="eastAsia" w:ascii="宋体" w:hAnsi="宋体" w:eastAsia="宋体" w:cs="宋体"/>
          <w:i/>
          <w:iCs/>
          <w:color w:val="auto"/>
          <w:sz w:val="24"/>
          <w:szCs w:val="24"/>
          <w:lang w:eastAsia="zh-CN"/>
        </w:rPr>
        <w:t>（资信评分满分不超过</w:t>
      </w:r>
      <w:r>
        <w:rPr>
          <w:rFonts w:ascii="宋体" w:hAnsi="宋体" w:eastAsia="宋体" w:cs="宋体"/>
          <w:i/>
          <w:iCs/>
          <w:color w:val="auto"/>
          <w:sz w:val="24"/>
          <w:szCs w:val="24"/>
          <w:lang w:eastAsia="zh-CN"/>
        </w:rPr>
        <w:t>7</w:t>
      </w:r>
      <w:r>
        <w:rPr>
          <w:rFonts w:hint="eastAsia" w:ascii="宋体" w:hAnsi="宋体" w:eastAsia="宋体" w:cs="宋体"/>
          <w:i/>
          <w:iCs/>
          <w:color w:val="auto"/>
          <w:sz w:val="24"/>
          <w:szCs w:val="24"/>
          <w:lang w:eastAsia="zh-CN"/>
        </w:rPr>
        <w:t>分，具体内容和分值由招标人自行确定）</w:t>
      </w:r>
      <w:r>
        <w:rPr>
          <w:rFonts w:ascii="宋体" w:hAnsi="宋体" w:eastAsia="宋体" w:cs="宋体"/>
          <w:color w:val="auto"/>
          <w:sz w:val="24"/>
          <w:szCs w:val="24"/>
          <w:lang w:eastAsia="zh-CN"/>
        </w:rPr>
        <w:t>。评标委员会全体成员查阅投标文件及相关证明材料并进行集体讨论后统一评分。</w:t>
      </w:r>
    </w:p>
    <w:tbl>
      <w:tblPr>
        <w:tblStyle w:val="20"/>
        <w:tblW w:w="904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7216"/>
        <w:gridCol w:w="942"/>
      </w:tblGrid>
      <w:tr w14:paraId="6E04DBDB">
        <w:tblPrEx>
          <w:tblCellMar>
            <w:top w:w="0" w:type="dxa"/>
            <w:left w:w="0" w:type="dxa"/>
            <w:bottom w:w="0" w:type="dxa"/>
            <w:right w:w="0" w:type="dxa"/>
          </w:tblCellMar>
        </w:tblPrEx>
        <w:trPr>
          <w:trHeight w:val="462" w:hRule="atLeast"/>
        </w:trPr>
        <w:tc>
          <w:tcPr>
            <w:tcW w:w="884" w:type="dxa"/>
            <w:tcBorders>
              <w:top w:val="single" w:color="000000" w:sz="6" w:space="0"/>
              <w:left w:val="single" w:color="000000" w:sz="6" w:space="0"/>
            </w:tcBorders>
            <w:vAlign w:val="center"/>
          </w:tcPr>
          <w:p w14:paraId="364ACE58">
            <w:pPr>
              <w:pStyle w:val="21"/>
              <w:jc w:val="center"/>
              <w:rPr>
                <w:rFonts w:hint="eastAsia"/>
                <w:color w:val="auto"/>
                <w:sz w:val="21"/>
                <w:szCs w:val="21"/>
              </w:rPr>
            </w:pPr>
            <w:r>
              <w:rPr>
                <w:color w:val="auto"/>
                <w:sz w:val="21"/>
                <w:szCs w:val="21"/>
              </w:rPr>
              <w:t>序号</w:t>
            </w:r>
          </w:p>
        </w:tc>
        <w:tc>
          <w:tcPr>
            <w:tcW w:w="7216" w:type="dxa"/>
            <w:tcBorders>
              <w:top w:val="single" w:color="000000" w:sz="6" w:space="0"/>
            </w:tcBorders>
          </w:tcPr>
          <w:p w14:paraId="6EDACF19">
            <w:pPr>
              <w:pStyle w:val="21"/>
              <w:spacing w:before="124" w:line="221" w:lineRule="auto"/>
              <w:ind w:left="3133"/>
              <w:rPr>
                <w:rFonts w:hint="eastAsia"/>
                <w:color w:val="auto"/>
                <w:sz w:val="21"/>
                <w:szCs w:val="21"/>
              </w:rPr>
            </w:pPr>
            <w:r>
              <w:rPr>
                <w:color w:val="auto"/>
                <w:sz w:val="21"/>
                <w:szCs w:val="21"/>
              </w:rPr>
              <w:t>内</w:t>
            </w:r>
            <w:r>
              <w:rPr>
                <w:rFonts w:hint="eastAsia"/>
                <w:color w:val="auto"/>
                <w:sz w:val="21"/>
                <w:szCs w:val="21"/>
                <w:lang w:eastAsia="zh-CN"/>
              </w:rPr>
              <w:t>　　</w:t>
            </w:r>
            <w:r>
              <w:rPr>
                <w:color w:val="auto"/>
                <w:sz w:val="21"/>
                <w:szCs w:val="21"/>
              </w:rPr>
              <w:t>容</w:t>
            </w:r>
          </w:p>
        </w:tc>
        <w:tc>
          <w:tcPr>
            <w:tcW w:w="942" w:type="dxa"/>
            <w:tcBorders>
              <w:top w:val="single" w:color="000000" w:sz="6" w:space="0"/>
              <w:right w:val="single" w:color="000000" w:sz="6" w:space="0"/>
            </w:tcBorders>
          </w:tcPr>
          <w:p w14:paraId="5B47D6B6">
            <w:pPr>
              <w:pStyle w:val="21"/>
              <w:spacing w:before="124" w:line="221" w:lineRule="auto"/>
              <w:ind w:left="351"/>
              <w:rPr>
                <w:rFonts w:hint="eastAsia"/>
                <w:color w:val="auto"/>
                <w:sz w:val="21"/>
                <w:szCs w:val="21"/>
              </w:rPr>
            </w:pPr>
            <w:r>
              <w:rPr>
                <w:color w:val="auto"/>
                <w:sz w:val="21"/>
                <w:szCs w:val="21"/>
              </w:rPr>
              <w:t>得分</w:t>
            </w:r>
          </w:p>
        </w:tc>
      </w:tr>
      <w:tr w14:paraId="3BB05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884" w:type="dxa"/>
            <w:tcBorders>
              <w:left w:val="single" w:color="000000" w:sz="6" w:space="0"/>
            </w:tcBorders>
            <w:vAlign w:val="center"/>
          </w:tcPr>
          <w:p w14:paraId="4B73554C">
            <w:pPr>
              <w:jc w:val="center"/>
              <w:rPr>
                <w:rFonts w:ascii="Times New Roman" w:hAnsi="Times New Roman" w:eastAsia="Times New Roman" w:cs="Times New Roman"/>
                <w:color w:val="auto"/>
              </w:rPr>
            </w:pPr>
            <w:r>
              <w:rPr>
                <w:rFonts w:ascii="Times New Roman" w:hAnsi="Times New Roman" w:eastAsia="Times New Roman" w:cs="Times New Roman"/>
                <w:color w:val="auto"/>
              </w:rPr>
              <w:t>1</w:t>
            </w:r>
          </w:p>
        </w:tc>
        <w:tc>
          <w:tcPr>
            <w:tcW w:w="7216" w:type="dxa"/>
          </w:tcPr>
          <w:p w14:paraId="229C1E73">
            <w:pPr>
              <w:pStyle w:val="21"/>
              <w:spacing w:before="31" w:line="223" w:lineRule="auto"/>
              <w:ind w:left="107" w:right="118"/>
              <w:rPr>
                <w:rFonts w:hint="eastAsia"/>
                <w:color w:val="auto"/>
                <w:sz w:val="21"/>
                <w:szCs w:val="21"/>
                <w:lang w:eastAsia="zh-CN"/>
              </w:rPr>
            </w:pPr>
            <w:r>
              <w:rPr>
                <w:color w:val="auto"/>
                <w:sz w:val="21"/>
                <w:szCs w:val="21"/>
                <w:lang w:eastAsia="zh-CN"/>
              </w:rPr>
              <w:t>企业信用等级（浙江省水利建设市场信用评价等级（施工类）本项最高得</w:t>
            </w:r>
            <w:r>
              <w:rPr>
                <w:rFonts w:ascii="Times New Roman" w:hAnsi="Times New Roman" w:eastAsia="Times New Roman" w:cs="Times New Roman"/>
                <w:color w:val="auto"/>
                <w:sz w:val="21"/>
                <w:szCs w:val="21"/>
                <w:lang w:eastAsia="zh-CN"/>
              </w:rPr>
              <w:t>5</w:t>
            </w:r>
            <w:r>
              <w:rPr>
                <w:color w:val="auto"/>
                <w:sz w:val="21"/>
                <w:szCs w:val="21"/>
                <w:lang w:eastAsia="zh-CN"/>
              </w:rPr>
              <w:t>分。</w:t>
            </w:r>
          </w:p>
        </w:tc>
        <w:tc>
          <w:tcPr>
            <w:tcW w:w="942" w:type="dxa"/>
            <w:tcBorders>
              <w:right w:val="single" w:color="000000" w:sz="6" w:space="0"/>
            </w:tcBorders>
            <w:vAlign w:val="center"/>
          </w:tcPr>
          <w:p w14:paraId="5A48F373">
            <w:pPr>
              <w:spacing w:before="205" w:line="187" w:lineRule="auto"/>
              <w:jc w:val="center"/>
              <w:rPr>
                <w:rFonts w:ascii="Times New Roman" w:hAnsi="Times New Roman" w:eastAsia="Times New Roman" w:cs="Times New Roman"/>
                <w:color w:val="auto"/>
              </w:rPr>
            </w:pPr>
            <w:r>
              <w:rPr>
                <w:rFonts w:ascii="Times New Roman" w:hAnsi="Times New Roman" w:eastAsia="Times New Roman" w:cs="Times New Roman"/>
                <w:color w:val="auto"/>
              </w:rPr>
              <w:t>5.0</w:t>
            </w:r>
          </w:p>
        </w:tc>
      </w:tr>
      <w:tr w14:paraId="5B915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center"/>
          </w:tcPr>
          <w:p w14:paraId="77CCABD8">
            <w:pPr>
              <w:pStyle w:val="21"/>
              <w:jc w:val="center"/>
              <w:rPr>
                <w:rFonts w:hint="eastAsia"/>
                <w:dstrike/>
                <w:color w:val="auto"/>
                <w:sz w:val="21"/>
                <w:szCs w:val="21"/>
              </w:rPr>
            </w:pPr>
            <w:r>
              <w:rPr>
                <w:dstrike/>
                <w:color w:val="auto"/>
                <w:sz w:val="21"/>
                <w:szCs w:val="21"/>
              </w:rPr>
              <w:t>（</w:t>
            </w:r>
            <w:r>
              <w:rPr>
                <w:rFonts w:ascii="Times New Roman" w:hAnsi="Times New Roman" w:eastAsia="Times New Roman" w:cs="Times New Roman"/>
                <w:dstrike/>
                <w:color w:val="auto"/>
                <w:sz w:val="21"/>
                <w:szCs w:val="21"/>
              </w:rPr>
              <w:t>1</w:t>
            </w:r>
            <w:r>
              <w:rPr>
                <w:dstrike/>
                <w:color w:val="auto"/>
                <w:sz w:val="21"/>
                <w:szCs w:val="21"/>
              </w:rPr>
              <w:t>）</w:t>
            </w:r>
          </w:p>
        </w:tc>
        <w:tc>
          <w:tcPr>
            <w:tcW w:w="7216" w:type="dxa"/>
          </w:tcPr>
          <w:p w14:paraId="01E96F97">
            <w:pPr>
              <w:pStyle w:val="21"/>
              <w:spacing w:before="121" w:line="221" w:lineRule="auto"/>
              <w:ind w:left="106"/>
              <w:rPr>
                <w:rFonts w:hint="eastAsia"/>
                <w:dstrike/>
                <w:color w:val="auto"/>
                <w:sz w:val="21"/>
                <w:szCs w:val="21"/>
              </w:rPr>
            </w:pPr>
            <w:r>
              <w:rPr>
                <w:dstrike/>
                <w:color w:val="auto"/>
                <w:sz w:val="21"/>
                <w:szCs w:val="21"/>
              </w:rPr>
              <w:t>标段概算投资≤</w:t>
            </w:r>
            <w:r>
              <w:rPr>
                <w:rFonts w:ascii="Times New Roman" w:hAnsi="Times New Roman" w:eastAsia="Times New Roman" w:cs="Times New Roman"/>
                <w:dstrike/>
                <w:color w:val="auto"/>
                <w:sz w:val="21"/>
                <w:szCs w:val="21"/>
              </w:rPr>
              <w:t>6000</w:t>
            </w:r>
            <w:r>
              <w:rPr>
                <w:dstrike/>
                <w:color w:val="auto"/>
                <w:sz w:val="21"/>
                <w:szCs w:val="21"/>
              </w:rPr>
              <w:t>万元</w:t>
            </w:r>
          </w:p>
        </w:tc>
        <w:tc>
          <w:tcPr>
            <w:tcW w:w="942" w:type="dxa"/>
            <w:tcBorders>
              <w:right w:val="single" w:color="000000" w:sz="6" w:space="0"/>
            </w:tcBorders>
            <w:vAlign w:val="center"/>
          </w:tcPr>
          <w:p w14:paraId="736A998B">
            <w:pPr>
              <w:jc w:val="center"/>
              <w:rPr>
                <w:dstrike/>
                <w:color w:val="auto"/>
              </w:rPr>
            </w:pPr>
          </w:p>
        </w:tc>
      </w:tr>
      <w:tr w14:paraId="4911B2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center"/>
          </w:tcPr>
          <w:p w14:paraId="70EAAACE">
            <w:pPr>
              <w:jc w:val="center"/>
              <w:rPr>
                <w:dstrike/>
                <w:color w:val="auto"/>
              </w:rPr>
            </w:pPr>
          </w:p>
        </w:tc>
        <w:tc>
          <w:tcPr>
            <w:tcW w:w="7216" w:type="dxa"/>
          </w:tcPr>
          <w:p w14:paraId="75A79B1E">
            <w:pPr>
              <w:pStyle w:val="21"/>
              <w:spacing w:before="121" w:line="221" w:lineRule="auto"/>
              <w:ind w:left="108"/>
              <w:rPr>
                <w:rFonts w:ascii="Times New Roman" w:hAnsi="Times New Roman" w:eastAsia="Times New Roman" w:cs="Times New Roman"/>
                <w:dstrike/>
                <w:color w:val="auto"/>
                <w:sz w:val="21"/>
                <w:szCs w:val="21"/>
              </w:rPr>
            </w:pPr>
            <w:r>
              <w:rPr>
                <w:dstrike/>
                <w:color w:val="auto"/>
                <w:sz w:val="21"/>
                <w:szCs w:val="21"/>
              </w:rPr>
              <w:t>省</w:t>
            </w:r>
            <w:r>
              <w:rPr>
                <w:rFonts w:ascii="Times New Roman" w:hAnsi="Times New Roman" w:eastAsia="Times New Roman" w:cs="Times New Roman"/>
                <w:dstrike/>
                <w:color w:val="auto"/>
                <w:sz w:val="21"/>
                <w:szCs w:val="21"/>
              </w:rPr>
              <w:t>A</w:t>
            </w:r>
          </w:p>
        </w:tc>
        <w:tc>
          <w:tcPr>
            <w:tcW w:w="942" w:type="dxa"/>
            <w:tcBorders>
              <w:right w:val="single" w:color="000000" w:sz="6" w:space="0"/>
            </w:tcBorders>
            <w:vAlign w:val="center"/>
          </w:tcPr>
          <w:p w14:paraId="39F6B886">
            <w:pPr>
              <w:spacing w:before="160" w:line="187" w:lineRule="auto"/>
              <w:jc w:val="center"/>
              <w:rPr>
                <w:rFonts w:ascii="Times New Roman" w:hAnsi="Times New Roman" w:eastAsia="Times New Roman" w:cs="Times New Roman"/>
                <w:dstrike/>
                <w:color w:val="auto"/>
              </w:rPr>
            </w:pPr>
            <w:r>
              <w:rPr>
                <w:rFonts w:ascii="Times New Roman" w:hAnsi="Times New Roman" w:eastAsia="Times New Roman" w:cs="Times New Roman"/>
                <w:dstrike/>
                <w:color w:val="auto"/>
              </w:rPr>
              <w:t>5.0</w:t>
            </w:r>
          </w:p>
        </w:tc>
      </w:tr>
      <w:tr w14:paraId="09756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center"/>
          </w:tcPr>
          <w:p w14:paraId="46F750A6">
            <w:pPr>
              <w:jc w:val="center"/>
              <w:rPr>
                <w:dstrike/>
                <w:color w:val="auto"/>
              </w:rPr>
            </w:pPr>
          </w:p>
        </w:tc>
        <w:tc>
          <w:tcPr>
            <w:tcW w:w="7216" w:type="dxa"/>
          </w:tcPr>
          <w:p w14:paraId="18DDC19B">
            <w:pPr>
              <w:pStyle w:val="21"/>
              <w:spacing w:before="122" w:line="221" w:lineRule="auto"/>
              <w:ind w:left="108"/>
              <w:rPr>
                <w:rFonts w:ascii="Times New Roman" w:hAnsi="Times New Roman" w:eastAsia="Times New Roman" w:cs="Times New Roman"/>
                <w:dstrike/>
                <w:color w:val="auto"/>
                <w:sz w:val="21"/>
                <w:szCs w:val="21"/>
              </w:rPr>
            </w:pPr>
            <w:r>
              <w:rPr>
                <w:dstrike/>
                <w:color w:val="auto"/>
                <w:sz w:val="21"/>
                <w:szCs w:val="21"/>
              </w:rPr>
              <w:t>省</w:t>
            </w:r>
            <w:r>
              <w:rPr>
                <w:rFonts w:ascii="Times New Roman" w:hAnsi="Times New Roman" w:eastAsia="Times New Roman" w:cs="Times New Roman"/>
                <w:dstrike/>
                <w:color w:val="auto"/>
                <w:sz w:val="21"/>
                <w:szCs w:val="21"/>
              </w:rPr>
              <w:t>B</w:t>
            </w:r>
          </w:p>
        </w:tc>
        <w:tc>
          <w:tcPr>
            <w:tcW w:w="942" w:type="dxa"/>
            <w:tcBorders>
              <w:right w:val="single" w:color="000000" w:sz="6" w:space="0"/>
            </w:tcBorders>
            <w:vAlign w:val="center"/>
          </w:tcPr>
          <w:p w14:paraId="0E590DDC">
            <w:pPr>
              <w:spacing w:before="161" w:line="187" w:lineRule="auto"/>
              <w:jc w:val="center"/>
              <w:rPr>
                <w:rFonts w:ascii="Times New Roman" w:hAnsi="Times New Roman" w:eastAsia="Times New Roman" w:cs="Times New Roman"/>
                <w:dstrike/>
                <w:color w:val="auto"/>
              </w:rPr>
            </w:pPr>
            <w:r>
              <w:rPr>
                <w:rFonts w:ascii="Times New Roman" w:hAnsi="Times New Roman" w:eastAsia="Times New Roman" w:cs="Times New Roman"/>
                <w:dstrike/>
                <w:color w:val="auto"/>
              </w:rPr>
              <w:t>4.0</w:t>
            </w:r>
          </w:p>
        </w:tc>
      </w:tr>
      <w:tr w14:paraId="7FB82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center"/>
          </w:tcPr>
          <w:p w14:paraId="78F25F34">
            <w:pPr>
              <w:jc w:val="center"/>
              <w:rPr>
                <w:dstrike/>
                <w:color w:val="auto"/>
              </w:rPr>
            </w:pPr>
          </w:p>
        </w:tc>
        <w:tc>
          <w:tcPr>
            <w:tcW w:w="7216" w:type="dxa"/>
          </w:tcPr>
          <w:p w14:paraId="053B51D8">
            <w:pPr>
              <w:pStyle w:val="21"/>
              <w:spacing w:before="122" w:line="221" w:lineRule="auto"/>
              <w:ind w:left="108"/>
              <w:rPr>
                <w:rFonts w:ascii="Times New Roman" w:hAnsi="Times New Roman" w:eastAsia="Times New Roman" w:cs="Times New Roman"/>
                <w:dstrike/>
                <w:color w:val="auto"/>
                <w:sz w:val="21"/>
                <w:szCs w:val="21"/>
              </w:rPr>
            </w:pPr>
            <w:r>
              <w:rPr>
                <w:dstrike/>
                <w:color w:val="auto"/>
                <w:sz w:val="21"/>
                <w:szCs w:val="21"/>
              </w:rPr>
              <w:t>省</w:t>
            </w:r>
            <w:r>
              <w:rPr>
                <w:rFonts w:ascii="Times New Roman" w:hAnsi="Times New Roman" w:eastAsia="Times New Roman" w:cs="Times New Roman"/>
                <w:dstrike/>
                <w:color w:val="auto"/>
                <w:sz w:val="21"/>
                <w:szCs w:val="21"/>
              </w:rPr>
              <w:t>C</w:t>
            </w:r>
          </w:p>
        </w:tc>
        <w:tc>
          <w:tcPr>
            <w:tcW w:w="942" w:type="dxa"/>
            <w:tcBorders>
              <w:right w:val="single" w:color="000000" w:sz="6" w:space="0"/>
            </w:tcBorders>
            <w:vAlign w:val="center"/>
          </w:tcPr>
          <w:p w14:paraId="4FBF7A00">
            <w:pPr>
              <w:spacing w:before="163" w:line="187" w:lineRule="auto"/>
              <w:jc w:val="center"/>
              <w:rPr>
                <w:rFonts w:ascii="Times New Roman" w:hAnsi="Times New Roman" w:eastAsia="Times New Roman" w:cs="Times New Roman"/>
                <w:dstrike/>
                <w:color w:val="auto"/>
              </w:rPr>
            </w:pPr>
            <w:r>
              <w:rPr>
                <w:rFonts w:ascii="Times New Roman" w:hAnsi="Times New Roman" w:eastAsia="Times New Roman" w:cs="Times New Roman"/>
                <w:dstrike/>
                <w:color w:val="auto"/>
              </w:rPr>
              <w:t>1.0</w:t>
            </w:r>
          </w:p>
        </w:tc>
      </w:tr>
      <w:tr w14:paraId="51435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center"/>
          </w:tcPr>
          <w:p w14:paraId="564E9619">
            <w:pPr>
              <w:jc w:val="center"/>
              <w:rPr>
                <w:dstrike/>
                <w:color w:val="auto"/>
              </w:rPr>
            </w:pPr>
          </w:p>
        </w:tc>
        <w:tc>
          <w:tcPr>
            <w:tcW w:w="7216" w:type="dxa"/>
          </w:tcPr>
          <w:p w14:paraId="1FE11905">
            <w:pPr>
              <w:pStyle w:val="21"/>
              <w:spacing w:before="123" w:line="219" w:lineRule="auto"/>
              <w:ind w:left="108"/>
              <w:rPr>
                <w:rFonts w:hint="eastAsia"/>
                <w:dstrike/>
                <w:color w:val="auto"/>
                <w:sz w:val="21"/>
                <w:szCs w:val="21"/>
                <w:lang w:eastAsia="zh-CN"/>
              </w:rPr>
            </w:pPr>
            <w:r>
              <w:rPr>
                <w:dstrike/>
                <w:color w:val="auto"/>
                <w:sz w:val="21"/>
                <w:szCs w:val="21"/>
                <w:lang w:eastAsia="zh-CN"/>
              </w:rPr>
              <w:t>省</w:t>
            </w:r>
            <w:r>
              <w:rPr>
                <w:rFonts w:ascii="Times New Roman" w:hAnsi="Times New Roman" w:eastAsia="Times New Roman" w:cs="Times New Roman"/>
                <w:dstrike/>
                <w:color w:val="auto"/>
                <w:sz w:val="21"/>
                <w:szCs w:val="21"/>
                <w:lang w:eastAsia="zh-CN"/>
              </w:rPr>
              <w:t>D</w:t>
            </w:r>
            <w:r>
              <w:rPr>
                <w:dstrike/>
                <w:color w:val="auto"/>
                <w:sz w:val="21"/>
                <w:szCs w:val="21"/>
                <w:lang w:eastAsia="zh-CN"/>
              </w:rPr>
              <w:t>及以下等级或无信用评价等级</w:t>
            </w:r>
          </w:p>
        </w:tc>
        <w:tc>
          <w:tcPr>
            <w:tcW w:w="942" w:type="dxa"/>
            <w:tcBorders>
              <w:right w:val="single" w:color="000000" w:sz="6" w:space="0"/>
            </w:tcBorders>
            <w:vAlign w:val="center"/>
          </w:tcPr>
          <w:p w14:paraId="1989A9CA">
            <w:pPr>
              <w:spacing w:before="161" w:line="187" w:lineRule="auto"/>
              <w:jc w:val="center"/>
              <w:rPr>
                <w:rFonts w:ascii="Times New Roman" w:hAnsi="Times New Roman" w:eastAsia="Times New Roman" w:cs="Times New Roman"/>
                <w:dstrike/>
                <w:color w:val="auto"/>
              </w:rPr>
            </w:pPr>
            <w:r>
              <w:rPr>
                <w:rFonts w:ascii="Times New Roman" w:hAnsi="Times New Roman" w:eastAsia="Times New Roman" w:cs="Times New Roman"/>
                <w:dstrike/>
                <w:color w:val="auto"/>
              </w:rPr>
              <w:t>0.0</w:t>
            </w:r>
          </w:p>
        </w:tc>
      </w:tr>
      <w:tr w14:paraId="1A4F0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center"/>
          </w:tcPr>
          <w:p w14:paraId="2057D3E4">
            <w:pPr>
              <w:pStyle w:val="21"/>
              <w:jc w:val="center"/>
              <w:rPr>
                <w:rFonts w:hint="eastAsia"/>
                <w:color w:val="auto"/>
                <w:sz w:val="21"/>
                <w:szCs w:val="21"/>
              </w:rPr>
            </w:pPr>
            <w:r>
              <w:rPr>
                <w:color w:val="auto"/>
                <w:sz w:val="21"/>
                <w:szCs w:val="21"/>
              </w:rPr>
              <w:t>（</w:t>
            </w:r>
            <w:r>
              <w:rPr>
                <w:rFonts w:ascii="Times New Roman" w:hAnsi="Times New Roman" w:eastAsia="Times New Roman" w:cs="Times New Roman"/>
                <w:color w:val="auto"/>
                <w:sz w:val="21"/>
                <w:szCs w:val="21"/>
              </w:rPr>
              <w:t>2</w:t>
            </w:r>
            <w:r>
              <w:rPr>
                <w:color w:val="auto"/>
                <w:sz w:val="21"/>
                <w:szCs w:val="21"/>
              </w:rPr>
              <w:t>）</w:t>
            </w:r>
          </w:p>
        </w:tc>
        <w:tc>
          <w:tcPr>
            <w:tcW w:w="7216" w:type="dxa"/>
          </w:tcPr>
          <w:p w14:paraId="646887B3">
            <w:pPr>
              <w:pStyle w:val="21"/>
              <w:spacing w:before="123" w:line="221" w:lineRule="auto"/>
              <w:ind w:left="106"/>
              <w:rPr>
                <w:rFonts w:hint="eastAsia"/>
                <w:color w:val="auto"/>
                <w:sz w:val="21"/>
                <w:szCs w:val="21"/>
              </w:rPr>
            </w:pPr>
            <w:r>
              <w:rPr>
                <w:color w:val="auto"/>
                <w:sz w:val="21"/>
                <w:szCs w:val="21"/>
              </w:rPr>
              <w:t>标段概算投资＞</w:t>
            </w:r>
            <w:r>
              <w:rPr>
                <w:rFonts w:ascii="Times New Roman" w:hAnsi="Times New Roman" w:eastAsia="Times New Roman" w:cs="Times New Roman"/>
                <w:color w:val="auto"/>
                <w:sz w:val="21"/>
                <w:szCs w:val="21"/>
              </w:rPr>
              <w:t>6000</w:t>
            </w:r>
            <w:r>
              <w:rPr>
                <w:color w:val="auto"/>
                <w:sz w:val="21"/>
                <w:szCs w:val="21"/>
              </w:rPr>
              <w:t>万元</w:t>
            </w:r>
          </w:p>
        </w:tc>
        <w:tc>
          <w:tcPr>
            <w:tcW w:w="942" w:type="dxa"/>
            <w:tcBorders>
              <w:right w:val="single" w:color="000000" w:sz="6" w:space="0"/>
            </w:tcBorders>
            <w:vAlign w:val="center"/>
          </w:tcPr>
          <w:p w14:paraId="192ACEDF">
            <w:pPr>
              <w:jc w:val="center"/>
              <w:rPr>
                <w:color w:val="auto"/>
              </w:rPr>
            </w:pPr>
          </w:p>
        </w:tc>
      </w:tr>
      <w:tr w14:paraId="32757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center"/>
          </w:tcPr>
          <w:p w14:paraId="6530CC9C">
            <w:pPr>
              <w:jc w:val="center"/>
              <w:rPr>
                <w:color w:val="auto"/>
              </w:rPr>
            </w:pPr>
          </w:p>
        </w:tc>
        <w:tc>
          <w:tcPr>
            <w:tcW w:w="7216" w:type="dxa"/>
          </w:tcPr>
          <w:p w14:paraId="1C267130">
            <w:pPr>
              <w:pStyle w:val="21"/>
              <w:spacing w:before="123" w:line="221" w:lineRule="auto"/>
              <w:ind w:left="108"/>
              <w:rPr>
                <w:rFonts w:ascii="Times New Roman" w:hAnsi="Times New Roman" w:eastAsia="Times New Roman" w:cs="Times New Roman"/>
                <w:color w:val="auto"/>
                <w:sz w:val="21"/>
                <w:szCs w:val="21"/>
              </w:rPr>
            </w:pPr>
            <w:r>
              <w:rPr>
                <w:color w:val="auto"/>
                <w:sz w:val="21"/>
                <w:szCs w:val="21"/>
              </w:rPr>
              <w:t>省</w:t>
            </w:r>
            <w:r>
              <w:rPr>
                <w:rFonts w:ascii="Times New Roman" w:hAnsi="Times New Roman" w:eastAsia="Times New Roman" w:cs="Times New Roman"/>
                <w:color w:val="auto"/>
                <w:sz w:val="21"/>
                <w:szCs w:val="21"/>
              </w:rPr>
              <w:t>A</w:t>
            </w:r>
          </w:p>
        </w:tc>
        <w:tc>
          <w:tcPr>
            <w:tcW w:w="942" w:type="dxa"/>
            <w:tcBorders>
              <w:right w:val="single" w:color="000000" w:sz="6" w:space="0"/>
            </w:tcBorders>
            <w:vAlign w:val="center"/>
          </w:tcPr>
          <w:p w14:paraId="09D1033A">
            <w:pPr>
              <w:spacing w:before="164" w:line="187" w:lineRule="auto"/>
              <w:jc w:val="center"/>
              <w:rPr>
                <w:rFonts w:ascii="Times New Roman" w:hAnsi="Times New Roman" w:eastAsia="Times New Roman" w:cs="Times New Roman"/>
                <w:color w:val="auto"/>
              </w:rPr>
            </w:pPr>
            <w:r>
              <w:rPr>
                <w:rFonts w:ascii="Times New Roman" w:hAnsi="Times New Roman" w:eastAsia="Times New Roman" w:cs="Times New Roman"/>
                <w:color w:val="auto"/>
              </w:rPr>
              <w:t>5.0</w:t>
            </w:r>
          </w:p>
        </w:tc>
      </w:tr>
      <w:tr w14:paraId="10C62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center"/>
          </w:tcPr>
          <w:p w14:paraId="5E9BCC58">
            <w:pPr>
              <w:jc w:val="center"/>
              <w:rPr>
                <w:color w:val="auto"/>
              </w:rPr>
            </w:pPr>
          </w:p>
        </w:tc>
        <w:tc>
          <w:tcPr>
            <w:tcW w:w="7216" w:type="dxa"/>
          </w:tcPr>
          <w:p w14:paraId="19FB2403">
            <w:pPr>
              <w:pStyle w:val="21"/>
              <w:spacing w:before="123" w:line="221" w:lineRule="auto"/>
              <w:ind w:left="108"/>
              <w:rPr>
                <w:rFonts w:ascii="Times New Roman" w:hAnsi="Times New Roman" w:eastAsia="Times New Roman" w:cs="Times New Roman"/>
                <w:color w:val="auto"/>
                <w:sz w:val="21"/>
                <w:szCs w:val="21"/>
              </w:rPr>
            </w:pPr>
            <w:r>
              <w:rPr>
                <w:color w:val="auto"/>
                <w:sz w:val="21"/>
                <w:szCs w:val="21"/>
              </w:rPr>
              <w:t>省</w:t>
            </w:r>
            <w:r>
              <w:rPr>
                <w:rFonts w:ascii="Times New Roman" w:hAnsi="Times New Roman" w:eastAsia="Times New Roman" w:cs="Times New Roman"/>
                <w:color w:val="auto"/>
                <w:sz w:val="21"/>
                <w:szCs w:val="21"/>
              </w:rPr>
              <w:t>B</w:t>
            </w:r>
          </w:p>
        </w:tc>
        <w:tc>
          <w:tcPr>
            <w:tcW w:w="942" w:type="dxa"/>
            <w:tcBorders>
              <w:right w:val="single" w:color="000000" w:sz="6" w:space="0"/>
            </w:tcBorders>
            <w:vAlign w:val="center"/>
          </w:tcPr>
          <w:p w14:paraId="52A14AF9">
            <w:pPr>
              <w:spacing w:before="162" w:line="187" w:lineRule="auto"/>
              <w:jc w:val="center"/>
              <w:rPr>
                <w:rFonts w:ascii="Times New Roman" w:hAnsi="Times New Roman" w:eastAsia="Times New Roman" w:cs="Times New Roman"/>
                <w:color w:val="auto"/>
              </w:rPr>
            </w:pPr>
            <w:r>
              <w:rPr>
                <w:rFonts w:ascii="Times New Roman" w:hAnsi="Times New Roman" w:eastAsia="Times New Roman" w:cs="Times New Roman"/>
                <w:color w:val="auto"/>
              </w:rPr>
              <w:t>3.0</w:t>
            </w:r>
          </w:p>
        </w:tc>
      </w:tr>
      <w:tr w14:paraId="52AAE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center"/>
          </w:tcPr>
          <w:p w14:paraId="1C142BC7">
            <w:pPr>
              <w:jc w:val="center"/>
              <w:rPr>
                <w:color w:val="auto"/>
              </w:rPr>
            </w:pPr>
          </w:p>
        </w:tc>
        <w:tc>
          <w:tcPr>
            <w:tcW w:w="7216" w:type="dxa"/>
          </w:tcPr>
          <w:p w14:paraId="4CE044D6">
            <w:pPr>
              <w:pStyle w:val="21"/>
              <w:spacing w:before="124" w:line="221" w:lineRule="auto"/>
              <w:ind w:left="108"/>
              <w:rPr>
                <w:rFonts w:ascii="Times New Roman" w:hAnsi="Times New Roman" w:eastAsia="Times New Roman" w:cs="Times New Roman"/>
                <w:color w:val="auto"/>
                <w:sz w:val="21"/>
                <w:szCs w:val="21"/>
              </w:rPr>
            </w:pPr>
            <w:r>
              <w:rPr>
                <w:color w:val="auto"/>
                <w:sz w:val="21"/>
                <w:szCs w:val="21"/>
              </w:rPr>
              <w:t>省</w:t>
            </w:r>
            <w:r>
              <w:rPr>
                <w:rFonts w:ascii="Times New Roman" w:hAnsi="Times New Roman" w:eastAsia="Times New Roman" w:cs="Times New Roman"/>
                <w:color w:val="auto"/>
                <w:sz w:val="21"/>
                <w:szCs w:val="21"/>
              </w:rPr>
              <w:t>C</w:t>
            </w:r>
          </w:p>
        </w:tc>
        <w:tc>
          <w:tcPr>
            <w:tcW w:w="942" w:type="dxa"/>
            <w:tcBorders>
              <w:right w:val="single" w:color="000000" w:sz="6" w:space="0"/>
            </w:tcBorders>
            <w:vAlign w:val="center"/>
          </w:tcPr>
          <w:p w14:paraId="52BDB3E3">
            <w:pPr>
              <w:spacing w:before="163" w:line="187" w:lineRule="auto"/>
              <w:jc w:val="center"/>
              <w:rPr>
                <w:rFonts w:ascii="Times New Roman" w:hAnsi="Times New Roman" w:eastAsia="Times New Roman" w:cs="Times New Roman"/>
                <w:color w:val="auto"/>
              </w:rPr>
            </w:pPr>
            <w:r>
              <w:rPr>
                <w:rFonts w:ascii="Times New Roman" w:hAnsi="Times New Roman" w:eastAsia="Times New Roman" w:cs="Times New Roman"/>
                <w:color w:val="auto"/>
              </w:rPr>
              <w:t>1.0</w:t>
            </w:r>
          </w:p>
        </w:tc>
      </w:tr>
      <w:tr w14:paraId="28A0F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center"/>
          </w:tcPr>
          <w:p w14:paraId="013CF23C">
            <w:pPr>
              <w:jc w:val="center"/>
              <w:rPr>
                <w:color w:val="auto"/>
              </w:rPr>
            </w:pPr>
          </w:p>
        </w:tc>
        <w:tc>
          <w:tcPr>
            <w:tcW w:w="7216" w:type="dxa"/>
          </w:tcPr>
          <w:p w14:paraId="1A25A876">
            <w:pPr>
              <w:pStyle w:val="21"/>
              <w:spacing w:before="124" w:line="219" w:lineRule="auto"/>
              <w:ind w:left="108"/>
              <w:rPr>
                <w:rFonts w:hint="eastAsia"/>
                <w:color w:val="auto"/>
                <w:sz w:val="21"/>
                <w:szCs w:val="21"/>
                <w:lang w:eastAsia="zh-CN"/>
              </w:rPr>
            </w:pPr>
            <w:r>
              <w:rPr>
                <w:color w:val="auto"/>
                <w:sz w:val="21"/>
                <w:szCs w:val="21"/>
                <w:lang w:eastAsia="zh-CN"/>
              </w:rPr>
              <w:t>省</w:t>
            </w:r>
            <w:r>
              <w:rPr>
                <w:rFonts w:ascii="Times New Roman" w:hAnsi="Times New Roman" w:eastAsia="Times New Roman" w:cs="Times New Roman"/>
                <w:color w:val="auto"/>
                <w:sz w:val="21"/>
                <w:szCs w:val="21"/>
                <w:lang w:eastAsia="zh-CN"/>
              </w:rPr>
              <w:t>D</w:t>
            </w:r>
            <w:r>
              <w:rPr>
                <w:color w:val="auto"/>
                <w:sz w:val="21"/>
                <w:szCs w:val="21"/>
                <w:lang w:eastAsia="zh-CN"/>
              </w:rPr>
              <w:t>及以下等级或无信用评价等级</w:t>
            </w:r>
          </w:p>
        </w:tc>
        <w:tc>
          <w:tcPr>
            <w:tcW w:w="942" w:type="dxa"/>
            <w:tcBorders>
              <w:right w:val="single" w:color="000000" w:sz="6" w:space="0"/>
            </w:tcBorders>
            <w:vAlign w:val="center"/>
          </w:tcPr>
          <w:p w14:paraId="31BC8758">
            <w:pPr>
              <w:spacing w:before="165" w:line="187" w:lineRule="auto"/>
              <w:jc w:val="center"/>
              <w:rPr>
                <w:rFonts w:ascii="Times New Roman" w:hAnsi="Times New Roman" w:eastAsia="Times New Roman" w:cs="Times New Roman"/>
                <w:color w:val="auto"/>
              </w:rPr>
            </w:pPr>
            <w:r>
              <w:rPr>
                <w:rFonts w:ascii="Times New Roman" w:hAnsi="Times New Roman" w:eastAsia="Times New Roman" w:cs="Times New Roman"/>
                <w:color w:val="auto"/>
              </w:rPr>
              <w:t>0.0</w:t>
            </w:r>
          </w:p>
        </w:tc>
      </w:tr>
      <w:tr w14:paraId="52BCC0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center"/>
          </w:tcPr>
          <w:p w14:paraId="431A53CE">
            <w:pPr>
              <w:jc w:val="center"/>
              <w:rPr>
                <w:rFonts w:eastAsia="宋体"/>
                <w:color w:val="auto"/>
                <w:lang w:eastAsia="zh-CN"/>
              </w:rPr>
            </w:pPr>
            <w:r>
              <w:rPr>
                <w:rFonts w:hint="eastAsia" w:eastAsia="宋体"/>
                <w:color w:val="auto"/>
                <w:lang w:eastAsia="zh-CN"/>
              </w:rPr>
              <w:t>2</w:t>
            </w:r>
          </w:p>
        </w:tc>
        <w:tc>
          <w:tcPr>
            <w:tcW w:w="7216" w:type="dxa"/>
            <w:vAlign w:val="center"/>
          </w:tcPr>
          <w:p w14:paraId="640DCC01">
            <w:pPr>
              <w:pStyle w:val="21"/>
              <w:widowControl w:val="0"/>
              <w:kinsoku/>
              <w:topLinePunct/>
              <w:autoSpaceDE/>
              <w:autoSpaceDN/>
              <w:ind w:left="108" w:right="38" w:rightChars="18"/>
              <w:jc w:val="both"/>
              <w:rPr>
                <w:rFonts w:hint="eastAsia"/>
                <w:color w:val="auto"/>
                <w:sz w:val="21"/>
                <w:szCs w:val="21"/>
                <w:lang w:eastAsia="zh-CN"/>
              </w:rPr>
            </w:pPr>
            <w:r>
              <w:rPr>
                <w:rFonts w:hint="eastAsia"/>
                <w:color w:val="auto"/>
                <w:sz w:val="21"/>
                <w:szCs w:val="21"/>
                <w:lang w:eastAsia="zh-CN"/>
              </w:rPr>
              <w:t>项目负责人自</w:t>
            </w:r>
            <w:r>
              <w:rPr>
                <w:color w:val="auto"/>
                <w:sz w:val="21"/>
                <w:szCs w:val="21"/>
                <w:lang w:eastAsia="zh-CN"/>
              </w:rPr>
              <w:t>2021</w:t>
            </w:r>
            <w:r>
              <w:rPr>
                <w:rFonts w:hint="eastAsia"/>
                <w:color w:val="auto"/>
                <w:sz w:val="21"/>
                <w:szCs w:val="21"/>
                <w:lang w:eastAsia="zh-CN"/>
              </w:rPr>
              <w:t>年</w:t>
            </w:r>
            <w:r>
              <w:rPr>
                <w:color w:val="auto"/>
                <w:sz w:val="21"/>
                <w:szCs w:val="21"/>
                <w:lang w:eastAsia="zh-CN"/>
              </w:rPr>
              <w:t>1</w:t>
            </w:r>
            <w:r>
              <w:rPr>
                <w:rFonts w:hint="eastAsia"/>
                <w:color w:val="auto"/>
                <w:sz w:val="21"/>
                <w:szCs w:val="21"/>
                <w:lang w:eastAsia="zh-CN"/>
              </w:rPr>
              <w:t>月</w:t>
            </w:r>
            <w:r>
              <w:rPr>
                <w:color w:val="auto"/>
                <w:sz w:val="21"/>
                <w:szCs w:val="21"/>
                <w:lang w:eastAsia="zh-CN"/>
              </w:rPr>
              <w:t>1</w:t>
            </w:r>
            <w:r>
              <w:rPr>
                <w:rFonts w:hint="eastAsia"/>
                <w:color w:val="auto"/>
                <w:sz w:val="21"/>
                <w:szCs w:val="21"/>
                <w:lang w:eastAsia="zh-CN"/>
              </w:rPr>
              <w:t>日至投标截止时间，以项目负责人或技术负责人（包括工程总承包项目中的施工负责人或施工技术负责人）身份已完成的单站新增设计流量</w:t>
            </w:r>
            <w:r>
              <w:rPr>
                <w:color w:val="auto"/>
                <w:sz w:val="21"/>
                <w:szCs w:val="21"/>
                <w:lang w:eastAsia="zh-CN"/>
              </w:rPr>
              <w:t>100</w:t>
            </w:r>
            <w:r>
              <w:rPr>
                <w:rFonts w:hint="eastAsia"/>
                <w:color w:val="auto"/>
                <w:sz w:val="21"/>
                <w:szCs w:val="21"/>
                <w:lang w:eastAsia="zh-CN"/>
              </w:rPr>
              <w:t>m³</w:t>
            </w:r>
            <w:r>
              <w:rPr>
                <w:color w:val="auto"/>
                <w:sz w:val="21"/>
                <w:szCs w:val="21"/>
                <w:lang w:eastAsia="zh-CN"/>
              </w:rPr>
              <w:t>/s</w:t>
            </w:r>
            <w:r>
              <w:rPr>
                <w:rFonts w:hint="eastAsia"/>
                <w:color w:val="auto"/>
                <w:sz w:val="21"/>
                <w:szCs w:val="21"/>
                <w:lang w:eastAsia="zh-CN"/>
              </w:rPr>
              <w:t>及以上的泵站施工业绩的，本项最高得</w:t>
            </w:r>
            <w:r>
              <w:rPr>
                <w:color w:val="auto"/>
                <w:sz w:val="21"/>
                <w:szCs w:val="21"/>
                <w:lang w:eastAsia="zh-CN"/>
              </w:rPr>
              <w:t>1.0</w:t>
            </w:r>
            <w:r>
              <w:rPr>
                <w:rFonts w:hint="eastAsia"/>
                <w:color w:val="auto"/>
                <w:sz w:val="21"/>
                <w:szCs w:val="21"/>
                <w:lang w:eastAsia="zh-CN"/>
              </w:rPr>
              <w:t>分。</w:t>
            </w:r>
          </w:p>
        </w:tc>
        <w:tc>
          <w:tcPr>
            <w:tcW w:w="942" w:type="dxa"/>
            <w:tcBorders>
              <w:right w:val="single" w:color="000000" w:sz="6" w:space="0"/>
            </w:tcBorders>
            <w:vAlign w:val="center"/>
          </w:tcPr>
          <w:p w14:paraId="00583382">
            <w:pPr>
              <w:spacing w:before="165" w:line="187" w:lineRule="auto"/>
              <w:jc w:val="center"/>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1.0</w:t>
            </w:r>
          </w:p>
        </w:tc>
      </w:tr>
      <w:tr w14:paraId="288E0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884" w:type="dxa"/>
            <w:tcBorders>
              <w:left w:val="single" w:color="000000" w:sz="6" w:space="0"/>
            </w:tcBorders>
            <w:vAlign w:val="center"/>
          </w:tcPr>
          <w:p w14:paraId="2E2BB9B3">
            <w:pPr>
              <w:jc w:val="center"/>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3</w:t>
            </w:r>
          </w:p>
        </w:tc>
        <w:tc>
          <w:tcPr>
            <w:tcW w:w="7216" w:type="dxa"/>
          </w:tcPr>
          <w:p w14:paraId="5E7FE610">
            <w:pPr>
              <w:ind w:left="108"/>
              <w:rPr>
                <w:color w:val="auto"/>
                <w:lang w:eastAsia="zh-CN"/>
              </w:rPr>
            </w:pPr>
            <w:r>
              <w:rPr>
                <w:rFonts w:hint="eastAsia"/>
                <w:color w:val="auto"/>
                <w:lang w:eastAsia="zh-CN"/>
              </w:rPr>
              <w:t>投标人自2016年1月1日至投标截止时间（以获奖证书或获奖文件日期时间为准)承担的水利工程施工，该业绩获得过中国水利工程优质(大禹)奖或省级质量奖（优质工程奖）的得0.5分；该业绩获得过中国建设工程鲁班奖（或国家优质工程奖）的得1分。本项最高得1分，不提供不得分。</w:t>
            </w:r>
          </w:p>
          <w:p w14:paraId="6BA9CC13">
            <w:pPr>
              <w:pStyle w:val="21"/>
              <w:widowControl w:val="0"/>
              <w:kinsoku/>
              <w:topLinePunct/>
              <w:autoSpaceDE/>
              <w:autoSpaceDN/>
              <w:ind w:left="210" w:leftChars="100" w:right="210" w:rightChars="1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省级质量奖（优质工程奖）名录见附表一。</w:t>
            </w:r>
          </w:p>
          <w:p w14:paraId="6C06F40E">
            <w:pPr>
              <w:widowControl w:val="0"/>
              <w:kinsoku/>
              <w:topLinePunct/>
              <w:autoSpaceDE/>
              <w:autoSpaceDN/>
              <w:ind w:left="108"/>
              <w:rPr>
                <w:rFonts w:hint="eastAsia" w:ascii="宋体" w:hAnsi="宋体" w:eastAsia="宋体"/>
                <w:color w:val="auto"/>
                <w:lang w:eastAsia="zh-CN"/>
              </w:rPr>
            </w:pPr>
            <w:r>
              <w:rPr>
                <w:rFonts w:hint="eastAsia"/>
                <w:color w:val="auto"/>
                <w:lang w:eastAsia="zh-CN"/>
              </w:rPr>
              <w:t>注：投标人如提供多个质量奖项，只计一个质量奖，按最高得分的一个质量奖项计分，其他奖项不再计分。</w:t>
            </w:r>
          </w:p>
        </w:tc>
        <w:tc>
          <w:tcPr>
            <w:tcW w:w="942" w:type="dxa"/>
            <w:tcBorders>
              <w:right w:val="single" w:color="000000" w:sz="6" w:space="0"/>
            </w:tcBorders>
            <w:vAlign w:val="center"/>
          </w:tcPr>
          <w:p w14:paraId="61CDA05D">
            <w:pPr>
              <w:jc w:val="center"/>
              <w:rPr>
                <w:rFonts w:eastAsia="宋体"/>
                <w:color w:val="auto"/>
                <w:lang w:eastAsia="zh-CN"/>
              </w:rPr>
            </w:pPr>
            <w:r>
              <w:rPr>
                <w:rFonts w:hint="eastAsia" w:eastAsia="宋体"/>
                <w:color w:val="auto"/>
                <w:lang w:eastAsia="zh-CN"/>
              </w:rPr>
              <w:t>1.0</w:t>
            </w:r>
          </w:p>
        </w:tc>
      </w:tr>
    </w:tbl>
    <w:p w14:paraId="6B2B040C">
      <w:pPr>
        <w:widowControl w:val="0"/>
        <w:kinsoku/>
        <w:wordWrap w:val="0"/>
        <w:topLinePunct/>
        <w:autoSpaceDE/>
        <w:autoSpaceDN/>
        <w:spacing w:line="360" w:lineRule="auto"/>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投标资格中的业绩</w:t>
      </w:r>
      <w:r>
        <w:rPr>
          <w:rFonts w:hint="eastAsia" w:ascii="宋体" w:hAnsi="宋体" w:eastAsia="宋体" w:cs="宋体"/>
          <w:color w:val="auto"/>
          <w:sz w:val="24"/>
          <w:szCs w:val="24"/>
          <w:u w:val="single"/>
          <w:lang w:eastAsia="zh-CN"/>
        </w:rPr>
        <w:t>　不可以</w:t>
      </w:r>
      <w:r>
        <w:rPr>
          <w:rFonts w:hint="eastAsia" w:ascii="宋体" w:hAnsi="宋体" w:eastAsia="宋体" w:cs="宋体"/>
          <w:i/>
          <w:iCs/>
          <w:strike/>
          <w:color w:val="auto"/>
          <w:sz w:val="24"/>
          <w:szCs w:val="24"/>
          <w:u w:val="single"/>
          <w:lang w:eastAsia="zh-CN"/>
        </w:rPr>
        <w:t>（可以/不可以）</w:t>
      </w:r>
      <w:r>
        <w:rPr>
          <w:rFonts w:hint="eastAsia" w:ascii="宋体" w:hAnsi="宋体" w:eastAsia="宋体" w:cs="宋体"/>
          <w:color w:val="auto"/>
          <w:sz w:val="25"/>
          <w:szCs w:val="25"/>
          <w:u w:val="single"/>
          <w:lang w:eastAsia="zh-CN"/>
        </w:rPr>
        <w:t>　</w:t>
      </w:r>
      <w:r>
        <w:rPr>
          <w:rFonts w:ascii="宋体" w:hAnsi="宋体" w:eastAsia="宋体" w:cs="宋体"/>
          <w:color w:val="auto"/>
          <w:sz w:val="24"/>
          <w:szCs w:val="24"/>
          <w:lang w:eastAsia="zh-CN"/>
        </w:rPr>
        <w:t>作为本项计分业绩。</w:t>
      </w:r>
    </w:p>
    <w:p w14:paraId="6C4739AA">
      <w:pPr>
        <w:widowControl w:val="0"/>
        <w:kinsoku/>
        <w:wordWrap w:val="0"/>
        <w:topLinePunct/>
        <w:autoSpaceDE/>
        <w:autoSpaceDN/>
        <w:spacing w:line="360" w:lineRule="auto"/>
        <w:ind w:firstLine="400" w:firstLineChars="200"/>
        <w:rPr>
          <w:rFonts w:hint="eastAsia" w:ascii="隶书" w:hAnsi="隶书" w:eastAsia="隶书" w:cs="隶书"/>
          <w:color w:val="auto"/>
          <w:sz w:val="24"/>
          <w:szCs w:val="24"/>
          <w:lang w:eastAsia="zh-CN"/>
        </w:rPr>
      </w:pPr>
      <w:r>
        <w:rPr>
          <w:rFonts w:hint="eastAsia" w:ascii="隶书" w:hAnsi="隶书" w:eastAsia="隶书" w:cs="隶书"/>
          <w:color w:val="auto"/>
          <w:spacing w:val="-20"/>
          <w:sz w:val="24"/>
          <w:szCs w:val="24"/>
          <w:lang w:eastAsia="zh-CN"/>
        </w:rPr>
        <w:t>企业信用等级证明材料指：浙江省水利建设市场信用评价等级（施工类）的提供投标截止日前最新一期信用评价等级打印件（信用评价等级每周五下午17：00-24：00更新），打印件应含有“浙江水利透明工程”水印。</w:t>
      </w:r>
    </w:p>
    <w:p w14:paraId="037C31F6">
      <w:pPr>
        <w:widowControl w:val="0"/>
        <w:kinsoku/>
        <w:wordWrap w:val="0"/>
        <w:topLinePunct/>
        <w:autoSpaceDE/>
        <w:autoSpaceDN/>
        <w:spacing w:line="360" w:lineRule="auto"/>
        <w:ind w:firstLine="480" w:firstLineChars="200"/>
        <w:rPr>
          <w:rFonts w:hint="eastAsia" w:ascii="隶书" w:hAnsi="隶书" w:eastAsia="隶书" w:cs="隶书"/>
          <w:color w:val="auto"/>
          <w:sz w:val="24"/>
          <w:szCs w:val="24"/>
          <w:lang w:eastAsia="zh-CN"/>
        </w:rPr>
      </w:pPr>
      <w:r>
        <w:rPr>
          <w:rFonts w:hint="eastAsia" w:ascii="隶书" w:hAnsi="隶书" w:eastAsia="隶书" w:cs="隶书"/>
          <w:color w:val="auto"/>
          <w:sz w:val="24"/>
          <w:szCs w:val="24"/>
          <w:lang w:eastAsia="zh-CN"/>
        </w:rPr>
        <w:t>投标人及其拟派项目负责人的类似项目业绩要求详见上表，该业绩须已在浙江省水利厅“浙江省水利建设市场信息”上公示。</w:t>
      </w:r>
    </w:p>
    <w:p w14:paraId="4E955FF1">
      <w:pPr>
        <w:widowControl w:val="0"/>
        <w:kinsoku/>
        <w:wordWrap w:val="0"/>
        <w:topLinePunct/>
        <w:autoSpaceDE/>
        <w:autoSpaceDN/>
        <w:spacing w:line="360" w:lineRule="auto"/>
        <w:ind w:firstLine="480" w:firstLineChars="200"/>
        <w:rPr>
          <w:rFonts w:hint="eastAsia" w:ascii="隶书" w:hAnsi="隶书" w:eastAsia="隶书" w:cs="隶书"/>
          <w:color w:val="auto"/>
          <w:sz w:val="24"/>
          <w:szCs w:val="24"/>
          <w:lang w:eastAsia="zh-CN"/>
        </w:rPr>
      </w:pPr>
      <w:r>
        <w:rPr>
          <w:rFonts w:hint="eastAsia" w:ascii="隶书" w:hAnsi="隶书" w:eastAsia="隶书" w:cs="隶书"/>
          <w:color w:val="auto"/>
          <w:sz w:val="24"/>
          <w:szCs w:val="24"/>
          <w:lang w:eastAsia="zh-CN"/>
        </w:rPr>
        <w:t>类似项目业绩证明材料指：（1）合同，以及由项目法人或行政主管部门出具的完工（竣工）验收鉴定书〔或质量监督机构出具对应的完工（竣工）质量（安全）监督报告〕，若工程规模、特征等无法认定的，以初步设计批复文件（包括设计变更批复）或施工图纸为依据；（2）浙江省水利厅“浙江省水利工程建设管理系统（透明工程）”下载业绩打印件，打印件应含有“浙江水利透明工程”水印。（上述（1）、（2）项须同时提供）。日期以完工（竣工）验收鉴定书或工程质量（安全）监督报告中明确的完工（竣工）日期为准。</w:t>
      </w:r>
    </w:p>
    <w:p w14:paraId="538E7585">
      <w:pPr>
        <w:widowControl w:val="0"/>
        <w:kinsoku/>
        <w:wordWrap w:val="0"/>
        <w:topLinePunct/>
        <w:autoSpaceDE/>
        <w:autoSpaceDN/>
        <w:spacing w:line="360" w:lineRule="auto"/>
        <w:ind w:firstLine="480" w:firstLineChars="200"/>
        <w:jc w:val="both"/>
        <w:rPr>
          <w:rFonts w:hint="eastAsia" w:ascii="隶书" w:hAnsi="隶书" w:eastAsia="隶书" w:cs="隶书"/>
          <w:color w:val="auto"/>
          <w:sz w:val="24"/>
          <w:szCs w:val="24"/>
          <w:lang w:eastAsia="zh-CN"/>
        </w:rPr>
      </w:pPr>
      <w:r>
        <w:rPr>
          <w:rFonts w:hint="eastAsia" w:ascii="隶书" w:hAnsi="隶书" w:eastAsia="隶书" w:cs="隶书"/>
          <w:color w:val="auto"/>
          <w:sz w:val="24"/>
          <w:szCs w:val="24"/>
          <w:lang w:eastAsia="zh-CN"/>
        </w:rPr>
        <w:t>业绩要求的项目负责人或技术负责人的身份以</w:t>
      </w:r>
      <w:r>
        <w:rPr>
          <w:rFonts w:hint="eastAsia" w:ascii="隶书" w:hAnsi="隶书" w:eastAsia="隶书" w:cs="隶书"/>
          <w:b/>
          <w:bCs/>
          <w:color w:val="auto"/>
          <w:sz w:val="24"/>
          <w:szCs w:val="24"/>
          <w:lang w:eastAsia="zh-CN"/>
        </w:rPr>
        <w:t>“</w:t>
      </w:r>
      <w:r>
        <w:rPr>
          <w:rFonts w:hint="eastAsia" w:ascii="隶书" w:hAnsi="隶书" w:eastAsia="隶书" w:cs="隶书"/>
          <w:color w:val="auto"/>
          <w:sz w:val="24"/>
          <w:szCs w:val="24"/>
          <w:lang w:eastAsia="zh-CN"/>
        </w:rPr>
        <w:t>浙江省水利工程建设管理系统（透明工程）”业绩打印件（指完工或竣工人员）为准。业绩打印件应与项目法人或行政主管部门出具的完工（竣工）验收鉴定书〔或质量监督机构出具对应的完工（竣工）质量（安全）监督报告〕的内容一致；不一致的，该业绩不予认可。</w:t>
      </w:r>
    </w:p>
    <w:p w14:paraId="1B3F4869">
      <w:pPr>
        <w:widowControl w:val="0"/>
        <w:kinsoku/>
        <w:wordWrap w:val="0"/>
        <w:topLinePunct/>
        <w:autoSpaceDE/>
        <w:autoSpaceDN/>
        <w:spacing w:line="360" w:lineRule="auto"/>
        <w:ind w:firstLine="480" w:firstLineChars="200"/>
        <w:jc w:val="both"/>
        <w:rPr>
          <w:rFonts w:hint="eastAsia" w:ascii="隶书" w:hAnsi="隶书" w:eastAsia="隶书" w:cs="隶书"/>
          <w:color w:val="auto"/>
          <w:sz w:val="24"/>
          <w:szCs w:val="24"/>
          <w:lang w:eastAsia="zh-CN"/>
        </w:rPr>
      </w:pPr>
      <w:r>
        <w:rPr>
          <w:rFonts w:hint="eastAsia" w:ascii="隶书" w:hAnsi="隶书" w:eastAsia="隶书" w:cs="隶书"/>
          <w:color w:val="auto"/>
          <w:sz w:val="24"/>
          <w:szCs w:val="24"/>
          <w:lang w:eastAsia="zh-CN"/>
        </w:rPr>
        <w:t>除业绩要求的项目负责人或技术负责人的身份外，“浙江省水利工程建设管理系统（透明工程）”业绩打印件与项目法人出具的完工（竣工）验收鉴定书〔或质量监督机构出具对应的完工（竣工）质量（安全）监督报告〕中涉及业绩加分的相关信息不一致的，该业绩不予认可。</w:t>
      </w:r>
    </w:p>
    <w:p w14:paraId="65C9967F">
      <w:pPr>
        <w:widowControl w:val="0"/>
        <w:kinsoku/>
        <w:wordWrap w:val="0"/>
        <w:topLinePunct/>
        <w:autoSpaceDE/>
        <w:autoSpaceDN/>
        <w:spacing w:line="360" w:lineRule="auto"/>
        <w:ind w:firstLine="480" w:firstLineChars="200"/>
        <w:jc w:val="both"/>
        <w:rPr>
          <w:rFonts w:hint="eastAsia" w:ascii="隶书" w:hAnsi="隶书" w:eastAsia="隶书" w:cs="隶书"/>
          <w:color w:val="auto"/>
          <w:sz w:val="24"/>
          <w:szCs w:val="24"/>
          <w:lang w:eastAsia="zh-CN"/>
        </w:rPr>
      </w:pPr>
      <w:r>
        <w:rPr>
          <w:rFonts w:hint="eastAsia" w:ascii="隶书" w:hAnsi="隶书" w:eastAsia="隶书" w:cs="隶书"/>
          <w:color w:val="auto"/>
          <w:sz w:val="24"/>
          <w:szCs w:val="24"/>
          <w:lang w:eastAsia="zh-CN"/>
        </w:rPr>
        <w:t>获奖证明材料指：奖项颁发单位颁发的获奖证书（或获奖文件）复制件。</w:t>
      </w:r>
    </w:p>
    <w:p w14:paraId="019F6261">
      <w:pPr>
        <w:widowControl w:val="0"/>
        <w:kinsoku/>
        <w:wordWrap w:val="0"/>
        <w:topLinePunct/>
        <w:autoSpaceDE/>
        <w:autoSpaceDN/>
        <w:spacing w:line="360" w:lineRule="auto"/>
        <w:ind w:firstLine="500" w:firstLineChars="200"/>
        <w:rPr>
          <w:rFonts w:hint="eastAsia" w:ascii="宋体" w:hAnsi="宋体" w:eastAsia="宋体" w:cs="宋体"/>
          <w:i/>
          <w:iCs/>
          <w:color w:val="auto"/>
          <w:sz w:val="25"/>
          <w:szCs w:val="25"/>
          <w:lang w:eastAsia="zh-CN"/>
        </w:rPr>
      </w:pPr>
      <w:r>
        <w:rPr>
          <w:rFonts w:ascii="宋体" w:hAnsi="宋体" w:eastAsia="宋体" w:cs="宋体"/>
          <w:i/>
          <w:iCs/>
          <w:color w:val="auto"/>
          <w:sz w:val="25"/>
          <w:szCs w:val="25"/>
          <w:lang w:eastAsia="zh-CN"/>
        </w:rPr>
        <w:t>注：①资信评审内容可根据项目实际情况进行调整。有争创优质工程要求的项目，招标人可在“其他”中设置与招标项目相关的质量奖（优质工程）作为评审因素，并在评标办法中明确奖项名称。</w:t>
      </w:r>
    </w:p>
    <w:p w14:paraId="5A8DC75A">
      <w:pPr>
        <w:widowControl w:val="0"/>
        <w:kinsoku/>
        <w:wordWrap w:val="0"/>
        <w:topLinePunct/>
        <w:autoSpaceDE/>
        <w:autoSpaceDN/>
        <w:spacing w:line="360" w:lineRule="auto"/>
        <w:ind w:firstLine="500" w:firstLineChars="200"/>
        <w:rPr>
          <w:rFonts w:hint="eastAsia" w:ascii="宋体" w:hAnsi="宋体" w:eastAsia="宋体" w:cs="宋体"/>
          <w:strike/>
          <w:color w:val="auto"/>
          <w:sz w:val="25"/>
          <w:szCs w:val="25"/>
          <w:lang w:eastAsia="zh-CN"/>
        </w:rPr>
      </w:pPr>
      <w:r>
        <w:rPr>
          <w:rFonts w:ascii="宋体" w:hAnsi="宋体" w:eastAsia="宋体" w:cs="宋体"/>
          <w:i/>
          <w:iCs/>
          <w:strike/>
          <w:color w:val="auto"/>
          <w:sz w:val="25"/>
          <w:szCs w:val="25"/>
          <w:lang w:eastAsia="zh-CN"/>
        </w:rPr>
        <w:t>②</w:t>
      </w:r>
      <w:r>
        <w:rPr>
          <w:rFonts w:hint="eastAsia" w:ascii="宋体" w:hAnsi="宋体" w:eastAsia="宋体" w:cs="宋体"/>
          <w:strike/>
          <w:color w:val="auto"/>
          <w:sz w:val="25"/>
          <w:szCs w:val="25"/>
          <w:lang w:eastAsia="zh-CN"/>
        </w:rPr>
        <w:t>　</w:t>
      </w:r>
      <w:r>
        <w:rPr>
          <w:rFonts w:ascii="宋体" w:hAnsi="宋体" w:eastAsia="宋体" w:cs="宋体"/>
          <w:i/>
          <w:iCs/>
          <w:strike/>
          <w:color w:val="auto"/>
          <w:sz w:val="25"/>
          <w:szCs w:val="25"/>
          <w:lang w:eastAsia="zh-CN"/>
        </w:rPr>
        <w:t>招标人可选用全国水利建设市场监管服务平台公布的企业信用评价等级，并修改资信评分标准表。</w:t>
      </w:r>
    </w:p>
    <w:p w14:paraId="0C25B6AB">
      <w:pPr>
        <w:widowControl w:val="0"/>
        <w:kinsoku/>
        <w:wordWrap w:val="0"/>
        <w:topLinePunct/>
        <w:autoSpaceDE/>
        <w:autoSpaceDN/>
        <w:spacing w:line="520" w:lineRule="exact"/>
        <w:ind w:firstLine="482" w:firstLineChars="200"/>
        <w:jc w:val="both"/>
        <w:outlineLvl w:val="3"/>
        <w:rPr>
          <w:rFonts w:hint="eastAsia" w:ascii="宋体" w:hAnsi="宋体" w:eastAsia="宋体" w:cs="宋体"/>
          <w:b/>
          <w:bCs/>
          <w:color w:val="auto"/>
          <w:sz w:val="24"/>
          <w:szCs w:val="24"/>
          <w:lang w:eastAsia="zh-CN"/>
        </w:rPr>
      </w:pPr>
      <w:bookmarkStart w:id="449" w:name="_Toc20477"/>
      <w:bookmarkStart w:id="450" w:name="_Toc115630928"/>
      <w:bookmarkStart w:id="451" w:name="_Toc115729750"/>
      <w:r>
        <w:rPr>
          <w:rFonts w:hint="eastAsia" w:ascii="宋体" w:hAnsi="宋体" w:eastAsia="宋体" w:cs="宋体"/>
          <w:b/>
          <w:bCs/>
          <w:color w:val="auto"/>
          <w:sz w:val="24"/>
          <w:szCs w:val="24"/>
          <w:lang w:eastAsia="zh-CN"/>
        </w:rPr>
        <w:t>附表一：省级质量奖（优质工程名录）</w:t>
      </w:r>
      <w:bookmarkEnd w:id="449"/>
      <w:bookmarkEnd w:id="450"/>
      <w:bookmarkEnd w:id="451"/>
    </w:p>
    <w:p w14:paraId="1DDD7D70">
      <w:pPr>
        <w:spacing w:line="520" w:lineRule="exact"/>
        <w:jc w:val="center"/>
        <w:rPr>
          <w:rFonts w:ascii="宋体" w:hAnsi="宋体"/>
          <w:b/>
          <w:bCs/>
          <w:color w:val="auto"/>
          <w:sz w:val="28"/>
          <w:szCs w:val="28"/>
          <w:lang w:eastAsia="zh-CN"/>
        </w:rPr>
      </w:pPr>
      <w:r>
        <w:rPr>
          <w:rFonts w:hint="eastAsia" w:ascii="宋体" w:hAnsi="宋体"/>
          <w:b/>
          <w:bCs/>
          <w:color w:val="auto"/>
          <w:sz w:val="28"/>
          <w:szCs w:val="28"/>
          <w:lang w:eastAsia="zh-CN"/>
        </w:rPr>
        <w:t>省级质量奖（优质工程名录）</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188"/>
        <w:gridCol w:w="2393"/>
        <w:gridCol w:w="889"/>
        <w:gridCol w:w="1142"/>
        <w:gridCol w:w="2420"/>
      </w:tblGrid>
      <w:tr w14:paraId="4455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5521F7D2">
            <w:pPr>
              <w:jc w:val="center"/>
              <w:rPr>
                <w:rFonts w:ascii="宋体" w:hAnsi="宋体" w:cs="宋体"/>
                <w:color w:val="auto"/>
                <w:sz w:val="24"/>
              </w:rPr>
            </w:pPr>
            <w:r>
              <w:rPr>
                <w:rFonts w:hint="eastAsia" w:ascii="宋体" w:hAnsi="宋体" w:cs="宋体"/>
                <w:color w:val="auto"/>
                <w:sz w:val="24"/>
              </w:rPr>
              <w:t>序号</w:t>
            </w:r>
          </w:p>
        </w:tc>
        <w:tc>
          <w:tcPr>
            <w:tcW w:w="1188" w:type="dxa"/>
          </w:tcPr>
          <w:p w14:paraId="132D0DBB">
            <w:pPr>
              <w:jc w:val="center"/>
              <w:rPr>
                <w:rFonts w:ascii="宋体" w:hAnsi="宋体" w:cs="宋体"/>
                <w:color w:val="auto"/>
                <w:sz w:val="24"/>
              </w:rPr>
            </w:pPr>
            <w:r>
              <w:rPr>
                <w:rFonts w:hint="eastAsia" w:ascii="宋体" w:hAnsi="宋体" w:cs="宋体"/>
                <w:color w:val="auto"/>
                <w:sz w:val="24"/>
              </w:rPr>
              <w:t>地区</w:t>
            </w:r>
          </w:p>
        </w:tc>
        <w:tc>
          <w:tcPr>
            <w:tcW w:w="2393" w:type="dxa"/>
          </w:tcPr>
          <w:p w14:paraId="42747BA0">
            <w:pPr>
              <w:jc w:val="center"/>
              <w:rPr>
                <w:rFonts w:ascii="宋体" w:hAnsi="宋体" w:cs="宋体"/>
                <w:color w:val="auto"/>
                <w:sz w:val="24"/>
              </w:rPr>
            </w:pPr>
            <w:r>
              <w:rPr>
                <w:rFonts w:hint="eastAsia" w:ascii="宋体" w:hAnsi="宋体" w:cs="宋体"/>
                <w:color w:val="auto"/>
                <w:sz w:val="24"/>
              </w:rPr>
              <w:t>优质工程奖</w:t>
            </w:r>
          </w:p>
        </w:tc>
        <w:tc>
          <w:tcPr>
            <w:tcW w:w="889" w:type="dxa"/>
          </w:tcPr>
          <w:p w14:paraId="09B787EA">
            <w:pPr>
              <w:jc w:val="center"/>
              <w:rPr>
                <w:rFonts w:ascii="宋体" w:hAnsi="宋体" w:cs="宋体"/>
                <w:color w:val="auto"/>
                <w:sz w:val="24"/>
              </w:rPr>
            </w:pPr>
            <w:r>
              <w:rPr>
                <w:rFonts w:hint="eastAsia" w:ascii="宋体" w:hAnsi="宋体" w:cs="宋体"/>
                <w:color w:val="auto"/>
                <w:sz w:val="24"/>
              </w:rPr>
              <w:t>序号</w:t>
            </w:r>
          </w:p>
        </w:tc>
        <w:tc>
          <w:tcPr>
            <w:tcW w:w="1142" w:type="dxa"/>
          </w:tcPr>
          <w:p w14:paraId="60E5C6DD">
            <w:pPr>
              <w:jc w:val="center"/>
              <w:rPr>
                <w:rFonts w:ascii="宋体" w:hAnsi="宋体" w:cs="宋体"/>
                <w:color w:val="auto"/>
                <w:sz w:val="24"/>
              </w:rPr>
            </w:pPr>
            <w:r>
              <w:rPr>
                <w:rFonts w:hint="eastAsia" w:ascii="宋体" w:hAnsi="宋体" w:cs="宋体"/>
                <w:color w:val="auto"/>
                <w:sz w:val="24"/>
              </w:rPr>
              <w:t>地区</w:t>
            </w:r>
          </w:p>
        </w:tc>
        <w:tc>
          <w:tcPr>
            <w:tcW w:w="2420" w:type="dxa"/>
          </w:tcPr>
          <w:p w14:paraId="6A0B0897">
            <w:pPr>
              <w:jc w:val="center"/>
              <w:rPr>
                <w:rFonts w:ascii="宋体" w:hAnsi="宋体" w:cs="宋体"/>
                <w:color w:val="auto"/>
                <w:sz w:val="24"/>
              </w:rPr>
            </w:pPr>
            <w:r>
              <w:rPr>
                <w:rFonts w:hint="eastAsia" w:ascii="宋体" w:hAnsi="宋体" w:cs="宋体"/>
                <w:color w:val="auto"/>
                <w:sz w:val="24"/>
              </w:rPr>
              <w:t>优质工程奖</w:t>
            </w:r>
          </w:p>
        </w:tc>
      </w:tr>
      <w:tr w14:paraId="791D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1CAF21B5">
            <w:pPr>
              <w:jc w:val="center"/>
              <w:rPr>
                <w:rFonts w:ascii="宋体" w:hAnsi="宋体" w:cs="宋体"/>
                <w:color w:val="auto"/>
                <w:sz w:val="24"/>
              </w:rPr>
            </w:pPr>
            <w:r>
              <w:rPr>
                <w:rFonts w:hint="eastAsia" w:ascii="宋体" w:hAnsi="宋体" w:cs="宋体"/>
                <w:color w:val="auto"/>
                <w:sz w:val="24"/>
              </w:rPr>
              <w:t>1</w:t>
            </w:r>
          </w:p>
        </w:tc>
        <w:tc>
          <w:tcPr>
            <w:tcW w:w="1188" w:type="dxa"/>
          </w:tcPr>
          <w:p w14:paraId="05ACD780">
            <w:pPr>
              <w:jc w:val="center"/>
              <w:rPr>
                <w:rFonts w:ascii="宋体" w:hAnsi="宋体" w:cs="宋体"/>
                <w:color w:val="auto"/>
                <w:sz w:val="24"/>
              </w:rPr>
            </w:pPr>
            <w:r>
              <w:rPr>
                <w:rFonts w:hint="eastAsia" w:ascii="宋体" w:hAnsi="宋体" w:cs="宋体"/>
                <w:color w:val="auto"/>
                <w:sz w:val="24"/>
              </w:rPr>
              <w:t>北京</w:t>
            </w:r>
          </w:p>
        </w:tc>
        <w:tc>
          <w:tcPr>
            <w:tcW w:w="2393" w:type="dxa"/>
          </w:tcPr>
          <w:p w14:paraId="52D40C8F">
            <w:pPr>
              <w:jc w:val="center"/>
              <w:rPr>
                <w:rFonts w:hint="eastAsia" w:ascii="宋体" w:hAnsi="宋体" w:eastAsia="宋体" w:cs="宋体"/>
                <w:color w:val="auto"/>
                <w:sz w:val="24"/>
                <w:lang w:eastAsia="zh-CN"/>
              </w:rPr>
            </w:pPr>
            <w:r>
              <w:rPr>
                <w:rFonts w:hint="eastAsia" w:ascii="宋体" w:hAnsi="宋体" w:cs="宋体"/>
                <w:color w:val="auto"/>
                <w:sz w:val="24"/>
              </w:rPr>
              <w:t>长城杯</w:t>
            </w:r>
          </w:p>
        </w:tc>
        <w:tc>
          <w:tcPr>
            <w:tcW w:w="889" w:type="dxa"/>
          </w:tcPr>
          <w:p w14:paraId="2BF2B998">
            <w:pPr>
              <w:jc w:val="center"/>
              <w:rPr>
                <w:rFonts w:ascii="宋体" w:hAnsi="宋体" w:cs="宋体"/>
                <w:color w:val="auto"/>
                <w:sz w:val="24"/>
              </w:rPr>
            </w:pPr>
            <w:r>
              <w:rPr>
                <w:rFonts w:hint="eastAsia" w:ascii="宋体" w:hAnsi="宋体" w:cs="宋体"/>
                <w:color w:val="auto"/>
                <w:sz w:val="24"/>
              </w:rPr>
              <w:t>17</w:t>
            </w:r>
          </w:p>
        </w:tc>
        <w:tc>
          <w:tcPr>
            <w:tcW w:w="1142" w:type="dxa"/>
          </w:tcPr>
          <w:p w14:paraId="19C6C86C">
            <w:pPr>
              <w:jc w:val="center"/>
              <w:rPr>
                <w:rFonts w:ascii="宋体" w:hAnsi="宋体" w:cs="宋体"/>
                <w:color w:val="auto"/>
                <w:sz w:val="24"/>
              </w:rPr>
            </w:pPr>
            <w:r>
              <w:rPr>
                <w:rFonts w:hint="eastAsia" w:ascii="宋体" w:hAnsi="宋体" w:cs="宋体"/>
                <w:color w:val="auto"/>
                <w:sz w:val="24"/>
              </w:rPr>
              <w:t>河南</w:t>
            </w:r>
          </w:p>
        </w:tc>
        <w:tc>
          <w:tcPr>
            <w:tcW w:w="2420" w:type="dxa"/>
          </w:tcPr>
          <w:p w14:paraId="7A03A6A8">
            <w:pPr>
              <w:jc w:val="center"/>
              <w:rPr>
                <w:rFonts w:hint="eastAsia" w:ascii="宋体" w:hAnsi="宋体" w:eastAsia="宋体" w:cs="宋体"/>
                <w:color w:val="auto"/>
                <w:sz w:val="24"/>
                <w:lang w:eastAsia="zh-CN"/>
              </w:rPr>
            </w:pPr>
            <w:r>
              <w:rPr>
                <w:rFonts w:hint="eastAsia" w:ascii="宋体" w:hAnsi="宋体" w:cs="宋体"/>
                <w:color w:val="auto"/>
                <w:sz w:val="24"/>
              </w:rPr>
              <w:t>中州杯</w:t>
            </w:r>
          </w:p>
        </w:tc>
      </w:tr>
      <w:tr w14:paraId="377D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78671D10">
            <w:pPr>
              <w:jc w:val="center"/>
              <w:rPr>
                <w:rFonts w:ascii="宋体" w:hAnsi="宋体" w:cs="宋体"/>
                <w:color w:val="auto"/>
                <w:sz w:val="24"/>
              </w:rPr>
            </w:pPr>
            <w:r>
              <w:rPr>
                <w:rFonts w:hint="eastAsia" w:ascii="宋体" w:hAnsi="宋体" w:cs="宋体"/>
                <w:color w:val="auto"/>
                <w:sz w:val="24"/>
              </w:rPr>
              <w:t>2</w:t>
            </w:r>
          </w:p>
        </w:tc>
        <w:tc>
          <w:tcPr>
            <w:tcW w:w="1188" w:type="dxa"/>
          </w:tcPr>
          <w:p w14:paraId="26D2DCBC">
            <w:pPr>
              <w:jc w:val="center"/>
              <w:rPr>
                <w:rFonts w:ascii="宋体" w:hAnsi="宋体" w:cs="宋体"/>
                <w:color w:val="auto"/>
                <w:sz w:val="24"/>
              </w:rPr>
            </w:pPr>
            <w:r>
              <w:rPr>
                <w:rFonts w:hint="eastAsia" w:ascii="宋体" w:hAnsi="宋体" w:cs="宋体"/>
                <w:color w:val="auto"/>
                <w:sz w:val="24"/>
              </w:rPr>
              <w:t>上海</w:t>
            </w:r>
          </w:p>
        </w:tc>
        <w:tc>
          <w:tcPr>
            <w:tcW w:w="2393" w:type="dxa"/>
          </w:tcPr>
          <w:p w14:paraId="026ADDC2">
            <w:pPr>
              <w:jc w:val="center"/>
              <w:rPr>
                <w:rFonts w:hint="eastAsia" w:ascii="宋体" w:hAnsi="宋体" w:eastAsia="宋体" w:cs="宋体"/>
                <w:color w:val="auto"/>
                <w:sz w:val="24"/>
                <w:lang w:eastAsia="zh-CN"/>
              </w:rPr>
            </w:pPr>
            <w:r>
              <w:rPr>
                <w:rFonts w:hint="eastAsia" w:ascii="宋体" w:hAnsi="宋体" w:cs="宋体"/>
                <w:color w:val="auto"/>
                <w:sz w:val="24"/>
              </w:rPr>
              <w:t>白玉兰奖</w:t>
            </w:r>
          </w:p>
        </w:tc>
        <w:tc>
          <w:tcPr>
            <w:tcW w:w="889" w:type="dxa"/>
          </w:tcPr>
          <w:p w14:paraId="58CA1D90">
            <w:pPr>
              <w:jc w:val="center"/>
              <w:rPr>
                <w:rFonts w:ascii="宋体" w:hAnsi="宋体" w:cs="宋体"/>
                <w:color w:val="auto"/>
                <w:sz w:val="24"/>
              </w:rPr>
            </w:pPr>
            <w:r>
              <w:rPr>
                <w:rFonts w:hint="eastAsia" w:ascii="宋体" w:hAnsi="宋体" w:cs="宋体"/>
                <w:color w:val="auto"/>
                <w:sz w:val="24"/>
              </w:rPr>
              <w:t>18</w:t>
            </w:r>
          </w:p>
        </w:tc>
        <w:tc>
          <w:tcPr>
            <w:tcW w:w="1142" w:type="dxa"/>
          </w:tcPr>
          <w:p w14:paraId="5CDCFF18">
            <w:pPr>
              <w:jc w:val="center"/>
              <w:rPr>
                <w:rFonts w:ascii="宋体" w:hAnsi="宋体" w:cs="宋体"/>
                <w:color w:val="auto"/>
                <w:sz w:val="24"/>
              </w:rPr>
            </w:pPr>
            <w:r>
              <w:rPr>
                <w:rFonts w:hint="eastAsia" w:ascii="宋体" w:hAnsi="宋体" w:cs="宋体"/>
                <w:color w:val="auto"/>
                <w:sz w:val="24"/>
              </w:rPr>
              <w:t>江苏</w:t>
            </w:r>
          </w:p>
        </w:tc>
        <w:tc>
          <w:tcPr>
            <w:tcW w:w="2420" w:type="dxa"/>
          </w:tcPr>
          <w:p w14:paraId="25332E23">
            <w:pPr>
              <w:jc w:val="center"/>
              <w:rPr>
                <w:rFonts w:hint="eastAsia" w:ascii="宋体" w:hAnsi="宋体" w:eastAsia="宋体" w:cs="宋体"/>
                <w:color w:val="auto"/>
                <w:sz w:val="24"/>
                <w:lang w:eastAsia="zh-CN"/>
              </w:rPr>
            </w:pPr>
            <w:r>
              <w:rPr>
                <w:rFonts w:hint="eastAsia" w:ascii="宋体" w:hAnsi="宋体" w:cs="宋体"/>
                <w:color w:val="auto"/>
                <w:sz w:val="24"/>
              </w:rPr>
              <w:t>扬子杯</w:t>
            </w:r>
          </w:p>
        </w:tc>
      </w:tr>
      <w:tr w14:paraId="50A63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6CC3B949">
            <w:pPr>
              <w:jc w:val="center"/>
              <w:rPr>
                <w:rFonts w:ascii="宋体" w:hAnsi="宋体" w:cs="宋体"/>
                <w:color w:val="auto"/>
                <w:sz w:val="24"/>
              </w:rPr>
            </w:pPr>
            <w:r>
              <w:rPr>
                <w:rFonts w:hint="eastAsia" w:ascii="宋体" w:hAnsi="宋体" w:cs="宋体"/>
                <w:color w:val="auto"/>
                <w:sz w:val="24"/>
              </w:rPr>
              <w:t>3</w:t>
            </w:r>
          </w:p>
        </w:tc>
        <w:tc>
          <w:tcPr>
            <w:tcW w:w="1188" w:type="dxa"/>
          </w:tcPr>
          <w:p w14:paraId="2BA821E7">
            <w:pPr>
              <w:jc w:val="center"/>
              <w:rPr>
                <w:rFonts w:ascii="宋体" w:hAnsi="宋体" w:cs="宋体"/>
                <w:color w:val="auto"/>
                <w:sz w:val="24"/>
              </w:rPr>
            </w:pPr>
            <w:r>
              <w:rPr>
                <w:rFonts w:hint="eastAsia" w:ascii="宋体" w:hAnsi="宋体" w:cs="宋体"/>
                <w:color w:val="auto"/>
                <w:sz w:val="24"/>
              </w:rPr>
              <w:t>天津</w:t>
            </w:r>
          </w:p>
        </w:tc>
        <w:tc>
          <w:tcPr>
            <w:tcW w:w="2393" w:type="dxa"/>
          </w:tcPr>
          <w:p w14:paraId="6C296279">
            <w:pPr>
              <w:jc w:val="center"/>
              <w:rPr>
                <w:rFonts w:hint="eastAsia" w:ascii="宋体" w:hAnsi="宋体" w:eastAsia="宋体" w:cs="宋体"/>
                <w:color w:val="auto"/>
                <w:sz w:val="24"/>
                <w:lang w:eastAsia="zh-CN"/>
              </w:rPr>
            </w:pPr>
            <w:r>
              <w:rPr>
                <w:rFonts w:hint="eastAsia" w:ascii="宋体" w:hAnsi="宋体" w:cs="宋体"/>
                <w:color w:val="auto"/>
                <w:sz w:val="24"/>
              </w:rPr>
              <w:t>海河杯</w:t>
            </w:r>
          </w:p>
        </w:tc>
        <w:tc>
          <w:tcPr>
            <w:tcW w:w="889" w:type="dxa"/>
          </w:tcPr>
          <w:p w14:paraId="0AB3A7B5">
            <w:pPr>
              <w:jc w:val="center"/>
              <w:rPr>
                <w:rFonts w:ascii="宋体" w:hAnsi="宋体" w:cs="宋体"/>
                <w:color w:val="auto"/>
                <w:sz w:val="24"/>
              </w:rPr>
            </w:pPr>
            <w:r>
              <w:rPr>
                <w:rFonts w:hint="eastAsia" w:ascii="宋体" w:hAnsi="宋体" w:cs="宋体"/>
                <w:color w:val="auto"/>
                <w:sz w:val="24"/>
              </w:rPr>
              <w:t>19</w:t>
            </w:r>
          </w:p>
        </w:tc>
        <w:tc>
          <w:tcPr>
            <w:tcW w:w="1142" w:type="dxa"/>
          </w:tcPr>
          <w:p w14:paraId="29358606">
            <w:pPr>
              <w:jc w:val="center"/>
              <w:rPr>
                <w:rFonts w:ascii="宋体" w:hAnsi="宋体" w:cs="宋体"/>
                <w:color w:val="auto"/>
                <w:sz w:val="24"/>
              </w:rPr>
            </w:pPr>
            <w:r>
              <w:rPr>
                <w:rFonts w:hint="eastAsia" w:ascii="宋体" w:hAnsi="宋体" w:cs="宋体"/>
                <w:color w:val="auto"/>
                <w:sz w:val="24"/>
              </w:rPr>
              <w:t>安徽</w:t>
            </w:r>
          </w:p>
        </w:tc>
        <w:tc>
          <w:tcPr>
            <w:tcW w:w="2420" w:type="dxa"/>
          </w:tcPr>
          <w:p w14:paraId="056361A9">
            <w:pPr>
              <w:jc w:val="center"/>
              <w:rPr>
                <w:rFonts w:hint="eastAsia" w:ascii="宋体" w:hAnsi="宋体" w:eastAsia="宋体" w:cs="宋体"/>
                <w:color w:val="auto"/>
                <w:sz w:val="24"/>
                <w:lang w:eastAsia="zh-CN"/>
              </w:rPr>
            </w:pPr>
            <w:r>
              <w:rPr>
                <w:rFonts w:hint="eastAsia" w:ascii="宋体" w:hAnsi="宋体" w:cs="宋体"/>
                <w:color w:val="auto"/>
                <w:sz w:val="24"/>
              </w:rPr>
              <w:t>黄山杯</w:t>
            </w:r>
          </w:p>
        </w:tc>
      </w:tr>
      <w:tr w14:paraId="4B8A7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14785FD8">
            <w:pPr>
              <w:jc w:val="center"/>
              <w:rPr>
                <w:rFonts w:ascii="宋体" w:hAnsi="宋体" w:cs="宋体"/>
                <w:color w:val="auto"/>
                <w:sz w:val="24"/>
              </w:rPr>
            </w:pPr>
            <w:r>
              <w:rPr>
                <w:rFonts w:hint="eastAsia" w:ascii="宋体" w:hAnsi="宋体" w:cs="宋体"/>
                <w:color w:val="auto"/>
                <w:sz w:val="24"/>
              </w:rPr>
              <w:t>4</w:t>
            </w:r>
          </w:p>
        </w:tc>
        <w:tc>
          <w:tcPr>
            <w:tcW w:w="1188" w:type="dxa"/>
          </w:tcPr>
          <w:p w14:paraId="6901983D">
            <w:pPr>
              <w:jc w:val="center"/>
              <w:rPr>
                <w:rFonts w:ascii="宋体" w:hAnsi="宋体" w:cs="宋体"/>
                <w:color w:val="auto"/>
                <w:sz w:val="24"/>
              </w:rPr>
            </w:pPr>
            <w:r>
              <w:rPr>
                <w:rFonts w:hint="eastAsia" w:ascii="宋体" w:hAnsi="宋体" w:cs="宋体"/>
                <w:color w:val="auto"/>
                <w:sz w:val="24"/>
              </w:rPr>
              <w:t>重庆</w:t>
            </w:r>
          </w:p>
        </w:tc>
        <w:tc>
          <w:tcPr>
            <w:tcW w:w="2393" w:type="dxa"/>
          </w:tcPr>
          <w:p w14:paraId="7D3A53E4">
            <w:pPr>
              <w:jc w:val="center"/>
              <w:rPr>
                <w:rFonts w:hint="eastAsia" w:ascii="宋体" w:hAnsi="宋体" w:eastAsia="宋体" w:cs="宋体"/>
                <w:color w:val="auto"/>
                <w:sz w:val="24"/>
                <w:lang w:eastAsia="zh-CN"/>
              </w:rPr>
            </w:pPr>
            <w:r>
              <w:rPr>
                <w:rFonts w:hint="eastAsia" w:ascii="宋体" w:hAnsi="宋体" w:cs="宋体"/>
                <w:color w:val="auto"/>
                <w:sz w:val="24"/>
              </w:rPr>
              <w:t>巴渝杯</w:t>
            </w:r>
          </w:p>
        </w:tc>
        <w:tc>
          <w:tcPr>
            <w:tcW w:w="889" w:type="dxa"/>
          </w:tcPr>
          <w:p w14:paraId="41B15C12">
            <w:pPr>
              <w:jc w:val="center"/>
              <w:rPr>
                <w:rFonts w:ascii="宋体" w:hAnsi="宋体" w:cs="宋体"/>
                <w:color w:val="auto"/>
                <w:sz w:val="24"/>
              </w:rPr>
            </w:pPr>
            <w:r>
              <w:rPr>
                <w:rFonts w:hint="eastAsia" w:ascii="宋体" w:hAnsi="宋体" w:cs="宋体"/>
                <w:color w:val="auto"/>
                <w:sz w:val="24"/>
              </w:rPr>
              <w:t>20</w:t>
            </w:r>
          </w:p>
        </w:tc>
        <w:tc>
          <w:tcPr>
            <w:tcW w:w="1142" w:type="dxa"/>
          </w:tcPr>
          <w:p w14:paraId="4C25FD53">
            <w:pPr>
              <w:jc w:val="center"/>
              <w:rPr>
                <w:rFonts w:ascii="宋体" w:hAnsi="宋体" w:cs="宋体"/>
                <w:color w:val="auto"/>
                <w:sz w:val="24"/>
              </w:rPr>
            </w:pPr>
            <w:r>
              <w:rPr>
                <w:rFonts w:hint="eastAsia" w:ascii="宋体" w:hAnsi="宋体" w:cs="宋体"/>
                <w:color w:val="auto"/>
                <w:sz w:val="24"/>
              </w:rPr>
              <w:t>浙江</w:t>
            </w:r>
          </w:p>
        </w:tc>
        <w:tc>
          <w:tcPr>
            <w:tcW w:w="2420" w:type="dxa"/>
          </w:tcPr>
          <w:p w14:paraId="68742A5F">
            <w:pPr>
              <w:jc w:val="center"/>
              <w:rPr>
                <w:rFonts w:ascii="宋体" w:hAnsi="宋体" w:cs="宋体"/>
                <w:color w:val="auto"/>
                <w:sz w:val="24"/>
              </w:rPr>
            </w:pPr>
            <w:r>
              <w:rPr>
                <w:rFonts w:hint="eastAsia" w:ascii="宋体" w:hAnsi="宋体" w:cs="宋体"/>
                <w:color w:val="auto"/>
                <w:sz w:val="24"/>
              </w:rPr>
              <w:t>钱江杯</w:t>
            </w:r>
          </w:p>
        </w:tc>
      </w:tr>
      <w:tr w14:paraId="34B7E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1A968AE1">
            <w:pPr>
              <w:jc w:val="center"/>
              <w:rPr>
                <w:rFonts w:ascii="宋体" w:hAnsi="宋体" w:cs="宋体"/>
                <w:color w:val="auto"/>
                <w:sz w:val="24"/>
              </w:rPr>
            </w:pPr>
            <w:r>
              <w:rPr>
                <w:rFonts w:hint="eastAsia" w:ascii="宋体" w:hAnsi="宋体" w:cs="宋体"/>
                <w:color w:val="auto"/>
                <w:sz w:val="24"/>
              </w:rPr>
              <w:t>5</w:t>
            </w:r>
          </w:p>
        </w:tc>
        <w:tc>
          <w:tcPr>
            <w:tcW w:w="1188" w:type="dxa"/>
          </w:tcPr>
          <w:p w14:paraId="1C5AA33F">
            <w:pPr>
              <w:jc w:val="center"/>
              <w:rPr>
                <w:rFonts w:ascii="宋体" w:hAnsi="宋体" w:cs="宋体"/>
                <w:color w:val="auto"/>
                <w:sz w:val="24"/>
              </w:rPr>
            </w:pPr>
            <w:r>
              <w:rPr>
                <w:rFonts w:hint="eastAsia" w:ascii="宋体" w:hAnsi="宋体" w:cs="宋体"/>
                <w:color w:val="auto"/>
                <w:sz w:val="24"/>
              </w:rPr>
              <w:t>黑龙江</w:t>
            </w:r>
          </w:p>
        </w:tc>
        <w:tc>
          <w:tcPr>
            <w:tcW w:w="2393" w:type="dxa"/>
          </w:tcPr>
          <w:p w14:paraId="5C3562A1">
            <w:pPr>
              <w:jc w:val="center"/>
              <w:rPr>
                <w:rFonts w:ascii="宋体" w:hAnsi="宋体" w:cs="宋体"/>
                <w:color w:val="auto"/>
                <w:sz w:val="24"/>
              </w:rPr>
            </w:pPr>
            <w:r>
              <w:rPr>
                <w:rFonts w:hint="eastAsia" w:ascii="宋体" w:hAnsi="宋体" w:cs="宋体"/>
                <w:color w:val="auto"/>
                <w:sz w:val="24"/>
              </w:rPr>
              <w:t>龙江杯</w:t>
            </w:r>
          </w:p>
        </w:tc>
        <w:tc>
          <w:tcPr>
            <w:tcW w:w="889" w:type="dxa"/>
          </w:tcPr>
          <w:p w14:paraId="0715A3EB">
            <w:pPr>
              <w:jc w:val="center"/>
              <w:rPr>
                <w:rFonts w:ascii="宋体" w:hAnsi="宋体" w:cs="宋体"/>
                <w:color w:val="auto"/>
                <w:sz w:val="24"/>
              </w:rPr>
            </w:pPr>
            <w:r>
              <w:rPr>
                <w:rFonts w:hint="eastAsia" w:ascii="宋体" w:hAnsi="宋体" w:cs="宋体"/>
                <w:color w:val="auto"/>
                <w:sz w:val="24"/>
              </w:rPr>
              <w:t>21</w:t>
            </w:r>
          </w:p>
        </w:tc>
        <w:tc>
          <w:tcPr>
            <w:tcW w:w="1142" w:type="dxa"/>
          </w:tcPr>
          <w:p w14:paraId="643E1149">
            <w:pPr>
              <w:jc w:val="center"/>
              <w:rPr>
                <w:rFonts w:ascii="宋体" w:hAnsi="宋体" w:cs="宋体"/>
                <w:color w:val="auto"/>
                <w:sz w:val="24"/>
              </w:rPr>
            </w:pPr>
            <w:r>
              <w:rPr>
                <w:rFonts w:hint="eastAsia" w:ascii="宋体" w:hAnsi="宋体" w:cs="宋体"/>
                <w:color w:val="auto"/>
                <w:sz w:val="24"/>
              </w:rPr>
              <w:t>江西</w:t>
            </w:r>
          </w:p>
        </w:tc>
        <w:tc>
          <w:tcPr>
            <w:tcW w:w="2420" w:type="dxa"/>
          </w:tcPr>
          <w:p w14:paraId="3C2A1016">
            <w:pPr>
              <w:jc w:val="center"/>
              <w:rPr>
                <w:rFonts w:hint="eastAsia" w:ascii="宋体" w:hAnsi="宋体" w:eastAsia="宋体" w:cs="宋体"/>
                <w:color w:val="auto"/>
                <w:sz w:val="24"/>
                <w:lang w:eastAsia="zh-CN"/>
              </w:rPr>
            </w:pPr>
            <w:r>
              <w:rPr>
                <w:rFonts w:hint="eastAsia" w:ascii="宋体" w:hAnsi="宋体" w:cs="宋体"/>
                <w:color w:val="auto"/>
                <w:sz w:val="24"/>
              </w:rPr>
              <w:t>杜鹃花奖</w:t>
            </w:r>
          </w:p>
        </w:tc>
      </w:tr>
      <w:tr w14:paraId="37E12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0ECF3008">
            <w:pPr>
              <w:jc w:val="center"/>
              <w:rPr>
                <w:rFonts w:ascii="宋体" w:hAnsi="宋体" w:cs="宋体"/>
                <w:color w:val="auto"/>
                <w:sz w:val="24"/>
              </w:rPr>
            </w:pPr>
            <w:r>
              <w:rPr>
                <w:rFonts w:hint="eastAsia" w:ascii="宋体" w:hAnsi="宋体" w:cs="宋体"/>
                <w:color w:val="auto"/>
                <w:sz w:val="24"/>
              </w:rPr>
              <w:t>6</w:t>
            </w:r>
          </w:p>
        </w:tc>
        <w:tc>
          <w:tcPr>
            <w:tcW w:w="1188" w:type="dxa"/>
          </w:tcPr>
          <w:p w14:paraId="3D72534F">
            <w:pPr>
              <w:jc w:val="center"/>
              <w:rPr>
                <w:rFonts w:ascii="宋体" w:hAnsi="宋体" w:cs="宋体"/>
                <w:color w:val="auto"/>
                <w:sz w:val="24"/>
              </w:rPr>
            </w:pPr>
            <w:r>
              <w:rPr>
                <w:rFonts w:hint="eastAsia" w:ascii="宋体" w:hAnsi="宋体" w:cs="宋体"/>
                <w:color w:val="auto"/>
                <w:sz w:val="24"/>
              </w:rPr>
              <w:t>吉林</w:t>
            </w:r>
          </w:p>
        </w:tc>
        <w:tc>
          <w:tcPr>
            <w:tcW w:w="2393" w:type="dxa"/>
          </w:tcPr>
          <w:p w14:paraId="65F2E493">
            <w:pPr>
              <w:jc w:val="center"/>
              <w:rPr>
                <w:rFonts w:ascii="宋体" w:hAnsi="宋体" w:cs="宋体"/>
                <w:color w:val="auto"/>
                <w:sz w:val="24"/>
              </w:rPr>
            </w:pPr>
            <w:r>
              <w:rPr>
                <w:rFonts w:hint="eastAsia" w:ascii="宋体" w:hAnsi="宋体" w:cs="宋体"/>
                <w:color w:val="auto"/>
                <w:sz w:val="24"/>
              </w:rPr>
              <w:t>长白山杯</w:t>
            </w:r>
          </w:p>
        </w:tc>
        <w:tc>
          <w:tcPr>
            <w:tcW w:w="889" w:type="dxa"/>
          </w:tcPr>
          <w:p w14:paraId="3237C44E">
            <w:pPr>
              <w:jc w:val="center"/>
              <w:rPr>
                <w:rFonts w:ascii="宋体" w:hAnsi="宋体" w:cs="宋体"/>
                <w:color w:val="auto"/>
                <w:sz w:val="24"/>
              </w:rPr>
            </w:pPr>
            <w:r>
              <w:rPr>
                <w:rFonts w:hint="eastAsia" w:ascii="宋体" w:hAnsi="宋体" w:cs="宋体"/>
                <w:color w:val="auto"/>
                <w:sz w:val="24"/>
              </w:rPr>
              <w:t>22</w:t>
            </w:r>
          </w:p>
        </w:tc>
        <w:tc>
          <w:tcPr>
            <w:tcW w:w="1142" w:type="dxa"/>
          </w:tcPr>
          <w:p w14:paraId="2072A334">
            <w:pPr>
              <w:jc w:val="center"/>
              <w:rPr>
                <w:rFonts w:ascii="宋体" w:hAnsi="宋体" w:cs="宋体"/>
                <w:color w:val="auto"/>
                <w:sz w:val="24"/>
              </w:rPr>
            </w:pPr>
            <w:r>
              <w:rPr>
                <w:rFonts w:hint="eastAsia" w:ascii="宋体" w:hAnsi="宋体" w:cs="宋体"/>
                <w:color w:val="auto"/>
                <w:sz w:val="24"/>
              </w:rPr>
              <w:t>湖北</w:t>
            </w:r>
          </w:p>
        </w:tc>
        <w:tc>
          <w:tcPr>
            <w:tcW w:w="2420" w:type="dxa"/>
          </w:tcPr>
          <w:p w14:paraId="68EBC493">
            <w:pPr>
              <w:jc w:val="center"/>
              <w:rPr>
                <w:rFonts w:hint="eastAsia" w:ascii="宋体" w:hAnsi="宋体" w:eastAsia="宋体" w:cs="宋体"/>
                <w:color w:val="auto"/>
                <w:sz w:val="24"/>
                <w:lang w:eastAsia="zh-CN"/>
              </w:rPr>
            </w:pPr>
            <w:r>
              <w:rPr>
                <w:rFonts w:hint="eastAsia" w:ascii="宋体" w:hAnsi="宋体" w:cs="宋体"/>
                <w:color w:val="auto"/>
                <w:sz w:val="24"/>
              </w:rPr>
              <w:t>楚天杯</w:t>
            </w:r>
          </w:p>
        </w:tc>
      </w:tr>
      <w:tr w14:paraId="0CA75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54C4517B">
            <w:pPr>
              <w:jc w:val="center"/>
              <w:rPr>
                <w:rFonts w:ascii="宋体" w:hAnsi="宋体" w:cs="宋体"/>
                <w:color w:val="auto"/>
                <w:sz w:val="24"/>
              </w:rPr>
            </w:pPr>
            <w:r>
              <w:rPr>
                <w:rFonts w:hint="eastAsia" w:ascii="宋体" w:hAnsi="宋体" w:cs="宋体"/>
                <w:color w:val="auto"/>
                <w:sz w:val="24"/>
              </w:rPr>
              <w:t>7</w:t>
            </w:r>
          </w:p>
        </w:tc>
        <w:tc>
          <w:tcPr>
            <w:tcW w:w="1188" w:type="dxa"/>
          </w:tcPr>
          <w:p w14:paraId="0A76CF9A">
            <w:pPr>
              <w:jc w:val="center"/>
              <w:rPr>
                <w:rFonts w:ascii="宋体" w:hAnsi="宋体" w:cs="宋体"/>
                <w:color w:val="auto"/>
                <w:sz w:val="24"/>
              </w:rPr>
            </w:pPr>
            <w:r>
              <w:rPr>
                <w:rFonts w:hint="eastAsia" w:ascii="宋体" w:hAnsi="宋体" w:cs="宋体"/>
                <w:color w:val="auto"/>
                <w:sz w:val="24"/>
              </w:rPr>
              <w:t>辽宁</w:t>
            </w:r>
          </w:p>
        </w:tc>
        <w:tc>
          <w:tcPr>
            <w:tcW w:w="2393" w:type="dxa"/>
          </w:tcPr>
          <w:p w14:paraId="0B06FA5A">
            <w:pPr>
              <w:jc w:val="center"/>
              <w:rPr>
                <w:rFonts w:hint="eastAsia" w:ascii="宋体" w:hAnsi="宋体" w:eastAsia="宋体" w:cs="宋体"/>
                <w:color w:val="auto"/>
                <w:sz w:val="24"/>
                <w:lang w:eastAsia="zh-CN"/>
              </w:rPr>
            </w:pPr>
            <w:r>
              <w:rPr>
                <w:rFonts w:hint="eastAsia" w:ascii="宋体" w:hAnsi="宋体" w:cs="宋体"/>
                <w:color w:val="auto"/>
                <w:sz w:val="24"/>
              </w:rPr>
              <w:t>世纪杯</w:t>
            </w:r>
          </w:p>
        </w:tc>
        <w:tc>
          <w:tcPr>
            <w:tcW w:w="889" w:type="dxa"/>
          </w:tcPr>
          <w:p w14:paraId="25BEF30A">
            <w:pPr>
              <w:jc w:val="center"/>
              <w:rPr>
                <w:rFonts w:ascii="宋体" w:hAnsi="宋体" w:cs="宋体"/>
                <w:color w:val="auto"/>
                <w:sz w:val="24"/>
              </w:rPr>
            </w:pPr>
            <w:r>
              <w:rPr>
                <w:rFonts w:hint="eastAsia" w:ascii="宋体" w:hAnsi="宋体" w:cs="宋体"/>
                <w:color w:val="auto"/>
                <w:sz w:val="24"/>
              </w:rPr>
              <w:t>23</w:t>
            </w:r>
          </w:p>
        </w:tc>
        <w:tc>
          <w:tcPr>
            <w:tcW w:w="1142" w:type="dxa"/>
          </w:tcPr>
          <w:p w14:paraId="297E7DC8">
            <w:pPr>
              <w:jc w:val="center"/>
              <w:rPr>
                <w:rFonts w:ascii="宋体" w:hAnsi="宋体" w:cs="宋体"/>
                <w:color w:val="auto"/>
                <w:sz w:val="24"/>
              </w:rPr>
            </w:pPr>
            <w:r>
              <w:rPr>
                <w:rFonts w:hint="eastAsia" w:ascii="宋体" w:hAnsi="宋体" w:cs="宋体"/>
                <w:color w:val="auto"/>
                <w:sz w:val="24"/>
              </w:rPr>
              <w:t>湖南</w:t>
            </w:r>
          </w:p>
        </w:tc>
        <w:tc>
          <w:tcPr>
            <w:tcW w:w="2420" w:type="dxa"/>
          </w:tcPr>
          <w:p w14:paraId="74AC2F81">
            <w:pPr>
              <w:jc w:val="center"/>
              <w:rPr>
                <w:rFonts w:hint="eastAsia" w:ascii="宋体" w:hAnsi="宋体" w:eastAsia="宋体" w:cs="宋体"/>
                <w:color w:val="auto"/>
                <w:sz w:val="24"/>
                <w:lang w:eastAsia="zh-CN"/>
              </w:rPr>
            </w:pPr>
            <w:r>
              <w:rPr>
                <w:rFonts w:hint="eastAsia" w:ascii="宋体" w:hAnsi="宋体" w:cs="宋体"/>
                <w:color w:val="auto"/>
                <w:sz w:val="24"/>
              </w:rPr>
              <w:t>芙蓉奖</w:t>
            </w:r>
          </w:p>
        </w:tc>
      </w:tr>
      <w:tr w14:paraId="6CD0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0BBAD83C">
            <w:pPr>
              <w:jc w:val="center"/>
              <w:rPr>
                <w:rFonts w:ascii="宋体" w:hAnsi="宋体" w:cs="宋体"/>
                <w:color w:val="auto"/>
                <w:sz w:val="24"/>
              </w:rPr>
            </w:pPr>
            <w:r>
              <w:rPr>
                <w:rFonts w:hint="eastAsia" w:ascii="宋体" w:hAnsi="宋体" w:cs="宋体"/>
                <w:color w:val="auto"/>
                <w:sz w:val="24"/>
              </w:rPr>
              <w:t>8</w:t>
            </w:r>
          </w:p>
        </w:tc>
        <w:tc>
          <w:tcPr>
            <w:tcW w:w="1188" w:type="dxa"/>
          </w:tcPr>
          <w:p w14:paraId="1A063C62">
            <w:pPr>
              <w:jc w:val="center"/>
              <w:rPr>
                <w:rFonts w:ascii="宋体" w:hAnsi="宋体" w:cs="宋体"/>
                <w:color w:val="auto"/>
                <w:sz w:val="24"/>
              </w:rPr>
            </w:pPr>
            <w:r>
              <w:rPr>
                <w:rFonts w:hint="eastAsia" w:ascii="宋体" w:hAnsi="宋体" w:cs="宋体"/>
                <w:color w:val="auto"/>
                <w:sz w:val="24"/>
              </w:rPr>
              <w:t>内蒙古</w:t>
            </w:r>
          </w:p>
        </w:tc>
        <w:tc>
          <w:tcPr>
            <w:tcW w:w="2393" w:type="dxa"/>
          </w:tcPr>
          <w:p w14:paraId="7C47331F">
            <w:pPr>
              <w:jc w:val="center"/>
              <w:rPr>
                <w:rFonts w:hint="eastAsia" w:ascii="宋体" w:hAnsi="宋体" w:eastAsia="宋体" w:cs="宋体"/>
                <w:color w:val="auto"/>
                <w:sz w:val="24"/>
                <w:lang w:eastAsia="zh-CN"/>
              </w:rPr>
            </w:pPr>
            <w:r>
              <w:rPr>
                <w:rFonts w:hint="eastAsia" w:ascii="宋体" w:hAnsi="宋体" w:cs="宋体"/>
                <w:color w:val="auto"/>
                <w:sz w:val="24"/>
              </w:rPr>
              <w:t>草原杯</w:t>
            </w:r>
          </w:p>
        </w:tc>
        <w:tc>
          <w:tcPr>
            <w:tcW w:w="889" w:type="dxa"/>
          </w:tcPr>
          <w:p w14:paraId="52811CF4">
            <w:pPr>
              <w:jc w:val="center"/>
              <w:rPr>
                <w:rFonts w:ascii="宋体" w:hAnsi="宋体" w:cs="宋体"/>
                <w:color w:val="auto"/>
                <w:sz w:val="24"/>
              </w:rPr>
            </w:pPr>
            <w:r>
              <w:rPr>
                <w:rFonts w:hint="eastAsia" w:ascii="宋体" w:hAnsi="宋体" w:cs="宋体"/>
                <w:color w:val="auto"/>
                <w:sz w:val="24"/>
              </w:rPr>
              <w:t>24</w:t>
            </w:r>
          </w:p>
        </w:tc>
        <w:tc>
          <w:tcPr>
            <w:tcW w:w="1142" w:type="dxa"/>
          </w:tcPr>
          <w:p w14:paraId="3E409DAC">
            <w:pPr>
              <w:jc w:val="center"/>
              <w:rPr>
                <w:rFonts w:ascii="宋体" w:hAnsi="宋体" w:cs="宋体"/>
                <w:color w:val="auto"/>
                <w:sz w:val="24"/>
              </w:rPr>
            </w:pPr>
            <w:r>
              <w:rPr>
                <w:rFonts w:hint="eastAsia" w:ascii="宋体" w:hAnsi="宋体" w:cs="宋体"/>
                <w:color w:val="auto"/>
                <w:sz w:val="24"/>
              </w:rPr>
              <w:t>四川</w:t>
            </w:r>
          </w:p>
        </w:tc>
        <w:tc>
          <w:tcPr>
            <w:tcW w:w="2420" w:type="dxa"/>
          </w:tcPr>
          <w:p w14:paraId="4FEDB1F1">
            <w:pPr>
              <w:jc w:val="center"/>
              <w:rPr>
                <w:rFonts w:ascii="宋体" w:hAnsi="宋体" w:cs="宋体"/>
                <w:color w:val="auto"/>
                <w:sz w:val="24"/>
              </w:rPr>
            </w:pPr>
            <w:r>
              <w:rPr>
                <w:rFonts w:hint="eastAsia" w:ascii="宋体" w:hAnsi="宋体" w:cs="宋体"/>
                <w:color w:val="auto"/>
                <w:sz w:val="24"/>
              </w:rPr>
              <w:t>天府杯</w:t>
            </w:r>
          </w:p>
        </w:tc>
      </w:tr>
      <w:tr w14:paraId="352F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0AFF5779">
            <w:pPr>
              <w:jc w:val="center"/>
              <w:rPr>
                <w:rFonts w:ascii="宋体" w:hAnsi="宋体" w:cs="宋体"/>
                <w:color w:val="auto"/>
                <w:sz w:val="24"/>
              </w:rPr>
            </w:pPr>
            <w:r>
              <w:rPr>
                <w:rFonts w:hint="eastAsia" w:ascii="宋体" w:hAnsi="宋体" w:cs="宋体"/>
                <w:color w:val="auto"/>
                <w:sz w:val="24"/>
              </w:rPr>
              <w:t>9</w:t>
            </w:r>
          </w:p>
        </w:tc>
        <w:tc>
          <w:tcPr>
            <w:tcW w:w="1188" w:type="dxa"/>
          </w:tcPr>
          <w:p w14:paraId="00CB698B">
            <w:pPr>
              <w:jc w:val="center"/>
              <w:rPr>
                <w:rFonts w:ascii="宋体" w:hAnsi="宋体" w:cs="宋体"/>
                <w:color w:val="auto"/>
                <w:sz w:val="24"/>
              </w:rPr>
            </w:pPr>
            <w:r>
              <w:rPr>
                <w:rFonts w:hint="eastAsia" w:ascii="宋体" w:hAnsi="宋体" w:cs="宋体"/>
                <w:color w:val="auto"/>
                <w:sz w:val="24"/>
              </w:rPr>
              <w:t>山西</w:t>
            </w:r>
          </w:p>
        </w:tc>
        <w:tc>
          <w:tcPr>
            <w:tcW w:w="2393" w:type="dxa"/>
          </w:tcPr>
          <w:p w14:paraId="169CAFE6">
            <w:pPr>
              <w:jc w:val="center"/>
              <w:rPr>
                <w:rFonts w:ascii="宋体" w:hAnsi="宋体" w:cs="宋体"/>
                <w:color w:val="auto"/>
                <w:sz w:val="24"/>
              </w:rPr>
            </w:pPr>
            <w:r>
              <w:rPr>
                <w:rFonts w:hint="eastAsia" w:ascii="宋体" w:hAnsi="宋体" w:cs="宋体"/>
                <w:color w:val="auto"/>
                <w:sz w:val="24"/>
              </w:rPr>
              <w:t>汾水杯</w:t>
            </w:r>
          </w:p>
        </w:tc>
        <w:tc>
          <w:tcPr>
            <w:tcW w:w="889" w:type="dxa"/>
          </w:tcPr>
          <w:p w14:paraId="1414B917">
            <w:pPr>
              <w:jc w:val="center"/>
              <w:rPr>
                <w:rFonts w:ascii="宋体" w:hAnsi="宋体" w:cs="宋体"/>
                <w:color w:val="auto"/>
                <w:sz w:val="24"/>
              </w:rPr>
            </w:pPr>
            <w:r>
              <w:rPr>
                <w:rFonts w:hint="eastAsia" w:ascii="宋体" w:hAnsi="宋体" w:cs="宋体"/>
                <w:color w:val="auto"/>
                <w:sz w:val="24"/>
              </w:rPr>
              <w:t>25</w:t>
            </w:r>
          </w:p>
        </w:tc>
        <w:tc>
          <w:tcPr>
            <w:tcW w:w="1142" w:type="dxa"/>
          </w:tcPr>
          <w:p w14:paraId="7A0D5E9D">
            <w:pPr>
              <w:jc w:val="center"/>
              <w:rPr>
                <w:rFonts w:ascii="宋体" w:hAnsi="宋体" w:cs="宋体"/>
                <w:color w:val="auto"/>
                <w:sz w:val="24"/>
              </w:rPr>
            </w:pPr>
            <w:r>
              <w:rPr>
                <w:rFonts w:hint="eastAsia" w:ascii="宋体" w:hAnsi="宋体" w:cs="宋体"/>
                <w:color w:val="auto"/>
                <w:sz w:val="24"/>
              </w:rPr>
              <w:t>贵州</w:t>
            </w:r>
          </w:p>
        </w:tc>
        <w:tc>
          <w:tcPr>
            <w:tcW w:w="2420" w:type="dxa"/>
          </w:tcPr>
          <w:p w14:paraId="6DF39884">
            <w:pPr>
              <w:jc w:val="center"/>
              <w:rPr>
                <w:rFonts w:hint="eastAsia" w:ascii="宋体" w:hAnsi="宋体" w:eastAsia="宋体" w:cs="宋体"/>
                <w:color w:val="auto"/>
                <w:sz w:val="24"/>
                <w:lang w:eastAsia="zh-CN"/>
              </w:rPr>
            </w:pPr>
            <w:r>
              <w:rPr>
                <w:rFonts w:hint="eastAsia" w:ascii="宋体" w:hAnsi="宋体" w:cs="宋体"/>
                <w:color w:val="auto"/>
                <w:sz w:val="24"/>
              </w:rPr>
              <w:t>黄果树杯</w:t>
            </w:r>
          </w:p>
        </w:tc>
      </w:tr>
      <w:tr w14:paraId="038E1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67878BE1">
            <w:pPr>
              <w:jc w:val="center"/>
              <w:rPr>
                <w:rFonts w:ascii="宋体" w:hAnsi="宋体" w:cs="宋体"/>
                <w:color w:val="auto"/>
                <w:sz w:val="24"/>
              </w:rPr>
            </w:pPr>
            <w:r>
              <w:rPr>
                <w:rFonts w:hint="eastAsia" w:ascii="宋体" w:hAnsi="宋体" w:cs="宋体"/>
                <w:color w:val="auto"/>
                <w:sz w:val="24"/>
              </w:rPr>
              <w:t>10</w:t>
            </w:r>
          </w:p>
        </w:tc>
        <w:tc>
          <w:tcPr>
            <w:tcW w:w="1188" w:type="dxa"/>
          </w:tcPr>
          <w:p w14:paraId="560E246F">
            <w:pPr>
              <w:jc w:val="center"/>
              <w:rPr>
                <w:rFonts w:ascii="宋体" w:hAnsi="宋体" w:cs="宋体"/>
                <w:color w:val="auto"/>
                <w:sz w:val="24"/>
              </w:rPr>
            </w:pPr>
            <w:r>
              <w:rPr>
                <w:rFonts w:hint="eastAsia" w:ascii="宋体" w:hAnsi="宋体" w:cs="宋体"/>
                <w:color w:val="auto"/>
                <w:sz w:val="24"/>
              </w:rPr>
              <w:t>山东</w:t>
            </w:r>
          </w:p>
        </w:tc>
        <w:tc>
          <w:tcPr>
            <w:tcW w:w="2393" w:type="dxa"/>
          </w:tcPr>
          <w:p w14:paraId="77988D2A">
            <w:pPr>
              <w:jc w:val="center"/>
              <w:rPr>
                <w:rFonts w:hint="eastAsia" w:ascii="宋体" w:hAnsi="宋体" w:eastAsia="宋体" w:cs="宋体"/>
                <w:color w:val="auto"/>
                <w:sz w:val="24"/>
                <w:lang w:eastAsia="zh-CN"/>
              </w:rPr>
            </w:pPr>
            <w:r>
              <w:rPr>
                <w:rFonts w:hint="eastAsia" w:ascii="宋体" w:hAnsi="宋体" w:cs="宋体"/>
                <w:color w:val="auto"/>
                <w:sz w:val="24"/>
              </w:rPr>
              <w:t>泰山杯</w:t>
            </w:r>
          </w:p>
        </w:tc>
        <w:tc>
          <w:tcPr>
            <w:tcW w:w="889" w:type="dxa"/>
          </w:tcPr>
          <w:p w14:paraId="326C721B">
            <w:pPr>
              <w:jc w:val="center"/>
              <w:rPr>
                <w:rFonts w:ascii="宋体" w:hAnsi="宋体" w:cs="宋体"/>
                <w:color w:val="auto"/>
                <w:sz w:val="24"/>
              </w:rPr>
            </w:pPr>
            <w:r>
              <w:rPr>
                <w:rFonts w:hint="eastAsia" w:ascii="宋体" w:hAnsi="宋体" w:cs="宋体"/>
                <w:color w:val="auto"/>
                <w:sz w:val="24"/>
              </w:rPr>
              <w:t>26</w:t>
            </w:r>
          </w:p>
        </w:tc>
        <w:tc>
          <w:tcPr>
            <w:tcW w:w="1142" w:type="dxa"/>
          </w:tcPr>
          <w:p w14:paraId="05623461">
            <w:pPr>
              <w:jc w:val="center"/>
              <w:rPr>
                <w:rFonts w:ascii="宋体" w:hAnsi="宋体" w:cs="宋体"/>
                <w:color w:val="auto"/>
                <w:sz w:val="24"/>
              </w:rPr>
            </w:pPr>
            <w:r>
              <w:rPr>
                <w:rFonts w:hint="eastAsia" w:ascii="宋体" w:hAnsi="宋体" w:cs="宋体"/>
                <w:color w:val="auto"/>
                <w:sz w:val="24"/>
              </w:rPr>
              <w:t>福建</w:t>
            </w:r>
          </w:p>
        </w:tc>
        <w:tc>
          <w:tcPr>
            <w:tcW w:w="2420" w:type="dxa"/>
          </w:tcPr>
          <w:p w14:paraId="2380140E">
            <w:pPr>
              <w:jc w:val="center"/>
              <w:rPr>
                <w:rFonts w:hint="eastAsia" w:ascii="宋体" w:hAnsi="宋体" w:eastAsia="宋体" w:cs="宋体"/>
                <w:color w:val="auto"/>
                <w:sz w:val="24"/>
                <w:lang w:eastAsia="zh-CN"/>
              </w:rPr>
            </w:pPr>
            <w:r>
              <w:rPr>
                <w:rFonts w:hint="eastAsia" w:ascii="宋体" w:hAnsi="宋体" w:cs="宋体"/>
                <w:color w:val="auto"/>
                <w:sz w:val="24"/>
              </w:rPr>
              <w:t>闽江杯</w:t>
            </w:r>
          </w:p>
        </w:tc>
      </w:tr>
      <w:tr w14:paraId="5A723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7CA27008">
            <w:pPr>
              <w:jc w:val="center"/>
              <w:rPr>
                <w:rFonts w:ascii="宋体" w:hAnsi="宋体" w:cs="宋体"/>
                <w:color w:val="auto"/>
                <w:sz w:val="24"/>
              </w:rPr>
            </w:pPr>
            <w:r>
              <w:rPr>
                <w:rFonts w:hint="eastAsia" w:ascii="宋体" w:hAnsi="宋体" w:cs="宋体"/>
                <w:color w:val="auto"/>
                <w:sz w:val="24"/>
              </w:rPr>
              <w:t>11</w:t>
            </w:r>
          </w:p>
        </w:tc>
        <w:tc>
          <w:tcPr>
            <w:tcW w:w="1188" w:type="dxa"/>
          </w:tcPr>
          <w:p w14:paraId="7EB0E4E7">
            <w:pPr>
              <w:jc w:val="center"/>
              <w:rPr>
                <w:rFonts w:ascii="宋体" w:hAnsi="宋体" w:cs="宋体"/>
                <w:color w:val="auto"/>
                <w:sz w:val="24"/>
              </w:rPr>
            </w:pPr>
            <w:r>
              <w:rPr>
                <w:rFonts w:hint="eastAsia" w:ascii="宋体" w:hAnsi="宋体" w:cs="宋体"/>
                <w:color w:val="auto"/>
                <w:sz w:val="24"/>
              </w:rPr>
              <w:t>陕西</w:t>
            </w:r>
          </w:p>
        </w:tc>
        <w:tc>
          <w:tcPr>
            <w:tcW w:w="2393" w:type="dxa"/>
          </w:tcPr>
          <w:p w14:paraId="634A77D0">
            <w:pPr>
              <w:jc w:val="center"/>
              <w:rPr>
                <w:rFonts w:hint="eastAsia" w:ascii="宋体" w:hAnsi="宋体" w:eastAsia="宋体" w:cs="宋体"/>
                <w:color w:val="auto"/>
                <w:sz w:val="24"/>
                <w:lang w:eastAsia="zh-CN"/>
              </w:rPr>
            </w:pPr>
            <w:r>
              <w:rPr>
                <w:rFonts w:hint="eastAsia" w:ascii="宋体" w:hAnsi="宋体" w:cs="宋体"/>
                <w:color w:val="auto"/>
                <w:sz w:val="24"/>
              </w:rPr>
              <w:t>长安杯</w:t>
            </w:r>
          </w:p>
        </w:tc>
        <w:tc>
          <w:tcPr>
            <w:tcW w:w="889" w:type="dxa"/>
          </w:tcPr>
          <w:p w14:paraId="3AE3572E">
            <w:pPr>
              <w:jc w:val="center"/>
              <w:rPr>
                <w:rFonts w:ascii="宋体" w:hAnsi="宋体" w:cs="宋体"/>
                <w:color w:val="auto"/>
                <w:sz w:val="24"/>
              </w:rPr>
            </w:pPr>
            <w:r>
              <w:rPr>
                <w:rFonts w:hint="eastAsia" w:ascii="宋体" w:hAnsi="宋体" w:cs="宋体"/>
                <w:color w:val="auto"/>
                <w:sz w:val="24"/>
              </w:rPr>
              <w:t>27</w:t>
            </w:r>
          </w:p>
        </w:tc>
        <w:tc>
          <w:tcPr>
            <w:tcW w:w="1142" w:type="dxa"/>
          </w:tcPr>
          <w:p w14:paraId="3E9459C6">
            <w:pPr>
              <w:jc w:val="center"/>
              <w:rPr>
                <w:rFonts w:ascii="宋体" w:hAnsi="宋体" w:cs="宋体"/>
                <w:color w:val="auto"/>
                <w:sz w:val="24"/>
              </w:rPr>
            </w:pPr>
            <w:r>
              <w:rPr>
                <w:rFonts w:hint="eastAsia" w:ascii="宋体" w:hAnsi="宋体" w:cs="宋体"/>
                <w:color w:val="auto"/>
                <w:sz w:val="24"/>
              </w:rPr>
              <w:t>广东</w:t>
            </w:r>
          </w:p>
        </w:tc>
        <w:tc>
          <w:tcPr>
            <w:tcW w:w="2420" w:type="dxa"/>
          </w:tcPr>
          <w:p w14:paraId="5C44E781">
            <w:pPr>
              <w:jc w:val="center"/>
              <w:rPr>
                <w:rFonts w:hint="eastAsia" w:ascii="宋体" w:hAnsi="宋体" w:eastAsia="宋体" w:cs="宋体"/>
                <w:color w:val="auto"/>
                <w:sz w:val="24"/>
                <w:lang w:eastAsia="zh-CN"/>
              </w:rPr>
            </w:pPr>
            <w:r>
              <w:rPr>
                <w:rFonts w:hint="eastAsia" w:ascii="宋体" w:hAnsi="宋体" w:cs="宋体"/>
                <w:color w:val="auto"/>
                <w:sz w:val="24"/>
              </w:rPr>
              <w:t>金匠奖</w:t>
            </w:r>
          </w:p>
        </w:tc>
      </w:tr>
      <w:tr w14:paraId="251C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6A2513F6">
            <w:pPr>
              <w:jc w:val="center"/>
              <w:rPr>
                <w:rFonts w:ascii="宋体" w:hAnsi="宋体" w:cs="宋体"/>
                <w:color w:val="auto"/>
                <w:sz w:val="24"/>
              </w:rPr>
            </w:pPr>
            <w:r>
              <w:rPr>
                <w:rFonts w:hint="eastAsia" w:ascii="宋体" w:hAnsi="宋体" w:cs="宋体"/>
                <w:color w:val="auto"/>
                <w:sz w:val="24"/>
              </w:rPr>
              <w:t>12</w:t>
            </w:r>
          </w:p>
        </w:tc>
        <w:tc>
          <w:tcPr>
            <w:tcW w:w="1188" w:type="dxa"/>
          </w:tcPr>
          <w:p w14:paraId="2B7BABEB">
            <w:pPr>
              <w:jc w:val="center"/>
              <w:rPr>
                <w:rFonts w:ascii="宋体" w:hAnsi="宋体" w:cs="宋体"/>
                <w:color w:val="auto"/>
                <w:sz w:val="24"/>
              </w:rPr>
            </w:pPr>
            <w:r>
              <w:rPr>
                <w:rFonts w:hint="eastAsia" w:ascii="宋体" w:hAnsi="宋体" w:cs="宋体"/>
                <w:color w:val="auto"/>
                <w:sz w:val="24"/>
              </w:rPr>
              <w:t>宁夏</w:t>
            </w:r>
          </w:p>
        </w:tc>
        <w:tc>
          <w:tcPr>
            <w:tcW w:w="2393" w:type="dxa"/>
          </w:tcPr>
          <w:p w14:paraId="427F3142">
            <w:pPr>
              <w:jc w:val="center"/>
              <w:rPr>
                <w:rFonts w:ascii="宋体" w:hAnsi="宋体" w:cs="宋体"/>
                <w:color w:val="auto"/>
                <w:sz w:val="24"/>
              </w:rPr>
            </w:pPr>
            <w:r>
              <w:rPr>
                <w:rFonts w:hint="eastAsia" w:ascii="宋体" w:hAnsi="宋体" w:cs="宋体"/>
                <w:color w:val="auto"/>
                <w:sz w:val="24"/>
              </w:rPr>
              <w:t>西夏杯</w:t>
            </w:r>
          </w:p>
        </w:tc>
        <w:tc>
          <w:tcPr>
            <w:tcW w:w="889" w:type="dxa"/>
          </w:tcPr>
          <w:p w14:paraId="2491977B">
            <w:pPr>
              <w:jc w:val="center"/>
              <w:rPr>
                <w:rFonts w:ascii="宋体" w:hAnsi="宋体" w:cs="宋体"/>
                <w:color w:val="auto"/>
                <w:sz w:val="24"/>
              </w:rPr>
            </w:pPr>
            <w:r>
              <w:rPr>
                <w:rFonts w:hint="eastAsia" w:ascii="宋体" w:hAnsi="宋体" w:cs="宋体"/>
                <w:color w:val="auto"/>
                <w:sz w:val="24"/>
              </w:rPr>
              <w:t>28</w:t>
            </w:r>
          </w:p>
        </w:tc>
        <w:tc>
          <w:tcPr>
            <w:tcW w:w="1142" w:type="dxa"/>
          </w:tcPr>
          <w:p w14:paraId="006D0FBF">
            <w:pPr>
              <w:jc w:val="center"/>
              <w:rPr>
                <w:rFonts w:ascii="宋体" w:hAnsi="宋体" w:cs="宋体"/>
                <w:color w:val="auto"/>
                <w:sz w:val="24"/>
              </w:rPr>
            </w:pPr>
            <w:r>
              <w:rPr>
                <w:rFonts w:hint="eastAsia" w:ascii="宋体" w:hAnsi="宋体" w:cs="宋体"/>
                <w:color w:val="auto"/>
                <w:sz w:val="24"/>
              </w:rPr>
              <w:t>广西</w:t>
            </w:r>
          </w:p>
        </w:tc>
        <w:tc>
          <w:tcPr>
            <w:tcW w:w="2420" w:type="dxa"/>
          </w:tcPr>
          <w:p w14:paraId="7301BF7E">
            <w:pPr>
              <w:jc w:val="center"/>
              <w:rPr>
                <w:rFonts w:hint="eastAsia" w:ascii="宋体" w:hAnsi="宋体" w:eastAsia="宋体" w:cs="宋体"/>
                <w:color w:val="auto"/>
                <w:sz w:val="24"/>
                <w:lang w:eastAsia="zh-CN"/>
              </w:rPr>
            </w:pPr>
            <w:r>
              <w:rPr>
                <w:rFonts w:hint="eastAsia" w:ascii="宋体" w:hAnsi="宋体" w:cs="宋体"/>
                <w:color w:val="auto"/>
                <w:sz w:val="24"/>
              </w:rPr>
              <w:t>广西优质工程</w:t>
            </w:r>
          </w:p>
        </w:tc>
      </w:tr>
      <w:tr w14:paraId="3CA7B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44CEF34D">
            <w:pPr>
              <w:jc w:val="center"/>
              <w:rPr>
                <w:rFonts w:ascii="宋体" w:hAnsi="宋体" w:cs="宋体"/>
                <w:color w:val="auto"/>
                <w:sz w:val="24"/>
              </w:rPr>
            </w:pPr>
            <w:r>
              <w:rPr>
                <w:rFonts w:hint="eastAsia" w:ascii="宋体" w:hAnsi="宋体" w:cs="宋体"/>
                <w:color w:val="auto"/>
                <w:sz w:val="24"/>
              </w:rPr>
              <w:t>13</w:t>
            </w:r>
          </w:p>
        </w:tc>
        <w:tc>
          <w:tcPr>
            <w:tcW w:w="1188" w:type="dxa"/>
          </w:tcPr>
          <w:p w14:paraId="5258ABA3">
            <w:pPr>
              <w:jc w:val="center"/>
              <w:rPr>
                <w:rFonts w:ascii="宋体" w:hAnsi="宋体" w:cs="宋体"/>
                <w:color w:val="auto"/>
                <w:sz w:val="24"/>
              </w:rPr>
            </w:pPr>
            <w:r>
              <w:rPr>
                <w:rFonts w:hint="eastAsia" w:ascii="宋体" w:hAnsi="宋体" w:cs="宋体"/>
                <w:color w:val="auto"/>
                <w:sz w:val="24"/>
              </w:rPr>
              <w:t>青海</w:t>
            </w:r>
          </w:p>
        </w:tc>
        <w:tc>
          <w:tcPr>
            <w:tcW w:w="2393" w:type="dxa"/>
          </w:tcPr>
          <w:p w14:paraId="2EBD5DD0">
            <w:pPr>
              <w:jc w:val="center"/>
              <w:rPr>
                <w:rFonts w:ascii="宋体" w:hAnsi="宋体" w:cs="宋体"/>
                <w:color w:val="auto"/>
                <w:sz w:val="24"/>
              </w:rPr>
            </w:pPr>
            <w:r>
              <w:rPr>
                <w:rFonts w:hint="eastAsia" w:ascii="宋体" w:hAnsi="宋体" w:cs="宋体"/>
                <w:color w:val="auto"/>
                <w:sz w:val="24"/>
              </w:rPr>
              <w:t>江河源杯</w:t>
            </w:r>
          </w:p>
        </w:tc>
        <w:tc>
          <w:tcPr>
            <w:tcW w:w="889" w:type="dxa"/>
          </w:tcPr>
          <w:p w14:paraId="31C4C6FC">
            <w:pPr>
              <w:jc w:val="center"/>
              <w:rPr>
                <w:rFonts w:ascii="宋体" w:hAnsi="宋体" w:cs="宋体"/>
                <w:color w:val="auto"/>
                <w:sz w:val="24"/>
              </w:rPr>
            </w:pPr>
            <w:r>
              <w:rPr>
                <w:rFonts w:hint="eastAsia" w:ascii="宋体" w:hAnsi="宋体" w:cs="宋体"/>
                <w:color w:val="auto"/>
                <w:sz w:val="24"/>
              </w:rPr>
              <w:t>29</w:t>
            </w:r>
          </w:p>
        </w:tc>
        <w:tc>
          <w:tcPr>
            <w:tcW w:w="1142" w:type="dxa"/>
          </w:tcPr>
          <w:p w14:paraId="651283E4">
            <w:pPr>
              <w:jc w:val="center"/>
              <w:rPr>
                <w:rFonts w:ascii="宋体" w:hAnsi="宋体" w:cs="宋体"/>
                <w:color w:val="auto"/>
                <w:sz w:val="24"/>
              </w:rPr>
            </w:pPr>
            <w:r>
              <w:rPr>
                <w:rFonts w:hint="eastAsia" w:ascii="宋体" w:hAnsi="宋体" w:cs="宋体"/>
                <w:color w:val="auto"/>
                <w:sz w:val="24"/>
              </w:rPr>
              <w:t>云南</w:t>
            </w:r>
          </w:p>
        </w:tc>
        <w:tc>
          <w:tcPr>
            <w:tcW w:w="2420" w:type="dxa"/>
          </w:tcPr>
          <w:p w14:paraId="125AB393">
            <w:pPr>
              <w:jc w:val="center"/>
              <w:rPr>
                <w:rFonts w:hint="eastAsia" w:ascii="宋体" w:hAnsi="宋体" w:eastAsia="宋体" w:cs="宋体"/>
                <w:color w:val="auto"/>
                <w:sz w:val="24"/>
                <w:lang w:eastAsia="zh-CN"/>
              </w:rPr>
            </w:pPr>
            <w:r>
              <w:rPr>
                <w:rFonts w:hint="eastAsia" w:ascii="宋体" w:hAnsi="宋体" w:cs="宋体"/>
                <w:color w:val="auto"/>
                <w:sz w:val="24"/>
              </w:rPr>
              <w:t>云南省优质工程</w:t>
            </w:r>
          </w:p>
        </w:tc>
      </w:tr>
      <w:tr w14:paraId="1B944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0938F843">
            <w:pPr>
              <w:jc w:val="center"/>
              <w:rPr>
                <w:rFonts w:ascii="宋体" w:hAnsi="宋体" w:cs="宋体"/>
                <w:color w:val="auto"/>
                <w:sz w:val="24"/>
              </w:rPr>
            </w:pPr>
            <w:r>
              <w:rPr>
                <w:rFonts w:hint="eastAsia" w:ascii="宋体" w:hAnsi="宋体" w:cs="宋体"/>
                <w:color w:val="auto"/>
                <w:sz w:val="24"/>
              </w:rPr>
              <w:t>14</w:t>
            </w:r>
          </w:p>
        </w:tc>
        <w:tc>
          <w:tcPr>
            <w:tcW w:w="1188" w:type="dxa"/>
          </w:tcPr>
          <w:p w14:paraId="6998CE9F">
            <w:pPr>
              <w:jc w:val="center"/>
              <w:rPr>
                <w:rFonts w:ascii="宋体" w:hAnsi="宋体" w:cs="宋体"/>
                <w:color w:val="auto"/>
                <w:sz w:val="24"/>
              </w:rPr>
            </w:pPr>
            <w:r>
              <w:rPr>
                <w:rFonts w:hint="eastAsia" w:ascii="宋体" w:hAnsi="宋体" w:cs="宋体"/>
                <w:color w:val="auto"/>
                <w:sz w:val="24"/>
              </w:rPr>
              <w:t>新疆</w:t>
            </w:r>
          </w:p>
        </w:tc>
        <w:tc>
          <w:tcPr>
            <w:tcW w:w="2393" w:type="dxa"/>
          </w:tcPr>
          <w:p w14:paraId="263B9104">
            <w:pPr>
              <w:jc w:val="center"/>
              <w:rPr>
                <w:rFonts w:ascii="宋体" w:hAnsi="宋体" w:cs="宋体"/>
                <w:color w:val="auto"/>
                <w:sz w:val="24"/>
              </w:rPr>
            </w:pPr>
            <w:r>
              <w:rPr>
                <w:rFonts w:hint="eastAsia" w:ascii="宋体" w:hAnsi="宋体" w:cs="宋体"/>
                <w:color w:val="auto"/>
                <w:sz w:val="24"/>
              </w:rPr>
              <w:t>天山奖</w:t>
            </w:r>
          </w:p>
        </w:tc>
        <w:tc>
          <w:tcPr>
            <w:tcW w:w="889" w:type="dxa"/>
          </w:tcPr>
          <w:p w14:paraId="56370577">
            <w:pPr>
              <w:jc w:val="center"/>
              <w:rPr>
                <w:rFonts w:ascii="宋体" w:hAnsi="宋体" w:cs="宋体"/>
                <w:color w:val="auto"/>
                <w:sz w:val="24"/>
              </w:rPr>
            </w:pPr>
            <w:r>
              <w:rPr>
                <w:rFonts w:hint="eastAsia" w:ascii="宋体" w:hAnsi="宋体" w:cs="宋体"/>
                <w:color w:val="auto"/>
                <w:sz w:val="24"/>
              </w:rPr>
              <w:t>30</w:t>
            </w:r>
          </w:p>
        </w:tc>
        <w:tc>
          <w:tcPr>
            <w:tcW w:w="1142" w:type="dxa"/>
          </w:tcPr>
          <w:p w14:paraId="17D99D38">
            <w:pPr>
              <w:jc w:val="center"/>
              <w:rPr>
                <w:rFonts w:ascii="宋体" w:hAnsi="宋体" w:cs="宋体"/>
                <w:color w:val="auto"/>
                <w:sz w:val="24"/>
              </w:rPr>
            </w:pPr>
            <w:r>
              <w:rPr>
                <w:rFonts w:hint="eastAsia" w:ascii="宋体" w:hAnsi="宋体" w:cs="宋体"/>
                <w:color w:val="auto"/>
                <w:sz w:val="24"/>
              </w:rPr>
              <w:t>海南</w:t>
            </w:r>
          </w:p>
        </w:tc>
        <w:tc>
          <w:tcPr>
            <w:tcW w:w="2420" w:type="dxa"/>
          </w:tcPr>
          <w:p w14:paraId="127131E8">
            <w:pPr>
              <w:jc w:val="center"/>
              <w:rPr>
                <w:rFonts w:hint="eastAsia" w:ascii="宋体" w:hAnsi="宋体" w:eastAsia="宋体" w:cs="宋体"/>
                <w:color w:val="auto"/>
                <w:sz w:val="24"/>
                <w:lang w:eastAsia="zh-CN"/>
              </w:rPr>
            </w:pPr>
            <w:r>
              <w:rPr>
                <w:rFonts w:hint="eastAsia" w:ascii="宋体" w:hAnsi="宋体" w:cs="宋体"/>
                <w:color w:val="auto"/>
                <w:sz w:val="24"/>
              </w:rPr>
              <w:t>绿岛杯</w:t>
            </w:r>
          </w:p>
        </w:tc>
      </w:tr>
      <w:tr w14:paraId="04A04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2346AAD4">
            <w:pPr>
              <w:jc w:val="center"/>
              <w:rPr>
                <w:rFonts w:ascii="宋体" w:hAnsi="宋体" w:cs="宋体"/>
                <w:color w:val="auto"/>
                <w:sz w:val="24"/>
              </w:rPr>
            </w:pPr>
            <w:r>
              <w:rPr>
                <w:rFonts w:hint="eastAsia" w:ascii="宋体" w:hAnsi="宋体" w:cs="宋体"/>
                <w:color w:val="auto"/>
                <w:sz w:val="24"/>
              </w:rPr>
              <w:t>15</w:t>
            </w:r>
          </w:p>
        </w:tc>
        <w:tc>
          <w:tcPr>
            <w:tcW w:w="1188" w:type="dxa"/>
          </w:tcPr>
          <w:p w14:paraId="69145DEE">
            <w:pPr>
              <w:jc w:val="center"/>
              <w:rPr>
                <w:rFonts w:ascii="宋体" w:hAnsi="宋体" w:cs="宋体"/>
                <w:color w:val="auto"/>
                <w:sz w:val="24"/>
              </w:rPr>
            </w:pPr>
            <w:r>
              <w:rPr>
                <w:rFonts w:hint="eastAsia" w:ascii="宋体" w:hAnsi="宋体" w:cs="宋体"/>
                <w:color w:val="auto"/>
                <w:sz w:val="24"/>
              </w:rPr>
              <w:t>西藏</w:t>
            </w:r>
          </w:p>
        </w:tc>
        <w:tc>
          <w:tcPr>
            <w:tcW w:w="2393" w:type="dxa"/>
          </w:tcPr>
          <w:p w14:paraId="4D646846">
            <w:pPr>
              <w:jc w:val="center"/>
              <w:rPr>
                <w:rFonts w:hint="eastAsia" w:ascii="宋体" w:hAnsi="宋体" w:eastAsia="宋体" w:cs="宋体"/>
                <w:color w:val="auto"/>
                <w:sz w:val="24"/>
                <w:lang w:eastAsia="zh-CN"/>
              </w:rPr>
            </w:pPr>
            <w:r>
              <w:rPr>
                <w:rFonts w:hint="eastAsia" w:ascii="宋体" w:hAnsi="宋体" w:cs="宋体"/>
                <w:color w:val="auto"/>
                <w:sz w:val="24"/>
              </w:rPr>
              <w:t>雪莲杯</w:t>
            </w:r>
          </w:p>
        </w:tc>
        <w:tc>
          <w:tcPr>
            <w:tcW w:w="889" w:type="dxa"/>
          </w:tcPr>
          <w:p w14:paraId="20012617">
            <w:pPr>
              <w:jc w:val="center"/>
              <w:rPr>
                <w:rFonts w:ascii="宋体" w:hAnsi="宋体" w:cs="宋体"/>
                <w:color w:val="auto"/>
                <w:sz w:val="24"/>
              </w:rPr>
            </w:pPr>
            <w:r>
              <w:rPr>
                <w:rFonts w:hint="eastAsia" w:ascii="宋体" w:hAnsi="宋体" w:cs="宋体"/>
                <w:color w:val="auto"/>
                <w:sz w:val="24"/>
              </w:rPr>
              <w:t>31</w:t>
            </w:r>
          </w:p>
        </w:tc>
        <w:tc>
          <w:tcPr>
            <w:tcW w:w="1142" w:type="dxa"/>
          </w:tcPr>
          <w:p w14:paraId="671EFFF8">
            <w:pPr>
              <w:jc w:val="center"/>
              <w:rPr>
                <w:rFonts w:ascii="宋体" w:hAnsi="宋体" w:cs="宋体"/>
                <w:color w:val="auto"/>
                <w:sz w:val="24"/>
              </w:rPr>
            </w:pPr>
            <w:r>
              <w:rPr>
                <w:rFonts w:hint="eastAsia" w:ascii="宋体" w:hAnsi="宋体" w:cs="宋体"/>
                <w:color w:val="auto"/>
                <w:sz w:val="24"/>
              </w:rPr>
              <w:t>甘肃</w:t>
            </w:r>
          </w:p>
        </w:tc>
        <w:tc>
          <w:tcPr>
            <w:tcW w:w="2420" w:type="dxa"/>
          </w:tcPr>
          <w:p w14:paraId="2B4EAF1A">
            <w:pPr>
              <w:jc w:val="center"/>
              <w:rPr>
                <w:rFonts w:ascii="宋体" w:hAnsi="宋体" w:cs="宋体"/>
                <w:color w:val="auto"/>
                <w:sz w:val="24"/>
              </w:rPr>
            </w:pPr>
            <w:r>
              <w:rPr>
                <w:rFonts w:hint="eastAsia" w:ascii="宋体" w:hAnsi="宋体" w:cs="宋体"/>
                <w:color w:val="auto"/>
                <w:sz w:val="24"/>
              </w:rPr>
              <w:t>飞天杯</w:t>
            </w:r>
          </w:p>
        </w:tc>
      </w:tr>
      <w:tr w14:paraId="61004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tcPr>
          <w:p w14:paraId="1320279D">
            <w:pPr>
              <w:jc w:val="center"/>
              <w:rPr>
                <w:rFonts w:ascii="宋体" w:hAnsi="宋体" w:cs="宋体"/>
                <w:color w:val="auto"/>
                <w:sz w:val="24"/>
              </w:rPr>
            </w:pPr>
            <w:r>
              <w:rPr>
                <w:rFonts w:hint="eastAsia" w:ascii="宋体" w:hAnsi="宋体" w:cs="宋体"/>
                <w:color w:val="auto"/>
                <w:sz w:val="24"/>
              </w:rPr>
              <w:t>16</w:t>
            </w:r>
          </w:p>
        </w:tc>
        <w:tc>
          <w:tcPr>
            <w:tcW w:w="1188" w:type="dxa"/>
          </w:tcPr>
          <w:p w14:paraId="539C5C5E">
            <w:pPr>
              <w:jc w:val="center"/>
              <w:rPr>
                <w:rFonts w:ascii="宋体" w:hAnsi="宋体" w:cs="宋体"/>
                <w:color w:val="auto"/>
                <w:sz w:val="24"/>
              </w:rPr>
            </w:pPr>
            <w:r>
              <w:rPr>
                <w:rFonts w:hint="eastAsia" w:ascii="宋体" w:hAnsi="宋体" w:cs="宋体"/>
                <w:color w:val="auto"/>
                <w:sz w:val="24"/>
              </w:rPr>
              <w:t>河北</w:t>
            </w:r>
          </w:p>
        </w:tc>
        <w:tc>
          <w:tcPr>
            <w:tcW w:w="2393" w:type="dxa"/>
          </w:tcPr>
          <w:p w14:paraId="3090740A">
            <w:pPr>
              <w:jc w:val="center"/>
              <w:rPr>
                <w:rFonts w:ascii="宋体" w:hAnsi="宋体" w:cs="宋体"/>
                <w:color w:val="auto"/>
                <w:sz w:val="24"/>
              </w:rPr>
            </w:pPr>
            <w:r>
              <w:rPr>
                <w:rFonts w:hint="eastAsia" w:ascii="宋体" w:hAnsi="宋体" w:cs="宋体"/>
                <w:color w:val="auto"/>
                <w:sz w:val="24"/>
              </w:rPr>
              <w:t>安济杯</w:t>
            </w:r>
          </w:p>
        </w:tc>
        <w:tc>
          <w:tcPr>
            <w:tcW w:w="889" w:type="dxa"/>
          </w:tcPr>
          <w:p w14:paraId="30C08112">
            <w:pPr>
              <w:jc w:val="center"/>
              <w:rPr>
                <w:rFonts w:ascii="宋体" w:hAnsi="宋体" w:cs="宋体"/>
                <w:color w:val="auto"/>
                <w:sz w:val="24"/>
              </w:rPr>
            </w:pPr>
          </w:p>
        </w:tc>
        <w:tc>
          <w:tcPr>
            <w:tcW w:w="1142" w:type="dxa"/>
          </w:tcPr>
          <w:p w14:paraId="6424566B">
            <w:pPr>
              <w:jc w:val="center"/>
              <w:rPr>
                <w:rFonts w:ascii="宋体" w:hAnsi="宋体" w:cs="宋体"/>
                <w:color w:val="auto"/>
                <w:sz w:val="24"/>
              </w:rPr>
            </w:pPr>
          </w:p>
        </w:tc>
        <w:tc>
          <w:tcPr>
            <w:tcW w:w="2420" w:type="dxa"/>
          </w:tcPr>
          <w:p w14:paraId="611440A1">
            <w:pPr>
              <w:jc w:val="center"/>
              <w:rPr>
                <w:rFonts w:ascii="宋体" w:hAnsi="宋体" w:cs="宋体"/>
                <w:color w:val="auto"/>
                <w:sz w:val="24"/>
              </w:rPr>
            </w:pPr>
          </w:p>
        </w:tc>
      </w:tr>
    </w:tbl>
    <w:p w14:paraId="61BECF31">
      <w:pPr>
        <w:widowControl w:val="0"/>
        <w:kinsoku/>
        <w:wordWrap w:val="0"/>
        <w:topLinePunct/>
        <w:autoSpaceDE/>
        <w:autoSpaceDN/>
        <w:spacing w:line="360" w:lineRule="auto"/>
        <w:rPr>
          <w:rFonts w:hint="eastAsia" w:ascii="宋体" w:hAnsi="宋体" w:eastAsia="宋体" w:cs="宋体"/>
          <w:color w:val="auto"/>
          <w:sz w:val="24"/>
          <w:szCs w:val="24"/>
          <w:lang w:eastAsia="zh-CN"/>
        </w:rPr>
      </w:pPr>
      <w:r>
        <w:rPr>
          <w:rFonts w:hint="eastAsia"/>
          <w:b/>
          <w:bCs/>
          <w:color w:val="auto"/>
          <w:sz w:val="24"/>
          <w:szCs w:val="24"/>
          <w:lang w:eastAsia="zh-CN"/>
        </w:rPr>
        <w:t>注</w:t>
      </w:r>
      <w:r>
        <w:rPr>
          <w:b/>
          <w:bCs/>
          <w:color w:val="auto"/>
          <w:sz w:val="24"/>
          <w:szCs w:val="24"/>
          <w:lang w:eastAsia="zh-CN"/>
        </w:rPr>
        <w:t>：所列各省奖项发生变化时，</w:t>
      </w:r>
      <w:r>
        <w:rPr>
          <w:rFonts w:hint="eastAsia" w:eastAsia="宋体"/>
          <w:b/>
          <w:bCs/>
          <w:color w:val="auto"/>
          <w:sz w:val="24"/>
          <w:szCs w:val="24"/>
          <w:lang w:eastAsia="zh-CN"/>
        </w:rPr>
        <w:t>以最新名称为准</w:t>
      </w:r>
      <w:r>
        <w:rPr>
          <w:b/>
          <w:bCs/>
          <w:color w:val="auto"/>
          <w:sz w:val="24"/>
          <w:szCs w:val="24"/>
          <w:lang w:eastAsia="zh-CN"/>
        </w:rPr>
        <w:t>。</w:t>
      </w:r>
    </w:p>
    <w:p w14:paraId="701F8588">
      <w:pPr>
        <w:widowControl w:val="0"/>
        <w:kinsoku/>
        <w:topLinePunct/>
        <w:autoSpaceDE/>
        <w:autoSpaceDN/>
        <w:spacing w:line="520" w:lineRule="exact"/>
        <w:ind w:firstLine="482" w:firstLineChars="200"/>
        <w:jc w:val="both"/>
        <w:outlineLvl w:val="3"/>
        <w:rPr>
          <w:rFonts w:hint="eastAsia" w:ascii="宋体" w:hAnsi="宋体" w:eastAsia="宋体" w:cs="宋体"/>
          <w:color w:val="auto"/>
          <w:sz w:val="24"/>
          <w:szCs w:val="24"/>
          <w:lang w:eastAsia="zh-CN"/>
        </w:rPr>
      </w:pPr>
      <w:bookmarkStart w:id="452" w:name="bookmark116"/>
      <w:bookmarkEnd w:id="452"/>
      <w:bookmarkStart w:id="453" w:name="_Toc19832"/>
      <w:r>
        <w:rPr>
          <w:rFonts w:hint="eastAsia" w:ascii="宋体" w:hAnsi="宋体" w:eastAsia="宋体" w:cs="宋体"/>
          <w:b/>
          <w:bCs/>
          <w:color w:val="auto"/>
          <w:sz w:val="24"/>
          <w:szCs w:val="24"/>
          <w:lang w:eastAsia="zh-CN"/>
        </w:rPr>
        <w:t>4.5　投标文件的商务符合性审查</w:t>
      </w:r>
      <w:bookmarkEnd w:id="453"/>
    </w:p>
    <w:p w14:paraId="0452A07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4.5.1　</w:t>
      </w:r>
      <w:r>
        <w:rPr>
          <w:rFonts w:hint="eastAsia" w:ascii="宋体" w:hAnsi="宋体" w:eastAsia="宋体" w:cs="宋体"/>
          <w:color w:val="auto"/>
          <w:sz w:val="24"/>
          <w:szCs w:val="24"/>
          <w:lang w:eastAsia="zh-CN"/>
        </w:rPr>
        <w:t>评标委员会应对通过资信符合性审查的投标文件进行商务符合性审查。商务符合性审查未通过的投标文件不再进入后续评审。</w:t>
      </w:r>
    </w:p>
    <w:p w14:paraId="70E33BB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4.5.2　</w:t>
      </w:r>
      <w:r>
        <w:rPr>
          <w:rFonts w:hint="eastAsia" w:ascii="宋体" w:hAnsi="宋体" w:eastAsia="宋体" w:cs="宋体"/>
          <w:color w:val="auto"/>
          <w:sz w:val="24"/>
          <w:szCs w:val="24"/>
          <w:lang w:eastAsia="zh-CN"/>
        </w:rPr>
        <w:t>投标人不得通过补充、修改或撤销投标文件中的内容使其成为实质性响应的投标。投标人在投标截止以后不得提交任何资料作为评标依据。</w:t>
      </w:r>
    </w:p>
    <w:p w14:paraId="5876BBB0">
      <w:pPr>
        <w:widowControl w:val="0"/>
        <w:kinsoku/>
        <w:topLinePunct/>
        <w:autoSpaceDE/>
        <w:autoSpaceDN/>
        <w:adjustRightInd/>
        <w:spacing w:line="520" w:lineRule="exact"/>
        <w:ind w:firstLine="482"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4.5.3　</w:t>
      </w:r>
      <w:r>
        <w:rPr>
          <w:rFonts w:hint="eastAsia" w:ascii="宋体" w:hAnsi="宋体" w:eastAsia="宋体" w:cs="宋体"/>
          <w:color w:val="auto"/>
          <w:sz w:val="24"/>
          <w:szCs w:val="24"/>
          <w:lang w:eastAsia="zh-CN"/>
        </w:rPr>
        <w:t>投标文件如存在投标人须知前附表10.8“4.商务符合性审查”情况之一的，由评标委员会全体成员按照少数服从多数的原则记名投票（不得弃权）认定，作为商务符合性审查未通过予以否决其投标，不再进行后续评审。</w:t>
      </w:r>
    </w:p>
    <w:p w14:paraId="5E0B3177">
      <w:pPr>
        <w:widowControl w:val="0"/>
        <w:kinsoku/>
        <w:topLinePunct/>
        <w:autoSpaceDE/>
        <w:autoSpaceDN/>
        <w:spacing w:line="520" w:lineRule="exact"/>
        <w:ind w:firstLine="482" w:firstLineChars="200"/>
        <w:jc w:val="both"/>
        <w:outlineLvl w:val="3"/>
        <w:rPr>
          <w:rFonts w:hint="eastAsia" w:ascii="宋体" w:hAnsi="宋体" w:eastAsia="宋体" w:cs="宋体"/>
          <w:color w:val="auto"/>
          <w:sz w:val="24"/>
          <w:szCs w:val="24"/>
          <w:lang w:eastAsia="zh-CN"/>
        </w:rPr>
      </w:pPr>
      <w:bookmarkStart w:id="454" w:name="bookmark117"/>
      <w:bookmarkEnd w:id="454"/>
      <w:bookmarkStart w:id="455" w:name="_Toc7124"/>
      <w:r>
        <w:rPr>
          <w:rFonts w:hint="eastAsia" w:ascii="宋体" w:hAnsi="宋体" w:eastAsia="宋体" w:cs="宋体"/>
          <w:b/>
          <w:bCs/>
          <w:color w:val="auto"/>
          <w:sz w:val="24"/>
          <w:szCs w:val="24"/>
          <w:lang w:eastAsia="zh-CN"/>
        </w:rPr>
        <w:t>4.6　投标文件的商务评审</w:t>
      </w:r>
      <w:bookmarkEnd w:id="455"/>
    </w:p>
    <w:p w14:paraId="6E759CF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4.6.1　</w:t>
      </w:r>
      <w:r>
        <w:rPr>
          <w:rFonts w:hint="eastAsia" w:ascii="宋体" w:hAnsi="宋体" w:eastAsia="宋体" w:cs="宋体"/>
          <w:color w:val="auto"/>
          <w:sz w:val="24"/>
          <w:szCs w:val="24"/>
          <w:lang w:eastAsia="zh-CN"/>
        </w:rPr>
        <w:t>评标委员会对通过商务符合性审查的投标文件进行商务评审。评标委员会应对商务报价的范围、数量、单价、费用组成和总价等进行全面审阅和对比分析，找出报价差异的原因及存在的问题。</w:t>
      </w:r>
    </w:p>
    <w:p w14:paraId="3113777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4.6.2　</w:t>
      </w:r>
      <w:r>
        <w:rPr>
          <w:rFonts w:hint="eastAsia" w:ascii="宋体" w:hAnsi="宋体" w:eastAsia="宋体" w:cs="宋体"/>
          <w:color w:val="auto"/>
          <w:sz w:val="24"/>
          <w:szCs w:val="24"/>
          <w:lang w:eastAsia="zh-CN"/>
        </w:rPr>
        <w:t>商务评审应以报价口径范围一致的投标评标价为依据。投标评标价应在最终报价的基础上，按照招标文件约定的因素和方法进行计算。凡属招标文件的原因造成报价口径范围不一致的，应调整投标报价。其中算术错误的调整原则为：</w:t>
      </w:r>
    </w:p>
    <w:p w14:paraId="52D9D7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（1）用数字表示的金额与文字表示的数额不一致时，以文字数额为准。</w:t>
      </w:r>
    </w:p>
    <w:p w14:paraId="0A1D20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凡属投标人自身失误造成多算、少算、漏算的，不调整投标报价。若有算术性差错，均在投标报价不变的前提下按招标人要求调整单价及有关费用，调整后的单价及有关费用对投标人起约束作用，如果投标人不接受修正后的单价及有关费用，则按商务评审不合格处理。</w:t>
      </w:r>
    </w:p>
    <w:p w14:paraId="1A819447">
      <w:pPr>
        <w:widowControl w:val="0"/>
        <w:kinsoku/>
        <w:topLinePunct/>
        <w:autoSpaceDE/>
        <w:autoSpaceDN/>
        <w:spacing w:line="520" w:lineRule="exact"/>
        <w:ind w:firstLine="482" w:firstLineChars="200"/>
        <w:jc w:val="both"/>
        <w:rPr>
          <w:rFonts w:hint="eastAsia" w:ascii="宋体" w:hAnsi="宋体" w:eastAsia="宋体" w:cs="宋体"/>
          <w:color w:val="auto"/>
          <w:sz w:val="25"/>
          <w:szCs w:val="25"/>
          <w:lang w:eastAsia="zh-CN"/>
        </w:rPr>
      </w:pPr>
      <w:r>
        <w:rPr>
          <w:rFonts w:hint="eastAsia" w:ascii="宋体" w:hAnsi="宋体" w:eastAsia="宋体" w:cs="宋体"/>
          <w:b/>
          <w:bCs/>
          <w:color w:val="auto"/>
          <w:sz w:val="24"/>
          <w:szCs w:val="24"/>
          <w:lang w:eastAsia="zh-CN"/>
        </w:rPr>
        <w:t>4.6.3　</w:t>
      </w:r>
      <w:r>
        <w:rPr>
          <w:rFonts w:hint="eastAsia" w:ascii="宋体" w:hAnsi="宋体" w:eastAsia="宋体" w:cs="宋体"/>
          <w:color w:val="auto"/>
          <w:sz w:val="24"/>
          <w:szCs w:val="24"/>
          <w:lang w:eastAsia="zh-CN"/>
        </w:rPr>
        <w:t>投标报价如存在投标人须知前附表10.8“5.商务评审”情况之一的，由评标委员会全体成员按照少数服从多数的原则记名投票（不得弃权）认定，作为按商务评审不合格处理予以否决其投标，不再进行后续评审。</w:t>
      </w:r>
    </w:p>
    <w:p w14:paraId="782215C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4.6.4　</w:t>
      </w:r>
      <w:r>
        <w:rPr>
          <w:rFonts w:hint="eastAsia" w:ascii="宋体" w:hAnsi="宋体" w:eastAsia="宋体" w:cs="宋体"/>
          <w:color w:val="auto"/>
          <w:sz w:val="24"/>
          <w:szCs w:val="24"/>
          <w:lang w:eastAsia="zh-CN"/>
        </w:rPr>
        <w:t>商务评审不通过的投标文件不再进入后续评分。</w:t>
      </w:r>
    </w:p>
    <w:p w14:paraId="4EAB212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4.6.5　</w:t>
      </w:r>
      <w:r>
        <w:rPr>
          <w:rFonts w:hint="eastAsia" w:ascii="宋体" w:hAnsi="宋体" w:eastAsia="宋体" w:cs="宋体"/>
          <w:color w:val="auto"/>
          <w:sz w:val="24"/>
          <w:szCs w:val="24"/>
          <w:lang w:eastAsia="zh-CN"/>
        </w:rPr>
        <w:t>商务评分计算办法：</w:t>
      </w:r>
    </w:p>
    <w:p w14:paraId="1624B5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计算差错外，确认后的评分基准价在本次招标期间保持不变。计算差错，仅限于以下两种情况：（1）纯算术性四则运算差错；（2）未按约定的计算方法，多计或者少计投标人报价的。由于评标差错导致否决投标错误，重新评标纠正等情况，不属于计算差错。</w:t>
      </w:r>
    </w:p>
    <w:p w14:paraId="1944AD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平均报价值、B值、评分基准价取整数，小数点后四舍五入。</w:t>
      </w:r>
    </w:p>
    <w:p w14:paraId="7AAE54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1．评分基准价的确定</w:t>
      </w:r>
    </w:p>
    <w:p w14:paraId="0CFF1BEB">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□方法1：</w:t>
      </w:r>
    </w:p>
    <w:p w14:paraId="31DECE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（1）平均报价值计算范围的确定：</w:t>
      </w:r>
    </w:p>
    <w:p w14:paraId="4B9A685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□低于B值的投标评标价，不计入平均报价值的计算范围。B=招标人最高投标限价×</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80～90</w:t>
      </w:r>
      <w:r>
        <w:rPr>
          <w:rFonts w:hint="eastAsia" w:ascii="宋体" w:hAnsi="宋体" w:eastAsia="宋体" w:cs="宋体"/>
          <w:i/>
          <w:iCs/>
          <w:color w:val="auto"/>
          <w:sz w:val="25"/>
          <w:szCs w:val="25"/>
          <w:u w:val="single"/>
          <w:lang w:eastAsia="zh-CN"/>
        </w:rPr>
        <w:t>，由招标人自主确定）</w:t>
      </w:r>
      <w:r>
        <w:rPr>
          <w:rFonts w:hint="eastAsia" w:ascii="宋体" w:hAnsi="宋体" w:eastAsia="宋体" w:cs="宋体"/>
          <w:color w:val="auto"/>
          <w:sz w:val="25"/>
          <w:szCs w:val="25"/>
          <w:u w:val="single"/>
          <w:lang w:eastAsia="zh-CN"/>
        </w:rPr>
        <w:t>　</w:t>
      </w:r>
      <w:r>
        <w:rPr>
          <w:rFonts w:hint="eastAsia" w:ascii="宋体" w:hAnsi="宋体" w:eastAsia="宋体" w:cs="宋体"/>
          <w:color w:val="auto"/>
          <w:sz w:val="24"/>
          <w:szCs w:val="24"/>
          <w:lang w:eastAsia="zh-CN"/>
        </w:rPr>
        <w:t>%</w:t>
      </w:r>
    </w:p>
    <w:p w14:paraId="7DA12F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除以上情形外，通过商务评审的投标评标价均计入平均报价值计算范围。</w:t>
      </w:r>
    </w:p>
    <w:p w14:paraId="2BA89B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平均报价值的确定：若计入平均报价值计算范围的投标人大于等于5家，平均报价值为计入平均报价值计算范围的投标评标价中剔除投标评标价由高到低排序前A个投标评标价和投标评标价由低到高排序前A个投标评标价后的算术平均值［A为计入平均报价值计算范围的投标人个数的</w:t>
      </w:r>
      <w:r>
        <w:rPr>
          <w:rFonts w:hint="eastAsia" w:ascii="宋体" w:hAnsi="宋体" w:eastAsia="宋体" w:cs="宋体"/>
          <w:color w:val="auto"/>
          <w:sz w:val="24"/>
          <w:szCs w:val="24"/>
          <w:u w:val="single"/>
          <w:lang w:eastAsia="zh-CN"/>
        </w:rPr>
        <w:t>　　</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20%</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30%</w:t>
      </w:r>
      <w:r>
        <w:rPr>
          <w:rFonts w:hint="eastAsia" w:ascii="宋体" w:hAnsi="宋体" w:eastAsia="宋体" w:cs="宋体"/>
          <w:i/>
          <w:iCs/>
          <w:color w:val="auto"/>
          <w:sz w:val="25"/>
          <w:szCs w:val="25"/>
          <w:u w:val="single"/>
          <w:lang w:eastAsia="zh-CN"/>
        </w:rPr>
        <w:t>，由招标人自主确定）</w:t>
      </w:r>
      <w:r>
        <w:rPr>
          <w:rFonts w:hint="eastAsia" w:ascii="宋体" w:hAnsi="宋体" w:eastAsia="宋体" w:cs="宋体"/>
          <w:color w:val="auto"/>
          <w:sz w:val="24"/>
          <w:szCs w:val="24"/>
          <w:lang w:eastAsia="zh-CN"/>
        </w:rPr>
        <w:t>，并取整数，小数点后四舍五入］；若计入平均报价值计算范围的投标人少于5家，平均报价值为所有计入平均报价值计算范围的投标评标价的算术平均值。</w:t>
      </w:r>
    </w:p>
    <w:p w14:paraId="7E752C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（3）评分基准价的确定：</w:t>
      </w:r>
    </w:p>
    <w:p w14:paraId="702E75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评分基准价=（Q×最高投标限价+（1-Q）×平均报价值）×(1-X%)</w:t>
      </w:r>
    </w:p>
    <w:p w14:paraId="415CA899">
      <w:pPr>
        <w:widowControl w:val="0"/>
        <w:tabs>
          <w:tab w:val="left" w:pos="8787"/>
        </w:tabs>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最高投标限价权重Q值为□</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0.30</w:t>
      </w:r>
      <w:r>
        <w:rPr>
          <w:rFonts w:hint="eastAsia" w:ascii="宋体" w:hAnsi="宋体" w:eastAsia="宋体" w:cs="宋体"/>
          <w:i/>
          <w:iCs/>
          <w:color w:val="auto"/>
          <w:sz w:val="25"/>
          <w:szCs w:val="25"/>
          <w:u w:val="single"/>
          <w:lang w:eastAsia="zh-CN"/>
        </w:rPr>
        <w:t>或</w:t>
      </w:r>
      <w:r>
        <w:rPr>
          <w:rFonts w:hint="eastAsia" w:ascii="宋体" w:hAnsi="宋体" w:eastAsia="宋体" w:cs="宋体"/>
          <w:i/>
          <w:iCs/>
          <w:color w:val="auto"/>
          <w:sz w:val="24"/>
          <w:szCs w:val="24"/>
          <w:u w:val="single"/>
          <w:lang w:eastAsia="zh-CN"/>
        </w:rPr>
        <w:t>0.35</w:t>
      </w:r>
      <w:r>
        <w:rPr>
          <w:rFonts w:hint="eastAsia" w:ascii="宋体" w:hAnsi="宋体" w:eastAsia="宋体" w:cs="宋体"/>
          <w:i/>
          <w:iCs/>
          <w:color w:val="auto"/>
          <w:sz w:val="25"/>
          <w:szCs w:val="25"/>
          <w:u w:val="single"/>
          <w:lang w:eastAsia="zh-CN"/>
        </w:rPr>
        <w:t>或</w:t>
      </w:r>
      <w:r>
        <w:rPr>
          <w:rFonts w:hint="eastAsia" w:ascii="宋体" w:hAnsi="宋体" w:eastAsia="宋体" w:cs="宋体"/>
          <w:i/>
          <w:iCs/>
          <w:color w:val="auto"/>
          <w:sz w:val="24"/>
          <w:szCs w:val="24"/>
          <w:u w:val="single"/>
          <w:lang w:eastAsia="zh-CN"/>
        </w:rPr>
        <w:t>0.40</w:t>
      </w:r>
      <w:r>
        <w:rPr>
          <w:rFonts w:hint="eastAsia" w:ascii="宋体" w:hAnsi="宋体" w:eastAsia="宋体" w:cs="宋体"/>
          <w:i/>
          <w:iCs/>
          <w:color w:val="auto"/>
          <w:sz w:val="25"/>
          <w:szCs w:val="25"/>
          <w:u w:val="single"/>
          <w:lang w:eastAsia="zh-CN"/>
        </w:rPr>
        <w:t>，由招标人自主确定）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hint="eastAsia" w:ascii="宋体" w:hAnsi="宋体" w:eastAsia="宋体" w:cs="宋体"/>
          <w:i/>
          <w:iCs/>
          <w:color w:val="auto"/>
          <w:sz w:val="25"/>
          <w:szCs w:val="25"/>
          <w:u w:val="single"/>
          <w:lang w:eastAsia="zh-CN"/>
        </w:rPr>
        <w:t>（</w:t>
      </w:r>
      <w:r>
        <w:rPr>
          <w:rFonts w:hint="eastAsia" w:ascii="宋体" w:hAnsi="宋体" w:eastAsia="宋体" w:cs="宋体"/>
          <w:color w:val="auto"/>
          <w:sz w:val="24"/>
          <w:szCs w:val="24"/>
          <w:u w:val="single"/>
          <w:lang w:eastAsia="zh-CN"/>
        </w:rPr>
        <w:t>0.30、0.35、0.40，由招标人在开标现场随机抽取</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5"/>
          <w:szCs w:val="25"/>
          <w:lang w:eastAsia="zh-CN"/>
        </w:rPr>
        <w:t>。</w:t>
      </w:r>
      <w:r>
        <w:rPr>
          <w:rFonts w:hint="eastAsia" w:ascii="宋体" w:hAnsi="宋体" w:eastAsia="宋体" w:cs="宋体"/>
          <w:color w:val="auto"/>
          <w:sz w:val="24"/>
          <w:szCs w:val="24"/>
          <w:lang w:eastAsia="zh-CN"/>
        </w:rPr>
        <w:t>下浮值X值在开标时由招标人在开标现场随机抽取，下浮X值由招标人在</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（由招标人在</w:t>
      </w:r>
      <w:r>
        <w:rPr>
          <w:rFonts w:hint="eastAsia" w:ascii="宋体" w:hAnsi="宋体" w:eastAsia="宋体" w:cs="宋体"/>
          <w:i/>
          <w:iCs/>
          <w:color w:val="auto"/>
          <w:sz w:val="24"/>
          <w:szCs w:val="24"/>
          <w:u w:val="single"/>
          <w:lang w:eastAsia="zh-CN"/>
        </w:rPr>
        <w:t>0</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5</w:t>
      </w:r>
      <w:r>
        <w:rPr>
          <w:rFonts w:hint="eastAsia" w:ascii="宋体" w:hAnsi="宋体" w:eastAsia="宋体" w:cs="宋体"/>
          <w:i/>
          <w:iCs/>
          <w:color w:val="auto"/>
          <w:sz w:val="25"/>
          <w:szCs w:val="25"/>
          <w:u w:val="single"/>
          <w:lang w:eastAsia="zh-CN"/>
        </w:rPr>
        <w:t>之间自行确定，但应为</w:t>
      </w:r>
      <w:r>
        <w:rPr>
          <w:rFonts w:hint="eastAsia" w:ascii="宋体" w:hAnsi="宋体" w:eastAsia="宋体" w:cs="宋体"/>
          <w:i/>
          <w:iCs/>
          <w:color w:val="auto"/>
          <w:sz w:val="24"/>
          <w:szCs w:val="24"/>
          <w:u w:val="single"/>
          <w:lang w:eastAsia="zh-CN"/>
        </w:rPr>
        <w:t>5</w:t>
      </w:r>
      <w:r>
        <w:rPr>
          <w:rFonts w:hint="eastAsia" w:ascii="宋体" w:hAnsi="宋体" w:eastAsia="宋体" w:cs="宋体"/>
          <w:i/>
          <w:iCs/>
          <w:color w:val="auto"/>
          <w:sz w:val="25"/>
          <w:szCs w:val="25"/>
          <w:u w:val="single"/>
          <w:lang w:eastAsia="zh-CN"/>
        </w:rPr>
        <w:t>个数组成的等差递增数列，最小公差大于等于</w:t>
      </w:r>
      <w:r>
        <w:rPr>
          <w:rFonts w:hint="eastAsia" w:ascii="宋体" w:hAnsi="宋体" w:eastAsia="宋体" w:cs="宋体"/>
          <w:i/>
          <w:iCs/>
          <w:color w:val="auto"/>
          <w:sz w:val="24"/>
          <w:szCs w:val="24"/>
          <w:u w:val="single"/>
          <w:lang w:eastAsia="zh-CN"/>
        </w:rPr>
        <w:t>0.5</w:t>
      </w:r>
      <w:r>
        <w:rPr>
          <w:rFonts w:hint="eastAsia" w:ascii="宋体" w:hAnsi="宋体" w:eastAsia="宋体" w:cs="宋体"/>
          <w:i/>
          <w:iCs/>
          <w:color w:val="auto"/>
          <w:sz w:val="25"/>
          <w:szCs w:val="25"/>
          <w:u w:val="single"/>
          <w:lang w:eastAsia="zh-CN"/>
        </w:rPr>
        <w:t>）</w:t>
      </w:r>
      <w:r>
        <w:rPr>
          <w:rFonts w:hint="eastAsia" w:ascii="宋体" w:hAnsi="宋体" w:eastAsia="宋体" w:cs="宋体"/>
          <w:color w:val="auto"/>
          <w:sz w:val="24"/>
          <w:szCs w:val="24"/>
          <w:lang w:eastAsia="zh-CN"/>
        </w:rPr>
        <w:t>之中随机抽取确定。</w:t>
      </w:r>
    </w:p>
    <w:p w14:paraId="1ABCDE1C">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□方法2：</w:t>
      </w:r>
    </w:p>
    <w:p w14:paraId="5AA19A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（1）平均报价值计算范围的确定：</w:t>
      </w:r>
    </w:p>
    <w:p w14:paraId="04B337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□低于B值的投标评标价，不计入平均报价值的计算范围。B=招标人最高投标限价×</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80～90</w:t>
      </w:r>
      <w:r>
        <w:rPr>
          <w:rFonts w:hint="eastAsia" w:ascii="宋体" w:hAnsi="宋体" w:eastAsia="宋体" w:cs="宋体"/>
          <w:i/>
          <w:iCs/>
          <w:color w:val="auto"/>
          <w:sz w:val="25"/>
          <w:szCs w:val="25"/>
          <w:u w:val="single"/>
          <w:lang w:eastAsia="zh-CN"/>
        </w:rPr>
        <w:t>，由招标人自主确定）</w:t>
      </w:r>
      <w:r>
        <w:rPr>
          <w:rFonts w:hint="eastAsia" w:ascii="宋体" w:hAnsi="宋体" w:eastAsia="宋体" w:cs="宋体"/>
          <w:color w:val="auto"/>
          <w:sz w:val="25"/>
          <w:szCs w:val="25"/>
          <w:u w:val="single"/>
          <w:lang w:eastAsia="zh-CN"/>
        </w:rPr>
        <w:t>　</w:t>
      </w:r>
      <w:r>
        <w:rPr>
          <w:rFonts w:hint="eastAsia" w:ascii="宋体" w:hAnsi="宋体" w:eastAsia="宋体" w:cs="宋体"/>
          <w:color w:val="auto"/>
          <w:sz w:val="24"/>
          <w:szCs w:val="24"/>
          <w:lang w:eastAsia="zh-CN"/>
        </w:rPr>
        <w:t>%</w:t>
      </w:r>
    </w:p>
    <w:p w14:paraId="6A5B10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除以上情形外，通过商务评审的投标评标价均计入平均报价值计算范围。</w:t>
      </w:r>
    </w:p>
    <w:p w14:paraId="4292FE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平均报价值的确定：若计入平均报价值计算范围的投标人大于等于5家，平均报价值为计入平均报价值计算范围的投标评标价中剔除投标评标价由高到低排序前A个投标评标价和投标评标价由低到高排序前A个投标评标价后的算术平均值［A为计入平均报价值计算范围的投标人个数的</w:t>
      </w:r>
      <w:r>
        <w:rPr>
          <w:rFonts w:hint="eastAsia" w:ascii="宋体" w:hAnsi="宋体" w:eastAsia="宋体" w:cs="宋体"/>
          <w:color w:val="auto"/>
          <w:sz w:val="24"/>
          <w:szCs w:val="24"/>
          <w:u w:val="single"/>
          <w:lang w:eastAsia="zh-CN"/>
        </w:rPr>
        <w:t>　　（</w:t>
      </w:r>
      <w:r>
        <w:rPr>
          <w:rFonts w:hint="eastAsia" w:ascii="宋体" w:hAnsi="宋体" w:eastAsia="宋体" w:cs="宋体"/>
          <w:i/>
          <w:iCs/>
          <w:color w:val="auto"/>
          <w:sz w:val="24"/>
          <w:szCs w:val="24"/>
          <w:u w:val="single"/>
          <w:lang w:eastAsia="zh-CN"/>
        </w:rPr>
        <w:t>20%</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30%</w:t>
      </w:r>
      <w:r>
        <w:rPr>
          <w:rFonts w:hint="eastAsia" w:ascii="宋体" w:hAnsi="宋体" w:eastAsia="宋体" w:cs="宋体"/>
          <w:i/>
          <w:iCs/>
          <w:color w:val="auto"/>
          <w:sz w:val="25"/>
          <w:szCs w:val="25"/>
          <w:u w:val="single"/>
          <w:lang w:eastAsia="zh-CN"/>
        </w:rPr>
        <w:t>，由招标人自主确定）</w:t>
      </w:r>
      <w:r>
        <w:rPr>
          <w:rFonts w:hint="eastAsia" w:ascii="宋体" w:hAnsi="宋体" w:eastAsia="宋体" w:cs="宋体"/>
          <w:color w:val="auto"/>
          <w:sz w:val="24"/>
          <w:szCs w:val="24"/>
          <w:lang w:eastAsia="zh-CN"/>
        </w:rPr>
        <w:t>，并取整数，小数点后四舍五入］；若计入平均报价值计算范围的投标人少于5家，平均报价值为所有计入平均报价值计算范围的投标评标价的算术平均值。</w:t>
      </w:r>
    </w:p>
    <w:p w14:paraId="1C2E85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（3）评分基准价的确定：评分基准价=平均报价值×（1-X%）</w:t>
      </w:r>
    </w:p>
    <w:p w14:paraId="3FCA2811">
      <w:pPr>
        <w:widowControl w:val="0"/>
        <w:tabs>
          <w:tab w:val="left" w:pos="115"/>
        </w:tabs>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X值在开标时由招标人在</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（由招标人在</w:t>
      </w:r>
      <w:r>
        <w:rPr>
          <w:rFonts w:hint="eastAsia" w:ascii="宋体" w:hAnsi="宋体" w:eastAsia="宋体" w:cs="宋体"/>
          <w:i/>
          <w:iCs/>
          <w:color w:val="auto"/>
          <w:sz w:val="24"/>
          <w:szCs w:val="24"/>
          <w:u w:val="single"/>
          <w:lang w:eastAsia="zh-CN"/>
        </w:rPr>
        <w:t>0</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3</w:t>
      </w:r>
      <w:r>
        <w:rPr>
          <w:rFonts w:hint="eastAsia" w:ascii="宋体" w:hAnsi="宋体" w:eastAsia="宋体" w:cs="宋体"/>
          <w:i/>
          <w:iCs/>
          <w:color w:val="auto"/>
          <w:sz w:val="25"/>
          <w:szCs w:val="25"/>
          <w:u w:val="single"/>
          <w:lang w:eastAsia="zh-CN"/>
        </w:rPr>
        <w:t>之间自行确定，但应为</w:t>
      </w:r>
      <w:r>
        <w:rPr>
          <w:rFonts w:hint="eastAsia" w:ascii="宋体" w:hAnsi="宋体" w:eastAsia="宋体" w:cs="宋体"/>
          <w:i/>
          <w:iCs/>
          <w:color w:val="auto"/>
          <w:sz w:val="24"/>
          <w:szCs w:val="24"/>
          <w:u w:val="single"/>
          <w:lang w:eastAsia="zh-CN"/>
        </w:rPr>
        <w:t>5</w:t>
      </w:r>
      <w:r>
        <w:rPr>
          <w:rFonts w:hint="eastAsia" w:ascii="宋体" w:hAnsi="宋体" w:eastAsia="宋体" w:cs="宋体"/>
          <w:i/>
          <w:iCs/>
          <w:color w:val="auto"/>
          <w:sz w:val="25"/>
          <w:szCs w:val="25"/>
          <w:u w:val="single"/>
          <w:lang w:eastAsia="zh-CN"/>
        </w:rPr>
        <w:t>个数组成的等差递增数列，最小公差大于等于</w:t>
      </w:r>
      <w:r>
        <w:rPr>
          <w:rFonts w:hint="eastAsia" w:ascii="宋体" w:hAnsi="宋体" w:eastAsia="宋体" w:cs="宋体"/>
          <w:i/>
          <w:iCs/>
          <w:color w:val="auto"/>
          <w:sz w:val="24"/>
          <w:szCs w:val="24"/>
          <w:u w:val="single"/>
          <w:lang w:eastAsia="zh-CN"/>
        </w:rPr>
        <w:t>0.5</w:t>
      </w:r>
      <w:r>
        <w:rPr>
          <w:rFonts w:hint="eastAsia" w:ascii="宋体" w:hAnsi="宋体" w:eastAsia="宋体" w:cs="宋体"/>
          <w:i/>
          <w:iCs/>
          <w:color w:val="auto"/>
          <w:sz w:val="25"/>
          <w:szCs w:val="25"/>
          <w:u w:val="single"/>
          <w:lang w:eastAsia="zh-CN"/>
        </w:rPr>
        <w:t>）</w:t>
      </w:r>
      <w:r>
        <w:rPr>
          <w:rFonts w:hint="eastAsia" w:ascii="宋体" w:hAnsi="宋体" w:eastAsia="宋体" w:cs="宋体"/>
          <w:color w:val="auto"/>
          <w:sz w:val="24"/>
          <w:szCs w:val="24"/>
          <w:lang w:eastAsia="zh-CN"/>
        </w:rPr>
        <w:t>之中随机抽取确定。</w:t>
      </w:r>
    </w:p>
    <w:p w14:paraId="496FEA31">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□方法3：</w:t>
      </w:r>
    </w:p>
    <w:p w14:paraId="657847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（1）平均报价值计算范围的确定：</w:t>
      </w:r>
    </w:p>
    <w:p w14:paraId="526449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□低于B值的投标评标价，不计入平均报价值的计算范围。B=招标人最高投标限价×</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80～90</w:t>
      </w:r>
      <w:r>
        <w:rPr>
          <w:rFonts w:hint="eastAsia" w:ascii="宋体" w:hAnsi="宋体" w:eastAsia="宋体" w:cs="宋体"/>
          <w:i/>
          <w:iCs/>
          <w:color w:val="auto"/>
          <w:sz w:val="25"/>
          <w:szCs w:val="25"/>
          <w:u w:val="single"/>
          <w:lang w:eastAsia="zh-CN"/>
        </w:rPr>
        <w:t>，由招标人自主确定）</w:t>
      </w:r>
      <w:r>
        <w:rPr>
          <w:rFonts w:hint="eastAsia" w:ascii="宋体" w:hAnsi="宋体" w:eastAsia="宋体" w:cs="宋体"/>
          <w:color w:val="auto"/>
          <w:sz w:val="24"/>
          <w:szCs w:val="24"/>
          <w:lang w:eastAsia="zh-CN"/>
        </w:rPr>
        <w:t>%</w:t>
      </w:r>
    </w:p>
    <w:p w14:paraId="6C6807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除以上情形外，通过商务评审的投标评标价均计入平均报价值计算范围。</w:t>
      </w:r>
    </w:p>
    <w:p w14:paraId="6DEE54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平均报价值的确定：若计入平均报价值计算范围的投标人大于等于5家，平均报价值为计入平均报价值计算范围的投标评标价中剔除投标评标价由高到低排序前A个投标评标价和投标评标价由低到高排序前A个投标评标价后的算术平均值［A为计入平均报价值计算范围的投标人个数的</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20%</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30%</w:t>
      </w:r>
      <w:r>
        <w:rPr>
          <w:rFonts w:hint="eastAsia" w:ascii="宋体" w:hAnsi="宋体" w:eastAsia="宋体" w:cs="宋体"/>
          <w:i/>
          <w:iCs/>
          <w:color w:val="auto"/>
          <w:sz w:val="25"/>
          <w:szCs w:val="25"/>
          <w:u w:val="single"/>
          <w:lang w:eastAsia="zh-CN"/>
        </w:rPr>
        <w:t>，由招标人自主确定）</w:t>
      </w:r>
      <w:r>
        <w:rPr>
          <w:rFonts w:hint="eastAsia" w:ascii="宋体" w:hAnsi="宋体" w:eastAsia="宋体" w:cs="宋体"/>
          <w:color w:val="auto"/>
          <w:sz w:val="24"/>
          <w:szCs w:val="24"/>
          <w:lang w:eastAsia="zh-CN"/>
        </w:rPr>
        <w:t>，并取整数，小数点后四舍五入］；若计入平均报价值计算范围的投标人少于5家，平均报价值为所有计入平均报价值计算范围的投标评标价的算术平均值。</w:t>
      </w:r>
    </w:p>
    <w:p w14:paraId="6B1EEA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（3）评分基准价的确定：评分基准价=（</w:t>
      </w:r>
      <w:r>
        <w:rPr>
          <w:rFonts w:hint="eastAsia" w:ascii="宋体" w:hAnsi="宋体" w:eastAsia="宋体" w:cs="宋体"/>
          <w:b/>
          <w:bCs/>
          <w:color w:val="auto"/>
          <w:sz w:val="24"/>
          <w:szCs w:val="24"/>
          <w:lang w:eastAsia="zh-CN"/>
        </w:rPr>
        <w:t>平均</w:t>
      </w:r>
      <w:r>
        <w:rPr>
          <w:rFonts w:hint="eastAsia" w:ascii="宋体" w:hAnsi="宋体" w:eastAsia="宋体" w:cs="宋体"/>
          <w:color w:val="auto"/>
          <w:sz w:val="24"/>
          <w:szCs w:val="24"/>
          <w:lang w:eastAsia="zh-CN"/>
        </w:rPr>
        <w:t>报价值+参与计算平均报价的</w:t>
      </w:r>
      <w:r>
        <w:rPr>
          <w:rFonts w:hint="eastAsia" w:ascii="宋体" w:hAnsi="宋体" w:eastAsia="宋体" w:cs="宋体"/>
          <w:b/>
          <w:bCs/>
          <w:color w:val="auto"/>
          <w:sz w:val="24"/>
          <w:szCs w:val="24"/>
          <w:lang w:eastAsia="zh-CN"/>
        </w:rPr>
        <w:t>次低</w:t>
      </w:r>
      <w:r>
        <w:rPr>
          <w:rFonts w:hint="eastAsia" w:ascii="宋体" w:hAnsi="宋体" w:eastAsia="宋体" w:cs="宋体"/>
          <w:color w:val="auto"/>
          <w:sz w:val="24"/>
          <w:szCs w:val="24"/>
          <w:lang w:eastAsia="zh-CN"/>
        </w:rPr>
        <w:t>投标评标价）/2×（1-X%）</w:t>
      </w:r>
    </w:p>
    <w:p w14:paraId="1C163E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X值在开标时由招标人在</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（由招标人在</w:t>
      </w:r>
      <w:r>
        <w:rPr>
          <w:rFonts w:hint="eastAsia" w:ascii="宋体" w:hAnsi="宋体" w:eastAsia="宋体" w:cs="宋体"/>
          <w:i/>
          <w:iCs/>
          <w:color w:val="auto"/>
          <w:sz w:val="24"/>
          <w:szCs w:val="24"/>
          <w:u w:val="single"/>
          <w:lang w:eastAsia="zh-CN"/>
        </w:rPr>
        <w:t>0</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2</w:t>
      </w:r>
      <w:r>
        <w:rPr>
          <w:rFonts w:hint="eastAsia" w:ascii="宋体" w:hAnsi="宋体" w:eastAsia="宋体" w:cs="宋体"/>
          <w:i/>
          <w:iCs/>
          <w:color w:val="auto"/>
          <w:sz w:val="25"/>
          <w:szCs w:val="25"/>
          <w:u w:val="single"/>
          <w:lang w:eastAsia="zh-CN"/>
        </w:rPr>
        <w:t>之间自行确定，但应为</w:t>
      </w:r>
      <w:r>
        <w:rPr>
          <w:rFonts w:hint="eastAsia" w:ascii="宋体" w:hAnsi="宋体" w:eastAsia="宋体" w:cs="宋体"/>
          <w:i/>
          <w:iCs/>
          <w:color w:val="auto"/>
          <w:sz w:val="24"/>
          <w:szCs w:val="24"/>
          <w:u w:val="single"/>
          <w:lang w:eastAsia="zh-CN"/>
        </w:rPr>
        <w:t>5</w:t>
      </w:r>
      <w:r>
        <w:rPr>
          <w:rFonts w:hint="eastAsia" w:ascii="宋体" w:hAnsi="宋体" w:eastAsia="宋体" w:cs="宋体"/>
          <w:i/>
          <w:iCs/>
          <w:color w:val="auto"/>
          <w:sz w:val="25"/>
          <w:szCs w:val="25"/>
          <w:u w:val="single"/>
          <w:lang w:eastAsia="zh-CN"/>
        </w:rPr>
        <w:t>个数组成的等差递增数列最小公差大于等于</w:t>
      </w:r>
      <w:r>
        <w:rPr>
          <w:rFonts w:hint="eastAsia" w:ascii="宋体" w:hAnsi="宋体" w:eastAsia="宋体" w:cs="宋体"/>
          <w:i/>
          <w:iCs/>
          <w:color w:val="auto"/>
          <w:sz w:val="24"/>
          <w:szCs w:val="24"/>
          <w:u w:val="single"/>
          <w:lang w:eastAsia="zh-CN"/>
        </w:rPr>
        <w:t>0.5</w:t>
      </w:r>
      <w:r>
        <w:rPr>
          <w:rFonts w:hint="eastAsia" w:ascii="宋体" w:hAnsi="宋体" w:eastAsia="宋体" w:cs="宋体"/>
          <w:i/>
          <w:iCs/>
          <w:color w:val="auto"/>
          <w:sz w:val="25"/>
          <w:szCs w:val="25"/>
          <w:u w:val="single"/>
          <w:lang w:eastAsia="zh-CN"/>
        </w:rPr>
        <w:t>）</w:t>
      </w:r>
      <w:r>
        <w:rPr>
          <w:rFonts w:hint="eastAsia" w:ascii="宋体" w:hAnsi="宋体" w:eastAsia="宋体" w:cs="宋体"/>
          <w:color w:val="auto"/>
          <w:sz w:val="24"/>
          <w:szCs w:val="24"/>
          <w:lang w:eastAsia="zh-CN"/>
        </w:rPr>
        <w:t>之中随机抽取确定。</w:t>
      </w:r>
    </w:p>
    <w:p w14:paraId="1C755C9B">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☑方法4：</w:t>
      </w:r>
    </w:p>
    <w:p w14:paraId="5D6E57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（1）平均报价值计算范围的确定：</w:t>
      </w:r>
    </w:p>
    <w:p w14:paraId="6D0CEA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☑低于B值的投标评标价，不计入平均报价值的计算范围。B=招标人最高投标限价×</w:t>
      </w:r>
      <w:r>
        <w:rPr>
          <w:rFonts w:hint="eastAsia" w:ascii="宋体" w:hAnsi="宋体" w:eastAsia="宋体" w:cs="宋体"/>
          <w:color w:val="auto"/>
          <w:sz w:val="25"/>
          <w:szCs w:val="25"/>
          <w:u w:val="single"/>
          <w:lang w:eastAsia="zh-CN"/>
        </w:rPr>
        <w:t>88</w:t>
      </w:r>
      <w:r>
        <w:rPr>
          <w:rFonts w:hint="eastAsia" w:ascii="宋体" w:hAnsi="宋体" w:eastAsia="宋体" w:cs="宋体"/>
          <w:i/>
          <w:iCs/>
          <w:color w:val="auto"/>
          <w:sz w:val="25"/>
          <w:szCs w:val="25"/>
          <w:lang w:eastAsia="zh-CN"/>
        </w:rPr>
        <w:t>（</w:t>
      </w:r>
      <w:r>
        <w:rPr>
          <w:rFonts w:ascii="宋体" w:hAnsi="宋体" w:eastAsia="宋体" w:cs="宋体"/>
          <w:i/>
          <w:iCs/>
          <w:color w:val="auto"/>
          <w:sz w:val="25"/>
          <w:szCs w:val="25"/>
          <w:lang w:eastAsia="zh-CN"/>
        </w:rPr>
        <w:t>80</w:t>
      </w:r>
      <w:r>
        <w:rPr>
          <w:rFonts w:hint="eastAsia" w:ascii="宋体" w:hAnsi="宋体" w:eastAsia="宋体" w:cs="宋体"/>
          <w:i/>
          <w:iCs/>
          <w:color w:val="auto"/>
          <w:sz w:val="25"/>
          <w:szCs w:val="25"/>
          <w:lang w:eastAsia="zh-CN"/>
        </w:rPr>
        <w:t>～</w:t>
      </w:r>
      <w:r>
        <w:rPr>
          <w:rFonts w:ascii="宋体" w:hAnsi="宋体" w:eastAsia="宋体" w:cs="宋体"/>
          <w:i/>
          <w:iCs/>
          <w:color w:val="auto"/>
          <w:sz w:val="25"/>
          <w:szCs w:val="25"/>
          <w:lang w:eastAsia="zh-CN"/>
        </w:rPr>
        <w:t>90</w:t>
      </w:r>
      <w:r>
        <w:rPr>
          <w:rFonts w:hint="eastAsia" w:ascii="宋体" w:hAnsi="宋体" w:eastAsia="宋体" w:cs="宋体"/>
          <w:i/>
          <w:iCs/>
          <w:color w:val="auto"/>
          <w:sz w:val="25"/>
          <w:szCs w:val="25"/>
          <w:lang w:eastAsia="zh-CN"/>
        </w:rPr>
        <w:t>，由招标人自主确定）</w:t>
      </w:r>
      <w:r>
        <w:rPr>
          <w:rFonts w:hint="eastAsia" w:ascii="宋体" w:hAnsi="宋体" w:eastAsia="宋体" w:cs="宋体"/>
          <w:color w:val="auto"/>
          <w:sz w:val="24"/>
          <w:szCs w:val="24"/>
          <w:lang w:eastAsia="zh-CN"/>
        </w:rPr>
        <w:t>%</w:t>
      </w:r>
    </w:p>
    <w:p w14:paraId="238C22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除以上情形外，通过商务评审的投标评标价均计入平均报价值计算范围。</w:t>
      </w:r>
    </w:p>
    <w:p w14:paraId="521D6D06">
      <w:pPr>
        <w:widowControl w:val="0"/>
        <w:kinsoku/>
        <w:topLinePunct/>
        <w:autoSpaceDE/>
        <w:autoSpaceDN/>
        <w:spacing w:line="520" w:lineRule="exact"/>
        <w:ind w:firstLine="480" w:firstLineChars="200"/>
        <w:jc w:val="both"/>
        <w:rPr>
          <w:rFonts w:hint="eastAsia" w:ascii="宋体" w:hAnsi="宋体" w:eastAsia="宋体" w:cs="宋体"/>
          <w:b/>
          <w:bCs/>
          <w:color w:val="auto"/>
          <w:sz w:val="24"/>
          <w:szCs w:val="24"/>
          <w:u w:val="single"/>
          <w:lang w:eastAsia="zh-CN"/>
        </w:rPr>
      </w:pPr>
      <w:r>
        <w:rPr>
          <w:rFonts w:hint="eastAsia" w:ascii="宋体" w:hAnsi="宋体" w:eastAsia="宋体" w:cs="宋体"/>
          <w:color w:val="auto"/>
          <w:sz w:val="24"/>
          <w:szCs w:val="24"/>
          <w:lang w:eastAsia="zh-CN"/>
        </w:rPr>
        <w:t>（2）平均报价值的确定：若计入平均报价值计算范围的投标人大于等于5家，平均报价值为计入平均报价值计算范围的投标评标价中剔除投标评标价由高到低排序前A个投标评标价和投标评标价由低到高排序前A个投标评标价后的算术平均值［A为计入平均报价值计算范围的投标人个数的</w:t>
      </w:r>
      <w:r>
        <w:rPr>
          <w:rFonts w:hint="eastAsia" w:ascii="宋体" w:hAnsi="宋体" w:eastAsia="宋体" w:cs="宋体"/>
          <w:b/>
          <w:bCs/>
          <w:color w:val="auto"/>
          <w:sz w:val="24"/>
          <w:szCs w:val="24"/>
          <w:u w:val="single"/>
          <w:lang w:eastAsia="zh-CN"/>
        </w:rPr>
        <w:t>20%</w:t>
      </w:r>
      <w:r>
        <w:rPr>
          <w:rFonts w:hint="eastAsia" w:ascii="宋体" w:hAnsi="宋体" w:eastAsia="宋体" w:cs="宋体"/>
          <w:i/>
          <w:iCs/>
          <w:color w:val="auto"/>
          <w:sz w:val="24"/>
          <w:szCs w:val="24"/>
          <w:u w:val="single"/>
          <w:lang w:eastAsia="zh-CN"/>
        </w:rPr>
        <w:t>（</w:t>
      </w:r>
      <w:r>
        <w:rPr>
          <w:rFonts w:ascii="宋体" w:hAnsi="宋体" w:eastAsia="宋体" w:cs="宋体"/>
          <w:i/>
          <w:iCs/>
          <w:color w:val="auto"/>
          <w:sz w:val="24"/>
          <w:szCs w:val="24"/>
          <w:u w:val="single"/>
          <w:lang w:eastAsia="zh-CN"/>
        </w:rPr>
        <w:t>20%</w:t>
      </w:r>
      <w:r>
        <w:rPr>
          <w:rFonts w:hint="eastAsia" w:ascii="宋体" w:hAnsi="宋体" w:eastAsia="宋体" w:cs="宋体"/>
          <w:i/>
          <w:iCs/>
          <w:color w:val="auto"/>
          <w:sz w:val="24"/>
          <w:szCs w:val="24"/>
          <w:u w:val="single"/>
          <w:lang w:eastAsia="zh-CN"/>
        </w:rPr>
        <w:t>～</w:t>
      </w:r>
      <w:r>
        <w:rPr>
          <w:rFonts w:ascii="宋体" w:hAnsi="宋体" w:eastAsia="宋体" w:cs="宋体"/>
          <w:i/>
          <w:iCs/>
          <w:color w:val="auto"/>
          <w:sz w:val="24"/>
          <w:szCs w:val="24"/>
          <w:u w:val="single"/>
          <w:lang w:eastAsia="zh-CN"/>
        </w:rPr>
        <w:t>30%</w:t>
      </w:r>
      <w:r>
        <w:rPr>
          <w:rFonts w:hint="eastAsia" w:ascii="宋体" w:hAnsi="宋体" w:eastAsia="宋体" w:cs="宋体"/>
          <w:i/>
          <w:iCs/>
          <w:color w:val="auto"/>
          <w:sz w:val="24"/>
          <w:szCs w:val="24"/>
          <w:u w:val="single"/>
          <w:lang w:eastAsia="zh-CN"/>
        </w:rPr>
        <w:t>，由招标人自主确定）</w:t>
      </w:r>
      <w:r>
        <w:rPr>
          <w:rFonts w:hint="eastAsia" w:ascii="宋体" w:hAnsi="宋体" w:eastAsia="宋体" w:cs="宋体"/>
          <w:color w:val="auto"/>
          <w:sz w:val="24"/>
          <w:szCs w:val="24"/>
          <w:lang w:eastAsia="zh-CN"/>
        </w:rPr>
        <w:t>，并取整数，小数点后四舍五入］；若计入平均报价值计算范围的投标人少于5家，平均报价值为所有计入平均报价值计算范围的投标评标价的算术平均值。</w:t>
      </w:r>
    </w:p>
    <w:p w14:paraId="4DEC5A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（3）评分基准价的确定：</w:t>
      </w:r>
    </w:p>
    <w:p w14:paraId="7F4B04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评分基准价=Q×最高投标限价+（1-Q）×平均报价值</w:t>
      </w:r>
    </w:p>
    <w:p w14:paraId="7BFA5728">
      <w:pPr>
        <w:widowControl w:val="0"/>
        <w:kinsoku/>
        <w:topLinePunct/>
        <w:autoSpaceDE/>
        <w:autoSpaceDN/>
        <w:spacing w:line="520" w:lineRule="exact"/>
        <w:ind w:firstLine="480" w:firstLineChars="200"/>
        <w:jc w:val="both"/>
        <w:rPr>
          <w:rFonts w:hint="eastAsia" w:ascii="宋体" w:hAnsi="宋体" w:eastAsia="宋体" w:cs="宋体"/>
          <w:color w:val="auto"/>
          <w:sz w:val="25"/>
          <w:szCs w:val="25"/>
          <w:lang w:eastAsia="zh-CN"/>
        </w:rPr>
      </w:pPr>
      <w:r>
        <w:rPr>
          <w:rFonts w:hint="eastAsia" w:ascii="宋体" w:hAnsi="宋体" w:eastAsia="宋体" w:cs="宋体"/>
          <w:color w:val="auto"/>
          <w:sz w:val="24"/>
          <w:szCs w:val="24"/>
          <w:lang w:eastAsia="zh-CN"/>
        </w:rPr>
        <w:t>最高投标限价权重Q值为☑</w:t>
      </w:r>
      <w:r>
        <w:rPr>
          <w:rFonts w:hint="eastAsia" w:ascii="宋体" w:hAnsi="宋体" w:eastAsia="宋体" w:cs="宋体"/>
          <w:b/>
          <w:bCs/>
          <w:color w:val="auto"/>
          <w:sz w:val="24"/>
          <w:szCs w:val="24"/>
          <w:u w:val="single"/>
          <w:lang w:eastAsia="zh-CN"/>
        </w:rPr>
        <w:t>0.40</w:t>
      </w:r>
      <w:r>
        <w:rPr>
          <w:rFonts w:hint="eastAsia" w:ascii="宋体" w:hAnsi="宋体" w:eastAsia="宋体" w:cs="宋体"/>
          <w:b/>
          <w:bCs/>
          <w:color w:val="auto"/>
          <w:sz w:val="24"/>
          <w:szCs w:val="24"/>
          <w:lang w:eastAsia="zh-CN"/>
        </w:rPr>
        <w:t xml:space="preserve"> </w:t>
      </w:r>
      <w:r>
        <w:rPr>
          <w:rFonts w:hint="eastAsia" w:ascii="宋体" w:hAnsi="宋体" w:eastAsia="宋体" w:cs="宋体"/>
          <w:i/>
          <w:iCs/>
          <w:color w:val="auto"/>
          <w:sz w:val="24"/>
          <w:szCs w:val="24"/>
          <w:lang w:eastAsia="zh-CN"/>
        </w:rPr>
        <w:t>（</w:t>
      </w:r>
      <w:r>
        <w:rPr>
          <w:rFonts w:ascii="宋体" w:hAnsi="宋体" w:eastAsia="宋体" w:cs="宋体"/>
          <w:i/>
          <w:iCs/>
          <w:color w:val="auto"/>
          <w:sz w:val="24"/>
          <w:szCs w:val="24"/>
          <w:lang w:eastAsia="zh-CN"/>
        </w:rPr>
        <w:t>0.30</w:t>
      </w:r>
      <w:r>
        <w:rPr>
          <w:rFonts w:hint="eastAsia" w:ascii="宋体" w:hAnsi="宋体" w:eastAsia="宋体" w:cs="宋体"/>
          <w:i/>
          <w:iCs/>
          <w:color w:val="auto"/>
          <w:sz w:val="24"/>
          <w:szCs w:val="24"/>
          <w:lang w:eastAsia="zh-CN"/>
        </w:rPr>
        <w:t>或</w:t>
      </w:r>
      <w:r>
        <w:rPr>
          <w:rFonts w:ascii="宋体" w:hAnsi="宋体" w:eastAsia="宋体" w:cs="宋体"/>
          <w:i/>
          <w:iCs/>
          <w:color w:val="auto"/>
          <w:sz w:val="24"/>
          <w:szCs w:val="24"/>
          <w:lang w:eastAsia="zh-CN"/>
        </w:rPr>
        <w:t>0.35</w:t>
      </w:r>
      <w:r>
        <w:rPr>
          <w:rFonts w:hint="eastAsia" w:ascii="宋体" w:hAnsi="宋体" w:eastAsia="宋体" w:cs="宋体"/>
          <w:i/>
          <w:iCs/>
          <w:color w:val="auto"/>
          <w:sz w:val="24"/>
          <w:szCs w:val="24"/>
          <w:lang w:eastAsia="zh-CN"/>
        </w:rPr>
        <w:t>或</w:t>
      </w:r>
      <w:r>
        <w:rPr>
          <w:rFonts w:ascii="宋体" w:hAnsi="宋体" w:eastAsia="宋体" w:cs="宋体"/>
          <w:i/>
          <w:iCs/>
          <w:color w:val="auto"/>
          <w:sz w:val="24"/>
          <w:szCs w:val="24"/>
          <w:lang w:eastAsia="zh-CN"/>
        </w:rPr>
        <w:t>0.40</w:t>
      </w:r>
      <w:r>
        <w:rPr>
          <w:rFonts w:hint="eastAsia" w:ascii="宋体" w:hAnsi="宋体" w:eastAsia="宋体" w:cs="宋体"/>
          <w:i/>
          <w:iCs/>
          <w:color w:val="auto"/>
          <w:sz w:val="24"/>
          <w:szCs w:val="24"/>
          <w:lang w:eastAsia="zh-CN"/>
        </w:rPr>
        <w:t>，由招标人自主确定）</w:t>
      </w:r>
      <w:r>
        <w:rPr>
          <w:rFonts w:hint="eastAsia" w:ascii="宋体" w:hAnsi="宋体" w:eastAsia="宋体" w:cs="宋体"/>
          <w:b/>
          <w:bCs/>
          <w:color w:val="auto"/>
          <w:sz w:val="24"/>
          <w:szCs w:val="24"/>
          <w:lang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u w:val="single"/>
          <w:lang w:eastAsia="zh-CN"/>
        </w:rPr>
        <w:t>（</w:t>
      </w:r>
      <w:r>
        <w:rPr>
          <w:rFonts w:hint="eastAsia" w:ascii="宋体" w:hAnsi="宋体" w:eastAsia="宋体" w:cs="宋体"/>
          <w:color w:val="auto"/>
          <w:sz w:val="24"/>
          <w:szCs w:val="24"/>
          <w:u w:val="single"/>
          <w:lang w:eastAsia="zh-CN"/>
        </w:rPr>
        <w:t>0.30、0.35、0.40，由招标人在开标现场随机抽取</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5"/>
          <w:szCs w:val="25"/>
          <w:lang w:eastAsia="zh-CN"/>
        </w:rPr>
        <w:t>。</w:t>
      </w:r>
    </w:p>
    <w:p w14:paraId="4DEE93BD">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□方法5：</w:t>
      </w:r>
    </w:p>
    <w:p w14:paraId="54A69D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（1）平均报价值计算范围的确定：</w:t>
      </w:r>
    </w:p>
    <w:p w14:paraId="16F0D6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□低于B值的投标评标价，不计入平均报价值的计算范围。B=招标人最高投标限价×</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80～90</w:t>
      </w:r>
      <w:r>
        <w:rPr>
          <w:rFonts w:hint="eastAsia" w:ascii="宋体" w:hAnsi="宋体" w:eastAsia="宋体" w:cs="宋体"/>
          <w:i/>
          <w:iCs/>
          <w:color w:val="auto"/>
          <w:sz w:val="25"/>
          <w:szCs w:val="25"/>
          <w:u w:val="single"/>
          <w:lang w:eastAsia="zh-CN"/>
        </w:rPr>
        <w:t>，由招标人自主确定）　</w:t>
      </w:r>
      <w:r>
        <w:rPr>
          <w:rFonts w:hint="eastAsia" w:ascii="宋体" w:hAnsi="宋体" w:eastAsia="宋体" w:cs="宋体"/>
          <w:color w:val="auto"/>
          <w:sz w:val="25"/>
          <w:szCs w:val="25"/>
          <w:u w:val="single"/>
          <w:lang w:eastAsia="zh-CN"/>
        </w:rPr>
        <w:t>　</w:t>
      </w:r>
      <w:r>
        <w:rPr>
          <w:rFonts w:hint="eastAsia" w:ascii="宋体" w:hAnsi="宋体" w:eastAsia="宋体" w:cs="宋体"/>
          <w:color w:val="auto"/>
          <w:sz w:val="24"/>
          <w:szCs w:val="24"/>
          <w:lang w:eastAsia="zh-CN"/>
        </w:rPr>
        <w:t>%</w:t>
      </w:r>
    </w:p>
    <w:p w14:paraId="305275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除以上情形外，通过商务评审的投标评标价均计入平均报价值计算范围。</w:t>
      </w:r>
    </w:p>
    <w:p w14:paraId="668377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平均报价值的确定：若计入平均报价值计算范围的投标人大于等于5家，平均报价值为计入平均报价值计算范围的投标评标价中剔除投标评标价由高到低排序前A个投标评标价和投标评标价由低到高排序前A个投标评标价后的算术平均值［A为计入平均报价值计算范围的投标人个数的</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20%</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30%</w:t>
      </w:r>
      <w:r>
        <w:rPr>
          <w:rFonts w:hint="eastAsia" w:ascii="宋体" w:hAnsi="宋体" w:eastAsia="宋体" w:cs="宋体"/>
          <w:i/>
          <w:iCs/>
          <w:color w:val="auto"/>
          <w:sz w:val="25"/>
          <w:szCs w:val="25"/>
          <w:u w:val="single"/>
          <w:lang w:eastAsia="zh-CN"/>
        </w:rPr>
        <w:t>，由招标人自主确定）</w:t>
      </w:r>
      <w:r>
        <w:rPr>
          <w:rFonts w:hint="eastAsia" w:ascii="宋体" w:hAnsi="宋体" w:eastAsia="宋体" w:cs="宋体"/>
          <w:color w:val="auto"/>
          <w:sz w:val="24"/>
          <w:szCs w:val="24"/>
          <w:lang w:eastAsia="zh-CN"/>
        </w:rPr>
        <w:t>，并取整数，小数点后四舍五入］；若计入平均报价值计算范围的投标人少于5家，平均报价值为所有计入平均报价值计算范围的投标评标价的算术平均值。</w:t>
      </w:r>
    </w:p>
    <w:p w14:paraId="5C9A46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（3）评分基准价的确定：</w:t>
      </w:r>
      <w:r>
        <w:rPr>
          <w:rFonts w:hint="eastAsia" w:ascii="宋体" w:hAnsi="宋体" w:eastAsia="宋体" w:cs="宋体"/>
          <w:b/>
          <w:bCs/>
          <w:color w:val="auto"/>
          <w:sz w:val="24"/>
          <w:szCs w:val="24"/>
          <w:lang w:eastAsia="zh-CN"/>
        </w:rPr>
        <w:t>评分基准价=平均报价值</w:t>
      </w:r>
    </w:p>
    <w:p w14:paraId="259F0228">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□方法6：</w:t>
      </w:r>
    </w:p>
    <w:p w14:paraId="602284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（1）平均报价值计算范围的确定：</w:t>
      </w:r>
    </w:p>
    <w:p w14:paraId="2733F0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□低于B值的投标评标价，不计入平均报价值的计算范围。B=招标人最高投标限价×</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80～90</w:t>
      </w:r>
      <w:r>
        <w:rPr>
          <w:rFonts w:hint="eastAsia" w:ascii="宋体" w:hAnsi="宋体" w:eastAsia="宋体" w:cs="宋体"/>
          <w:i/>
          <w:iCs/>
          <w:color w:val="auto"/>
          <w:sz w:val="25"/>
          <w:szCs w:val="25"/>
          <w:u w:val="single"/>
          <w:lang w:eastAsia="zh-CN"/>
        </w:rPr>
        <w:t>，由招标人自主确定）　</w:t>
      </w:r>
      <w:r>
        <w:rPr>
          <w:rFonts w:hint="eastAsia" w:ascii="宋体" w:hAnsi="宋体" w:eastAsia="宋体" w:cs="宋体"/>
          <w:color w:val="auto"/>
          <w:sz w:val="25"/>
          <w:szCs w:val="25"/>
          <w:u w:val="single"/>
          <w:lang w:eastAsia="zh-CN"/>
        </w:rPr>
        <w:t>　</w:t>
      </w:r>
      <w:r>
        <w:rPr>
          <w:rFonts w:hint="eastAsia" w:ascii="宋体" w:hAnsi="宋体" w:eastAsia="宋体" w:cs="宋体"/>
          <w:color w:val="auto"/>
          <w:sz w:val="24"/>
          <w:szCs w:val="24"/>
          <w:lang w:eastAsia="zh-CN"/>
        </w:rPr>
        <w:t>%</w:t>
      </w:r>
    </w:p>
    <w:p w14:paraId="0EA805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除以上情形外，通过商务评审的投标评标价均计入平均报价值计算范围。</w:t>
      </w:r>
    </w:p>
    <w:p w14:paraId="5EDDC8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平均报价值的确定：若计入平均报价值计算范围的投标人大于等于5家，平均报价值为计入平均报价值计算范围的投标评标价中剔除投标评标价由高到低排序前A个投标评标价和投标评标价由低到高排序前A个投标评标价后的算术平均值［A为计入平均报价值计算范围的投标人个数的</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20%</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30%</w:t>
      </w:r>
      <w:r>
        <w:rPr>
          <w:rFonts w:hint="eastAsia" w:ascii="宋体" w:hAnsi="宋体" w:eastAsia="宋体" w:cs="宋体"/>
          <w:i/>
          <w:iCs/>
          <w:color w:val="auto"/>
          <w:sz w:val="25"/>
          <w:szCs w:val="25"/>
          <w:u w:val="single"/>
          <w:lang w:eastAsia="zh-CN"/>
        </w:rPr>
        <w:t>，由招标人自主确定）</w:t>
      </w:r>
      <w:r>
        <w:rPr>
          <w:rFonts w:hint="eastAsia" w:ascii="宋体" w:hAnsi="宋体" w:eastAsia="宋体" w:cs="宋体"/>
          <w:color w:val="auto"/>
          <w:sz w:val="24"/>
          <w:szCs w:val="24"/>
          <w:lang w:eastAsia="zh-CN"/>
        </w:rPr>
        <w:t>，并取整数，小数点后四舍五入］；若计入平均报价值计算范围的投标人少于5家，平均报价值为所有计入平均报价值计算范围的投标评标价的算术平均值。</w:t>
      </w:r>
    </w:p>
    <w:p w14:paraId="7D722F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（3）评分基准价的确定：评分基准价=（</w:t>
      </w:r>
      <w:r>
        <w:rPr>
          <w:rFonts w:hint="eastAsia" w:ascii="宋体" w:hAnsi="宋体" w:eastAsia="宋体" w:cs="宋体"/>
          <w:b/>
          <w:bCs/>
          <w:color w:val="auto"/>
          <w:sz w:val="24"/>
          <w:szCs w:val="24"/>
          <w:lang w:eastAsia="zh-CN"/>
        </w:rPr>
        <w:t>平均</w:t>
      </w:r>
      <w:r>
        <w:rPr>
          <w:rFonts w:hint="eastAsia" w:ascii="宋体" w:hAnsi="宋体" w:eastAsia="宋体" w:cs="宋体"/>
          <w:color w:val="auto"/>
          <w:sz w:val="24"/>
          <w:szCs w:val="24"/>
          <w:lang w:eastAsia="zh-CN"/>
        </w:rPr>
        <w:t>报价值+参与计算平均报价的</w:t>
      </w:r>
      <w:r>
        <w:rPr>
          <w:rFonts w:hint="eastAsia" w:ascii="宋体" w:hAnsi="宋体" w:eastAsia="宋体" w:cs="宋体"/>
          <w:b/>
          <w:bCs/>
          <w:color w:val="auto"/>
          <w:sz w:val="24"/>
          <w:szCs w:val="24"/>
          <w:lang w:eastAsia="zh-CN"/>
        </w:rPr>
        <w:t>次低</w:t>
      </w:r>
      <w:r>
        <w:rPr>
          <w:rFonts w:hint="eastAsia" w:ascii="宋体" w:hAnsi="宋体" w:eastAsia="宋体" w:cs="宋体"/>
          <w:color w:val="auto"/>
          <w:sz w:val="24"/>
          <w:szCs w:val="24"/>
          <w:lang w:eastAsia="zh-CN"/>
        </w:rPr>
        <w:t>投标评标价）/2</w:t>
      </w:r>
    </w:p>
    <w:p w14:paraId="208792BB">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□方法7：</w:t>
      </w:r>
    </w:p>
    <w:p w14:paraId="0C14E6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（1）平均报价值计算范围的确定：</w:t>
      </w:r>
    </w:p>
    <w:p w14:paraId="18CF28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□低于B值的投标评标价，不计入平均报价值的计算范围。B=招标人最高投标限价×</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80</w:t>
      </w:r>
      <w:bookmarkStart w:id="456" w:name="_Hlk231225783"/>
      <w:r>
        <w:rPr>
          <w:rFonts w:hint="eastAsia" w:ascii="宋体" w:hAnsi="宋体" w:eastAsia="宋体" w:cs="宋体"/>
          <w:i/>
          <w:iCs/>
          <w:color w:val="auto"/>
          <w:sz w:val="24"/>
          <w:szCs w:val="24"/>
          <w:u w:val="single"/>
          <w:lang w:eastAsia="zh-CN"/>
        </w:rPr>
        <w:t>～</w:t>
      </w:r>
      <w:bookmarkEnd w:id="456"/>
      <w:r>
        <w:rPr>
          <w:rFonts w:hint="eastAsia" w:ascii="宋体" w:hAnsi="宋体" w:eastAsia="宋体" w:cs="宋体"/>
          <w:i/>
          <w:iCs/>
          <w:color w:val="auto"/>
          <w:sz w:val="24"/>
          <w:szCs w:val="24"/>
          <w:u w:val="single"/>
          <w:lang w:eastAsia="zh-CN"/>
        </w:rPr>
        <w:t>90</w:t>
      </w:r>
      <w:r>
        <w:rPr>
          <w:rFonts w:hint="eastAsia" w:ascii="宋体" w:hAnsi="宋体" w:eastAsia="宋体" w:cs="宋体"/>
          <w:i/>
          <w:iCs/>
          <w:color w:val="auto"/>
          <w:sz w:val="25"/>
          <w:szCs w:val="25"/>
          <w:u w:val="single"/>
          <w:lang w:eastAsia="zh-CN"/>
        </w:rPr>
        <w:t>，由招标人自主确定）　</w:t>
      </w:r>
      <w:r>
        <w:rPr>
          <w:rFonts w:hint="eastAsia" w:ascii="宋体" w:hAnsi="宋体" w:eastAsia="宋体" w:cs="宋体"/>
          <w:color w:val="auto"/>
          <w:sz w:val="25"/>
          <w:szCs w:val="25"/>
          <w:u w:val="single"/>
          <w:lang w:eastAsia="zh-CN"/>
        </w:rPr>
        <w:t>　</w:t>
      </w:r>
      <w:r>
        <w:rPr>
          <w:rFonts w:hint="eastAsia" w:ascii="宋体" w:hAnsi="宋体" w:eastAsia="宋体" w:cs="宋体"/>
          <w:color w:val="auto"/>
          <w:sz w:val="24"/>
          <w:szCs w:val="24"/>
          <w:lang w:eastAsia="zh-CN"/>
        </w:rPr>
        <w:t>%</w:t>
      </w:r>
    </w:p>
    <w:p w14:paraId="5E5D6C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（2）平均报价值的确定：</w:t>
      </w:r>
    </w:p>
    <w:p w14:paraId="411B72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过商务评审及第（1）点计算范围的投标人大于等于15家时，按技术评分和资信评分之和从高到低排名，前15家的投标评标价计入平均报价值计算范围（若最后一家有多家评分相同，均计入平均报价值计算范围），平均报价值为上述计入计算范围的投标评标价中剔除由高到低排序前2个投标评标价和由低到高排序前2个投标评标价后的算术平均值；</w:t>
      </w:r>
    </w:p>
    <w:p w14:paraId="550D71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通过商务评审及第（1）点计算范围的投标人少于15家时，均计入平均报价值计算范围，平均报价值为上述计入计算范围的投标评标价的算术平均值。</w:t>
      </w:r>
    </w:p>
    <w:p w14:paraId="7FCD3D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（3）评分基准价的确定：评分基准价=平均报价值×（1-X%）</w:t>
      </w:r>
    </w:p>
    <w:p w14:paraId="7FC8B52A">
      <w:pPr>
        <w:widowControl w:val="0"/>
        <w:tabs>
          <w:tab w:val="left" w:pos="115"/>
        </w:tabs>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X值在开标时由招标人在</w:t>
      </w:r>
      <w:r>
        <w:rPr>
          <w:rFonts w:hint="eastAsia" w:ascii="宋体" w:hAnsi="宋体" w:eastAsia="宋体" w:cs="宋体"/>
          <w:color w:val="auto"/>
          <w:sz w:val="25"/>
          <w:szCs w:val="25"/>
          <w:u w:val="single"/>
          <w:lang w:eastAsia="zh-CN"/>
        </w:rPr>
        <w:t>　、　、　、　、　</w:t>
      </w:r>
      <w:r>
        <w:rPr>
          <w:rFonts w:hint="eastAsia" w:ascii="宋体" w:hAnsi="宋体" w:eastAsia="宋体" w:cs="宋体"/>
          <w:i/>
          <w:iCs/>
          <w:color w:val="auto"/>
          <w:sz w:val="25"/>
          <w:szCs w:val="25"/>
          <w:u w:val="single"/>
          <w:lang w:eastAsia="zh-CN"/>
        </w:rPr>
        <w:t>（由招标人在</w:t>
      </w:r>
      <w:r>
        <w:rPr>
          <w:rFonts w:hint="eastAsia" w:ascii="宋体" w:hAnsi="宋体" w:eastAsia="宋体" w:cs="宋体"/>
          <w:i/>
          <w:iCs/>
          <w:color w:val="auto"/>
          <w:sz w:val="24"/>
          <w:szCs w:val="24"/>
          <w:u w:val="single"/>
          <w:lang w:eastAsia="zh-CN"/>
        </w:rPr>
        <w:t>0</w:t>
      </w:r>
      <w:r>
        <w:rPr>
          <w:rFonts w:hint="eastAsia" w:ascii="宋体" w:hAnsi="宋体" w:eastAsia="宋体" w:cs="宋体"/>
          <w:i/>
          <w:iCs/>
          <w:color w:val="auto"/>
          <w:sz w:val="25"/>
          <w:szCs w:val="25"/>
          <w:u w:val="single"/>
          <w:lang w:eastAsia="zh-CN"/>
        </w:rPr>
        <w:t>～</w:t>
      </w:r>
      <w:r>
        <w:rPr>
          <w:rFonts w:hint="eastAsia" w:ascii="宋体" w:hAnsi="宋体" w:eastAsia="宋体" w:cs="宋体"/>
          <w:i/>
          <w:iCs/>
          <w:color w:val="auto"/>
          <w:sz w:val="24"/>
          <w:szCs w:val="24"/>
          <w:u w:val="single"/>
          <w:lang w:eastAsia="zh-CN"/>
        </w:rPr>
        <w:t>3</w:t>
      </w:r>
      <w:r>
        <w:rPr>
          <w:rFonts w:hint="eastAsia" w:ascii="宋体" w:hAnsi="宋体" w:eastAsia="宋体" w:cs="宋体"/>
          <w:i/>
          <w:iCs/>
          <w:color w:val="auto"/>
          <w:sz w:val="25"/>
          <w:szCs w:val="25"/>
          <w:u w:val="single"/>
          <w:lang w:eastAsia="zh-CN"/>
        </w:rPr>
        <w:t>之间自行确定，但应为</w:t>
      </w:r>
      <w:r>
        <w:rPr>
          <w:rFonts w:hint="eastAsia" w:ascii="宋体" w:hAnsi="宋体" w:eastAsia="宋体" w:cs="宋体"/>
          <w:i/>
          <w:iCs/>
          <w:color w:val="auto"/>
          <w:sz w:val="24"/>
          <w:szCs w:val="24"/>
          <w:u w:val="single"/>
          <w:lang w:eastAsia="zh-CN"/>
        </w:rPr>
        <w:t>5</w:t>
      </w:r>
      <w:r>
        <w:rPr>
          <w:rFonts w:hint="eastAsia" w:ascii="宋体" w:hAnsi="宋体" w:eastAsia="宋体" w:cs="宋体"/>
          <w:i/>
          <w:iCs/>
          <w:color w:val="auto"/>
          <w:sz w:val="25"/>
          <w:szCs w:val="25"/>
          <w:u w:val="single"/>
          <w:lang w:eastAsia="zh-CN"/>
        </w:rPr>
        <w:t>个数组成的等差递增数列，最小公差大于等于</w:t>
      </w:r>
      <w:r>
        <w:rPr>
          <w:rFonts w:hint="eastAsia" w:ascii="宋体" w:hAnsi="宋体" w:eastAsia="宋体" w:cs="宋体"/>
          <w:i/>
          <w:iCs/>
          <w:color w:val="auto"/>
          <w:sz w:val="24"/>
          <w:szCs w:val="24"/>
          <w:u w:val="single"/>
          <w:lang w:eastAsia="zh-CN"/>
        </w:rPr>
        <w:t>0.5</w:t>
      </w:r>
      <w:r>
        <w:rPr>
          <w:rFonts w:hint="eastAsia" w:ascii="宋体" w:hAnsi="宋体" w:eastAsia="宋体" w:cs="宋体"/>
          <w:i/>
          <w:iCs/>
          <w:color w:val="auto"/>
          <w:sz w:val="25"/>
          <w:szCs w:val="25"/>
          <w:u w:val="single"/>
          <w:lang w:eastAsia="zh-CN"/>
        </w:rPr>
        <w:t>）</w:t>
      </w:r>
      <w:r>
        <w:rPr>
          <w:rFonts w:hint="eastAsia" w:ascii="宋体" w:hAnsi="宋体" w:eastAsia="宋体" w:cs="宋体"/>
          <w:color w:val="auto"/>
          <w:sz w:val="24"/>
          <w:szCs w:val="24"/>
          <w:lang w:eastAsia="zh-CN"/>
        </w:rPr>
        <w:t>之中随机抽取确定。</w:t>
      </w:r>
    </w:p>
    <w:p w14:paraId="51DB08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2．商务报价评分的确定（采用评定分离方法二的，不须计算商务报价评分）：</w:t>
      </w:r>
    </w:p>
    <w:p w14:paraId="5ADEA3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商务报价评分满分</w:t>
      </w:r>
      <w:r>
        <w:rPr>
          <w:rFonts w:hint="eastAsia" w:ascii="宋体" w:hAnsi="宋体" w:eastAsia="宋体" w:cs="宋体"/>
          <w:b/>
          <w:bCs/>
          <w:color w:val="auto"/>
          <w:sz w:val="24"/>
          <w:szCs w:val="24"/>
          <w:u w:val="single"/>
          <w:lang w:eastAsia="zh-CN"/>
        </w:rPr>
        <w:t>70</w:t>
      </w:r>
      <w:r>
        <w:rPr>
          <w:rFonts w:hint="eastAsia" w:ascii="宋体" w:hAnsi="宋体" w:eastAsia="宋体" w:cs="宋体"/>
          <w:color w:val="auto"/>
          <w:sz w:val="24"/>
          <w:szCs w:val="24"/>
          <w:lang w:eastAsia="zh-CN"/>
        </w:rPr>
        <w:t>分</w:t>
      </w:r>
      <w:r>
        <w:rPr>
          <w:rFonts w:hint="eastAsia" w:ascii="宋体" w:hAnsi="宋体" w:eastAsia="宋体" w:cs="宋体"/>
          <w:i/>
          <w:iCs/>
          <w:color w:val="auto"/>
          <w:sz w:val="25"/>
          <w:szCs w:val="25"/>
          <w:lang w:eastAsia="zh-CN"/>
        </w:rPr>
        <w:t>（总分</w:t>
      </w:r>
      <w:r>
        <w:rPr>
          <w:rFonts w:hint="eastAsia" w:ascii="宋体" w:hAnsi="宋体" w:eastAsia="宋体" w:cs="宋体"/>
          <w:i/>
          <w:iCs/>
          <w:color w:val="auto"/>
          <w:sz w:val="24"/>
          <w:szCs w:val="24"/>
          <w:lang w:eastAsia="zh-CN"/>
        </w:rPr>
        <w:t>100</w:t>
      </w:r>
      <w:r>
        <w:rPr>
          <w:rFonts w:hint="eastAsia" w:ascii="宋体" w:hAnsi="宋体" w:eastAsia="宋体" w:cs="宋体"/>
          <w:i/>
          <w:iCs/>
          <w:color w:val="auto"/>
          <w:sz w:val="25"/>
          <w:szCs w:val="25"/>
          <w:lang w:eastAsia="zh-CN"/>
        </w:rPr>
        <w:t>分，商务报价评分为扣除技术评分、资信评分剩余分值</w:t>
      </w:r>
      <w:r>
        <w:rPr>
          <w:rFonts w:hint="eastAsia" w:ascii="宋体" w:hAnsi="宋体" w:eastAsia="宋体" w:cs="宋体"/>
          <w:color w:val="auto"/>
          <w:sz w:val="24"/>
          <w:szCs w:val="24"/>
          <w:lang w:eastAsia="zh-CN"/>
        </w:rPr>
        <w:t>）</w:t>
      </w:r>
    </w:p>
    <w:p w14:paraId="2A36FD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（1）投标报价的偏差率=（投标评标价-评分基准价）/评分基准价×100%（保留2位小数，第3位四舍五入）</w:t>
      </w:r>
    </w:p>
    <w:p w14:paraId="1AA028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（2）商务报价评分（保留2位小数，第3位四舍五入）</w:t>
      </w:r>
    </w:p>
    <w:p w14:paraId="0D4BD750">
      <w:pPr>
        <w:widowControl w:val="0"/>
        <w:kinsoku/>
        <w:topLinePunct/>
        <w:autoSpaceDE/>
        <w:autoSpaceDN/>
        <w:spacing w:line="520" w:lineRule="exact"/>
        <w:ind w:firstLine="480" w:firstLineChars="200"/>
        <w:jc w:val="both"/>
        <w:rPr>
          <w:rFonts w:hint="eastAsia" w:ascii="宋体" w:hAnsi="宋体" w:eastAsia="宋体" w:cs="宋体"/>
          <w:color w:val="auto"/>
          <w:sz w:val="12"/>
          <w:szCs w:val="12"/>
          <w:lang w:eastAsia="zh-CN"/>
        </w:rPr>
      </w:pPr>
      <w:r>
        <w:rPr>
          <w:rFonts w:hint="eastAsia" w:ascii="宋体" w:hAnsi="宋体" w:eastAsia="宋体" w:cs="宋体"/>
          <w:color w:val="auto"/>
          <w:sz w:val="24"/>
          <w:szCs w:val="24"/>
          <w:lang w:eastAsia="zh-CN"/>
        </w:rPr>
        <w:t>当投标评标价≤评分基准价，商务报价评分＝商务分值＋偏差率×100×F</w:t>
      </w:r>
      <w:r>
        <w:rPr>
          <w:rFonts w:hint="eastAsia" w:ascii="宋体" w:hAnsi="宋体" w:eastAsia="宋体" w:cs="宋体"/>
          <w:color w:val="auto"/>
          <w:sz w:val="16"/>
          <w:szCs w:val="16"/>
          <w:lang w:eastAsia="zh-CN"/>
        </w:rPr>
        <w:t>1</w:t>
      </w:r>
      <w:r>
        <w:rPr>
          <w:rFonts w:hint="eastAsia" w:ascii="宋体" w:hAnsi="宋体" w:eastAsia="宋体" w:cs="宋体"/>
          <w:color w:val="auto"/>
          <w:sz w:val="12"/>
          <w:szCs w:val="12"/>
          <w:lang w:eastAsia="zh-CN"/>
        </w:rPr>
        <w:t>；</w:t>
      </w:r>
    </w:p>
    <w:p w14:paraId="318FE0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当投标评标价＞评分基准价，商务报价评分＝商务分值－偏差率×100×F</w:t>
      </w:r>
      <w:r>
        <w:rPr>
          <w:rFonts w:hint="eastAsia" w:ascii="宋体" w:hAnsi="宋体" w:eastAsia="宋体" w:cs="宋体"/>
          <w:color w:val="auto"/>
          <w:sz w:val="16"/>
          <w:szCs w:val="16"/>
          <w:lang w:eastAsia="zh-CN"/>
        </w:rPr>
        <w:t>2</w:t>
      </w:r>
      <w:r>
        <w:rPr>
          <w:rFonts w:hint="eastAsia" w:ascii="宋体" w:hAnsi="宋体" w:eastAsia="宋体" w:cs="宋体"/>
          <w:color w:val="auto"/>
          <w:sz w:val="24"/>
          <w:szCs w:val="24"/>
          <w:lang w:eastAsia="zh-CN"/>
        </w:rPr>
        <w:t>。</w:t>
      </w:r>
    </w:p>
    <w:p w14:paraId="77AADA55">
      <w:pPr>
        <w:widowControl w:val="0"/>
        <w:kinsoku/>
        <w:topLinePunct/>
        <w:autoSpaceDE/>
        <w:autoSpaceDN/>
        <w:spacing w:line="520" w:lineRule="exact"/>
        <w:ind w:firstLine="480" w:firstLineChars="200"/>
        <w:jc w:val="both"/>
        <w:rPr>
          <w:rFonts w:hint="eastAsia" w:ascii="宋体" w:hAnsi="宋体" w:eastAsia="宋体" w:cs="宋体"/>
          <w:b/>
          <w:bCs/>
          <w:color w:val="auto"/>
          <w:sz w:val="24"/>
          <w:szCs w:val="24"/>
          <w:u w:val="single"/>
          <w:lang w:eastAsia="zh-CN"/>
        </w:rPr>
      </w:pP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1</w:t>
      </w:r>
      <w:r>
        <w:rPr>
          <w:rFonts w:hint="eastAsia" w:ascii="宋体" w:hAnsi="宋体" w:eastAsia="宋体" w:cs="宋体"/>
          <w:color w:val="auto"/>
          <w:sz w:val="24"/>
          <w:szCs w:val="24"/>
          <w:lang w:eastAsia="zh-CN"/>
        </w:rPr>
        <w:t>取</w:t>
      </w:r>
      <w:r>
        <w:rPr>
          <w:rFonts w:hint="eastAsia" w:ascii="宋体" w:hAnsi="宋体" w:eastAsia="宋体" w:cs="宋体"/>
          <w:b/>
          <w:bCs/>
          <w:color w:val="auto"/>
          <w:sz w:val="24"/>
          <w:szCs w:val="24"/>
          <w:u w:val="single"/>
          <w:lang w:eastAsia="zh-CN"/>
        </w:rPr>
        <w:t>0.25</w:t>
      </w:r>
      <w:r>
        <w:rPr>
          <w:rFonts w:hint="eastAsia" w:ascii="宋体" w:hAnsi="宋体" w:eastAsia="宋体" w:cs="宋体"/>
          <w:i/>
          <w:iCs/>
          <w:color w:val="auto"/>
          <w:sz w:val="24"/>
          <w:szCs w:val="24"/>
          <w:lang w:eastAsia="zh-CN"/>
        </w:rPr>
        <w:t>（由招标人在</w:t>
      </w:r>
      <w:r>
        <w:rPr>
          <w:rFonts w:ascii="宋体" w:hAnsi="宋体" w:eastAsia="宋体" w:cs="宋体"/>
          <w:i/>
          <w:iCs/>
          <w:color w:val="auto"/>
          <w:sz w:val="24"/>
          <w:szCs w:val="24"/>
          <w:lang w:eastAsia="zh-CN"/>
        </w:rPr>
        <w:t>0.25</w:t>
      </w:r>
      <w:r>
        <w:rPr>
          <w:rFonts w:hint="eastAsia" w:ascii="宋体" w:hAnsi="宋体" w:eastAsia="宋体" w:cs="宋体"/>
          <w:i/>
          <w:iCs/>
          <w:color w:val="auto"/>
          <w:sz w:val="24"/>
          <w:szCs w:val="24"/>
          <w:lang w:eastAsia="zh-CN"/>
        </w:rPr>
        <w:t>～</w:t>
      </w:r>
      <w:r>
        <w:rPr>
          <w:rFonts w:ascii="宋体" w:hAnsi="宋体" w:eastAsia="宋体" w:cs="宋体"/>
          <w:i/>
          <w:iCs/>
          <w:color w:val="auto"/>
          <w:sz w:val="24"/>
          <w:szCs w:val="24"/>
          <w:lang w:eastAsia="zh-CN"/>
        </w:rPr>
        <w:t>1.25</w:t>
      </w:r>
      <w:r>
        <w:rPr>
          <w:rFonts w:hint="eastAsia" w:ascii="宋体" w:hAnsi="宋体" w:eastAsia="宋体" w:cs="宋体"/>
          <w:i/>
          <w:iCs/>
          <w:color w:val="auto"/>
          <w:sz w:val="24"/>
          <w:szCs w:val="24"/>
          <w:lang w:eastAsia="zh-CN"/>
        </w:rPr>
        <w:t>之间自行确定）</w:t>
      </w: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2</w:t>
      </w:r>
      <w:r>
        <w:rPr>
          <w:rFonts w:hint="eastAsia" w:ascii="宋体" w:hAnsi="宋体" w:eastAsia="宋体" w:cs="宋体"/>
          <w:color w:val="auto"/>
          <w:sz w:val="24"/>
          <w:szCs w:val="24"/>
          <w:lang w:eastAsia="zh-CN"/>
        </w:rPr>
        <w:t>取</w:t>
      </w:r>
      <w:r>
        <w:rPr>
          <w:rFonts w:hint="eastAsia" w:ascii="宋体" w:hAnsi="宋体" w:eastAsia="宋体" w:cs="宋体"/>
          <w:b/>
          <w:bCs/>
          <w:color w:val="auto"/>
          <w:sz w:val="24"/>
          <w:szCs w:val="24"/>
          <w:u w:val="single"/>
          <w:lang w:eastAsia="zh-CN"/>
        </w:rPr>
        <w:t>0.5</w:t>
      </w:r>
      <w:r>
        <w:rPr>
          <w:rFonts w:hint="eastAsia" w:ascii="宋体" w:hAnsi="宋体" w:eastAsia="宋体" w:cs="宋体"/>
          <w:i/>
          <w:iCs/>
          <w:color w:val="auto"/>
          <w:sz w:val="24"/>
          <w:szCs w:val="24"/>
          <w:u w:val="single"/>
          <w:lang w:eastAsia="zh-CN"/>
        </w:rPr>
        <w:t>（由招标人在</w:t>
      </w:r>
      <w:r>
        <w:rPr>
          <w:rFonts w:ascii="宋体" w:hAnsi="宋体" w:eastAsia="宋体" w:cs="宋体"/>
          <w:i/>
          <w:iCs/>
          <w:color w:val="auto"/>
          <w:sz w:val="24"/>
          <w:szCs w:val="24"/>
          <w:u w:val="single"/>
          <w:lang w:eastAsia="zh-CN"/>
        </w:rPr>
        <w:t>0.5</w:t>
      </w:r>
      <w:r>
        <w:rPr>
          <w:rFonts w:hint="eastAsia" w:ascii="宋体" w:hAnsi="宋体" w:eastAsia="宋体" w:cs="宋体"/>
          <w:i/>
          <w:iCs/>
          <w:color w:val="auto"/>
          <w:sz w:val="24"/>
          <w:szCs w:val="24"/>
          <w:u w:val="single"/>
          <w:lang w:eastAsia="zh-CN"/>
        </w:rPr>
        <w:t>～</w:t>
      </w:r>
      <w:r>
        <w:rPr>
          <w:rFonts w:ascii="宋体" w:hAnsi="宋体" w:eastAsia="宋体" w:cs="宋体"/>
          <w:i/>
          <w:iCs/>
          <w:color w:val="auto"/>
          <w:sz w:val="24"/>
          <w:szCs w:val="24"/>
          <w:u w:val="single"/>
          <w:lang w:eastAsia="zh-CN"/>
        </w:rPr>
        <w:t>1.5</w:t>
      </w:r>
      <w:r>
        <w:rPr>
          <w:rFonts w:hint="eastAsia" w:ascii="宋体" w:hAnsi="宋体" w:eastAsia="宋体" w:cs="宋体"/>
          <w:i/>
          <w:iCs/>
          <w:color w:val="auto"/>
          <w:sz w:val="24"/>
          <w:szCs w:val="24"/>
          <w:u w:val="single"/>
          <w:lang w:eastAsia="zh-CN"/>
        </w:rPr>
        <w:t>之间自行确定，</w:t>
      </w:r>
      <w:r>
        <w:rPr>
          <w:rFonts w:ascii="宋体" w:hAnsi="宋体" w:eastAsia="宋体" w:cs="宋体"/>
          <w:i/>
          <w:iCs/>
          <w:color w:val="auto"/>
          <w:sz w:val="24"/>
          <w:szCs w:val="24"/>
          <w:u w:val="single"/>
          <w:lang w:eastAsia="zh-CN"/>
        </w:rPr>
        <w:t>F2</w:t>
      </w:r>
      <w:r>
        <w:rPr>
          <w:rFonts w:hint="eastAsia" w:ascii="宋体" w:hAnsi="宋体" w:eastAsia="宋体" w:cs="宋体"/>
          <w:i/>
          <w:iCs/>
          <w:color w:val="auto"/>
          <w:sz w:val="24"/>
          <w:szCs w:val="24"/>
          <w:u w:val="single"/>
          <w:lang w:eastAsia="zh-CN"/>
        </w:rPr>
        <w:t>≥</w:t>
      </w:r>
      <w:r>
        <w:rPr>
          <w:rFonts w:ascii="宋体" w:hAnsi="宋体" w:eastAsia="宋体" w:cs="宋体"/>
          <w:i/>
          <w:iCs/>
          <w:color w:val="auto"/>
          <w:sz w:val="24"/>
          <w:szCs w:val="24"/>
          <w:u w:val="single"/>
          <w:lang w:eastAsia="zh-CN"/>
        </w:rPr>
        <w:t>F1+0.25</w:t>
      </w:r>
      <w:r>
        <w:rPr>
          <w:rFonts w:hint="eastAsia" w:ascii="宋体" w:hAnsi="宋体" w:eastAsia="宋体" w:cs="宋体"/>
          <w:i/>
          <w:iCs/>
          <w:color w:val="auto"/>
          <w:sz w:val="24"/>
          <w:szCs w:val="24"/>
          <w:u w:val="single"/>
          <w:lang w:eastAsia="zh-CN"/>
        </w:rPr>
        <w:t>，且</w:t>
      </w:r>
      <w:r>
        <w:rPr>
          <w:rFonts w:ascii="宋体" w:hAnsi="宋体" w:eastAsia="宋体" w:cs="宋体"/>
          <w:i/>
          <w:iCs/>
          <w:color w:val="auto"/>
          <w:sz w:val="24"/>
          <w:szCs w:val="24"/>
          <w:u w:val="single"/>
          <w:lang w:eastAsia="zh-CN"/>
        </w:rPr>
        <w:t>F2</w:t>
      </w:r>
      <w:r>
        <w:rPr>
          <w:rFonts w:hint="eastAsia" w:ascii="宋体" w:hAnsi="宋体" w:eastAsia="宋体" w:cs="宋体"/>
          <w:i/>
          <w:iCs/>
          <w:color w:val="auto"/>
          <w:sz w:val="24"/>
          <w:szCs w:val="24"/>
          <w:u w:val="single"/>
          <w:lang w:eastAsia="zh-CN"/>
        </w:rPr>
        <w:t>≤</w:t>
      </w:r>
      <w:r>
        <w:rPr>
          <w:rFonts w:ascii="宋体" w:hAnsi="宋体" w:eastAsia="宋体" w:cs="宋体"/>
          <w:i/>
          <w:iCs/>
          <w:color w:val="auto"/>
          <w:sz w:val="24"/>
          <w:szCs w:val="24"/>
          <w:u w:val="single"/>
          <w:lang w:eastAsia="zh-CN"/>
        </w:rPr>
        <w:t>2×F1</w:t>
      </w:r>
      <w:r>
        <w:rPr>
          <w:rFonts w:hint="eastAsia" w:ascii="宋体" w:hAnsi="宋体" w:eastAsia="宋体" w:cs="宋体"/>
          <w:i/>
          <w:iCs/>
          <w:color w:val="auto"/>
          <w:sz w:val="24"/>
          <w:szCs w:val="24"/>
          <w:u w:val="single"/>
          <w:lang w:eastAsia="zh-CN"/>
        </w:rPr>
        <w:t>）</w:t>
      </w:r>
    </w:p>
    <w:p w14:paraId="01CE5E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商务报价评分值的最低分</w:t>
      </w:r>
      <w:r>
        <w:rPr>
          <w:rFonts w:hint="eastAsia" w:ascii="宋体" w:hAnsi="宋体" w:eastAsia="宋体" w:cs="宋体"/>
          <w:b/>
          <w:bCs/>
          <w:color w:val="auto"/>
          <w:sz w:val="24"/>
          <w:szCs w:val="24"/>
          <w:u w:val="single"/>
          <w:lang w:eastAsia="zh-CN"/>
        </w:rPr>
        <w:t>40</w:t>
      </w:r>
      <w:r>
        <w:rPr>
          <w:rFonts w:hint="eastAsia" w:ascii="宋体" w:hAnsi="宋体" w:eastAsia="宋体" w:cs="宋体"/>
          <w:i/>
          <w:iCs/>
          <w:color w:val="auto"/>
          <w:sz w:val="24"/>
          <w:szCs w:val="24"/>
          <w:u w:val="single"/>
          <w:lang w:eastAsia="zh-CN"/>
        </w:rPr>
        <w:t>（不得低于</w:t>
      </w:r>
      <w:r>
        <w:rPr>
          <w:rFonts w:ascii="宋体" w:hAnsi="宋体" w:eastAsia="宋体" w:cs="宋体"/>
          <w:i/>
          <w:iCs/>
          <w:color w:val="auto"/>
          <w:sz w:val="24"/>
          <w:szCs w:val="24"/>
          <w:u w:val="single"/>
          <w:lang w:eastAsia="zh-CN"/>
        </w:rPr>
        <w:t>30</w:t>
      </w:r>
      <w:r>
        <w:rPr>
          <w:rFonts w:hint="eastAsia" w:ascii="宋体" w:hAnsi="宋体" w:eastAsia="宋体" w:cs="宋体"/>
          <w:i/>
          <w:iCs/>
          <w:color w:val="auto"/>
          <w:sz w:val="24"/>
          <w:szCs w:val="24"/>
          <w:u w:val="single"/>
          <w:lang w:eastAsia="zh-CN"/>
        </w:rPr>
        <w:t>）</w:t>
      </w:r>
      <w:r>
        <w:rPr>
          <w:rFonts w:hint="eastAsia" w:ascii="宋体" w:hAnsi="宋体" w:eastAsia="宋体" w:cs="宋体"/>
          <w:color w:val="auto"/>
          <w:sz w:val="24"/>
          <w:szCs w:val="24"/>
          <w:lang w:eastAsia="zh-CN"/>
        </w:rPr>
        <w:t>分。</w:t>
      </w:r>
    </w:p>
    <w:p w14:paraId="650E1E5D">
      <w:pPr>
        <w:widowControl w:val="0"/>
        <w:kinsoku/>
        <w:topLinePunct/>
        <w:autoSpaceDE/>
        <w:autoSpaceDN/>
        <w:spacing w:line="520" w:lineRule="exact"/>
        <w:ind w:firstLine="482" w:firstLineChars="200"/>
        <w:jc w:val="both"/>
        <w:outlineLvl w:val="3"/>
        <w:rPr>
          <w:rFonts w:hint="eastAsia" w:ascii="宋体" w:hAnsi="宋体" w:eastAsia="宋体" w:cs="宋体"/>
          <w:color w:val="auto"/>
          <w:sz w:val="24"/>
          <w:szCs w:val="24"/>
          <w:lang w:eastAsia="zh-CN"/>
        </w:rPr>
      </w:pPr>
      <w:bookmarkStart w:id="457" w:name="bookmark118"/>
      <w:bookmarkEnd w:id="457"/>
      <w:bookmarkStart w:id="458" w:name="_Toc20612"/>
      <w:r>
        <w:rPr>
          <w:rFonts w:hint="eastAsia" w:ascii="宋体" w:hAnsi="宋体" w:eastAsia="宋体" w:cs="宋体"/>
          <w:b/>
          <w:bCs/>
          <w:color w:val="auto"/>
          <w:sz w:val="24"/>
          <w:szCs w:val="24"/>
          <w:lang w:eastAsia="zh-CN"/>
        </w:rPr>
        <w:t>4.7　询标</w:t>
      </w:r>
      <w:bookmarkEnd w:id="458"/>
    </w:p>
    <w:p w14:paraId="69AFB9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凡评标委员会拟作出否决投标决定的，应先向投标人进行书面询问核实。未进行询问核实程序的，不得作出否决投标决定，投标人放弃接受询问核实机会的除外。投标人应自行关注系统中评标委员会发出的澄清并及时答复，在规定的时限内投标人不参加核实或不予答复的，视为放弃接受询问核实机会。</w:t>
      </w:r>
    </w:p>
    <w:p w14:paraId="155E85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2.除本评标办法规定的否决情形以外，招标文件中其他条款均不得作为否决投标文件的依据。</w:t>
      </w:r>
    </w:p>
    <w:p w14:paraId="662F91E8">
      <w:pPr>
        <w:widowControl w:val="0"/>
        <w:kinsoku/>
        <w:topLinePunct/>
        <w:autoSpaceDE/>
        <w:autoSpaceDN/>
        <w:spacing w:line="520" w:lineRule="exact"/>
        <w:ind w:firstLine="482" w:firstLineChars="200"/>
        <w:jc w:val="both"/>
        <w:outlineLvl w:val="3"/>
        <w:rPr>
          <w:rFonts w:hint="eastAsia" w:ascii="宋体" w:hAnsi="宋体" w:eastAsia="宋体" w:cs="宋体"/>
          <w:color w:val="auto"/>
          <w:sz w:val="24"/>
          <w:szCs w:val="24"/>
          <w:lang w:eastAsia="zh-CN"/>
        </w:rPr>
      </w:pPr>
      <w:bookmarkStart w:id="459" w:name="bookmark119"/>
      <w:bookmarkEnd w:id="459"/>
      <w:bookmarkStart w:id="460" w:name="_Toc13982"/>
      <w:r>
        <w:rPr>
          <w:rFonts w:hint="eastAsia" w:ascii="宋体" w:hAnsi="宋体" w:eastAsia="宋体" w:cs="宋体"/>
          <w:b/>
          <w:bCs/>
          <w:color w:val="auto"/>
          <w:sz w:val="24"/>
          <w:szCs w:val="24"/>
          <w:lang w:eastAsia="zh-CN"/>
        </w:rPr>
        <w:t>4.8　投标文件的综合评分</w:t>
      </w:r>
      <w:bookmarkEnd w:id="460"/>
    </w:p>
    <w:p w14:paraId="49FD6F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投标文件的综合评分为投标人的技术评分、资信评分与投标文件的商务报价评分之和。</w:t>
      </w:r>
    </w:p>
    <w:p w14:paraId="1ABB1670">
      <w:pPr>
        <w:widowControl w:val="0"/>
        <w:kinsoku/>
        <w:topLinePunct/>
        <w:autoSpaceDE/>
        <w:autoSpaceDN/>
        <w:spacing w:line="520" w:lineRule="exact"/>
        <w:ind w:firstLine="482" w:firstLineChars="200"/>
        <w:jc w:val="both"/>
        <w:outlineLvl w:val="3"/>
        <w:rPr>
          <w:rFonts w:hint="eastAsia" w:ascii="宋体" w:hAnsi="宋体" w:eastAsia="宋体" w:cs="宋体"/>
          <w:color w:val="auto"/>
          <w:sz w:val="24"/>
          <w:szCs w:val="24"/>
          <w:lang w:eastAsia="zh-CN"/>
        </w:rPr>
      </w:pPr>
      <w:bookmarkStart w:id="461" w:name="bookmark120"/>
      <w:bookmarkEnd w:id="461"/>
      <w:bookmarkStart w:id="462" w:name="_Toc3458"/>
      <w:r>
        <w:rPr>
          <w:rFonts w:hint="eastAsia" w:ascii="宋体" w:hAnsi="宋体" w:eastAsia="宋体" w:cs="宋体"/>
          <w:b/>
          <w:bCs/>
          <w:color w:val="auto"/>
          <w:sz w:val="24"/>
          <w:szCs w:val="24"/>
          <w:lang w:eastAsia="zh-CN"/>
        </w:rPr>
        <w:t>☑4.9　推荐中标候选人</w:t>
      </w:r>
      <w:bookmarkEnd w:id="462"/>
    </w:p>
    <w:p w14:paraId="165883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评标委员会根据综合评分对通过商务评审的投标文件按照由高到低的顺序进行排序，推荐中标候选人。综合评分相同时，报价低者优先；综合评分、报价均相同时，技术评分高者优先；综合评分、报价、技术评分均相同时，由评标委员会全体成员按照少数服从多数的原则记名投票（不得弃权）决定中标候选人或确定中标候选人排序。</w:t>
      </w:r>
    </w:p>
    <w:p w14:paraId="5CBABE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本评标办法未尽事宜由评标委员会集体讨论决定。</w:t>
      </w:r>
    </w:p>
    <w:p w14:paraId="03352E30">
      <w:pPr>
        <w:widowControl w:val="0"/>
        <w:kinsoku/>
        <w:topLinePunct/>
        <w:autoSpaceDE/>
        <w:autoSpaceDN/>
        <w:spacing w:line="520" w:lineRule="exact"/>
        <w:ind w:firstLine="482" w:firstLineChars="200"/>
        <w:jc w:val="both"/>
        <w:outlineLvl w:val="3"/>
        <w:rPr>
          <w:rFonts w:hint="eastAsia" w:ascii="宋体" w:hAnsi="宋体" w:eastAsia="宋体" w:cs="宋体"/>
          <w:strike/>
          <w:color w:val="auto"/>
          <w:sz w:val="24"/>
          <w:szCs w:val="24"/>
          <w:lang w:eastAsia="zh-CN"/>
        </w:rPr>
      </w:pPr>
      <w:bookmarkStart w:id="463" w:name="bookmark121"/>
      <w:bookmarkEnd w:id="463"/>
      <w:bookmarkStart w:id="464" w:name="_Toc27693"/>
      <w:r>
        <w:rPr>
          <w:rFonts w:hint="eastAsia" w:ascii="宋体" w:hAnsi="宋体" w:eastAsia="宋体" w:cs="宋体"/>
          <w:b/>
          <w:bCs/>
          <w:strike/>
          <w:color w:val="auto"/>
          <w:sz w:val="24"/>
          <w:szCs w:val="24"/>
          <w:lang w:eastAsia="zh-CN"/>
        </w:rPr>
        <w:t>□4.9　推荐中标候选人（适用于评定分离）</w:t>
      </w:r>
      <w:bookmarkEnd w:id="464"/>
    </w:p>
    <w:p w14:paraId="2A3997C5">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w:t>
      </w:r>
      <w:r>
        <w:rPr>
          <w:rFonts w:hint="eastAsia" w:ascii="宋体" w:hAnsi="宋体" w:eastAsia="宋体" w:cs="宋体"/>
          <w:b/>
          <w:bCs/>
          <w:strike/>
          <w:color w:val="auto"/>
          <w:sz w:val="24"/>
          <w:szCs w:val="24"/>
          <w:lang w:eastAsia="zh-CN"/>
        </w:rPr>
        <w:t>方法一</w:t>
      </w:r>
      <w:r>
        <w:rPr>
          <w:rFonts w:hint="eastAsia" w:ascii="宋体" w:hAnsi="宋体" w:eastAsia="宋体" w:cs="宋体"/>
          <w:strike/>
          <w:color w:val="auto"/>
          <w:sz w:val="24"/>
          <w:szCs w:val="24"/>
          <w:lang w:eastAsia="zh-CN"/>
        </w:rPr>
        <w:t>：</w:t>
      </w:r>
    </w:p>
    <w:p w14:paraId="7E801A1C">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评标委员会对投标人按</w:t>
      </w:r>
      <w:r>
        <w:rPr>
          <w:rFonts w:hint="eastAsia" w:ascii="宋体" w:hAnsi="宋体" w:eastAsia="宋体" w:cs="宋体"/>
          <w:b/>
          <w:bCs/>
          <w:strike/>
          <w:color w:val="auto"/>
          <w:sz w:val="24"/>
          <w:szCs w:val="24"/>
          <w:lang w:eastAsia="zh-CN"/>
        </w:rPr>
        <w:t>总分从高到低</w:t>
      </w:r>
      <w:r>
        <w:rPr>
          <w:rFonts w:hint="eastAsia" w:ascii="宋体" w:hAnsi="宋体" w:eastAsia="宋体" w:cs="宋体"/>
          <w:strike/>
          <w:color w:val="auto"/>
          <w:sz w:val="24"/>
          <w:szCs w:val="24"/>
          <w:lang w:eastAsia="zh-CN"/>
        </w:rPr>
        <w:t>进行排序，并按照排序推荐中标候选人。进入推荐名单的中标候选人不排名次。若推荐最后一名综合得分相同，由评标委员会全体成员按照少数服从多数的原则记名投票推荐（不得弃权）。</w:t>
      </w:r>
    </w:p>
    <w:p w14:paraId="1376A833">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w:t>
      </w:r>
      <w:r>
        <w:rPr>
          <w:rFonts w:hint="eastAsia" w:ascii="宋体" w:hAnsi="宋体" w:eastAsia="宋体" w:cs="宋体"/>
          <w:b/>
          <w:bCs/>
          <w:strike/>
          <w:color w:val="auto"/>
          <w:sz w:val="24"/>
          <w:szCs w:val="24"/>
          <w:lang w:eastAsia="zh-CN"/>
        </w:rPr>
        <w:t>方法二</w:t>
      </w:r>
      <w:r>
        <w:rPr>
          <w:rFonts w:hint="eastAsia" w:ascii="宋体" w:hAnsi="宋体" w:eastAsia="宋体" w:cs="宋体"/>
          <w:strike/>
          <w:color w:val="auto"/>
          <w:sz w:val="24"/>
          <w:szCs w:val="24"/>
          <w:lang w:eastAsia="zh-CN"/>
        </w:rPr>
        <w:t>：</w:t>
      </w:r>
    </w:p>
    <w:p w14:paraId="4A1F621A">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评标委员会根据招标文件评标办法设置的技术、资信评审项目和评分规则，对全部通过技术符合性审查的投标文件进行</w:t>
      </w:r>
      <w:r>
        <w:rPr>
          <w:rFonts w:hint="eastAsia" w:ascii="宋体" w:hAnsi="宋体" w:eastAsia="宋体" w:cs="宋体"/>
          <w:b/>
          <w:bCs/>
          <w:strike/>
          <w:color w:val="auto"/>
          <w:sz w:val="24"/>
          <w:szCs w:val="24"/>
          <w:lang w:eastAsia="zh-CN"/>
        </w:rPr>
        <w:t>技术、资信打分</w:t>
      </w:r>
      <w:r>
        <w:rPr>
          <w:rFonts w:hint="eastAsia" w:ascii="宋体" w:hAnsi="宋体" w:eastAsia="宋体" w:cs="宋体"/>
          <w:strike/>
          <w:color w:val="auto"/>
          <w:sz w:val="24"/>
          <w:szCs w:val="24"/>
          <w:lang w:eastAsia="zh-CN"/>
        </w:rPr>
        <w:t>。中标候选人具体推荐方式如下，进入推荐名单的中标候选人不排名次：</w:t>
      </w:r>
    </w:p>
    <w:p w14:paraId="3103546A">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1.　通过商务评审的合格投标人少于3家时，评标委员会应判定本次投标是否具有竞争力。若评标委员会认为本次投标明显缺乏竞争的，可以否决全部投标；</w:t>
      </w:r>
    </w:p>
    <w:p w14:paraId="67CA3F98">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2.　通过商务评审的合格投标人在3家及以上</w:t>
      </w:r>
      <w:r>
        <w:rPr>
          <w:rFonts w:hint="eastAsia" w:ascii="宋体" w:hAnsi="宋体" w:eastAsia="宋体" w:cs="宋体"/>
          <w:strike/>
          <w:color w:val="auto"/>
          <w:sz w:val="24"/>
          <w:szCs w:val="24"/>
          <w:u w:val="single"/>
          <w:lang w:eastAsia="zh-CN"/>
        </w:rPr>
        <w:t>　　（</w:t>
      </w:r>
      <w:r>
        <w:rPr>
          <w:rFonts w:hint="eastAsia" w:ascii="宋体" w:hAnsi="宋体" w:eastAsia="宋体" w:cs="宋体"/>
          <w:i/>
          <w:iCs/>
          <w:strike/>
          <w:color w:val="auto"/>
          <w:sz w:val="24"/>
          <w:szCs w:val="24"/>
          <w:u w:val="single"/>
          <w:lang w:eastAsia="zh-CN"/>
        </w:rPr>
        <w:t>4</w:t>
      </w:r>
      <w:r>
        <w:rPr>
          <w:rFonts w:hint="eastAsia" w:ascii="宋体" w:hAnsi="宋体" w:eastAsia="宋体" w:cs="宋体"/>
          <w:i/>
          <w:iCs/>
          <w:strike/>
          <w:color w:val="auto"/>
          <w:sz w:val="25"/>
          <w:szCs w:val="25"/>
          <w:u w:val="single"/>
          <w:lang w:eastAsia="zh-CN"/>
        </w:rPr>
        <w:t>或</w:t>
      </w:r>
      <w:r>
        <w:rPr>
          <w:rFonts w:hint="eastAsia" w:ascii="宋体" w:hAnsi="宋体" w:eastAsia="宋体" w:cs="宋体"/>
          <w:i/>
          <w:iCs/>
          <w:strike/>
          <w:color w:val="auto"/>
          <w:sz w:val="24"/>
          <w:szCs w:val="24"/>
          <w:u w:val="single"/>
          <w:lang w:eastAsia="zh-CN"/>
        </w:rPr>
        <w:t>5</w:t>
      </w:r>
      <w:r>
        <w:rPr>
          <w:rFonts w:hint="eastAsia" w:ascii="宋体" w:hAnsi="宋体" w:eastAsia="宋体" w:cs="宋体"/>
          <w:strike/>
          <w:color w:val="auto"/>
          <w:sz w:val="24"/>
          <w:szCs w:val="24"/>
          <w:u w:val="single"/>
          <w:lang w:eastAsia="zh-CN"/>
        </w:rPr>
        <w:t>）</w:t>
      </w:r>
      <w:r>
        <w:rPr>
          <w:rFonts w:hint="eastAsia" w:ascii="宋体" w:hAnsi="宋体" w:eastAsia="宋体" w:cs="宋体"/>
          <w:strike/>
          <w:color w:val="auto"/>
          <w:sz w:val="24"/>
          <w:szCs w:val="24"/>
          <w:lang w:eastAsia="zh-CN"/>
        </w:rPr>
        <w:t>家及以下时，全部合格投标人推荐为中标候选人；</w:t>
      </w:r>
    </w:p>
    <w:p w14:paraId="54F6A94C">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3.　通过商务评审的合格投标人多于</w:t>
      </w:r>
      <w:r>
        <w:rPr>
          <w:rFonts w:hint="eastAsia" w:ascii="宋体" w:hAnsi="宋体" w:eastAsia="宋体" w:cs="宋体"/>
          <w:strike/>
          <w:color w:val="auto"/>
          <w:sz w:val="24"/>
          <w:szCs w:val="24"/>
          <w:u w:val="single"/>
          <w:lang w:eastAsia="zh-CN"/>
        </w:rPr>
        <w:t>（</w:t>
      </w:r>
      <w:r>
        <w:rPr>
          <w:rFonts w:hint="eastAsia" w:ascii="宋体" w:hAnsi="宋体" w:eastAsia="宋体" w:cs="宋体"/>
          <w:i/>
          <w:iCs/>
          <w:strike/>
          <w:color w:val="auto"/>
          <w:sz w:val="24"/>
          <w:szCs w:val="24"/>
          <w:u w:val="single"/>
          <w:lang w:eastAsia="zh-CN"/>
        </w:rPr>
        <w:t>4</w:t>
      </w:r>
      <w:r>
        <w:rPr>
          <w:rFonts w:hint="eastAsia" w:ascii="宋体" w:hAnsi="宋体" w:eastAsia="宋体" w:cs="宋体"/>
          <w:i/>
          <w:iCs/>
          <w:strike/>
          <w:color w:val="auto"/>
          <w:sz w:val="25"/>
          <w:szCs w:val="25"/>
          <w:u w:val="single"/>
          <w:lang w:eastAsia="zh-CN"/>
        </w:rPr>
        <w:t>或</w:t>
      </w:r>
      <w:r>
        <w:rPr>
          <w:rFonts w:hint="eastAsia" w:ascii="宋体" w:hAnsi="宋体" w:eastAsia="宋体" w:cs="宋体"/>
          <w:i/>
          <w:iCs/>
          <w:strike/>
          <w:color w:val="auto"/>
          <w:sz w:val="24"/>
          <w:szCs w:val="24"/>
          <w:u w:val="single"/>
          <w:lang w:eastAsia="zh-CN"/>
        </w:rPr>
        <w:t>5</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家时，选择技术评分和资信评分之和从高到低排名前</w:t>
      </w:r>
      <w:r>
        <w:rPr>
          <w:rFonts w:hint="eastAsia" w:ascii="宋体" w:hAnsi="宋体" w:eastAsia="宋体" w:cs="宋体"/>
          <w:strike/>
          <w:color w:val="auto"/>
          <w:sz w:val="24"/>
          <w:szCs w:val="24"/>
          <w:u w:val="single"/>
          <w:lang w:eastAsia="zh-CN"/>
        </w:rPr>
        <w:t>　15　</w:t>
      </w:r>
      <w:r>
        <w:rPr>
          <w:rFonts w:hint="eastAsia" w:ascii="宋体" w:hAnsi="宋体" w:eastAsia="宋体" w:cs="宋体"/>
          <w:strike/>
          <w:color w:val="auto"/>
          <w:sz w:val="24"/>
          <w:szCs w:val="24"/>
          <w:lang w:eastAsia="zh-CN"/>
        </w:rPr>
        <w:t>名（第15名有多家技术评分和资信评分之和相同时，全部进入评审范围。不足15家全部进入评审范围）投标人进入比选范围，从比选范围中选择投标评标价与评分基准价之差绝对值最小的前</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名推荐为中标候选人。</w:t>
      </w:r>
    </w:p>
    <w:p w14:paraId="15C9A4D9">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注：投标评标价与评分基准价之差绝对值最小的第</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名，若出现差值绝对值相同，以投标评标价低者优先；若差值绝对值、投标评标价均相同时，以技术评分和资信评分之和高者优先；若差值绝对值、投标评标价和技术评分和资信评分之和均相同时，资信评分高者优先；若差值绝对值、投标评标价和技术评分和资信评分之和、资信评分均相同时，则由评标委员会记名投票表决方式进入推荐名单。</w:t>
      </w:r>
    </w:p>
    <w:p w14:paraId="73C5E34F">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本评标办法未尽事宜由评标委员会集体讨论决定。</w:t>
      </w:r>
    </w:p>
    <w:p w14:paraId="09AE3CAC">
      <w:pPr>
        <w:widowControl w:val="0"/>
        <w:kinsoku/>
        <w:topLinePunct/>
        <w:autoSpaceDE/>
        <w:autoSpaceDN/>
        <w:spacing w:line="520" w:lineRule="exact"/>
        <w:ind w:firstLine="482" w:firstLineChars="200"/>
        <w:jc w:val="both"/>
        <w:outlineLvl w:val="3"/>
        <w:rPr>
          <w:rFonts w:hint="eastAsia" w:ascii="宋体" w:hAnsi="宋体" w:eastAsia="宋体" w:cs="宋体"/>
          <w:color w:val="auto"/>
          <w:sz w:val="24"/>
          <w:szCs w:val="24"/>
          <w:lang w:eastAsia="zh-CN"/>
        </w:rPr>
      </w:pPr>
      <w:bookmarkStart w:id="465" w:name="bookmark122"/>
      <w:bookmarkEnd w:id="465"/>
      <w:bookmarkStart w:id="466" w:name="_Toc26966"/>
      <w:r>
        <w:rPr>
          <w:rFonts w:hint="eastAsia" w:ascii="宋体" w:hAnsi="宋体" w:eastAsia="宋体" w:cs="宋体"/>
          <w:b/>
          <w:bCs/>
          <w:color w:val="auto"/>
          <w:sz w:val="24"/>
          <w:szCs w:val="24"/>
          <w:lang w:eastAsia="zh-CN"/>
        </w:rPr>
        <w:t>4.10　评标报告</w:t>
      </w:r>
      <w:bookmarkEnd w:id="466"/>
    </w:p>
    <w:p w14:paraId="7C5A466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4.10.1　</w:t>
      </w:r>
      <w:r>
        <w:rPr>
          <w:rFonts w:hint="eastAsia" w:ascii="宋体" w:hAnsi="宋体" w:eastAsia="宋体" w:cs="宋体"/>
          <w:color w:val="auto"/>
          <w:sz w:val="24"/>
          <w:szCs w:val="24"/>
          <w:lang w:eastAsia="zh-CN"/>
        </w:rPr>
        <w:t>评标委员会对投标文件作出的评审结论，应当符合有关法律、法规、规章和招标文件的规定。</w:t>
      </w:r>
    </w:p>
    <w:p w14:paraId="2E4BFF4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4.10.2　</w:t>
      </w:r>
      <w:r>
        <w:rPr>
          <w:rFonts w:hint="eastAsia" w:ascii="宋体" w:hAnsi="宋体" w:eastAsia="宋体" w:cs="宋体"/>
          <w:color w:val="auto"/>
          <w:sz w:val="24"/>
          <w:szCs w:val="24"/>
          <w:lang w:eastAsia="zh-CN"/>
        </w:rPr>
        <w:t>评标委员会应根据评标情况，推荐中标候选人，并向招标人提交评标报告。评标报告由评标委员会成员起草，评标委员会全体成员应在评标报告上签字确认，评标专家如有保留意见可以在评标报告中阐明。评标委员会成员拒绝在评标报告上签字又不书面说明其不同意见和理由的，视为同意评标结果。</w:t>
      </w:r>
    </w:p>
    <w:p w14:paraId="348C945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4.10.3　</w:t>
      </w:r>
      <w:r>
        <w:rPr>
          <w:rFonts w:hint="eastAsia" w:ascii="宋体" w:hAnsi="宋体" w:eastAsia="宋体" w:cs="宋体"/>
          <w:color w:val="auto"/>
          <w:sz w:val="24"/>
          <w:szCs w:val="24"/>
          <w:lang w:eastAsia="zh-CN"/>
        </w:rPr>
        <w:t>评标报告应包括以下内容：</w:t>
      </w:r>
    </w:p>
    <w:p w14:paraId="1024AA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（1）开标记录。</w:t>
      </w:r>
    </w:p>
    <w:p w14:paraId="69B272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（2）评标内容、过程和结果。</w:t>
      </w:r>
    </w:p>
    <w:p w14:paraId="7DE8F3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（3）被否决情况说明及依据。</w:t>
      </w:r>
    </w:p>
    <w:p w14:paraId="6CC63E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（4）询标澄清纪要。</w:t>
      </w:r>
    </w:p>
    <w:p w14:paraId="0C4CE2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（5）中标候选人的优劣对比和存在问题。</w:t>
      </w:r>
    </w:p>
    <w:p w14:paraId="7C8E96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（6）中标候选人投标业绩。</w:t>
      </w:r>
    </w:p>
    <w:p w14:paraId="053EA2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（7）其他建议。</w:t>
      </w:r>
    </w:p>
    <w:p w14:paraId="4EE94F04">
      <w:pPr>
        <w:widowControl w:val="0"/>
        <w:kinsoku/>
        <w:topLinePunct/>
        <w:autoSpaceDE/>
        <w:autoSpaceDN/>
        <w:spacing w:line="520" w:lineRule="exact"/>
        <w:jc w:val="center"/>
        <w:rPr>
          <w:rFonts w:hint="eastAsia" w:ascii="宋体" w:hAnsi="宋体" w:eastAsia="宋体" w:cs="宋体"/>
          <w:b/>
          <w:bCs/>
          <w:color w:val="auto"/>
          <w:sz w:val="36"/>
          <w:szCs w:val="36"/>
          <w:lang w:eastAsia="zh-CN"/>
        </w:rPr>
      </w:pPr>
      <w:r>
        <w:rPr>
          <w:rFonts w:hint="eastAsia" w:ascii="宋体" w:hAnsi="宋体" w:eastAsia="宋体" w:cs="宋体"/>
          <w:color w:val="auto"/>
          <w:sz w:val="24"/>
          <w:szCs w:val="24"/>
          <w:lang w:eastAsia="zh-CN"/>
        </w:rPr>
        <w:br w:type="page"/>
      </w:r>
      <w:bookmarkStart w:id="467" w:name="bookmark143"/>
      <w:bookmarkEnd w:id="467"/>
      <w:bookmarkStart w:id="468" w:name="bookmark679"/>
      <w:bookmarkEnd w:id="468"/>
      <w:bookmarkStart w:id="469" w:name="bookmark124"/>
      <w:bookmarkEnd w:id="469"/>
      <w:bookmarkStart w:id="470" w:name="bookmark125"/>
      <w:bookmarkEnd w:id="470"/>
      <w:bookmarkStart w:id="471" w:name="bookmark142"/>
      <w:bookmarkEnd w:id="471"/>
      <w:bookmarkStart w:id="472" w:name="bookmark126"/>
      <w:bookmarkEnd w:id="472"/>
      <w:bookmarkStart w:id="473" w:name="bookmark680"/>
      <w:bookmarkEnd w:id="473"/>
      <w:bookmarkStart w:id="474" w:name="bookmark129"/>
      <w:bookmarkEnd w:id="474"/>
      <w:bookmarkStart w:id="475" w:name="bookmark127"/>
      <w:bookmarkEnd w:id="475"/>
      <w:bookmarkStart w:id="476" w:name="bookmark681"/>
      <w:bookmarkEnd w:id="476"/>
      <w:bookmarkStart w:id="477" w:name="bookmark128"/>
      <w:bookmarkEnd w:id="477"/>
      <w:bookmarkStart w:id="478" w:name="bookmark141"/>
      <w:bookmarkEnd w:id="478"/>
      <w:bookmarkStart w:id="479" w:name="bookmark123"/>
      <w:bookmarkEnd w:id="479"/>
      <w:bookmarkStart w:id="480" w:name="bookmark144"/>
      <w:bookmarkEnd w:id="480"/>
      <w:bookmarkStart w:id="481" w:name="_Toc3314"/>
      <w:bookmarkStart w:id="482" w:name="_Toc29233"/>
      <w:bookmarkStart w:id="483" w:name="_Toc21386"/>
      <w:bookmarkStart w:id="484" w:name="_Toc7370"/>
      <w:r>
        <w:rPr>
          <w:rFonts w:ascii="宋体" w:hAnsi="宋体" w:eastAsia="宋体" w:cs="宋体"/>
          <w:b/>
          <w:bCs/>
          <w:color w:val="auto"/>
          <w:sz w:val="36"/>
          <w:szCs w:val="36"/>
          <w:lang w:eastAsia="zh-CN"/>
        </w:rPr>
        <w:t>第四章</w:t>
      </w:r>
      <w:r>
        <w:rPr>
          <w:rFonts w:hint="eastAsia" w:ascii="宋体" w:hAnsi="宋体" w:eastAsia="宋体" w:cs="宋体"/>
          <w:b/>
          <w:bCs/>
          <w:color w:val="auto"/>
          <w:sz w:val="36"/>
          <w:szCs w:val="36"/>
          <w:lang w:eastAsia="zh-CN"/>
        </w:rPr>
        <w:t>　</w:t>
      </w:r>
      <w:r>
        <w:rPr>
          <w:rFonts w:ascii="宋体" w:hAnsi="宋体" w:eastAsia="宋体" w:cs="宋体"/>
          <w:b/>
          <w:bCs/>
          <w:color w:val="auto"/>
          <w:sz w:val="36"/>
          <w:szCs w:val="36"/>
          <w:lang w:eastAsia="zh-CN"/>
        </w:rPr>
        <w:t>合同条款及格式</w:t>
      </w:r>
      <w:bookmarkEnd w:id="481"/>
      <w:bookmarkEnd w:id="482"/>
      <w:bookmarkEnd w:id="483"/>
      <w:bookmarkEnd w:id="484"/>
    </w:p>
    <w:p w14:paraId="6789211F">
      <w:pPr>
        <w:widowControl w:val="0"/>
        <w:kinsoku/>
        <w:wordWrap w:val="0"/>
        <w:topLinePunct/>
        <w:autoSpaceDE/>
        <w:autoSpaceDN/>
        <w:spacing w:line="520" w:lineRule="exact"/>
        <w:jc w:val="center"/>
        <w:outlineLvl w:val="1"/>
        <w:rPr>
          <w:rFonts w:hint="eastAsia" w:ascii="宋体" w:hAnsi="宋体" w:eastAsia="宋体" w:cs="宋体"/>
          <w:color w:val="auto"/>
          <w:sz w:val="31"/>
          <w:szCs w:val="31"/>
          <w:lang w:eastAsia="zh-CN"/>
        </w:rPr>
      </w:pPr>
      <w:bookmarkStart w:id="485" w:name="bookmark684"/>
      <w:bookmarkEnd w:id="485"/>
      <w:bookmarkStart w:id="486" w:name="_Toc30290"/>
      <w:bookmarkStart w:id="487" w:name="_Toc24145"/>
      <w:bookmarkStart w:id="488" w:name="_Toc32262"/>
      <w:bookmarkStart w:id="489" w:name="_Toc23600"/>
      <w:r>
        <w:rPr>
          <w:rFonts w:ascii="宋体" w:hAnsi="宋体" w:eastAsia="宋体" w:cs="宋体"/>
          <w:b/>
          <w:bCs/>
          <w:color w:val="auto"/>
          <w:sz w:val="31"/>
          <w:szCs w:val="31"/>
          <w:lang w:eastAsia="zh-CN"/>
        </w:rPr>
        <w:t>第一节</w:t>
      </w:r>
      <w:r>
        <w:rPr>
          <w:rFonts w:hint="eastAsia" w:ascii="宋体" w:hAnsi="宋体" w:eastAsia="宋体" w:cs="宋体"/>
          <w:color w:val="auto"/>
          <w:sz w:val="31"/>
          <w:szCs w:val="31"/>
          <w:lang w:eastAsia="zh-CN"/>
        </w:rPr>
        <w:t>　</w:t>
      </w:r>
      <w:r>
        <w:rPr>
          <w:rFonts w:ascii="宋体" w:hAnsi="宋体" w:eastAsia="宋体" w:cs="宋体"/>
          <w:b/>
          <w:bCs/>
          <w:color w:val="auto"/>
          <w:sz w:val="31"/>
          <w:szCs w:val="31"/>
          <w:lang w:eastAsia="zh-CN"/>
        </w:rPr>
        <w:t>通用合同条款</w:t>
      </w:r>
      <w:bookmarkEnd w:id="486"/>
      <w:bookmarkEnd w:id="487"/>
      <w:bookmarkEnd w:id="488"/>
      <w:bookmarkEnd w:id="489"/>
    </w:p>
    <w:p w14:paraId="12C885D8">
      <w:pPr>
        <w:pStyle w:val="8"/>
        <w:widowControl w:val="0"/>
        <w:kinsoku/>
        <w:wordWrap w:val="0"/>
        <w:topLinePunct/>
        <w:autoSpaceDE/>
        <w:autoSpaceDN/>
        <w:spacing w:line="520" w:lineRule="exact"/>
        <w:jc w:val="center"/>
        <w:rPr>
          <w:color w:val="auto"/>
          <w:lang w:eastAsia="zh-CN"/>
        </w:rPr>
      </w:pPr>
    </w:p>
    <w:p w14:paraId="31C3724E">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490" w:name="bookmark685"/>
      <w:bookmarkEnd w:id="490"/>
      <w:bookmarkStart w:id="491" w:name="_Toc16424"/>
      <w:bookmarkStart w:id="492" w:name="_Toc12296"/>
      <w:bookmarkStart w:id="493" w:name="_Toc13802"/>
      <w:bookmarkStart w:id="494" w:name="_Toc29160"/>
      <w:r>
        <w:rPr>
          <w:rFonts w:hint="eastAsia" w:ascii="宋体" w:hAnsi="宋体" w:eastAsia="宋体" w:cs="宋体"/>
          <w:b/>
          <w:bCs/>
          <w:color w:val="auto"/>
          <w:sz w:val="28"/>
          <w:szCs w:val="28"/>
          <w:lang w:eastAsia="zh-CN"/>
        </w:rPr>
        <w:t>1　一般约定</w:t>
      </w:r>
      <w:bookmarkEnd w:id="491"/>
      <w:bookmarkEnd w:id="492"/>
      <w:bookmarkEnd w:id="493"/>
      <w:bookmarkEnd w:id="494"/>
    </w:p>
    <w:p w14:paraId="3204F513">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495" w:name="bookmark686"/>
      <w:bookmarkEnd w:id="495"/>
      <w:r>
        <w:rPr>
          <w:rFonts w:hint="eastAsia" w:ascii="宋体" w:hAnsi="宋体" w:eastAsia="宋体" w:cs="宋体"/>
          <w:b/>
          <w:bCs/>
          <w:color w:val="auto"/>
          <w:sz w:val="24"/>
          <w:szCs w:val="24"/>
          <w:lang w:eastAsia="zh-CN"/>
        </w:rPr>
        <w:t>1.1　词语定义</w:t>
      </w:r>
    </w:p>
    <w:p w14:paraId="033AB2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通用合同条款、专用合同条款中的下列词语应具有本款所赋予的含义。</w:t>
      </w:r>
    </w:p>
    <w:p w14:paraId="7DDD73E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1.1.1　</w:t>
      </w:r>
      <w:r>
        <w:rPr>
          <w:rFonts w:hint="eastAsia" w:ascii="宋体" w:hAnsi="宋体" w:eastAsia="宋体" w:cs="宋体"/>
          <w:color w:val="auto"/>
          <w:sz w:val="24"/>
          <w:szCs w:val="24"/>
          <w:lang w:eastAsia="zh-CN"/>
        </w:rPr>
        <w:t>合同</w:t>
      </w:r>
    </w:p>
    <w:p w14:paraId="33B3EAE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1.1.1.1　合同文件（或称合同）：指合同协议书、中标通知书、投标函及投标函附录、专用合同条款、通用合同条款、技术标准和要求、图纸、已标价工程量清单，以及其他合同文件。</w:t>
      </w:r>
    </w:p>
    <w:p w14:paraId="1847F1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1.1.1.2　合同协议书：指第1.5款所指的合同协议书。</w:t>
      </w:r>
    </w:p>
    <w:p w14:paraId="1B1989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1.1.1.3　中标通知书：指发包人通知承包人中标的函件。</w:t>
      </w:r>
    </w:p>
    <w:p w14:paraId="3DC4D8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1.1.1.4　投标函：指构成合同文件组成部分的由承包人填写并签署的投标函。</w:t>
      </w:r>
    </w:p>
    <w:p w14:paraId="43BEB1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1.1.1.5　投标函附录：指附在投标函后构成合同文件的投标函附录。</w:t>
      </w:r>
    </w:p>
    <w:p w14:paraId="05B12F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1.1.1.6　技术标准和要求：指构成合同文件组成部分的名为技术标准和要求（合同技术条款）的文件，包括合同双方当事人约定对其所作的修改或补充。</w:t>
      </w:r>
    </w:p>
    <w:p w14:paraId="79895B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1.1.1.7　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258983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1.1.1.8　已标价工程量清单：指构成合同文件组成部分的由承包人按照规定的格式和要求填写并标明价格的工程量清单。</w:t>
      </w:r>
    </w:p>
    <w:p w14:paraId="279781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1.1.1.9　其他合同文件：指经合同双方当事人确认构成合同文件的其他文件。</w:t>
      </w:r>
    </w:p>
    <w:p w14:paraId="7A3EBB0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1.1.2　</w:t>
      </w:r>
      <w:r>
        <w:rPr>
          <w:rFonts w:hint="eastAsia" w:ascii="宋体" w:hAnsi="宋体" w:eastAsia="宋体" w:cs="宋体"/>
          <w:color w:val="auto"/>
          <w:sz w:val="24"/>
          <w:szCs w:val="24"/>
          <w:lang w:eastAsia="zh-CN"/>
        </w:rPr>
        <w:t>合同当事人和人员</w:t>
      </w:r>
    </w:p>
    <w:p w14:paraId="53998C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1.1.2.1　合同当事人：指发包人和（或）承包人。</w:t>
      </w:r>
    </w:p>
    <w:p w14:paraId="44BD5F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1.1.2.2　发包人：指专用合同条款中指明并与承包人在合同协议书中签字的当事人。</w:t>
      </w:r>
    </w:p>
    <w:p w14:paraId="3006EA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1.1.2.3　承包人：指专用合同条款中指明并与发包人在合同协议书中签字的当事人。</w:t>
      </w:r>
    </w:p>
    <w:p w14:paraId="14601C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1.1.2.4　承包人项目负责人：指承包人派驻施工场地的全权负责人。</w:t>
      </w:r>
    </w:p>
    <w:p w14:paraId="4623E4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1.1.2.5分包人：指专用合同条款中指明的，从承包人处分包合同中某一部分工程，并与其签订分包合同的分包人。</w:t>
      </w:r>
    </w:p>
    <w:p w14:paraId="6A0A52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1.1.2.6　监理人：指在专用合同条款中指明的，受发包人委托对合同履行实施管理的法人或其他组织。</w:t>
      </w:r>
    </w:p>
    <w:p w14:paraId="29122C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1.1.2.7　总监理工程师（总监）：指由监理人委派常驻施工场地对合同履行实施管理的全权负责人。</w:t>
      </w:r>
    </w:p>
    <w:p w14:paraId="3936CF0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1.1.3　</w:t>
      </w:r>
      <w:r>
        <w:rPr>
          <w:rFonts w:hint="eastAsia" w:ascii="宋体" w:hAnsi="宋体" w:eastAsia="宋体" w:cs="宋体"/>
          <w:color w:val="auto"/>
          <w:sz w:val="24"/>
          <w:szCs w:val="24"/>
          <w:lang w:eastAsia="zh-CN"/>
        </w:rPr>
        <w:t>工程和设备</w:t>
      </w:r>
    </w:p>
    <w:p w14:paraId="06B167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1.1.3.1　工程：指永久工程和（或）临时工程。</w:t>
      </w:r>
    </w:p>
    <w:p w14:paraId="5EE36F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1.1.3.2　永久工程：指按合同约定建造并移交给发包人的工程，包括工程设备。</w:t>
      </w:r>
    </w:p>
    <w:p w14:paraId="562B14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1.1.3.3　临时工程：指为完成合同约定的永久工程所修建的各类临时性工程，不包括施工设备。</w:t>
      </w:r>
    </w:p>
    <w:p w14:paraId="4DC0AE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1.1.3.4　单位工程：指经工程质量监督机构确认的工程项目划分表中确定的具有独立发挥作用或独立施工条件的永久建筑物。</w:t>
      </w:r>
    </w:p>
    <w:p w14:paraId="73EF9A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1.1.3.5　工程设备：指构成或计划构成永久工程一部分的机电设备、金属结构设备、仪器装置及其他类似的设备和装置。</w:t>
      </w:r>
    </w:p>
    <w:p w14:paraId="49FF89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1.1.3.6　施工设备：指为完成合同约定的各项工作所需的设备、器具和其他物品，不包括临时工程和材料。</w:t>
      </w:r>
    </w:p>
    <w:p w14:paraId="6B5C84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1.1.3.7　临时设施：指为完成合同约定的各项工作所服务的临时性生产和生活设施。</w:t>
      </w:r>
    </w:p>
    <w:p w14:paraId="574C40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1.1.3.8　承包人设备：指承包人自带的施工设备。</w:t>
      </w:r>
    </w:p>
    <w:p w14:paraId="2364DF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1.1.3.9　施工场地（或称工地、现场）：指用于合同工程施工的场所，以及在合同中指定作为施工场地组成部分的其他场所，包括永久征地和临时占地。</w:t>
      </w:r>
    </w:p>
    <w:p w14:paraId="6FEBA646">
      <w:pPr>
        <w:widowControl w:val="0"/>
        <w:kinsoku/>
        <w:topLinePunct/>
        <w:autoSpaceDE/>
        <w:autoSpaceDN/>
        <w:spacing w:line="520" w:lineRule="exact"/>
        <w:ind w:firstLine="420" w:firstLineChars="200"/>
        <w:jc w:val="both"/>
        <w:rPr>
          <w:rFonts w:hint="eastAsia" w:ascii="宋体" w:hAnsi="宋体" w:eastAsia="宋体" w:cs="宋体"/>
          <w:color w:val="auto"/>
          <w:sz w:val="24"/>
          <w:szCs w:val="24"/>
          <w:lang w:eastAsia="zh-CN"/>
        </w:rPr>
      </w:pPr>
      <w:r>
        <w:fldChar w:fldCharType="begin"/>
      </w:r>
      <w:r>
        <w:instrText xml:space="preserve"> HYPERLINK "1.1.3.10" </w:instrText>
      </w:r>
      <w:r>
        <w:fldChar w:fldCharType="separate"/>
      </w:r>
      <w:r>
        <w:rPr>
          <w:rFonts w:hint="eastAsia" w:ascii="宋体" w:hAnsi="宋体" w:eastAsia="宋体" w:cs="宋体"/>
          <w:color w:val="auto"/>
          <w:sz w:val="24"/>
          <w:szCs w:val="24"/>
          <w:lang w:eastAsia="zh-CN"/>
        </w:rPr>
        <w:t>1.1.3.10</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永久征地：指发包人为建设本合同工程永久征用的场地。</w:t>
      </w:r>
    </w:p>
    <w:p w14:paraId="3E56B89A">
      <w:pPr>
        <w:widowControl w:val="0"/>
        <w:kinsoku/>
        <w:topLinePunct/>
        <w:autoSpaceDE/>
        <w:autoSpaceDN/>
        <w:spacing w:line="520" w:lineRule="exact"/>
        <w:ind w:firstLine="420" w:firstLineChars="200"/>
        <w:jc w:val="both"/>
        <w:rPr>
          <w:rFonts w:hint="eastAsia" w:ascii="宋体" w:hAnsi="宋体" w:eastAsia="宋体" w:cs="宋体"/>
          <w:color w:val="auto"/>
          <w:sz w:val="24"/>
          <w:szCs w:val="24"/>
          <w:lang w:eastAsia="zh-CN"/>
        </w:rPr>
      </w:pPr>
      <w:r>
        <w:fldChar w:fldCharType="begin"/>
      </w:r>
      <w:r>
        <w:instrText xml:space="preserve"> HYPERLINK "1.1.3.11" </w:instrText>
      </w:r>
      <w:r>
        <w:fldChar w:fldCharType="separate"/>
      </w:r>
      <w:r>
        <w:rPr>
          <w:rFonts w:hint="eastAsia" w:ascii="宋体" w:hAnsi="宋体" w:eastAsia="宋体" w:cs="宋体"/>
          <w:color w:val="auto"/>
          <w:sz w:val="24"/>
          <w:szCs w:val="24"/>
          <w:lang w:eastAsia="zh-CN"/>
        </w:rPr>
        <w:t>1.1.3.11</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临时占地：指发包人为建设本合同工程临时征用，承包人在完工后须按合同要求退还的场地。</w:t>
      </w:r>
    </w:p>
    <w:p w14:paraId="1FF4B87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1.1.4　</w:t>
      </w:r>
      <w:r>
        <w:rPr>
          <w:rFonts w:hint="eastAsia" w:ascii="宋体" w:hAnsi="宋体" w:eastAsia="宋体" w:cs="宋体"/>
          <w:color w:val="auto"/>
          <w:sz w:val="24"/>
          <w:szCs w:val="24"/>
          <w:lang w:eastAsia="zh-CN"/>
        </w:rPr>
        <w:t>日期</w:t>
      </w:r>
    </w:p>
    <w:p w14:paraId="0A54D8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1.1.4.1　开工通知：指监理人按第11.1款通知承包人开工的函件。</w:t>
      </w:r>
    </w:p>
    <w:p w14:paraId="740A9C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1.1.4.2　开工日期：指监理人按第11.1款发出的开工通知中写明的开工日期。</w:t>
      </w:r>
    </w:p>
    <w:p w14:paraId="56155C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1.1.4.3　工期：指承包人在投标函中承诺的完成合同工程所需的期限，包括按第11.3款、第11.4款和第11.6款约定所作的变更。</w:t>
      </w:r>
    </w:p>
    <w:p w14:paraId="0C87E7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1.1.4.4　完工日期：指第</w:t>
      </w:r>
      <w:r>
        <w:fldChar w:fldCharType="begin"/>
      </w:r>
      <w:r>
        <w:rPr>
          <w:lang w:eastAsia="zh-CN"/>
        </w:rPr>
        <w:instrText xml:space="preserve">HYPERLINK "1.1.4.3"</w:instrText>
      </w:r>
      <w:r>
        <w:fldChar w:fldCharType="separate"/>
      </w:r>
      <w:r>
        <w:rPr>
          <w:rFonts w:hint="eastAsia" w:ascii="宋体" w:hAnsi="宋体" w:eastAsia="宋体" w:cs="宋体"/>
          <w:color w:val="auto"/>
          <w:sz w:val="24"/>
          <w:szCs w:val="24"/>
          <w:lang w:eastAsia="zh-CN"/>
        </w:rPr>
        <w:t>1.1.4.3</w:t>
      </w:r>
      <w:r>
        <w:fldChar w:fldCharType="end"/>
      </w:r>
      <w:r>
        <w:rPr>
          <w:rFonts w:hint="eastAsia" w:ascii="宋体" w:hAnsi="宋体" w:eastAsia="宋体" w:cs="宋体"/>
          <w:color w:val="auto"/>
          <w:sz w:val="24"/>
          <w:szCs w:val="24"/>
          <w:lang w:eastAsia="zh-CN"/>
        </w:rPr>
        <w:t>目约定工期届满时的日期。实际完工日期以合同工程完工证书中写明的日期为准。</w:t>
      </w:r>
    </w:p>
    <w:p w14:paraId="54BFE6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1.1.4.5　缺陷责任期：即工程质量保修期，指履行第19.2款约定的缺陷责任的期限，包括根据第19.3款约定所作的延长，具体期限由专用合同条款约定。</w:t>
      </w:r>
    </w:p>
    <w:p w14:paraId="60F9E1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1.1.4.6　基准日期：指投标截止时间前28天的日期。</w:t>
      </w:r>
    </w:p>
    <w:p w14:paraId="6D3FD1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1.1.4.7　天：除特别指明外，指日历天。合同中按天计算时间的，开始当天不计入，从次日开始计算。期限最后一天的截止时间为当天24：00。</w:t>
      </w:r>
    </w:p>
    <w:p w14:paraId="4467A68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1.1.5　</w:t>
      </w:r>
      <w:r>
        <w:rPr>
          <w:rFonts w:hint="eastAsia" w:ascii="宋体" w:hAnsi="宋体" w:eastAsia="宋体" w:cs="宋体"/>
          <w:color w:val="auto"/>
          <w:sz w:val="24"/>
          <w:szCs w:val="24"/>
          <w:lang w:eastAsia="zh-CN"/>
        </w:rPr>
        <w:t>合同价格和费用</w:t>
      </w:r>
    </w:p>
    <w:p w14:paraId="576D99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1.1.5.1　签约合同价：指签定合同时合同协议书中写明的，包括了预留金额、暂估价的合同总金额。</w:t>
      </w:r>
    </w:p>
    <w:p w14:paraId="2296B2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1.1.5.2　合同价格：指承包人按合同约定完成了包括缺陷责任期内的全部承包工作后，发包人应付给承包人的金额，包括在履行合同过程中按合同约定进行的变更和调整。</w:t>
      </w:r>
    </w:p>
    <w:p w14:paraId="0A457D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1.1.5.3　费用：指为履行合同所发生的或将要发生的所有合理开支，包括管理费和应分摊的其他费用，但不包括利润。</w:t>
      </w:r>
    </w:p>
    <w:p w14:paraId="26F2C1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1.1.5.4　预留金：指已标价工程量清单中所列的预留金，为施工中可能发生的合同变更、合同约定调整因素出现时的合同价款调整等预留的金额，包括以计日工方式支付的金额。</w:t>
      </w:r>
    </w:p>
    <w:p w14:paraId="49F4E2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1.1.5.5　暂估价：指发包人在工程量清单中给定的用于支付必然发生但暂时不能确定价格的材料、设备以及专业工程的金额。</w:t>
      </w:r>
    </w:p>
    <w:p w14:paraId="52AF78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1.1.5.6　计日工：指对零星工作采取的一种计价方式，按合同中的计日工子目及其单价计价付款。</w:t>
      </w:r>
    </w:p>
    <w:p w14:paraId="30BDCF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1.1.5.7　质量保证金（或称保留金）：指按第17.4.1项约定用于保证在缺陷责任期内履行缺陷修复义务的金额。</w:t>
      </w:r>
    </w:p>
    <w:p w14:paraId="7CD8859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1.1.6　</w:t>
      </w:r>
      <w:r>
        <w:rPr>
          <w:rFonts w:hint="eastAsia" w:ascii="宋体" w:hAnsi="宋体" w:eastAsia="宋体" w:cs="宋体"/>
          <w:color w:val="auto"/>
          <w:sz w:val="24"/>
          <w:szCs w:val="24"/>
          <w:lang w:eastAsia="zh-CN"/>
        </w:rPr>
        <w:t>其他</w:t>
      </w:r>
    </w:p>
    <w:p w14:paraId="1989E7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1.1.6.1　书面形式：指合同文件、信函、电报、传真等可以有形地表现所载内容的形式。</w:t>
      </w:r>
    </w:p>
    <w:p w14:paraId="5A858D4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496" w:name="bookmark145"/>
      <w:bookmarkEnd w:id="496"/>
      <w:bookmarkStart w:id="497" w:name="bookmark146"/>
      <w:bookmarkEnd w:id="497"/>
      <w:r>
        <w:rPr>
          <w:rFonts w:hint="eastAsia" w:ascii="宋体" w:hAnsi="宋体" w:eastAsia="宋体" w:cs="宋体"/>
          <w:b/>
          <w:bCs/>
          <w:color w:val="auto"/>
          <w:sz w:val="24"/>
          <w:szCs w:val="24"/>
          <w:lang w:eastAsia="zh-CN"/>
        </w:rPr>
        <w:t>1.2　语言文字</w:t>
      </w:r>
    </w:p>
    <w:p w14:paraId="508AA4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除专用术语外，合同使用的语言文字为中文。必要时专用术语应附有中文注释。</w:t>
      </w:r>
    </w:p>
    <w:p w14:paraId="71E23B6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498" w:name="bookmark687"/>
      <w:bookmarkEnd w:id="498"/>
      <w:r>
        <w:rPr>
          <w:rFonts w:hint="eastAsia" w:ascii="宋体" w:hAnsi="宋体" w:eastAsia="宋体" w:cs="宋体"/>
          <w:b/>
          <w:bCs/>
          <w:color w:val="auto"/>
          <w:sz w:val="24"/>
          <w:szCs w:val="24"/>
          <w:lang w:eastAsia="zh-CN"/>
        </w:rPr>
        <w:t>1.3　法律</w:t>
      </w:r>
    </w:p>
    <w:p w14:paraId="0F0D7E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适用于合同的法律包括中华人民共和国法律、行政法规、部门规章，以及工程所在地的地方法规、自治条例、单行条例和地方政府规章。</w:t>
      </w:r>
    </w:p>
    <w:p w14:paraId="13BA515D">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499" w:name="bookmark147"/>
      <w:bookmarkEnd w:id="499"/>
      <w:r>
        <w:rPr>
          <w:rFonts w:hint="eastAsia" w:ascii="宋体" w:hAnsi="宋体" w:eastAsia="宋体" w:cs="宋体"/>
          <w:b/>
          <w:bCs/>
          <w:color w:val="auto"/>
          <w:sz w:val="24"/>
          <w:szCs w:val="24"/>
          <w:lang w:eastAsia="zh-CN"/>
        </w:rPr>
        <w:t>1.4　合同文件的优先顺序</w:t>
      </w:r>
    </w:p>
    <w:p w14:paraId="6DD008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组成合同的各项文件应互相解释，互为说明。除专用合同条款另有约定外，解释合同文件的优先顺序如下：</w:t>
      </w:r>
    </w:p>
    <w:p w14:paraId="60F5D8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（l）合同协议书。</w:t>
      </w:r>
    </w:p>
    <w:p w14:paraId="5281A9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（2）中标通知书。</w:t>
      </w:r>
    </w:p>
    <w:p w14:paraId="534361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（3）投标函及投标函附录。</w:t>
      </w:r>
    </w:p>
    <w:p w14:paraId="5AF159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（4）专用合同条款。</w:t>
      </w:r>
    </w:p>
    <w:p w14:paraId="78032D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（5）通用合同条款。</w:t>
      </w:r>
    </w:p>
    <w:p w14:paraId="2CEE17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（6）技术标准和要求。</w:t>
      </w:r>
    </w:p>
    <w:p w14:paraId="44FBED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（7）图纸。</w:t>
      </w:r>
    </w:p>
    <w:p w14:paraId="0FCD14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（8）已标价工程量清单。</w:t>
      </w:r>
    </w:p>
    <w:p w14:paraId="498CAA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（9）其他合同文件。</w:t>
      </w:r>
    </w:p>
    <w:p w14:paraId="34660BB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00" w:name="bookmark148"/>
      <w:bookmarkEnd w:id="500"/>
      <w:r>
        <w:rPr>
          <w:rFonts w:hint="eastAsia" w:ascii="宋体" w:hAnsi="宋体" w:eastAsia="宋体" w:cs="宋体"/>
          <w:b/>
          <w:bCs/>
          <w:color w:val="auto"/>
          <w:sz w:val="24"/>
          <w:szCs w:val="24"/>
          <w:lang w:eastAsia="zh-CN"/>
        </w:rPr>
        <w:t>1.5　合同协议书</w:t>
      </w:r>
    </w:p>
    <w:p w14:paraId="49DC8A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承包人按中标通知书规定的时间与发包人签订合同协议书。除法律另有规定或合同另有约定外，发包人和承包人的法定代表人或其委托代理人在合同协议书上签字并盖单位章后，合同生效。</w:t>
      </w:r>
    </w:p>
    <w:p w14:paraId="2CAAF5B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01" w:name="bookmark149"/>
      <w:bookmarkEnd w:id="501"/>
      <w:r>
        <w:rPr>
          <w:rFonts w:hint="eastAsia" w:ascii="宋体" w:hAnsi="宋体" w:eastAsia="宋体" w:cs="宋体"/>
          <w:b/>
          <w:bCs/>
          <w:color w:val="auto"/>
          <w:sz w:val="24"/>
          <w:szCs w:val="24"/>
          <w:lang w:eastAsia="zh-CN"/>
        </w:rPr>
        <w:t>1.6　图纸和承包人文件</w:t>
      </w:r>
    </w:p>
    <w:p w14:paraId="35A23BE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1.6.1　</w:t>
      </w:r>
      <w:r>
        <w:rPr>
          <w:rFonts w:hint="eastAsia" w:ascii="宋体" w:hAnsi="宋体" w:eastAsia="宋体" w:cs="宋体"/>
          <w:color w:val="auto"/>
          <w:sz w:val="24"/>
          <w:szCs w:val="24"/>
          <w:lang w:eastAsia="zh-CN"/>
        </w:rPr>
        <w:t>图纸的提供</w:t>
      </w:r>
    </w:p>
    <w:p w14:paraId="2BE040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发包人应按技术标准和要求（合同技术条款）约定的期限和数量将施工图纸以及其他图纸（包括配套说明和有关资料）提供给承包人。由于发包人未按时提供图纸造成工期延误的，按第11.3款的约定办理。</w:t>
      </w:r>
    </w:p>
    <w:p w14:paraId="5511316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1.6.2　</w:t>
      </w:r>
      <w:r>
        <w:rPr>
          <w:rFonts w:hint="eastAsia" w:ascii="宋体" w:hAnsi="宋体" w:eastAsia="宋体" w:cs="宋体"/>
          <w:color w:val="auto"/>
          <w:sz w:val="24"/>
          <w:szCs w:val="24"/>
          <w:lang w:eastAsia="zh-CN"/>
        </w:rPr>
        <w:t>承包人提供的文件</w:t>
      </w:r>
    </w:p>
    <w:p w14:paraId="0FA046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承包人提供的文件应按技术标准和要求（合同技术条款）约定的期限和数量提供给监理人。监理人应按技术标准和要求（合同技术条款）约定的期限批复承包人。</w:t>
      </w:r>
    </w:p>
    <w:p w14:paraId="12AB7B0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1.6.3　</w:t>
      </w:r>
      <w:r>
        <w:rPr>
          <w:rFonts w:hint="eastAsia" w:ascii="宋体" w:hAnsi="宋体" w:eastAsia="宋体" w:cs="宋体"/>
          <w:color w:val="auto"/>
          <w:sz w:val="24"/>
          <w:szCs w:val="24"/>
          <w:lang w:eastAsia="zh-CN"/>
        </w:rPr>
        <w:t>图纸的修改</w:t>
      </w:r>
    </w:p>
    <w:p w14:paraId="579C42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20B1976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1.6.4　</w:t>
      </w:r>
      <w:r>
        <w:rPr>
          <w:rFonts w:hint="eastAsia" w:ascii="宋体" w:hAnsi="宋体" w:eastAsia="宋体" w:cs="宋体"/>
          <w:color w:val="auto"/>
          <w:sz w:val="24"/>
          <w:szCs w:val="24"/>
          <w:lang w:eastAsia="zh-CN"/>
        </w:rPr>
        <w:t>图纸的错误</w:t>
      </w:r>
    </w:p>
    <w:p w14:paraId="580A1A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承包人发现发包人提供的图纸存在明显错误或疏忽，应及时通知监理人。</w:t>
      </w:r>
    </w:p>
    <w:p w14:paraId="1699BB1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1.6.5　</w:t>
      </w:r>
      <w:r>
        <w:rPr>
          <w:rFonts w:hint="eastAsia" w:ascii="宋体" w:hAnsi="宋体" w:eastAsia="宋体" w:cs="宋体"/>
          <w:color w:val="auto"/>
          <w:sz w:val="24"/>
          <w:szCs w:val="24"/>
          <w:lang w:eastAsia="zh-CN"/>
        </w:rPr>
        <w:t>图纸和承包人文件的保管</w:t>
      </w:r>
    </w:p>
    <w:p w14:paraId="22ABE7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监理人和承包人均应在施工场地各保存一套完整的包含第1.6.1项、第1.6.2项、第1.6.3项约定内容的图纸和承包人文件。</w:t>
      </w:r>
    </w:p>
    <w:p w14:paraId="37DB358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02" w:name="bookmark150"/>
      <w:bookmarkEnd w:id="502"/>
      <w:r>
        <w:rPr>
          <w:rFonts w:hint="eastAsia" w:ascii="宋体" w:hAnsi="宋体" w:eastAsia="宋体" w:cs="宋体"/>
          <w:b/>
          <w:bCs/>
          <w:color w:val="auto"/>
          <w:sz w:val="24"/>
          <w:szCs w:val="24"/>
          <w:lang w:eastAsia="zh-CN"/>
        </w:rPr>
        <w:t>1.7　联络</w:t>
      </w:r>
    </w:p>
    <w:p w14:paraId="6FA0E3C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1.7.1　</w:t>
      </w:r>
      <w:r>
        <w:rPr>
          <w:rFonts w:hint="eastAsia" w:ascii="宋体" w:hAnsi="宋体" w:eastAsia="宋体" w:cs="宋体"/>
          <w:color w:val="auto"/>
          <w:sz w:val="24"/>
          <w:szCs w:val="24"/>
          <w:lang w:eastAsia="zh-CN"/>
        </w:rPr>
        <w:t>与合同有关的通知、批准、证明、证书、指示、要求、请求、同意、意见、确定和决定等，均应采用书面形式。</w:t>
      </w:r>
    </w:p>
    <w:p w14:paraId="0A4EB5B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1.7.2　</w:t>
      </w:r>
      <w:r>
        <w:rPr>
          <w:rFonts w:hint="eastAsia" w:ascii="宋体" w:hAnsi="宋体" w:eastAsia="宋体" w:cs="宋体"/>
          <w:color w:val="auto"/>
          <w:sz w:val="24"/>
          <w:szCs w:val="24"/>
          <w:lang w:eastAsia="zh-CN"/>
        </w:rPr>
        <w:t>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089EDDE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1.7.3　</w:t>
      </w:r>
      <w:r>
        <w:rPr>
          <w:rFonts w:hint="eastAsia" w:ascii="宋体" w:hAnsi="宋体" w:eastAsia="宋体" w:cs="宋体"/>
          <w:color w:val="auto"/>
          <w:sz w:val="24"/>
          <w:szCs w:val="24"/>
          <w:lang w:eastAsia="zh-CN"/>
        </w:rPr>
        <w:t>来往函件均应按合同约定的期限及时发出和答复，不得无故扣压和拖延，亦不得拒收。否则，由此造成的后果由责任方负责。</w:t>
      </w:r>
    </w:p>
    <w:p w14:paraId="51B43412">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03" w:name="bookmark151"/>
      <w:bookmarkEnd w:id="503"/>
      <w:r>
        <w:rPr>
          <w:rFonts w:hint="eastAsia" w:ascii="宋体" w:hAnsi="宋体" w:eastAsia="宋体" w:cs="宋体"/>
          <w:b/>
          <w:bCs/>
          <w:color w:val="auto"/>
          <w:sz w:val="24"/>
          <w:szCs w:val="24"/>
          <w:lang w:eastAsia="zh-CN"/>
        </w:rPr>
        <w:t>1.8　转让</w:t>
      </w:r>
    </w:p>
    <w:p w14:paraId="093E7D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除合同另有约定外，未经对方当事人同意，一方当事人不得将合同权利全部或部分转让给第三人，也不得全部或部分转移合同义务。</w:t>
      </w:r>
    </w:p>
    <w:p w14:paraId="3D52B4E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04" w:name="bookmark152"/>
      <w:bookmarkEnd w:id="504"/>
      <w:r>
        <w:rPr>
          <w:rFonts w:hint="eastAsia" w:ascii="宋体" w:hAnsi="宋体" w:eastAsia="宋体" w:cs="宋体"/>
          <w:b/>
          <w:bCs/>
          <w:color w:val="auto"/>
          <w:sz w:val="24"/>
          <w:szCs w:val="24"/>
          <w:lang w:eastAsia="zh-CN"/>
        </w:rPr>
        <w:t>1.9　严禁贿赂</w:t>
      </w:r>
    </w:p>
    <w:p w14:paraId="28F3B7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合同双方当事人不得以贿赂或变相贿赂的方式，谋取不当利益或损害对方权益。因贿赂造成对方损失的，行为人应赔偿损失，并承担相应的法律责任。</w:t>
      </w:r>
    </w:p>
    <w:p w14:paraId="28D177F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05" w:name="bookmark153"/>
      <w:bookmarkEnd w:id="505"/>
      <w:r>
        <w:rPr>
          <w:rFonts w:hint="eastAsia" w:ascii="宋体" w:hAnsi="宋体" w:eastAsia="宋体" w:cs="宋体"/>
          <w:b/>
          <w:bCs/>
          <w:color w:val="auto"/>
          <w:sz w:val="24"/>
          <w:szCs w:val="24"/>
          <w:lang w:eastAsia="zh-CN"/>
        </w:rPr>
        <w:t>1.10　化石、文物</w:t>
      </w:r>
    </w:p>
    <w:p w14:paraId="06F4199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1.10.1　</w:t>
      </w:r>
      <w:r>
        <w:rPr>
          <w:rFonts w:hint="eastAsia" w:ascii="宋体" w:hAnsi="宋体" w:eastAsia="宋体" w:cs="宋体"/>
          <w:color w:val="auto"/>
          <w:sz w:val="24"/>
          <w:szCs w:val="24"/>
          <w:lang w:eastAsia="zh-CN"/>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5D87A8E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1.10.2　</w:t>
      </w:r>
      <w:r>
        <w:rPr>
          <w:rFonts w:hint="eastAsia" w:ascii="宋体" w:hAnsi="宋体" w:eastAsia="宋体" w:cs="宋体"/>
          <w:color w:val="auto"/>
          <w:sz w:val="24"/>
          <w:szCs w:val="24"/>
          <w:lang w:eastAsia="zh-CN"/>
        </w:rPr>
        <w:t>承包人发现文物后不及时报告或隐瞒不报，致使文物丢失或损坏的，应赔偿损失，并承担相应的法律责任。</w:t>
      </w:r>
    </w:p>
    <w:p w14:paraId="38676BF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06" w:name="bookmark154"/>
      <w:bookmarkEnd w:id="506"/>
      <w:r>
        <w:rPr>
          <w:rFonts w:hint="eastAsia" w:ascii="宋体" w:hAnsi="宋体" w:eastAsia="宋体" w:cs="宋体"/>
          <w:b/>
          <w:bCs/>
          <w:color w:val="auto"/>
          <w:sz w:val="24"/>
          <w:szCs w:val="24"/>
          <w:lang w:eastAsia="zh-CN"/>
        </w:rPr>
        <w:t>1.11　专利技术</w:t>
      </w:r>
    </w:p>
    <w:p w14:paraId="72A6294A">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1.11.1　</w:t>
      </w:r>
      <w:r>
        <w:rPr>
          <w:rFonts w:hint="eastAsia" w:ascii="宋体" w:hAnsi="宋体" w:eastAsia="宋体" w:cs="宋体"/>
          <w:color w:val="auto"/>
          <w:sz w:val="24"/>
          <w:szCs w:val="24"/>
          <w:lang w:eastAsia="zh-CN"/>
        </w:rPr>
        <w:t>承包人在使用任何材料、承包人设备、工程设备或采用施工工艺时，因侵犯专利权或其他知识产权所引起的责任，由承包人承担，但由于遵照发包人提供的设计或技术标准和要求引起的除外。</w:t>
      </w:r>
    </w:p>
    <w:p w14:paraId="6B8AE30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1.11.2　</w:t>
      </w:r>
      <w:r>
        <w:rPr>
          <w:rFonts w:hint="eastAsia" w:ascii="宋体" w:hAnsi="宋体" w:eastAsia="宋体" w:cs="宋体"/>
          <w:color w:val="auto"/>
          <w:sz w:val="24"/>
          <w:szCs w:val="24"/>
          <w:lang w:eastAsia="zh-CN"/>
        </w:rPr>
        <w:t>承包人在投标文件中采用专利技术的，专利技术的使用费包含在投标报价内。</w:t>
      </w:r>
    </w:p>
    <w:p w14:paraId="4A3594E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1.11.3　</w:t>
      </w:r>
      <w:r>
        <w:rPr>
          <w:rFonts w:hint="eastAsia" w:ascii="宋体" w:hAnsi="宋体" w:eastAsia="宋体" w:cs="宋体"/>
          <w:color w:val="auto"/>
          <w:sz w:val="24"/>
          <w:szCs w:val="24"/>
          <w:lang w:eastAsia="zh-CN"/>
        </w:rPr>
        <w:t>承包人的技术秘密和声明需要保密的资料和信息，发包人和监理人不得为合同以外的目的泄露给他人。</w:t>
      </w:r>
    </w:p>
    <w:p w14:paraId="049F709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1.11.4　</w:t>
      </w:r>
      <w:r>
        <w:rPr>
          <w:rFonts w:hint="eastAsia" w:ascii="宋体" w:hAnsi="宋体" w:eastAsia="宋体" w:cs="宋体"/>
          <w:color w:val="auto"/>
          <w:sz w:val="24"/>
          <w:szCs w:val="24"/>
          <w:lang w:eastAsia="zh-CN"/>
        </w:rPr>
        <w:t>合同实施过程中，发包人要求承包人采用专利技术的，发包人应办理相应的使用手续，承包人应按发包人约定的条件使用，并承担使用专利技术的相关试验工作，所需费用由发包人承担。</w:t>
      </w:r>
    </w:p>
    <w:p w14:paraId="73AFFE1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07" w:name="bookmark155"/>
      <w:bookmarkEnd w:id="507"/>
      <w:r>
        <w:rPr>
          <w:rFonts w:hint="eastAsia" w:ascii="宋体" w:hAnsi="宋体" w:eastAsia="宋体" w:cs="宋体"/>
          <w:b/>
          <w:bCs/>
          <w:color w:val="auto"/>
          <w:sz w:val="24"/>
          <w:szCs w:val="24"/>
          <w:lang w:eastAsia="zh-CN"/>
        </w:rPr>
        <w:t>1.12　图纸和文件的保密</w:t>
      </w:r>
    </w:p>
    <w:p w14:paraId="41B2B382">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1.12.1　</w:t>
      </w:r>
      <w:r>
        <w:rPr>
          <w:rFonts w:hint="eastAsia" w:ascii="宋体" w:hAnsi="宋体" w:eastAsia="宋体" w:cs="宋体"/>
          <w:color w:val="auto"/>
          <w:sz w:val="24"/>
          <w:szCs w:val="24"/>
          <w:lang w:eastAsia="zh-CN"/>
        </w:rPr>
        <w:t>发包人提供的图纸和文件，未经发包人同意，承包人不得为合同以外的目的泄露给他人或公开发表与引用。</w:t>
      </w:r>
    </w:p>
    <w:p w14:paraId="7F9D5A4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1.12.2　</w:t>
      </w:r>
      <w:r>
        <w:rPr>
          <w:rFonts w:hint="eastAsia" w:ascii="宋体" w:hAnsi="宋体" w:eastAsia="宋体" w:cs="宋体"/>
          <w:color w:val="auto"/>
          <w:sz w:val="24"/>
          <w:szCs w:val="24"/>
          <w:lang w:eastAsia="zh-CN"/>
        </w:rPr>
        <w:t>承包人提供的文件，未经承包人同意，发包人和监理人不得为合同以外的目的泄露给他人或公开发表与引用。</w:t>
      </w:r>
    </w:p>
    <w:p w14:paraId="529CCCF3">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508" w:name="bookmark157"/>
      <w:bookmarkEnd w:id="508"/>
      <w:bookmarkStart w:id="509" w:name="bookmark156"/>
      <w:bookmarkEnd w:id="509"/>
      <w:bookmarkStart w:id="510" w:name="_Toc6922"/>
      <w:bookmarkStart w:id="511" w:name="_Toc11078"/>
      <w:bookmarkStart w:id="512" w:name="_Toc3672"/>
      <w:bookmarkStart w:id="513" w:name="_Toc14898"/>
      <w:r>
        <w:rPr>
          <w:rFonts w:hint="eastAsia" w:ascii="宋体" w:hAnsi="宋体" w:eastAsia="宋体" w:cs="宋体"/>
          <w:b/>
          <w:bCs/>
          <w:color w:val="auto"/>
          <w:sz w:val="28"/>
          <w:szCs w:val="28"/>
          <w:lang w:eastAsia="zh-CN"/>
        </w:rPr>
        <w:t>2　发包人义务</w:t>
      </w:r>
      <w:bookmarkEnd w:id="510"/>
      <w:bookmarkEnd w:id="511"/>
      <w:bookmarkEnd w:id="512"/>
      <w:bookmarkEnd w:id="513"/>
    </w:p>
    <w:p w14:paraId="646F75F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14" w:name="bookmark688"/>
      <w:bookmarkEnd w:id="514"/>
      <w:r>
        <w:rPr>
          <w:rFonts w:hint="eastAsia" w:ascii="宋体" w:hAnsi="宋体" w:eastAsia="宋体" w:cs="宋体"/>
          <w:b/>
          <w:bCs/>
          <w:color w:val="auto"/>
          <w:sz w:val="24"/>
          <w:szCs w:val="24"/>
          <w:lang w:eastAsia="zh-CN"/>
        </w:rPr>
        <w:t>2.1　遵守法律</w:t>
      </w:r>
    </w:p>
    <w:p w14:paraId="230E8A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发包人在履行合同过程中应遵守法律，并保证承包人免于承担因发包人违反法律而引起的任何责任。</w:t>
      </w:r>
    </w:p>
    <w:p w14:paraId="7FEFF280">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15" w:name="bookmark158"/>
      <w:bookmarkEnd w:id="515"/>
      <w:r>
        <w:rPr>
          <w:rFonts w:hint="eastAsia" w:ascii="宋体" w:hAnsi="宋体" w:eastAsia="宋体" w:cs="宋体"/>
          <w:b/>
          <w:bCs/>
          <w:color w:val="auto"/>
          <w:sz w:val="24"/>
          <w:szCs w:val="24"/>
          <w:lang w:eastAsia="zh-CN"/>
        </w:rPr>
        <w:t>2.2　发出开工通知</w:t>
      </w:r>
    </w:p>
    <w:p w14:paraId="333707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发包人应委托监理人按第11.1款的约定向承包人发出开工通知。</w:t>
      </w:r>
    </w:p>
    <w:p w14:paraId="612380E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16" w:name="bookmark159"/>
      <w:bookmarkEnd w:id="516"/>
      <w:r>
        <w:rPr>
          <w:rFonts w:hint="eastAsia" w:ascii="宋体" w:hAnsi="宋体" w:eastAsia="宋体" w:cs="宋体"/>
          <w:b/>
          <w:bCs/>
          <w:color w:val="auto"/>
          <w:sz w:val="24"/>
          <w:szCs w:val="24"/>
          <w:lang w:eastAsia="zh-CN"/>
        </w:rPr>
        <w:t>2.3　提供施工场地</w:t>
      </w:r>
    </w:p>
    <w:p w14:paraId="2A16497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2.3.1　</w:t>
      </w:r>
      <w:r>
        <w:rPr>
          <w:rFonts w:hint="eastAsia" w:ascii="宋体" w:hAnsi="宋体" w:eastAsia="宋体" w:cs="宋体"/>
          <w:color w:val="auto"/>
          <w:sz w:val="24"/>
          <w:szCs w:val="24"/>
          <w:lang w:eastAsia="zh-CN"/>
        </w:rPr>
        <w:t>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340CF84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2.3.2　</w:t>
      </w:r>
      <w:r>
        <w:rPr>
          <w:rFonts w:hint="eastAsia" w:ascii="宋体" w:hAnsi="宋体" w:eastAsia="宋体" w:cs="宋体"/>
          <w:color w:val="auto"/>
          <w:sz w:val="24"/>
          <w:szCs w:val="24"/>
          <w:lang w:eastAsia="zh-CN"/>
        </w:rPr>
        <w:t>发包人提供的施工用地范围在专用合同条款中约定。</w:t>
      </w:r>
    </w:p>
    <w:p w14:paraId="709D8F6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2.3.3　</w:t>
      </w:r>
      <w:r>
        <w:rPr>
          <w:rFonts w:hint="eastAsia" w:ascii="宋体" w:hAnsi="宋体" w:eastAsia="宋体" w:cs="宋体"/>
          <w:color w:val="auto"/>
          <w:sz w:val="24"/>
          <w:szCs w:val="24"/>
          <w:lang w:eastAsia="zh-CN"/>
        </w:rPr>
        <w:t>除专用合同条款另有约定外，发包人应按技术标准和要求（合同技术条款）的约定，向承包人提供施工场地内的工程地质图纸和报告，以及地下障碍物图纸等施工场地有关资料，并保证资料的真实、准确、完整。</w:t>
      </w:r>
    </w:p>
    <w:p w14:paraId="6793A441">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17" w:name="bookmark160"/>
      <w:bookmarkEnd w:id="517"/>
      <w:r>
        <w:rPr>
          <w:rFonts w:hint="eastAsia" w:ascii="宋体" w:hAnsi="宋体" w:eastAsia="宋体" w:cs="宋体"/>
          <w:b/>
          <w:bCs/>
          <w:color w:val="auto"/>
          <w:sz w:val="24"/>
          <w:szCs w:val="24"/>
          <w:lang w:eastAsia="zh-CN"/>
        </w:rPr>
        <w:t>2.4　协助承包人办理证件和批件</w:t>
      </w:r>
    </w:p>
    <w:p w14:paraId="26114E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发包人应协助承包人办理法律规定的有关施工证件和批件。</w:t>
      </w:r>
    </w:p>
    <w:p w14:paraId="00F296C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18" w:name="bookmark161"/>
      <w:bookmarkEnd w:id="518"/>
      <w:r>
        <w:rPr>
          <w:rFonts w:hint="eastAsia" w:ascii="宋体" w:hAnsi="宋体" w:eastAsia="宋体" w:cs="宋体"/>
          <w:b/>
          <w:bCs/>
          <w:color w:val="auto"/>
          <w:sz w:val="24"/>
          <w:szCs w:val="24"/>
          <w:lang w:eastAsia="zh-CN"/>
        </w:rPr>
        <w:t>2.5　组织设计交底</w:t>
      </w:r>
    </w:p>
    <w:p w14:paraId="75903C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发包人应根据合同进度计划，组织设计单位向承包人进行设计交底。</w:t>
      </w:r>
    </w:p>
    <w:p w14:paraId="396312F4">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19" w:name="bookmark162"/>
      <w:bookmarkEnd w:id="519"/>
      <w:r>
        <w:rPr>
          <w:rFonts w:hint="eastAsia" w:ascii="宋体" w:hAnsi="宋体" w:eastAsia="宋体" w:cs="宋体"/>
          <w:b/>
          <w:bCs/>
          <w:color w:val="auto"/>
          <w:sz w:val="24"/>
          <w:szCs w:val="24"/>
          <w:lang w:eastAsia="zh-CN"/>
        </w:rPr>
        <w:t>2.6　支付合同价款</w:t>
      </w:r>
    </w:p>
    <w:p w14:paraId="28DADB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合同约定向承包人及时支付合同价款，并将人工费用及时足额拨付至农民工工资专用账户，加强对承包人按时足额支付农民工工资的监督。因发包人未按照合同约定及时拨付工程款导致农民工工资拖欠的，发包人应当以未结清的工程款为限先行垫付被拖欠的农民工工资。</w:t>
      </w:r>
    </w:p>
    <w:p w14:paraId="6F16501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20" w:name="bookmark163"/>
      <w:bookmarkEnd w:id="520"/>
      <w:r>
        <w:rPr>
          <w:rFonts w:hint="eastAsia" w:ascii="宋体" w:hAnsi="宋体" w:eastAsia="宋体" w:cs="宋体"/>
          <w:b/>
          <w:bCs/>
          <w:color w:val="auto"/>
          <w:sz w:val="24"/>
          <w:szCs w:val="24"/>
          <w:lang w:eastAsia="zh-CN"/>
        </w:rPr>
        <w:t>2.7　组织法人验收</w:t>
      </w:r>
    </w:p>
    <w:p w14:paraId="460A81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发包人应按合同约定及时组织法人验收。</w:t>
      </w:r>
    </w:p>
    <w:p w14:paraId="1C13358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21" w:name="bookmark164"/>
      <w:bookmarkEnd w:id="521"/>
      <w:r>
        <w:rPr>
          <w:rFonts w:hint="eastAsia" w:ascii="宋体" w:hAnsi="宋体" w:eastAsia="宋体" w:cs="宋体"/>
          <w:b/>
          <w:bCs/>
          <w:color w:val="auto"/>
          <w:sz w:val="24"/>
          <w:szCs w:val="24"/>
          <w:lang w:eastAsia="zh-CN"/>
        </w:rPr>
        <w:t>2.8　其他义务</w:t>
      </w:r>
    </w:p>
    <w:p w14:paraId="27F9E9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其他义务在专用合同条款中补充约定。</w:t>
      </w:r>
    </w:p>
    <w:p w14:paraId="3976B264">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522" w:name="bookmark165"/>
      <w:bookmarkEnd w:id="522"/>
      <w:bookmarkStart w:id="523" w:name="bookmark166"/>
      <w:bookmarkEnd w:id="523"/>
      <w:bookmarkStart w:id="524" w:name="_Toc13539"/>
      <w:bookmarkStart w:id="525" w:name="_Toc5939"/>
      <w:bookmarkStart w:id="526" w:name="_Toc10219"/>
      <w:bookmarkStart w:id="527" w:name="_Toc9861"/>
      <w:r>
        <w:rPr>
          <w:rFonts w:hint="eastAsia" w:ascii="宋体" w:hAnsi="宋体" w:eastAsia="宋体" w:cs="宋体"/>
          <w:b/>
          <w:bCs/>
          <w:color w:val="auto"/>
          <w:sz w:val="28"/>
          <w:szCs w:val="28"/>
          <w:lang w:eastAsia="zh-CN"/>
        </w:rPr>
        <w:t>3　监理人</w:t>
      </w:r>
      <w:bookmarkEnd w:id="524"/>
      <w:bookmarkEnd w:id="525"/>
      <w:bookmarkEnd w:id="526"/>
      <w:bookmarkEnd w:id="527"/>
    </w:p>
    <w:p w14:paraId="19A6744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28" w:name="bookmark689"/>
      <w:bookmarkEnd w:id="528"/>
      <w:r>
        <w:rPr>
          <w:rFonts w:hint="eastAsia" w:ascii="宋体" w:hAnsi="宋体" w:eastAsia="宋体" w:cs="宋体"/>
          <w:b/>
          <w:bCs/>
          <w:color w:val="auto"/>
          <w:sz w:val="24"/>
          <w:szCs w:val="24"/>
          <w:lang w:eastAsia="zh-CN"/>
        </w:rPr>
        <w:t>3.1　监理人的职责和权力</w:t>
      </w:r>
    </w:p>
    <w:p w14:paraId="21C6B7D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3.1.1　</w:t>
      </w:r>
      <w:r>
        <w:rPr>
          <w:rFonts w:hint="eastAsia" w:ascii="宋体" w:hAnsi="宋体" w:eastAsia="宋体" w:cs="宋体"/>
          <w:color w:val="auto"/>
          <w:sz w:val="24"/>
          <w:szCs w:val="24"/>
          <w:lang w:eastAsia="zh-CN"/>
        </w:rPr>
        <w:t>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5F882905">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3.1.2　</w:t>
      </w:r>
      <w:r>
        <w:rPr>
          <w:rFonts w:hint="eastAsia" w:ascii="宋体" w:hAnsi="宋体" w:eastAsia="宋体" w:cs="宋体"/>
          <w:color w:val="auto"/>
          <w:sz w:val="24"/>
          <w:szCs w:val="24"/>
          <w:lang w:eastAsia="zh-CN"/>
        </w:rPr>
        <w:t>监理人发出的任何指示应视为已得到发包人的批准，但监理人无权免除或变更合同约定的发包人和承包人的权利、义务和责任。</w:t>
      </w:r>
    </w:p>
    <w:p w14:paraId="059A843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3.1.3　</w:t>
      </w:r>
      <w:r>
        <w:rPr>
          <w:rFonts w:hint="eastAsia" w:ascii="宋体" w:hAnsi="宋体" w:eastAsia="宋体" w:cs="宋体"/>
          <w:color w:val="auto"/>
          <w:sz w:val="24"/>
          <w:szCs w:val="24"/>
          <w:lang w:eastAsia="zh-CN"/>
        </w:rPr>
        <w:t>合同约定应由承包人承担的义务和责任，不因监理人对承包人提交文件的审查或批准，对工程、材料和设备的检查和检验，以及为实施监理作出的指示等职务行为而减轻或解除。</w:t>
      </w:r>
    </w:p>
    <w:p w14:paraId="13CE7B2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29" w:name="bookmark167"/>
      <w:bookmarkEnd w:id="529"/>
      <w:r>
        <w:rPr>
          <w:rFonts w:hint="eastAsia" w:ascii="宋体" w:hAnsi="宋体" w:eastAsia="宋体" w:cs="宋体"/>
          <w:b/>
          <w:bCs/>
          <w:color w:val="auto"/>
          <w:sz w:val="24"/>
          <w:szCs w:val="24"/>
          <w:lang w:eastAsia="zh-CN"/>
        </w:rPr>
        <w:t>3.2　总监理工程师</w:t>
      </w:r>
    </w:p>
    <w:p w14:paraId="7356A2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发包人应在发出开工通知前将总监理工程师的任命通知承包人。总监理工程师更换时，应在调离14天前通知承包人。总监理工程师短期离开施工场地的，应委派代表代行其职责，并通知承包人。</w:t>
      </w:r>
    </w:p>
    <w:p w14:paraId="5DAC23E2">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30" w:name="bookmark168"/>
      <w:bookmarkEnd w:id="530"/>
      <w:r>
        <w:rPr>
          <w:rFonts w:hint="eastAsia" w:ascii="宋体" w:hAnsi="宋体" w:eastAsia="宋体" w:cs="宋体"/>
          <w:b/>
          <w:bCs/>
          <w:color w:val="auto"/>
          <w:sz w:val="24"/>
          <w:szCs w:val="24"/>
          <w:lang w:eastAsia="zh-CN"/>
        </w:rPr>
        <w:t>3.3　监理人员</w:t>
      </w:r>
    </w:p>
    <w:p w14:paraId="2FE98F5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3.3.1　</w:t>
      </w:r>
      <w:r>
        <w:rPr>
          <w:rFonts w:hint="eastAsia" w:ascii="宋体" w:hAnsi="宋体" w:eastAsia="宋体" w:cs="宋体"/>
          <w:color w:val="auto"/>
          <w:sz w:val="24"/>
          <w:szCs w:val="24"/>
          <w:lang w:eastAsia="zh-CN"/>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2E2BAD5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3.3.2　</w:t>
      </w:r>
      <w:r>
        <w:rPr>
          <w:rFonts w:hint="eastAsia" w:ascii="宋体" w:hAnsi="宋体" w:eastAsia="宋体" w:cs="宋体"/>
          <w:color w:val="auto"/>
          <w:sz w:val="24"/>
          <w:szCs w:val="24"/>
          <w:lang w:eastAsia="zh-CN"/>
        </w:rPr>
        <w:t>监理人员对承包人的任何工作、工程或其采用的材料和工程设备未在约定的或合理的期限内提出否定意见的，视为已获批准，但不影响监理人在以后拒绝该项工作、工程、材料或工程设备的权利。</w:t>
      </w:r>
    </w:p>
    <w:p w14:paraId="5CA645D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3.3.3　</w:t>
      </w:r>
      <w:r>
        <w:rPr>
          <w:rFonts w:hint="eastAsia" w:ascii="宋体" w:hAnsi="宋体" w:eastAsia="宋体" w:cs="宋体"/>
          <w:color w:val="auto"/>
          <w:sz w:val="24"/>
          <w:szCs w:val="24"/>
          <w:lang w:eastAsia="zh-CN"/>
        </w:rPr>
        <w:t>承包人对总监理工程师授权的监理人员发出的指示有疑问的，可向总监理工程师提出书面异议，总监理工程师应在48小时内对该指示予以确认、更改或撤销。</w:t>
      </w:r>
    </w:p>
    <w:p w14:paraId="71D305E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3.3.4　</w:t>
      </w:r>
      <w:r>
        <w:rPr>
          <w:rFonts w:hint="eastAsia" w:ascii="宋体" w:hAnsi="宋体" w:eastAsia="宋体" w:cs="宋体"/>
          <w:color w:val="auto"/>
          <w:sz w:val="24"/>
          <w:szCs w:val="24"/>
          <w:lang w:eastAsia="zh-CN"/>
        </w:rPr>
        <w:t>除专用合同条款另有约定外，总监理工程师不应将第3.5款约定应由总监理工程师作出确定的权力授权或委托给其他监理人员。</w:t>
      </w:r>
    </w:p>
    <w:p w14:paraId="479647DC">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31" w:name="bookmark169"/>
      <w:bookmarkEnd w:id="531"/>
      <w:r>
        <w:rPr>
          <w:rFonts w:hint="eastAsia" w:ascii="宋体" w:hAnsi="宋体" w:eastAsia="宋体" w:cs="宋体"/>
          <w:b/>
          <w:bCs/>
          <w:color w:val="auto"/>
          <w:sz w:val="24"/>
          <w:szCs w:val="24"/>
          <w:lang w:eastAsia="zh-CN"/>
        </w:rPr>
        <w:t>3.4　监理人的指示</w:t>
      </w:r>
    </w:p>
    <w:p w14:paraId="6B4F8DC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3.4.1　</w:t>
      </w:r>
      <w:r>
        <w:rPr>
          <w:rFonts w:hint="eastAsia" w:ascii="宋体" w:hAnsi="宋体" w:eastAsia="宋体" w:cs="宋体"/>
          <w:color w:val="auto"/>
          <w:sz w:val="24"/>
          <w:szCs w:val="24"/>
          <w:lang w:eastAsia="zh-CN"/>
        </w:rPr>
        <w:t>监理人应按第3.1款的约定向承包人发出指示，监理人的指示应盖有监理人授权的施工场地机构章，并由总监理工程师或总监理工程师按第3.3.1项约定授权的监理人员签字。</w:t>
      </w:r>
    </w:p>
    <w:p w14:paraId="65FED06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3.4.2　</w:t>
      </w:r>
      <w:r>
        <w:rPr>
          <w:rFonts w:hint="eastAsia" w:ascii="宋体" w:hAnsi="宋体" w:eastAsia="宋体" w:cs="宋体"/>
          <w:color w:val="auto"/>
          <w:sz w:val="24"/>
          <w:szCs w:val="24"/>
          <w:lang w:eastAsia="zh-CN"/>
        </w:rPr>
        <w:t>承包人收到监理人按第3.4.1项作出的指示后应遵照执行。指示构成变更的，应按第15条处理。</w:t>
      </w:r>
    </w:p>
    <w:p w14:paraId="7B8CDEF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3.4.3　</w:t>
      </w:r>
      <w:r>
        <w:rPr>
          <w:rFonts w:hint="eastAsia" w:ascii="宋体" w:hAnsi="宋体" w:eastAsia="宋体" w:cs="宋体"/>
          <w:color w:val="auto"/>
          <w:sz w:val="24"/>
          <w:szCs w:val="24"/>
          <w:lang w:eastAsia="zh-CN"/>
        </w:rPr>
        <w:t>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653BA9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3.4.4　</w:t>
      </w:r>
      <w:r>
        <w:rPr>
          <w:rFonts w:hint="eastAsia" w:ascii="宋体" w:hAnsi="宋体" w:eastAsia="宋体" w:cs="宋体"/>
          <w:color w:val="auto"/>
          <w:sz w:val="24"/>
          <w:szCs w:val="24"/>
          <w:lang w:eastAsia="zh-CN"/>
        </w:rPr>
        <w:t>除合同另有约定外，承包人只从总监理工程师或按第3.3.1项被授权的监理人员处取得指示。</w:t>
      </w:r>
    </w:p>
    <w:p w14:paraId="352A510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3.4.5　</w:t>
      </w:r>
      <w:r>
        <w:rPr>
          <w:rFonts w:hint="eastAsia" w:ascii="宋体" w:hAnsi="宋体" w:eastAsia="宋体" w:cs="宋体"/>
          <w:color w:val="auto"/>
          <w:sz w:val="24"/>
          <w:szCs w:val="24"/>
          <w:lang w:eastAsia="zh-CN"/>
        </w:rPr>
        <w:t>由于监理人未能按合同约定发出指示、指示延误或指示错误而导致承包人费用增加和（或）工期延误的，由发包人承担赔偿责任。</w:t>
      </w:r>
    </w:p>
    <w:p w14:paraId="3373646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32" w:name="bookmark170"/>
      <w:bookmarkEnd w:id="532"/>
      <w:r>
        <w:rPr>
          <w:rFonts w:hint="eastAsia" w:ascii="宋体" w:hAnsi="宋体" w:eastAsia="宋体" w:cs="宋体"/>
          <w:b/>
          <w:bCs/>
          <w:color w:val="auto"/>
          <w:sz w:val="24"/>
          <w:szCs w:val="24"/>
          <w:lang w:eastAsia="zh-CN"/>
        </w:rPr>
        <w:t>3.5　商定或确定</w:t>
      </w:r>
    </w:p>
    <w:p w14:paraId="6CDF2AEA">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3.5.1　</w:t>
      </w:r>
      <w:r>
        <w:rPr>
          <w:rFonts w:hint="eastAsia" w:ascii="宋体" w:hAnsi="宋体" w:eastAsia="宋体" w:cs="宋体"/>
          <w:color w:val="auto"/>
          <w:sz w:val="24"/>
          <w:szCs w:val="24"/>
          <w:lang w:eastAsia="zh-CN"/>
        </w:rPr>
        <w:t>合同约定总监理工程师应按照本款对任何事项进行商定或确定时，总监理工程师应与合同当事人协商，尽量达成一致。不能达成一致的，总监理工程师应认真研究后审慎确定。</w:t>
      </w:r>
    </w:p>
    <w:p w14:paraId="487E440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3.5.2　</w:t>
      </w:r>
      <w:r>
        <w:rPr>
          <w:rFonts w:hint="eastAsia" w:ascii="宋体" w:hAnsi="宋体" w:eastAsia="宋体" w:cs="宋体"/>
          <w:color w:val="auto"/>
          <w:sz w:val="24"/>
          <w:szCs w:val="24"/>
          <w:lang w:eastAsia="zh-CN"/>
        </w:rPr>
        <w:t>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2F038A8B">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533" w:name="bookmark171"/>
      <w:bookmarkEnd w:id="533"/>
      <w:bookmarkStart w:id="534" w:name="bookmark172"/>
      <w:bookmarkEnd w:id="534"/>
      <w:bookmarkStart w:id="535" w:name="_Toc24925"/>
      <w:bookmarkStart w:id="536" w:name="_Toc19330"/>
      <w:bookmarkStart w:id="537" w:name="_Toc11466"/>
      <w:bookmarkStart w:id="538" w:name="_Toc14204"/>
      <w:r>
        <w:rPr>
          <w:rFonts w:hint="eastAsia" w:ascii="宋体" w:hAnsi="宋体" w:eastAsia="宋体" w:cs="宋体"/>
          <w:b/>
          <w:bCs/>
          <w:color w:val="auto"/>
          <w:sz w:val="28"/>
          <w:szCs w:val="28"/>
          <w:lang w:eastAsia="zh-CN"/>
        </w:rPr>
        <w:t>4　承包人</w:t>
      </w:r>
      <w:bookmarkEnd w:id="535"/>
      <w:bookmarkEnd w:id="536"/>
      <w:bookmarkEnd w:id="537"/>
      <w:bookmarkEnd w:id="538"/>
    </w:p>
    <w:p w14:paraId="35E6C878">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39" w:name="bookmark690"/>
      <w:bookmarkEnd w:id="539"/>
      <w:r>
        <w:rPr>
          <w:rFonts w:hint="eastAsia" w:ascii="宋体" w:hAnsi="宋体" w:eastAsia="宋体" w:cs="宋体"/>
          <w:b/>
          <w:bCs/>
          <w:color w:val="auto"/>
          <w:sz w:val="24"/>
          <w:szCs w:val="24"/>
          <w:lang w:eastAsia="zh-CN"/>
        </w:rPr>
        <w:t>4.1　承包人的一般义务</w:t>
      </w:r>
    </w:p>
    <w:p w14:paraId="71A5727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4.1.1　</w:t>
      </w:r>
      <w:r>
        <w:rPr>
          <w:rFonts w:hint="eastAsia" w:ascii="宋体" w:hAnsi="宋体" w:eastAsia="宋体" w:cs="宋体"/>
          <w:color w:val="auto"/>
          <w:sz w:val="24"/>
          <w:szCs w:val="24"/>
          <w:lang w:eastAsia="zh-CN"/>
        </w:rPr>
        <w:t>遵守法律</w:t>
      </w:r>
    </w:p>
    <w:p w14:paraId="73262F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承包人在履行合同过程中应遵守法律，并保证发包人免于承担因承包人违反法律而引起的任何责任。</w:t>
      </w:r>
    </w:p>
    <w:p w14:paraId="1B0797F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4.1.2　</w:t>
      </w:r>
      <w:r>
        <w:rPr>
          <w:rFonts w:hint="eastAsia" w:ascii="宋体" w:hAnsi="宋体" w:eastAsia="宋体" w:cs="宋体"/>
          <w:color w:val="auto"/>
          <w:sz w:val="24"/>
          <w:szCs w:val="24"/>
          <w:lang w:eastAsia="zh-CN"/>
        </w:rPr>
        <w:t>依法纳税</w:t>
      </w:r>
    </w:p>
    <w:p w14:paraId="0D5EA9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承包人应按有关法律规定纳税，应缴纳的税金包括在合同价格内。</w:t>
      </w:r>
    </w:p>
    <w:p w14:paraId="038F6B52">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4.1.3　</w:t>
      </w:r>
      <w:r>
        <w:rPr>
          <w:rFonts w:hint="eastAsia" w:ascii="宋体" w:hAnsi="宋体" w:eastAsia="宋体" w:cs="宋体"/>
          <w:color w:val="auto"/>
          <w:sz w:val="24"/>
          <w:szCs w:val="24"/>
          <w:lang w:eastAsia="zh-CN"/>
        </w:rPr>
        <w:t>完成各项承包工作</w:t>
      </w:r>
    </w:p>
    <w:p w14:paraId="3014DA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p>
    <w:p w14:paraId="2B0831B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4.1.4　</w:t>
      </w:r>
      <w:r>
        <w:rPr>
          <w:rFonts w:hint="eastAsia" w:ascii="宋体" w:hAnsi="宋体" w:eastAsia="宋体" w:cs="宋体"/>
          <w:color w:val="auto"/>
          <w:sz w:val="24"/>
          <w:szCs w:val="24"/>
          <w:lang w:eastAsia="zh-CN"/>
        </w:rPr>
        <w:t>对施工作业和施工方法的完备性负责</w:t>
      </w:r>
    </w:p>
    <w:p w14:paraId="7468F1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承包人应按合同约定的工作内容和施工进度要求，编制施工组织设计和施工措施计划，并对所有施工作业和施工方法的完备性和安全可靠性负责。</w:t>
      </w:r>
    </w:p>
    <w:p w14:paraId="78F683A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4.1.5　</w:t>
      </w:r>
      <w:r>
        <w:rPr>
          <w:rFonts w:hint="eastAsia" w:ascii="宋体" w:hAnsi="宋体" w:eastAsia="宋体" w:cs="宋体"/>
          <w:color w:val="auto"/>
          <w:sz w:val="24"/>
          <w:szCs w:val="24"/>
          <w:lang w:eastAsia="zh-CN"/>
        </w:rPr>
        <w:t>保证工程施工和人员的安全</w:t>
      </w:r>
    </w:p>
    <w:p w14:paraId="24259E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承包人应按第9.2款约定采取施工安全措施，确保工程及其人员、材料、设备和设施的安全，防止因工程施工造成的人身伤害和财产损失。</w:t>
      </w:r>
    </w:p>
    <w:p w14:paraId="5248C435">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4.1.6　</w:t>
      </w:r>
      <w:r>
        <w:rPr>
          <w:rFonts w:hint="eastAsia" w:ascii="宋体" w:hAnsi="宋体" w:eastAsia="宋体" w:cs="宋体"/>
          <w:color w:val="auto"/>
          <w:sz w:val="24"/>
          <w:szCs w:val="24"/>
          <w:lang w:eastAsia="zh-CN"/>
        </w:rPr>
        <w:t>负责施工场地及其周边环境与生态的保护工作</w:t>
      </w:r>
    </w:p>
    <w:p w14:paraId="4C9BFA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承包人应按照第9.4款约定负责施工场地及其周边环境与生态的保护工作。</w:t>
      </w:r>
    </w:p>
    <w:p w14:paraId="16E6B54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4.1.7　</w:t>
      </w:r>
      <w:r>
        <w:rPr>
          <w:rFonts w:hint="eastAsia" w:ascii="宋体" w:hAnsi="宋体" w:eastAsia="宋体" w:cs="宋体"/>
          <w:color w:val="auto"/>
          <w:sz w:val="24"/>
          <w:szCs w:val="24"/>
          <w:lang w:eastAsia="zh-CN"/>
        </w:rPr>
        <w:t>避免施工对公众与他人的利益造成损害</w:t>
      </w:r>
    </w:p>
    <w:p w14:paraId="2BC553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C1CDAB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4.1.8　</w:t>
      </w:r>
      <w:r>
        <w:rPr>
          <w:rFonts w:hint="eastAsia" w:ascii="宋体" w:hAnsi="宋体" w:eastAsia="宋体" w:cs="宋体"/>
          <w:color w:val="auto"/>
          <w:sz w:val="24"/>
          <w:szCs w:val="24"/>
          <w:lang w:eastAsia="zh-CN"/>
        </w:rPr>
        <w:t>为他人提供方便</w:t>
      </w:r>
    </w:p>
    <w:p w14:paraId="09FEE7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承包人应按监理人的指示为他人在施工场地或附近实施与工程有关的其他各项工作提供可能的条件。除合同另有约定外，提供有关条件的内容和可能发生的费用，由监理人按第3.5款商定或确定。</w:t>
      </w:r>
    </w:p>
    <w:p w14:paraId="130ECCE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4.1.9　</w:t>
      </w:r>
      <w:r>
        <w:rPr>
          <w:rFonts w:hint="eastAsia" w:ascii="宋体" w:hAnsi="宋体" w:eastAsia="宋体" w:cs="宋体"/>
          <w:color w:val="auto"/>
          <w:sz w:val="24"/>
          <w:szCs w:val="24"/>
          <w:lang w:eastAsia="zh-CN"/>
        </w:rPr>
        <w:t>工程的维护和照管</w:t>
      </w:r>
    </w:p>
    <w:p w14:paraId="39D8A8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47B84E1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4.1.10　</w:t>
      </w:r>
      <w:r>
        <w:rPr>
          <w:rFonts w:hint="eastAsia" w:ascii="宋体" w:hAnsi="宋体" w:eastAsia="宋体" w:cs="宋体"/>
          <w:color w:val="auto"/>
          <w:sz w:val="24"/>
          <w:szCs w:val="24"/>
          <w:lang w:eastAsia="zh-CN"/>
        </w:rPr>
        <w:t>农民工资专用账户</w:t>
      </w:r>
    </w:p>
    <w:p w14:paraId="0497B0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在本工程中，应严格执行国家、浙江省及项目所在地政府有关劳动用工相关法律法规及规定，及时按月足额支付民工工资。承包人应当按照有关规定开设农民工工资专用账户，专项用于支付该工程建设项目农民工工资。开设、使用农民工工资专用账户有关资料应当由承包人妥善保存备查。</w:t>
      </w:r>
    </w:p>
    <w:p w14:paraId="4A686A65">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4.1.11　</w:t>
      </w:r>
      <w:r>
        <w:rPr>
          <w:rFonts w:hint="eastAsia" w:ascii="宋体" w:hAnsi="宋体" w:eastAsia="宋体" w:cs="宋体"/>
          <w:color w:val="auto"/>
          <w:sz w:val="24"/>
          <w:szCs w:val="24"/>
          <w:lang w:eastAsia="zh-CN"/>
        </w:rPr>
        <w:t>其他义务</w:t>
      </w:r>
    </w:p>
    <w:p w14:paraId="22C67E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其他义务在专用合同条款中补充约定。</w:t>
      </w:r>
    </w:p>
    <w:p w14:paraId="33E8597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40" w:name="bookmark173"/>
      <w:bookmarkEnd w:id="540"/>
      <w:r>
        <w:rPr>
          <w:rFonts w:hint="eastAsia" w:ascii="宋体" w:hAnsi="宋体" w:eastAsia="宋体" w:cs="宋体"/>
          <w:b/>
          <w:bCs/>
          <w:color w:val="auto"/>
          <w:sz w:val="24"/>
          <w:szCs w:val="24"/>
          <w:lang w:eastAsia="zh-CN"/>
        </w:rPr>
        <w:t>4.2　履约担保</w:t>
      </w:r>
    </w:p>
    <w:p w14:paraId="73BD0F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承包人应保证其履约担保在合同工程通过完工验收前一直有效。发包人应在合同工程完工验收合格后10天内将履约担保退还给承包人。</w:t>
      </w:r>
    </w:p>
    <w:p w14:paraId="371B03A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41" w:name="bookmark174"/>
      <w:bookmarkEnd w:id="541"/>
      <w:r>
        <w:rPr>
          <w:rFonts w:hint="eastAsia" w:ascii="宋体" w:hAnsi="宋体" w:eastAsia="宋体" w:cs="宋体"/>
          <w:b/>
          <w:bCs/>
          <w:color w:val="auto"/>
          <w:sz w:val="24"/>
          <w:szCs w:val="24"/>
          <w:lang w:eastAsia="zh-CN"/>
        </w:rPr>
        <w:t>4.3　分包</w:t>
      </w:r>
    </w:p>
    <w:p w14:paraId="2267CDB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4.3.1　</w:t>
      </w:r>
      <w:r>
        <w:rPr>
          <w:rFonts w:hint="eastAsia" w:ascii="宋体" w:hAnsi="宋体" w:eastAsia="宋体" w:cs="宋体"/>
          <w:color w:val="auto"/>
          <w:sz w:val="24"/>
          <w:szCs w:val="24"/>
          <w:lang w:eastAsia="zh-CN"/>
        </w:rPr>
        <w:t>承包人不得将其承包的全部工程转包给第三人，或将其承包的全部工程肢解后以分包的名义转包给第三人。</w:t>
      </w:r>
    </w:p>
    <w:p w14:paraId="034B101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4.3.2　</w:t>
      </w:r>
      <w:r>
        <w:rPr>
          <w:rFonts w:hint="eastAsia" w:ascii="宋体" w:hAnsi="宋体" w:eastAsia="宋体" w:cs="宋体"/>
          <w:color w:val="auto"/>
          <w:sz w:val="24"/>
          <w:szCs w:val="24"/>
          <w:lang w:eastAsia="zh-CN"/>
        </w:rPr>
        <w:t>承包人不得将工程主体、关键性工作分包给第三人。除专用合同条款另有约定外，未经发包人同意，承包人不得将工程的其他部分或工作分包给第三人。</w:t>
      </w:r>
    </w:p>
    <w:p w14:paraId="71B40CF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4.3.3　</w:t>
      </w:r>
      <w:r>
        <w:rPr>
          <w:rFonts w:hint="eastAsia" w:ascii="宋体" w:hAnsi="宋体" w:eastAsia="宋体" w:cs="宋体"/>
          <w:color w:val="auto"/>
          <w:sz w:val="24"/>
          <w:szCs w:val="24"/>
          <w:lang w:eastAsia="zh-CN"/>
        </w:rPr>
        <w:t>分包人的资格能力应与其分包工程的标准和规模相适应。</w:t>
      </w:r>
    </w:p>
    <w:p w14:paraId="2361D00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4.3.4　</w:t>
      </w:r>
      <w:r>
        <w:rPr>
          <w:rFonts w:hint="eastAsia" w:ascii="宋体" w:hAnsi="宋体" w:eastAsia="宋体" w:cs="宋体"/>
          <w:color w:val="auto"/>
          <w:sz w:val="24"/>
          <w:szCs w:val="24"/>
          <w:lang w:eastAsia="zh-CN"/>
        </w:rPr>
        <w:t>按投标函附录约定分包工程的，承包人应向发包人和监理人提交分包合同副本。</w:t>
      </w:r>
    </w:p>
    <w:p w14:paraId="7A75550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4.3.5　</w:t>
      </w:r>
      <w:r>
        <w:rPr>
          <w:rFonts w:hint="eastAsia" w:ascii="宋体" w:hAnsi="宋体" w:eastAsia="宋体" w:cs="宋体"/>
          <w:color w:val="auto"/>
          <w:sz w:val="24"/>
          <w:szCs w:val="24"/>
          <w:lang w:eastAsia="zh-CN"/>
        </w:rPr>
        <w:t>承包人应与分包人就分包工程向发包人承担连带责任。</w:t>
      </w:r>
    </w:p>
    <w:p w14:paraId="024B12B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4.3.6　</w:t>
      </w:r>
      <w:r>
        <w:rPr>
          <w:rFonts w:hint="eastAsia" w:ascii="宋体" w:hAnsi="宋体" w:eastAsia="宋体" w:cs="宋体"/>
          <w:color w:val="auto"/>
          <w:sz w:val="24"/>
          <w:szCs w:val="24"/>
          <w:lang w:eastAsia="zh-CN"/>
        </w:rPr>
        <w:t>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151A6415">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4.3.7　</w:t>
      </w:r>
      <w:r>
        <w:rPr>
          <w:rFonts w:hint="eastAsia" w:ascii="宋体" w:hAnsi="宋体" w:eastAsia="宋体" w:cs="宋体"/>
          <w:color w:val="auto"/>
          <w:sz w:val="24"/>
          <w:szCs w:val="24"/>
          <w:lang w:eastAsia="zh-CN"/>
        </w:rPr>
        <w:t>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307E2C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由指定分包人造成的与其分包工作有关的一切索赔、诉讼和损失赔偿由指定分包人直接对发包人负责，承包人不对此承担责任。</w:t>
      </w:r>
    </w:p>
    <w:p w14:paraId="737B6EA5">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4.3.8　</w:t>
      </w:r>
      <w:r>
        <w:rPr>
          <w:rFonts w:hint="eastAsia" w:ascii="宋体" w:hAnsi="宋体" w:eastAsia="宋体" w:cs="宋体"/>
          <w:color w:val="auto"/>
          <w:sz w:val="24"/>
          <w:szCs w:val="24"/>
          <w:lang w:eastAsia="zh-CN"/>
        </w:rPr>
        <w:t>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6150A55A">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4.3.9　</w:t>
      </w:r>
      <w:r>
        <w:rPr>
          <w:rFonts w:hint="eastAsia" w:ascii="宋体" w:hAnsi="宋体" w:eastAsia="宋体" w:cs="宋体"/>
          <w:color w:val="auto"/>
          <w:sz w:val="24"/>
          <w:szCs w:val="24"/>
          <w:lang w:eastAsia="zh-CN"/>
        </w:rPr>
        <w:t>除第4.3.7项规定的指定分包外，承包人对其分包项目的实施以及分包人的行为向发包人负全部责任。承包人应对分包项目的工程进度、质量、安全、计量和验收等实施监督和管理。</w:t>
      </w:r>
    </w:p>
    <w:p w14:paraId="6DE45FC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4.3.10　</w:t>
      </w:r>
      <w:r>
        <w:rPr>
          <w:rFonts w:hint="eastAsia" w:ascii="宋体" w:hAnsi="宋体" w:eastAsia="宋体" w:cs="宋体"/>
          <w:color w:val="auto"/>
          <w:sz w:val="24"/>
          <w:szCs w:val="24"/>
          <w:lang w:eastAsia="zh-CN"/>
        </w:rPr>
        <w:t>分包人应按专用合同条款的约定设立项目管理机构组织管理分包工程的施工活动。</w:t>
      </w:r>
    </w:p>
    <w:p w14:paraId="6D3C7A8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42" w:name="bookmark175"/>
      <w:bookmarkEnd w:id="542"/>
      <w:r>
        <w:rPr>
          <w:rFonts w:hint="eastAsia" w:ascii="宋体" w:hAnsi="宋体" w:eastAsia="宋体" w:cs="宋体"/>
          <w:b/>
          <w:bCs/>
          <w:color w:val="auto"/>
          <w:sz w:val="24"/>
          <w:szCs w:val="24"/>
          <w:lang w:eastAsia="zh-CN"/>
        </w:rPr>
        <w:t>4.4　联合体</w:t>
      </w:r>
    </w:p>
    <w:p w14:paraId="4435E12A">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4.4.1　</w:t>
      </w:r>
      <w:r>
        <w:rPr>
          <w:rFonts w:hint="eastAsia" w:ascii="宋体" w:hAnsi="宋体" w:eastAsia="宋体" w:cs="宋体"/>
          <w:color w:val="auto"/>
          <w:sz w:val="24"/>
          <w:szCs w:val="24"/>
          <w:lang w:eastAsia="zh-CN"/>
        </w:rPr>
        <w:t>联合体各方应共同与发包人签订合同协议书。联合体各方应为履行合同承担连带责任。</w:t>
      </w:r>
    </w:p>
    <w:p w14:paraId="620BEAC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4.4.2　</w:t>
      </w:r>
      <w:r>
        <w:rPr>
          <w:rFonts w:hint="eastAsia" w:ascii="宋体" w:hAnsi="宋体" w:eastAsia="宋体" w:cs="宋体"/>
          <w:color w:val="auto"/>
          <w:sz w:val="24"/>
          <w:szCs w:val="24"/>
          <w:lang w:eastAsia="zh-CN"/>
        </w:rPr>
        <w:t>联合体协议经发包人确认后作为合同附件。在履行合同过程中，未经发包人同意，不得修改联合体协议。</w:t>
      </w:r>
    </w:p>
    <w:p w14:paraId="7E3B1BC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4.4.3　</w:t>
      </w:r>
      <w:r>
        <w:rPr>
          <w:rFonts w:hint="eastAsia" w:ascii="宋体" w:hAnsi="宋体" w:eastAsia="宋体" w:cs="宋体"/>
          <w:color w:val="auto"/>
          <w:sz w:val="24"/>
          <w:szCs w:val="24"/>
          <w:lang w:eastAsia="zh-CN"/>
        </w:rPr>
        <w:t>联合体牵头人负责与发包人和监理人联系，并接受指示，负责组织联合体各成员全面履行合同。</w:t>
      </w:r>
    </w:p>
    <w:p w14:paraId="3CA482D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43" w:name="bookmark176"/>
      <w:bookmarkEnd w:id="543"/>
      <w:r>
        <w:rPr>
          <w:rFonts w:hint="eastAsia" w:ascii="宋体" w:hAnsi="宋体" w:eastAsia="宋体" w:cs="宋体"/>
          <w:b/>
          <w:bCs/>
          <w:color w:val="auto"/>
          <w:sz w:val="24"/>
          <w:szCs w:val="24"/>
          <w:lang w:eastAsia="zh-CN"/>
        </w:rPr>
        <w:t>4.5　承包人项目负责人</w:t>
      </w:r>
      <w:r>
        <w:rPr>
          <w:rFonts w:hint="eastAsia" w:ascii="宋体" w:hAnsi="宋体" w:eastAsia="宋体" w:cs="宋体"/>
          <w:b/>
          <w:bCs/>
          <w:strike/>
          <w:color w:val="auto"/>
          <w:sz w:val="24"/>
          <w:szCs w:val="24"/>
          <w:lang w:eastAsia="zh-CN"/>
        </w:rPr>
        <w:t>、副项目负责人（若有）</w:t>
      </w:r>
    </w:p>
    <w:p w14:paraId="0E3B85B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4.5.1　</w:t>
      </w:r>
      <w:r>
        <w:rPr>
          <w:rFonts w:hint="eastAsia" w:ascii="宋体" w:hAnsi="宋体" w:eastAsia="宋体" w:cs="宋体"/>
          <w:color w:val="auto"/>
          <w:sz w:val="24"/>
          <w:szCs w:val="24"/>
          <w:lang w:eastAsia="zh-CN"/>
        </w:rPr>
        <w:t>承包人应按合同约定指派项目负责人、</w:t>
      </w:r>
      <w:r>
        <w:rPr>
          <w:rFonts w:hint="eastAsia" w:ascii="宋体" w:hAnsi="宋体" w:eastAsia="宋体" w:cs="宋体"/>
          <w:strike/>
          <w:color w:val="auto"/>
          <w:sz w:val="24"/>
          <w:szCs w:val="24"/>
          <w:lang w:eastAsia="zh-CN"/>
        </w:rPr>
        <w:t>副项目负责人</w:t>
      </w:r>
      <w:r>
        <w:rPr>
          <w:rFonts w:hint="eastAsia" w:ascii="宋体" w:hAnsi="宋体" w:eastAsia="宋体" w:cs="宋体"/>
          <w:color w:val="auto"/>
          <w:sz w:val="24"/>
          <w:szCs w:val="24"/>
          <w:lang w:eastAsia="zh-CN"/>
        </w:rPr>
        <w:t>，并在约定的期限内到职。承包人更换项目负责人、</w:t>
      </w:r>
      <w:r>
        <w:rPr>
          <w:rFonts w:hint="eastAsia" w:ascii="宋体" w:hAnsi="宋体" w:eastAsia="宋体" w:cs="宋体"/>
          <w:strike/>
          <w:color w:val="auto"/>
          <w:sz w:val="24"/>
          <w:szCs w:val="24"/>
          <w:lang w:eastAsia="zh-CN"/>
        </w:rPr>
        <w:t>副项目负责人</w:t>
      </w:r>
      <w:r>
        <w:rPr>
          <w:rFonts w:hint="eastAsia" w:ascii="宋体" w:hAnsi="宋体" w:eastAsia="宋体" w:cs="宋体"/>
          <w:color w:val="auto"/>
          <w:sz w:val="24"/>
          <w:szCs w:val="24"/>
          <w:lang w:eastAsia="zh-CN"/>
        </w:rPr>
        <w:t>应事先征得发包人同意，并应在更换14天前通知发包人和监理人。承包人项目负责人、</w:t>
      </w:r>
      <w:r>
        <w:rPr>
          <w:rFonts w:hint="eastAsia" w:ascii="宋体" w:hAnsi="宋体" w:eastAsia="宋体" w:cs="宋体"/>
          <w:strike/>
          <w:color w:val="auto"/>
          <w:sz w:val="24"/>
          <w:szCs w:val="24"/>
          <w:lang w:eastAsia="zh-CN"/>
        </w:rPr>
        <w:t>副项目负责人</w:t>
      </w:r>
      <w:r>
        <w:rPr>
          <w:rFonts w:hint="eastAsia" w:ascii="宋体" w:hAnsi="宋体" w:eastAsia="宋体" w:cs="宋体"/>
          <w:color w:val="auto"/>
          <w:sz w:val="24"/>
          <w:szCs w:val="24"/>
          <w:lang w:eastAsia="zh-CN"/>
        </w:rPr>
        <w:t>短期离开施工场地，应事先征得监理人同意，并委派代表代行其职责。项目负责人、</w:t>
      </w:r>
      <w:r>
        <w:rPr>
          <w:rFonts w:hint="eastAsia" w:ascii="宋体" w:hAnsi="宋体" w:eastAsia="宋体" w:cs="宋体"/>
          <w:strike/>
          <w:color w:val="auto"/>
          <w:sz w:val="24"/>
          <w:szCs w:val="24"/>
          <w:lang w:eastAsia="zh-CN"/>
        </w:rPr>
        <w:t>副项目负责人</w:t>
      </w:r>
      <w:r>
        <w:rPr>
          <w:rFonts w:hint="eastAsia" w:ascii="宋体" w:hAnsi="宋体" w:eastAsia="宋体" w:cs="宋体"/>
          <w:color w:val="auto"/>
          <w:sz w:val="24"/>
          <w:szCs w:val="24"/>
          <w:lang w:eastAsia="zh-CN"/>
        </w:rPr>
        <w:t>不得同时离开施工场地。</w:t>
      </w:r>
    </w:p>
    <w:p w14:paraId="1C846AC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4.5.2　</w:t>
      </w:r>
      <w:r>
        <w:rPr>
          <w:rFonts w:hint="eastAsia" w:ascii="宋体" w:hAnsi="宋体" w:eastAsia="宋体" w:cs="宋体"/>
          <w:color w:val="auto"/>
          <w:sz w:val="24"/>
          <w:szCs w:val="24"/>
          <w:lang w:eastAsia="zh-CN"/>
        </w:rPr>
        <w:t>承包人项目负责人应按合同约定以及监理人按第3.4款作出的指示，负责组织合同工程的实施。在情况紧急且无法与监理人取得联系时，可采取保证工程和人员生命财产安令的紧急措施，并在采取措施后24小时内向监理人提交书面报告。</w:t>
      </w:r>
    </w:p>
    <w:p w14:paraId="1F015D3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4.5.3　</w:t>
      </w:r>
      <w:r>
        <w:rPr>
          <w:rFonts w:hint="eastAsia" w:ascii="宋体" w:hAnsi="宋体" w:eastAsia="宋体" w:cs="宋体"/>
          <w:color w:val="auto"/>
          <w:sz w:val="24"/>
          <w:szCs w:val="24"/>
          <w:lang w:eastAsia="zh-CN"/>
        </w:rPr>
        <w:t>承包人为履行合同发出的一切函件均应盖有承包人授权的施工场地管理机构章，并由承包人项目负责人或其授权代表签字。</w:t>
      </w:r>
    </w:p>
    <w:p w14:paraId="1260CEC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4.5.4　</w:t>
      </w:r>
      <w:r>
        <w:rPr>
          <w:rFonts w:hint="eastAsia" w:ascii="宋体" w:hAnsi="宋体" w:eastAsia="宋体" w:cs="宋体"/>
          <w:color w:val="auto"/>
          <w:sz w:val="24"/>
          <w:szCs w:val="24"/>
          <w:lang w:eastAsia="zh-CN"/>
        </w:rPr>
        <w:t>承包人项目负责人可以授权其下属人员履行其某项职责，但事先应将这些人员的姓名和授权范围通知监理人。</w:t>
      </w:r>
    </w:p>
    <w:p w14:paraId="26EAA2E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44" w:name="bookmark177"/>
      <w:bookmarkEnd w:id="544"/>
      <w:r>
        <w:rPr>
          <w:rFonts w:hint="eastAsia" w:ascii="宋体" w:hAnsi="宋体" w:eastAsia="宋体" w:cs="宋体"/>
          <w:b/>
          <w:bCs/>
          <w:color w:val="auto"/>
          <w:sz w:val="24"/>
          <w:szCs w:val="24"/>
          <w:lang w:eastAsia="zh-CN"/>
        </w:rPr>
        <w:t>4.6　承包人人员的管理</w:t>
      </w:r>
    </w:p>
    <w:p w14:paraId="1278719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4.6.1　</w:t>
      </w:r>
      <w:r>
        <w:rPr>
          <w:rFonts w:hint="eastAsia" w:ascii="宋体" w:hAnsi="宋体" w:eastAsia="宋体" w:cs="宋体"/>
          <w:color w:val="auto"/>
          <w:sz w:val="24"/>
          <w:szCs w:val="24"/>
          <w:lang w:eastAsia="zh-CN"/>
        </w:rPr>
        <w:t>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31AAFA3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4.6.2　</w:t>
      </w:r>
      <w:r>
        <w:rPr>
          <w:rFonts w:hint="eastAsia" w:ascii="宋体" w:hAnsi="宋体" w:eastAsia="宋体" w:cs="宋体"/>
          <w:color w:val="auto"/>
          <w:sz w:val="24"/>
          <w:szCs w:val="24"/>
          <w:lang w:eastAsia="zh-CN"/>
        </w:rPr>
        <w:t>为完成合同约定的各项工作，承包人应向施工场地派遣或雇佣足够数量的下列人员：</w:t>
      </w:r>
    </w:p>
    <w:p w14:paraId="074CC3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（1）具有相应资格的专业技工和合格的普工。</w:t>
      </w:r>
    </w:p>
    <w:p w14:paraId="26FD8A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（2）具有相应施工经验的技术人员。</w:t>
      </w:r>
    </w:p>
    <w:p w14:paraId="67B9A7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（3）具有相应岗位资格的各级管理人员。</w:t>
      </w:r>
    </w:p>
    <w:p w14:paraId="586B30D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4.6.3　</w:t>
      </w:r>
      <w:r>
        <w:rPr>
          <w:rFonts w:hint="eastAsia" w:ascii="宋体" w:hAnsi="宋体" w:eastAsia="宋体" w:cs="宋体"/>
          <w:color w:val="auto"/>
          <w:sz w:val="24"/>
          <w:szCs w:val="24"/>
          <w:lang w:eastAsia="zh-CN"/>
        </w:rPr>
        <w:t>承包人安排在施工场地的主要管理人员和技术骨干应相对稳定。承包人更换主要管理人员和技术骨干时，应取得监理人的同意。</w:t>
      </w:r>
    </w:p>
    <w:p w14:paraId="233DA5D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4.6.4　</w:t>
      </w:r>
      <w:r>
        <w:rPr>
          <w:rFonts w:hint="eastAsia" w:ascii="宋体" w:hAnsi="宋体" w:eastAsia="宋体" w:cs="宋体"/>
          <w:color w:val="auto"/>
          <w:sz w:val="24"/>
          <w:szCs w:val="24"/>
          <w:lang w:eastAsia="zh-CN"/>
        </w:rPr>
        <w:t>特殊岗位的工作人员均应持有相应的资格证明，监理人有权随时检查。监理人认为有必要时，可进行现场考核。</w:t>
      </w:r>
    </w:p>
    <w:p w14:paraId="0F0FD4A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45" w:name="bookmark178"/>
      <w:bookmarkEnd w:id="545"/>
      <w:r>
        <w:rPr>
          <w:rFonts w:hint="eastAsia" w:ascii="宋体" w:hAnsi="宋体" w:eastAsia="宋体" w:cs="宋体"/>
          <w:b/>
          <w:bCs/>
          <w:color w:val="auto"/>
          <w:sz w:val="24"/>
          <w:szCs w:val="24"/>
          <w:lang w:eastAsia="zh-CN"/>
        </w:rPr>
        <w:t>4.7　撤换承包人项目负责人和其他人员</w:t>
      </w:r>
    </w:p>
    <w:p w14:paraId="6D5D5F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承包人应对其项目负责人和其他人员进行有效管理。监理人要求撤换不能胜任本职工作、行为不端或玩忽职守的承包人项目负责人和其他人员的，承包人应予以撤换。</w:t>
      </w:r>
    </w:p>
    <w:p w14:paraId="3225E674">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46" w:name="bookmark179"/>
      <w:bookmarkEnd w:id="546"/>
      <w:r>
        <w:rPr>
          <w:rFonts w:hint="eastAsia" w:ascii="宋体" w:hAnsi="宋体" w:eastAsia="宋体" w:cs="宋体"/>
          <w:b/>
          <w:bCs/>
          <w:color w:val="auto"/>
          <w:sz w:val="24"/>
          <w:szCs w:val="24"/>
          <w:lang w:eastAsia="zh-CN"/>
        </w:rPr>
        <w:t>4.8　保障承包人人员的合法权益</w:t>
      </w:r>
    </w:p>
    <w:p w14:paraId="7306BD1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4.8.1　</w:t>
      </w:r>
      <w:r>
        <w:rPr>
          <w:rFonts w:hint="eastAsia" w:ascii="宋体" w:hAnsi="宋体" w:eastAsia="宋体" w:cs="宋体"/>
          <w:color w:val="auto"/>
          <w:sz w:val="24"/>
          <w:szCs w:val="24"/>
          <w:lang w:eastAsia="zh-CN"/>
        </w:rPr>
        <w:t>承包人应与其雇佣的人员签订劳动合同，并按时发放工资。</w:t>
      </w:r>
    </w:p>
    <w:p w14:paraId="64910A1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4.8.2　</w:t>
      </w:r>
      <w:r>
        <w:rPr>
          <w:rFonts w:hint="eastAsia" w:ascii="宋体" w:hAnsi="宋体" w:eastAsia="宋体" w:cs="宋体"/>
          <w:color w:val="auto"/>
          <w:sz w:val="24"/>
          <w:szCs w:val="24"/>
          <w:lang w:eastAsia="zh-CN"/>
        </w:rPr>
        <w:t>承包人应按劳动法的规定安排工作时间，保证其雇佣人员享有休息和休假的权利。因工程施工的特殊需要占用休假日或延长工作时间的，应不超过法律规定的限度，并按法律规定给予补休或付酬。</w:t>
      </w:r>
    </w:p>
    <w:p w14:paraId="2B3D4CE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4.8.3　</w:t>
      </w:r>
      <w:r>
        <w:rPr>
          <w:rFonts w:hint="eastAsia" w:ascii="宋体" w:hAnsi="宋体" w:eastAsia="宋体" w:cs="宋体"/>
          <w:color w:val="auto"/>
          <w:sz w:val="24"/>
          <w:szCs w:val="24"/>
          <w:lang w:eastAsia="zh-CN"/>
        </w:rPr>
        <w:t>承包人应为其雇佣人员提供必要的食宿条件，以及符合环境保护和卫生要求的生活环境，在远离城镇的施工场地，还应配备必要的伤病防治和急救的医务人员与医疗设施。</w:t>
      </w:r>
    </w:p>
    <w:p w14:paraId="69BC225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4.8.4　</w:t>
      </w:r>
      <w:r>
        <w:rPr>
          <w:rFonts w:hint="eastAsia" w:ascii="宋体" w:hAnsi="宋体" w:eastAsia="宋体" w:cs="宋体"/>
          <w:color w:val="auto"/>
          <w:sz w:val="24"/>
          <w:szCs w:val="24"/>
          <w:lang w:eastAsia="zh-CN"/>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717F51E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4.8.5　</w:t>
      </w:r>
      <w:r>
        <w:rPr>
          <w:rFonts w:hint="eastAsia" w:ascii="宋体" w:hAnsi="宋体" w:eastAsia="宋体" w:cs="宋体"/>
          <w:color w:val="auto"/>
          <w:sz w:val="24"/>
          <w:szCs w:val="24"/>
          <w:lang w:eastAsia="zh-CN"/>
        </w:rPr>
        <w:t>承包人应按有关法律规定和合同约定，为其雇佣人员办理保险。</w:t>
      </w:r>
    </w:p>
    <w:p w14:paraId="3C76F2E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4.8.6　</w:t>
      </w:r>
      <w:r>
        <w:rPr>
          <w:rFonts w:hint="eastAsia" w:ascii="宋体" w:hAnsi="宋体" w:eastAsia="宋体" w:cs="宋体"/>
          <w:color w:val="auto"/>
          <w:sz w:val="24"/>
          <w:szCs w:val="24"/>
          <w:lang w:eastAsia="zh-CN"/>
        </w:rPr>
        <w:t>承包人应负责处理其雇佣人员因工伤亡事故的善后事宜。</w:t>
      </w:r>
    </w:p>
    <w:p w14:paraId="3A5045E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47" w:name="bookmark180"/>
      <w:bookmarkEnd w:id="547"/>
      <w:r>
        <w:rPr>
          <w:rFonts w:hint="eastAsia" w:ascii="宋体" w:hAnsi="宋体" w:eastAsia="宋体" w:cs="宋体"/>
          <w:b/>
          <w:bCs/>
          <w:color w:val="auto"/>
          <w:sz w:val="24"/>
          <w:szCs w:val="24"/>
          <w:lang w:eastAsia="zh-CN"/>
        </w:rPr>
        <w:t>4.9　工程价款应专款专用</w:t>
      </w:r>
    </w:p>
    <w:p w14:paraId="34978B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发包人按合同约定支付给承包人的各项价款应专用于合同工程。</w:t>
      </w:r>
    </w:p>
    <w:p w14:paraId="34BDAE5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48" w:name="bookmark181"/>
      <w:bookmarkEnd w:id="548"/>
      <w:r>
        <w:rPr>
          <w:rFonts w:hint="eastAsia" w:ascii="宋体" w:hAnsi="宋体" w:eastAsia="宋体" w:cs="宋体"/>
          <w:b/>
          <w:bCs/>
          <w:color w:val="auto"/>
          <w:sz w:val="24"/>
          <w:szCs w:val="24"/>
          <w:lang w:eastAsia="zh-CN"/>
        </w:rPr>
        <w:t>4.10　承包人现场查勘</w:t>
      </w:r>
    </w:p>
    <w:p w14:paraId="6BD6F44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4.10.1　</w:t>
      </w:r>
      <w:r>
        <w:rPr>
          <w:rFonts w:hint="eastAsia" w:ascii="宋体" w:hAnsi="宋体" w:eastAsia="宋体" w:cs="宋体"/>
          <w:color w:val="auto"/>
          <w:sz w:val="24"/>
          <w:szCs w:val="24"/>
          <w:lang w:eastAsia="zh-CN"/>
        </w:rPr>
        <w:t>发包人应将其持有的现场地质勘探资料、水文气象资料提供给承包人，并对其准确性负责。但承包人应对其阅读上述有关资料后所作出的解释和推断负责。</w:t>
      </w:r>
    </w:p>
    <w:p w14:paraId="3067625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4.10.2　</w:t>
      </w:r>
      <w:r>
        <w:rPr>
          <w:rFonts w:hint="eastAsia" w:ascii="宋体" w:hAnsi="宋体" w:eastAsia="宋体" w:cs="宋体"/>
          <w:color w:val="auto"/>
          <w:sz w:val="24"/>
          <w:szCs w:val="24"/>
          <w:lang w:eastAsia="zh-CN"/>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933EC1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49" w:name="bookmark182"/>
      <w:bookmarkEnd w:id="549"/>
      <w:r>
        <w:rPr>
          <w:rFonts w:hint="eastAsia" w:ascii="宋体" w:hAnsi="宋体" w:eastAsia="宋体" w:cs="宋体"/>
          <w:b/>
          <w:bCs/>
          <w:color w:val="auto"/>
          <w:sz w:val="24"/>
          <w:szCs w:val="24"/>
          <w:lang w:eastAsia="zh-CN"/>
        </w:rPr>
        <w:t>4.11　不利物质条件</w:t>
      </w:r>
    </w:p>
    <w:p w14:paraId="27F4CAF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4.11.1　</w:t>
      </w:r>
      <w:r>
        <w:rPr>
          <w:rFonts w:hint="eastAsia" w:ascii="宋体" w:hAnsi="宋体" w:eastAsia="宋体" w:cs="宋体"/>
          <w:color w:val="auto"/>
          <w:sz w:val="24"/>
          <w:szCs w:val="24"/>
          <w:lang w:eastAsia="zh-CN"/>
        </w:rPr>
        <w:t>除专用合同条款另有约定外，不利物质条件是指在施工中遭遇不可预见的外界障碍或自然条件造成施工受阻。</w:t>
      </w:r>
    </w:p>
    <w:p w14:paraId="751BC17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4.11.2　</w:t>
      </w:r>
      <w:r>
        <w:rPr>
          <w:rFonts w:hint="eastAsia" w:ascii="宋体" w:hAnsi="宋体" w:eastAsia="宋体" w:cs="宋体"/>
          <w:color w:val="auto"/>
          <w:sz w:val="24"/>
          <w:szCs w:val="24"/>
          <w:lang w:eastAsia="zh-CN"/>
        </w:rPr>
        <w:t>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44DAF576">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550" w:name="bookmark184"/>
      <w:bookmarkEnd w:id="550"/>
      <w:bookmarkStart w:id="551" w:name="bookmark183"/>
      <w:bookmarkEnd w:id="551"/>
      <w:bookmarkStart w:id="552" w:name="_Toc31199"/>
      <w:bookmarkStart w:id="553" w:name="_Toc9519"/>
      <w:bookmarkStart w:id="554" w:name="_Toc9291"/>
      <w:bookmarkStart w:id="555" w:name="_Toc24144"/>
      <w:r>
        <w:rPr>
          <w:rFonts w:hint="eastAsia" w:ascii="宋体" w:hAnsi="宋体" w:eastAsia="宋体" w:cs="宋体"/>
          <w:b/>
          <w:bCs/>
          <w:color w:val="auto"/>
          <w:sz w:val="28"/>
          <w:szCs w:val="28"/>
          <w:lang w:eastAsia="zh-CN"/>
        </w:rPr>
        <w:t>5　材料和工程设备</w:t>
      </w:r>
      <w:bookmarkEnd w:id="552"/>
      <w:bookmarkEnd w:id="553"/>
      <w:bookmarkEnd w:id="554"/>
      <w:bookmarkEnd w:id="555"/>
    </w:p>
    <w:p w14:paraId="1F077EE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56" w:name="bookmark691"/>
      <w:bookmarkEnd w:id="556"/>
      <w:r>
        <w:rPr>
          <w:rFonts w:hint="eastAsia" w:ascii="宋体" w:hAnsi="宋体" w:eastAsia="宋体" w:cs="宋体"/>
          <w:b/>
          <w:bCs/>
          <w:color w:val="auto"/>
          <w:sz w:val="24"/>
          <w:szCs w:val="24"/>
          <w:lang w:eastAsia="zh-CN"/>
        </w:rPr>
        <w:t>5.1　承包人提供的材料和工程设备</w:t>
      </w:r>
    </w:p>
    <w:p w14:paraId="7D9CC90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5.1.1　</w:t>
      </w:r>
      <w:r>
        <w:rPr>
          <w:rFonts w:hint="eastAsia" w:ascii="宋体" w:hAnsi="宋体" w:eastAsia="宋体" w:cs="宋体"/>
          <w:color w:val="auto"/>
          <w:sz w:val="24"/>
          <w:szCs w:val="24"/>
          <w:lang w:eastAsia="zh-CN"/>
        </w:rPr>
        <w:t>除第5.2款约定由发包人提供的材料和工程设备外，承包人负责采购、运输和保管完成本合同工作所需的材料和工程设备。承包人应对其采购的材料和工程设备负责。</w:t>
      </w:r>
    </w:p>
    <w:p w14:paraId="02D9BCB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5.1.2　</w:t>
      </w:r>
      <w:r>
        <w:rPr>
          <w:rFonts w:hint="eastAsia" w:ascii="宋体" w:hAnsi="宋体" w:eastAsia="宋体" w:cs="宋体"/>
          <w:color w:val="auto"/>
          <w:sz w:val="24"/>
          <w:szCs w:val="24"/>
          <w:lang w:eastAsia="zh-CN"/>
        </w:rPr>
        <w:t>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762A3702">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5.1.3　</w:t>
      </w:r>
      <w:r>
        <w:rPr>
          <w:rFonts w:hint="eastAsia" w:ascii="宋体" w:hAnsi="宋体" w:eastAsia="宋体" w:cs="宋体"/>
          <w:color w:val="auto"/>
          <w:sz w:val="24"/>
          <w:szCs w:val="24"/>
          <w:lang w:eastAsia="zh-CN"/>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4C8D493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57" w:name="bookmark185"/>
      <w:bookmarkEnd w:id="557"/>
      <w:r>
        <w:rPr>
          <w:rFonts w:hint="eastAsia" w:ascii="宋体" w:hAnsi="宋体" w:eastAsia="宋体" w:cs="宋体"/>
          <w:b/>
          <w:bCs/>
          <w:color w:val="auto"/>
          <w:sz w:val="24"/>
          <w:szCs w:val="24"/>
          <w:lang w:eastAsia="zh-CN"/>
        </w:rPr>
        <w:t>5.2　发包人提供的材料和工程设备</w:t>
      </w:r>
    </w:p>
    <w:p w14:paraId="633E3C0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5.2.1　</w:t>
      </w:r>
      <w:r>
        <w:rPr>
          <w:rFonts w:hint="eastAsia" w:ascii="宋体" w:hAnsi="宋体" w:eastAsia="宋体" w:cs="宋体"/>
          <w:color w:val="auto"/>
          <w:sz w:val="24"/>
          <w:szCs w:val="24"/>
          <w:lang w:eastAsia="zh-CN"/>
        </w:rPr>
        <w:t>发包人提供的材料和工程设备，应在专用合同条款中写明材料和工程设备的名称、规格、数量、价格、交货方式、交货地点和计划交货日期等。</w:t>
      </w:r>
    </w:p>
    <w:p w14:paraId="65911D0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5.2.2　</w:t>
      </w:r>
      <w:r>
        <w:rPr>
          <w:rFonts w:hint="eastAsia" w:ascii="宋体" w:hAnsi="宋体" w:eastAsia="宋体" w:cs="宋体"/>
          <w:color w:val="auto"/>
          <w:sz w:val="24"/>
          <w:szCs w:val="24"/>
          <w:lang w:eastAsia="zh-CN"/>
        </w:rPr>
        <w:t>承包人应根据合同进度计划的安排，向监理人报送要求发包人交货的日期计划。发包人应按照监理人与合同双方当事人商定的交货日期，向承包人提交材料和工程设备。</w:t>
      </w:r>
    </w:p>
    <w:p w14:paraId="0B144D0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5.2.3　</w:t>
      </w:r>
      <w:r>
        <w:rPr>
          <w:rFonts w:hint="eastAsia" w:ascii="宋体" w:hAnsi="宋体" w:eastAsia="宋体" w:cs="宋体"/>
          <w:color w:val="auto"/>
          <w:sz w:val="24"/>
          <w:szCs w:val="24"/>
          <w:lang w:eastAsia="zh-CN"/>
        </w:rPr>
        <w:t>发包人应在材料和工程设备到货7天前通知承包人，承包人应会同监理人在约定的时间内，赴交货地点共同进行验收。发包人提供的材料和工程设备运至交货地点验收后，由承包人负责接收、卸货、运输和保管。</w:t>
      </w:r>
    </w:p>
    <w:p w14:paraId="24DB95B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5.2.4　</w:t>
      </w:r>
      <w:r>
        <w:rPr>
          <w:rFonts w:hint="eastAsia" w:ascii="宋体" w:hAnsi="宋体" w:eastAsia="宋体" w:cs="宋体"/>
          <w:color w:val="auto"/>
          <w:sz w:val="24"/>
          <w:szCs w:val="24"/>
          <w:lang w:eastAsia="zh-CN"/>
        </w:rPr>
        <w:t>发包人要求向承包人提前交货的，承包人不得拒绝，但发包人应承担承包人由此增加的费用。</w:t>
      </w:r>
    </w:p>
    <w:p w14:paraId="170BE36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5.2.5　</w:t>
      </w:r>
      <w:r>
        <w:rPr>
          <w:rFonts w:hint="eastAsia" w:ascii="宋体" w:hAnsi="宋体" w:eastAsia="宋体" w:cs="宋体"/>
          <w:color w:val="auto"/>
          <w:sz w:val="24"/>
          <w:szCs w:val="24"/>
          <w:lang w:eastAsia="zh-CN"/>
        </w:rPr>
        <w:t>承包人要求更改交货日期或地点的，应事先报请监理人批准。由于承包人要求更改交货时间或地点所增加的费用和（或）工期延误由承包人承担。</w:t>
      </w:r>
    </w:p>
    <w:p w14:paraId="3E1FB04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5.2.6　</w:t>
      </w:r>
      <w:r>
        <w:rPr>
          <w:rFonts w:hint="eastAsia" w:ascii="宋体" w:hAnsi="宋体" w:eastAsia="宋体" w:cs="宋体"/>
          <w:color w:val="auto"/>
          <w:sz w:val="24"/>
          <w:szCs w:val="24"/>
          <w:lang w:eastAsia="zh-CN"/>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60BB313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58" w:name="bookmark186"/>
      <w:bookmarkEnd w:id="558"/>
      <w:r>
        <w:rPr>
          <w:rFonts w:hint="eastAsia" w:ascii="宋体" w:hAnsi="宋体" w:eastAsia="宋体" w:cs="宋体"/>
          <w:b/>
          <w:bCs/>
          <w:color w:val="auto"/>
          <w:sz w:val="24"/>
          <w:szCs w:val="24"/>
          <w:lang w:eastAsia="zh-CN"/>
        </w:rPr>
        <w:t>5.3　材料和工程设备专用于合同工程</w:t>
      </w:r>
    </w:p>
    <w:p w14:paraId="085B1FF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5.3.1　</w:t>
      </w:r>
      <w:r>
        <w:rPr>
          <w:rFonts w:hint="eastAsia" w:ascii="宋体" w:hAnsi="宋体" w:eastAsia="宋体" w:cs="宋体"/>
          <w:color w:val="auto"/>
          <w:sz w:val="24"/>
          <w:szCs w:val="24"/>
          <w:lang w:eastAsia="zh-CN"/>
        </w:rPr>
        <w:t>运入施工场地的材料、工程设备，包括备品备件、安装专用工器具与随机资料，必须专用于合同工程，未经监理人同意，承包人不得运出施工场地或挪作他用。</w:t>
      </w:r>
    </w:p>
    <w:p w14:paraId="2AE6D1B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5.3.2　</w:t>
      </w:r>
      <w:r>
        <w:rPr>
          <w:rFonts w:hint="eastAsia" w:ascii="宋体" w:hAnsi="宋体" w:eastAsia="宋体" w:cs="宋体"/>
          <w:color w:val="auto"/>
          <w:sz w:val="24"/>
          <w:szCs w:val="24"/>
          <w:lang w:eastAsia="zh-CN"/>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7407A0F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59" w:name="bookmark187"/>
      <w:bookmarkEnd w:id="559"/>
      <w:r>
        <w:rPr>
          <w:rFonts w:hint="eastAsia" w:ascii="宋体" w:hAnsi="宋体" w:eastAsia="宋体" w:cs="宋体"/>
          <w:b/>
          <w:bCs/>
          <w:color w:val="auto"/>
          <w:sz w:val="24"/>
          <w:szCs w:val="24"/>
          <w:lang w:eastAsia="zh-CN"/>
        </w:rPr>
        <w:t>5.4　禁止使用不合格的材料和工程设备</w:t>
      </w:r>
    </w:p>
    <w:p w14:paraId="63B7BF0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5.4.1　</w:t>
      </w:r>
      <w:r>
        <w:rPr>
          <w:rFonts w:hint="eastAsia" w:ascii="宋体" w:hAnsi="宋体" w:eastAsia="宋体" w:cs="宋体"/>
          <w:color w:val="auto"/>
          <w:sz w:val="24"/>
          <w:szCs w:val="24"/>
          <w:lang w:eastAsia="zh-CN"/>
        </w:rPr>
        <w:t>监理人有权拒绝承包人提供的不合格材料或工程设备，并要求承包人立即进行更换。监理人应在更换后再次进行检查和检验，由此增加的费用和（或）工期延误由承包人承担。</w:t>
      </w:r>
    </w:p>
    <w:p w14:paraId="1B288DD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5.4.2　</w:t>
      </w:r>
      <w:r>
        <w:rPr>
          <w:rFonts w:hint="eastAsia" w:ascii="宋体" w:hAnsi="宋体" w:eastAsia="宋体" w:cs="宋体"/>
          <w:color w:val="auto"/>
          <w:sz w:val="24"/>
          <w:szCs w:val="24"/>
          <w:lang w:eastAsia="zh-CN"/>
        </w:rPr>
        <w:t>监理人发现承包人使用了不合格的材料和工程设备，应即时发出指示要求承包人立即改正，并禁止在工程中继续使用不合格的材料和工程设备。</w:t>
      </w:r>
    </w:p>
    <w:p w14:paraId="7DD7501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5.4.3　</w:t>
      </w:r>
      <w:r>
        <w:rPr>
          <w:rFonts w:hint="eastAsia" w:ascii="宋体" w:hAnsi="宋体" w:eastAsia="宋体" w:cs="宋体"/>
          <w:color w:val="auto"/>
          <w:sz w:val="24"/>
          <w:szCs w:val="24"/>
          <w:lang w:eastAsia="zh-CN"/>
        </w:rPr>
        <w:t>发包人提供的材料或工程设备不符合合同要求的，承包人有权拒绝，并可要求发包人更换，由此增加的费用和（或）工期延误由发包人承担。</w:t>
      </w:r>
    </w:p>
    <w:p w14:paraId="482794E3">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560" w:name="bookmark188"/>
      <w:bookmarkEnd w:id="560"/>
      <w:bookmarkStart w:id="561" w:name="bookmark189"/>
      <w:bookmarkEnd w:id="561"/>
      <w:bookmarkStart w:id="562" w:name="_Toc3492"/>
      <w:bookmarkStart w:id="563" w:name="_Toc26736"/>
      <w:bookmarkStart w:id="564" w:name="_Toc3781"/>
      <w:bookmarkStart w:id="565" w:name="_Toc19037"/>
      <w:r>
        <w:rPr>
          <w:rFonts w:hint="eastAsia" w:ascii="宋体" w:hAnsi="宋体" w:eastAsia="宋体" w:cs="宋体"/>
          <w:b/>
          <w:bCs/>
          <w:color w:val="auto"/>
          <w:sz w:val="28"/>
          <w:szCs w:val="28"/>
          <w:lang w:eastAsia="zh-CN"/>
        </w:rPr>
        <w:t>6　施工设备和临时设施</w:t>
      </w:r>
      <w:bookmarkEnd w:id="562"/>
      <w:bookmarkEnd w:id="563"/>
      <w:bookmarkEnd w:id="564"/>
      <w:bookmarkEnd w:id="565"/>
    </w:p>
    <w:p w14:paraId="318793E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66" w:name="bookmark692"/>
      <w:bookmarkEnd w:id="566"/>
      <w:r>
        <w:rPr>
          <w:rFonts w:hint="eastAsia" w:ascii="宋体" w:hAnsi="宋体" w:eastAsia="宋体" w:cs="宋体"/>
          <w:b/>
          <w:bCs/>
          <w:color w:val="auto"/>
          <w:sz w:val="24"/>
          <w:szCs w:val="24"/>
          <w:lang w:eastAsia="zh-CN"/>
        </w:rPr>
        <w:t>6.1　承包人提供的施工设备和临时设施</w:t>
      </w:r>
    </w:p>
    <w:p w14:paraId="394274D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6.1.1　</w:t>
      </w:r>
      <w:r>
        <w:rPr>
          <w:rFonts w:hint="eastAsia" w:ascii="宋体" w:hAnsi="宋体" w:eastAsia="宋体" w:cs="宋体"/>
          <w:color w:val="auto"/>
          <w:sz w:val="24"/>
          <w:szCs w:val="24"/>
          <w:lang w:eastAsia="zh-CN"/>
        </w:rPr>
        <w:t>承包人应按合同进度计划的要求，及时配置施工设备和修建临时设施。进入施工场地的承包人设备需经监理人核查后才能投入使用。承包人更换合同约定的承包人设备的，应报监理人批准。</w:t>
      </w:r>
    </w:p>
    <w:p w14:paraId="4589271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6.1.2　</w:t>
      </w:r>
      <w:r>
        <w:rPr>
          <w:rFonts w:hint="eastAsia" w:ascii="宋体" w:hAnsi="宋体" w:eastAsia="宋体" w:cs="宋体"/>
          <w:color w:val="auto"/>
          <w:sz w:val="24"/>
          <w:szCs w:val="24"/>
          <w:lang w:eastAsia="zh-CN"/>
        </w:rPr>
        <w:t>除专用合同条款另有约定外，承包人应自行承担修建临时设施的费用，需要临时占地的，应由发包人办理申请手续并承担相应费用。</w:t>
      </w:r>
    </w:p>
    <w:p w14:paraId="39AE303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67" w:name="bookmark190"/>
      <w:bookmarkEnd w:id="567"/>
      <w:r>
        <w:rPr>
          <w:rFonts w:hint="eastAsia" w:ascii="宋体" w:hAnsi="宋体" w:eastAsia="宋体" w:cs="宋体"/>
          <w:b/>
          <w:bCs/>
          <w:color w:val="auto"/>
          <w:sz w:val="24"/>
          <w:szCs w:val="24"/>
          <w:lang w:eastAsia="zh-CN"/>
        </w:rPr>
        <w:t>6.2　发包人提供的施工设备和临时设施</w:t>
      </w:r>
    </w:p>
    <w:p w14:paraId="6A7BAB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发包人提供的施工设备或临时设施在专用合同条款中约定。</w:t>
      </w:r>
    </w:p>
    <w:p w14:paraId="2570512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68" w:name="bookmark191"/>
      <w:bookmarkEnd w:id="568"/>
      <w:r>
        <w:rPr>
          <w:rFonts w:hint="eastAsia" w:ascii="宋体" w:hAnsi="宋体" w:eastAsia="宋体" w:cs="宋体"/>
          <w:b/>
          <w:bCs/>
          <w:color w:val="auto"/>
          <w:sz w:val="24"/>
          <w:szCs w:val="24"/>
          <w:lang w:eastAsia="zh-CN"/>
        </w:rPr>
        <w:t>6.3　要求承包人增加或更换施工设备</w:t>
      </w:r>
    </w:p>
    <w:p w14:paraId="60E724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承包人使用的施工设备不能满足合同进度计划和（或）质量要求时，监理人有权要求承包人增加或更换施工设备，承包人应及时增加或更换，由此增加的费用和（或）工期延误由承包人承担。</w:t>
      </w:r>
    </w:p>
    <w:p w14:paraId="1E64DE9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69" w:name="bookmark192"/>
      <w:bookmarkEnd w:id="569"/>
      <w:r>
        <w:rPr>
          <w:rFonts w:hint="eastAsia" w:ascii="宋体" w:hAnsi="宋体" w:eastAsia="宋体" w:cs="宋体"/>
          <w:b/>
          <w:bCs/>
          <w:color w:val="auto"/>
          <w:sz w:val="24"/>
          <w:szCs w:val="24"/>
          <w:lang w:eastAsia="zh-CN"/>
        </w:rPr>
        <w:t>6.4　施工设备和临时设施专用于合同工程</w:t>
      </w:r>
    </w:p>
    <w:p w14:paraId="1EBB4E4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6.4.1　</w:t>
      </w:r>
      <w:r>
        <w:rPr>
          <w:rFonts w:hint="eastAsia" w:ascii="宋体" w:hAnsi="宋体" w:eastAsia="宋体" w:cs="宋体"/>
          <w:color w:val="auto"/>
          <w:sz w:val="24"/>
          <w:szCs w:val="24"/>
          <w:lang w:eastAsia="zh-CN"/>
        </w:rPr>
        <w:t>除合同另有约定外，运入施工场地的所有施工设备以及在施工场地建设的临时设施应专用于合同工程。未经监理人同意，不得将上述施工设备和临时设施中的任何部分运出施工场地或挪作他用。</w:t>
      </w:r>
    </w:p>
    <w:p w14:paraId="12B7897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6.4.2　</w:t>
      </w:r>
      <w:r>
        <w:rPr>
          <w:rFonts w:hint="eastAsia" w:ascii="宋体" w:hAnsi="宋体" w:eastAsia="宋体" w:cs="宋体"/>
          <w:color w:val="auto"/>
          <w:sz w:val="24"/>
          <w:szCs w:val="24"/>
          <w:lang w:eastAsia="zh-CN"/>
        </w:rPr>
        <w:t>经监理人同意，承包人可根据合同进度计划撤走闲置的施工设备。</w:t>
      </w:r>
    </w:p>
    <w:p w14:paraId="262225A7">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570" w:name="bookmark193"/>
      <w:bookmarkEnd w:id="570"/>
      <w:bookmarkStart w:id="571" w:name="bookmark194"/>
      <w:bookmarkEnd w:id="571"/>
      <w:bookmarkStart w:id="572" w:name="_Toc24992"/>
      <w:bookmarkStart w:id="573" w:name="_Toc25521"/>
      <w:bookmarkStart w:id="574" w:name="_Toc30458"/>
      <w:bookmarkStart w:id="575" w:name="_Toc14395"/>
      <w:r>
        <w:rPr>
          <w:rFonts w:hint="eastAsia" w:ascii="宋体" w:hAnsi="宋体" w:eastAsia="宋体" w:cs="宋体"/>
          <w:b/>
          <w:bCs/>
          <w:color w:val="auto"/>
          <w:sz w:val="28"/>
          <w:szCs w:val="28"/>
          <w:lang w:eastAsia="zh-CN"/>
        </w:rPr>
        <w:t>7　交通运输</w:t>
      </w:r>
      <w:bookmarkEnd w:id="572"/>
      <w:bookmarkEnd w:id="573"/>
      <w:bookmarkEnd w:id="574"/>
      <w:bookmarkEnd w:id="575"/>
    </w:p>
    <w:p w14:paraId="070B35B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76" w:name="bookmark693"/>
      <w:bookmarkEnd w:id="576"/>
      <w:r>
        <w:rPr>
          <w:rFonts w:hint="eastAsia" w:ascii="宋体" w:hAnsi="宋体" w:eastAsia="宋体" w:cs="宋体"/>
          <w:b/>
          <w:bCs/>
          <w:color w:val="auto"/>
          <w:sz w:val="24"/>
          <w:szCs w:val="24"/>
          <w:lang w:eastAsia="zh-CN"/>
        </w:rPr>
        <w:t>7.1　道路通行权和场外设施</w:t>
      </w:r>
    </w:p>
    <w:p w14:paraId="541849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42D71082">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77" w:name="bookmark195"/>
      <w:bookmarkEnd w:id="577"/>
      <w:r>
        <w:rPr>
          <w:rFonts w:hint="eastAsia" w:ascii="宋体" w:hAnsi="宋体" w:eastAsia="宋体" w:cs="宋体"/>
          <w:b/>
          <w:bCs/>
          <w:color w:val="auto"/>
          <w:sz w:val="24"/>
          <w:szCs w:val="24"/>
          <w:lang w:eastAsia="zh-CN"/>
        </w:rPr>
        <w:t>7.2　场内施工道路</w:t>
      </w:r>
    </w:p>
    <w:p w14:paraId="4FA127EA">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7.2.1　</w:t>
      </w:r>
      <w:r>
        <w:rPr>
          <w:rFonts w:hint="eastAsia" w:ascii="宋体" w:hAnsi="宋体" w:eastAsia="宋体" w:cs="宋体"/>
          <w:color w:val="auto"/>
          <w:sz w:val="24"/>
          <w:szCs w:val="24"/>
          <w:lang w:eastAsia="zh-CN"/>
        </w:rPr>
        <w:t>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748509E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7.2.2　</w:t>
      </w:r>
      <w:r>
        <w:rPr>
          <w:rFonts w:hint="eastAsia" w:ascii="宋体" w:hAnsi="宋体" w:eastAsia="宋体" w:cs="宋体"/>
          <w:color w:val="auto"/>
          <w:sz w:val="24"/>
          <w:szCs w:val="24"/>
          <w:lang w:eastAsia="zh-CN"/>
        </w:rPr>
        <w:t>承包人修建的临时道路和交通设施，应免费提供发包人、监理人以及与本合同有关的其他承包人使用。</w:t>
      </w:r>
    </w:p>
    <w:p w14:paraId="2EDAEC1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78" w:name="bookmark196"/>
      <w:bookmarkEnd w:id="578"/>
      <w:r>
        <w:rPr>
          <w:rFonts w:hint="eastAsia" w:ascii="宋体" w:hAnsi="宋体" w:eastAsia="宋体" w:cs="宋体"/>
          <w:b/>
          <w:bCs/>
          <w:color w:val="auto"/>
          <w:sz w:val="24"/>
          <w:szCs w:val="24"/>
          <w:lang w:eastAsia="zh-CN"/>
        </w:rPr>
        <w:t>7.3　场外交通</w:t>
      </w:r>
    </w:p>
    <w:p w14:paraId="1F9F24B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7.3.1　</w:t>
      </w:r>
      <w:r>
        <w:rPr>
          <w:rFonts w:hint="eastAsia" w:ascii="宋体" w:hAnsi="宋体" w:eastAsia="宋体" w:cs="宋体"/>
          <w:color w:val="auto"/>
          <w:sz w:val="24"/>
          <w:szCs w:val="24"/>
          <w:lang w:eastAsia="zh-CN"/>
        </w:rPr>
        <w:t>承包人车辆外出行驶所需的场外公共道路的通行费、养路费和税款等由承包人承担。</w:t>
      </w:r>
    </w:p>
    <w:p w14:paraId="3750407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7.3.2　</w:t>
      </w:r>
      <w:r>
        <w:rPr>
          <w:rFonts w:hint="eastAsia" w:ascii="宋体" w:hAnsi="宋体" w:eastAsia="宋体" w:cs="宋体"/>
          <w:color w:val="auto"/>
          <w:sz w:val="24"/>
          <w:szCs w:val="24"/>
          <w:lang w:eastAsia="zh-CN"/>
        </w:rPr>
        <w:t>承包人应遵守有关交通法规，严格按照道路和桥梁的限制荷重安全行驶，并服从交通管理部门的检查和监督。</w:t>
      </w:r>
    </w:p>
    <w:p w14:paraId="1CC61A1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79" w:name="bookmark197"/>
      <w:bookmarkEnd w:id="579"/>
      <w:r>
        <w:rPr>
          <w:rFonts w:hint="eastAsia" w:ascii="宋体" w:hAnsi="宋体" w:eastAsia="宋体" w:cs="宋体"/>
          <w:b/>
          <w:bCs/>
          <w:color w:val="auto"/>
          <w:sz w:val="24"/>
          <w:szCs w:val="24"/>
          <w:lang w:eastAsia="zh-CN"/>
        </w:rPr>
        <w:t>7.4　超大件和超重件的运输</w:t>
      </w:r>
    </w:p>
    <w:p w14:paraId="76E34C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90CF940">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80" w:name="bookmark198"/>
      <w:bookmarkEnd w:id="580"/>
      <w:r>
        <w:rPr>
          <w:rFonts w:hint="eastAsia" w:ascii="宋体" w:hAnsi="宋体" w:eastAsia="宋体" w:cs="宋体"/>
          <w:b/>
          <w:bCs/>
          <w:color w:val="auto"/>
          <w:sz w:val="24"/>
          <w:szCs w:val="24"/>
          <w:lang w:eastAsia="zh-CN"/>
        </w:rPr>
        <w:t>7.5　道路和桥梁的损坏责任</w:t>
      </w:r>
    </w:p>
    <w:p w14:paraId="51C2CB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因承包人运输造成施工场地内外公共道路和桥梁损坏的，由承包人承担修复损坏的全部费用和可能引起的赔偿。</w:t>
      </w:r>
    </w:p>
    <w:p w14:paraId="3902801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81" w:name="bookmark199"/>
      <w:bookmarkEnd w:id="581"/>
      <w:r>
        <w:rPr>
          <w:rFonts w:hint="eastAsia" w:ascii="宋体" w:hAnsi="宋体" w:eastAsia="宋体" w:cs="宋体"/>
          <w:b/>
          <w:bCs/>
          <w:color w:val="auto"/>
          <w:sz w:val="24"/>
          <w:szCs w:val="24"/>
          <w:lang w:eastAsia="zh-CN"/>
        </w:rPr>
        <w:t>7.6　水路和航空运输</w:t>
      </w:r>
    </w:p>
    <w:p w14:paraId="2FF7EE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本条上述各款的内容适用于水路运输和航空运输，其中“道路”一词的涵义包括河道、航线、船闸、机场、码头、堤防以及水路或航空运输中其他相似结构物。“车辆”一词的涵义包括船舶和飞机等。</w:t>
      </w:r>
    </w:p>
    <w:p w14:paraId="559329DD">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582" w:name="bookmark201"/>
      <w:bookmarkEnd w:id="582"/>
      <w:bookmarkStart w:id="583" w:name="bookmark200"/>
      <w:bookmarkEnd w:id="583"/>
      <w:bookmarkStart w:id="584" w:name="_Toc8530"/>
      <w:bookmarkStart w:id="585" w:name="_Toc8165"/>
      <w:bookmarkStart w:id="586" w:name="_Toc27402"/>
      <w:bookmarkStart w:id="587" w:name="_Toc27835"/>
      <w:r>
        <w:rPr>
          <w:rFonts w:hint="eastAsia" w:ascii="宋体" w:hAnsi="宋体" w:eastAsia="宋体" w:cs="宋体"/>
          <w:b/>
          <w:bCs/>
          <w:color w:val="auto"/>
          <w:sz w:val="28"/>
          <w:szCs w:val="28"/>
          <w:lang w:eastAsia="zh-CN"/>
        </w:rPr>
        <w:t>8　测量放线</w:t>
      </w:r>
      <w:bookmarkEnd w:id="584"/>
      <w:bookmarkEnd w:id="585"/>
      <w:bookmarkEnd w:id="586"/>
      <w:bookmarkEnd w:id="587"/>
    </w:p>
    <w:p w14:paraId="09B9E91E">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588" w:name="bookmark694"/>
      <w:bookmarkEnd w:id="588"/>
      <w:r>
        <w:rPr>
          <w:rFonts w:hint="eastAsia" w:ascii="宋体" w:hAnsi="宋体" w:eastAsia="宋体" w:cs="宋体"/>
          <w:b/>
          <w:bCs/>
          <w:color w:val="auto"/>
          <w:sz w:val="24"/>
          <w:szCs w:val="24"/>
          <w:lang w:eastAsia="zh-CN"/>
        </w:rPr>
        <w:t>8.1　施工控制网</w:t>
      </w:r>
    </w:p>
    <w:p w14:paraId="3C30D19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8.1.1　</w:t>
      </w:r>
      <w:r>
        <w:rPr>
          <w:rFonts w:hint="eastAsia" w:ascii="宋体" w:hAnsi="宋体" w:eastAsia="宋体" w:cs="宋体"/>
          <w:color w:val="auto"/>
          <w:sz w:val="24"/>
          <w:szCs w:val="24"/>
          <w:lang w:eastAsia="zh-CN"/>
        </w:rPr>
        <w:t>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37E5F98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8.1.2　</w:t>
      </w:r>
      <w:r>
        <w:rPr>
          <w:rFonts w:hint="eastAsia" w:ascii="宋体" w:hAnsi="宋体" w:eastAsia="宋体" w:cs="宋体"/>
          <w:color w:val="auto"/>
          <w:sz w:val="24"/>
          <w:szCs w:val="24"/>
          <w:lang w:eastAsia="zh-CN"/>
        </w:rPr>
        <w:t>承包人应负责管理施工控制网点。施工控制网点丢失或损坏的，承包人应及时修复。承包人应承担施工控制网点的管理与修复费用，并在工程竣工后将施工控制网点移交发包人。</w:t>
      </w:r>
    </w:p>
    <w:p w14:paraId="0CA1ADA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89" w:name="bookmark202"/>
      <w:bookmarkEnd w:id="589"/>
      <w:r>
        <w:rPr>
          <w:rFonts w:hint="eastAsia" w:ascii="宋体" w:hAnsi="宋体" w:eastAsia="宋体" w:cs="宋体"/>
          <w:b/>
          <w:bCs/>
          <w:color w:val="auto"/>
          <w:sz w:val="24"/>
          <w:szCs w:val="24"/>
          <w:lang w:eastAsia="zh-CN"/>
        </w:rPr>
        <w:t>8.2　施工测量</w:t>
      </w:r>
    </w:p>
    <w:p w14:paraId="319050D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8.2.1　</w:t>
      </w:r>
      <w:r>
        <w:rPr>
          <w:rFonts w:hint="eastAsia" w:ascii="宋体" w:hAnsi="宋体" w:eastAsia="宋体" w:cs="宋体"/>
          <w:color w:val="auto"/>
          <w:sz w:val="24"/>
          <w:szCs w:val="24"/>
          <w:lang w:eastAsia="zh-CN"/>
        </w:rPr>
        <w:t>承包人应负责施工过程中的全部施工测量放线工作，并配置合格的人员、仪器、设备和其他物品。</w:t>
      </w:r>
    </w:p>
    <w:p w14:paraId="087AFCAA">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8.2.2　</w:t>
      </w:r>
      <w:r>
        <w:rPr>
          <w:rFonts w:hint="eastAsia" w:ascii="宋体" w:hAnsi="宋体" w:eastAsia="宋体" w:cs="宋体"/>
          <w:color w:val="auto"/>
          <w:sz w:val="24"/>
          <w:szCs w:val="24"/>
          <w:lang w:eastAsia="zh-CN"/>
        </w:rPr>
        <w:t>监理人可以指示承包人进行抽样复测，当复测中发现错误或出现超过合同约定的误差时，承包人应按监理人指示进行修正或补测，并承担相应的复测费用。</w:t>
      </w:r>
    </w:p>
    <w:p w14:paraId="713BB91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90" w:name="bookmark203"/>
      <w:bookmarkEnd w:id="590"/>
      <w:r>
        <w:rPr>
          <w:rFonts w:hint="eastAsia" w:ascii="宋体" w:hAnsi="宋体" w:eastAsia="宋体" w:cs="宋体"/>
          <w:b/>
          <w:bCs/>
          <w:color w:val="auto"/>
          <w:sz w:val="24"/>
          <w:szCs w:val="24"/>
          <w:lang w:eastAsia="zh-CN"/>
        </w:rPr>
        <w:t>8.3　基准资料错误的责任</w:t>
      </w:r>
    </w:p>
    <w:p w14:paraId="1B3844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58B1753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91" w:name="bookmark204"/>
      <w:bookmarkEnd w:id="591"/>
      <w:r>
        <w:rPr>
          <w:rFonts w:hint="eastAsia" w:ascii="宋体" w:hAnsi="宋体" w:eastAsia="宋体" w:cs="宋体"/>
          <w:b/>
          <w:bCs/>
          <w:color w:val="auto"/>
          <w:sz w:val="24"/>
          <w:szCs w:val="24"/>
          <w:lang w:eastAsia="zh-CN"/>
        </w:rPr>
        <w:t>8.4　监理人使用施工控制网</w:t>
      </w:r>
    </w:p>
    <w:p w14:paraId="2AEA19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监理人需要使用施工控制网的，承包人应提供必要的协助，发包人不再为此支付费用。</w:t>
      </w:r>
    </w:p>
    <w:p w14:paraId="71DBFDF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92" w:name="bookmark205"/>
      <w:bookmarkEnd w:id="592"/>
      <w:r>
        <w:rPr>
          <w:rFonts w:hint="eastAsia" w:ascii="宋体" w:hAnsi="宋体" w:eastAsia="宋体" w:cs="宋体"/>
          <w:b/>
          <w:bCs/>
          <w:color w:val="auto"/>
          <w:sz w:val="24"/>
          <w:szCs w:val="24"/>
          <w:lang w:eastAsia="zh-CN"/>
        </w:rPr>
        <w:t>8.5　补充地质勘探</w:t>
      </w:r>
    </w:p>
    <w:p w14:paraId="1FA9FB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572B5ECC">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593" w:name="bookmark207"/>
      <w:bookmarkEnd w:id="593"/>
      <w:bookmarkStart w:id="594" w:name="bookmark206"/>
      <w:bookmarkEnd w:id="594"/>
      <w:bookmarkStart w:id="595" w:name="_Toc26099"/>
      <w:bookmarkStart w:id="596" w:name="_Toc7940"/>
      <w:bookmarkStart w:id="597" w:name="_Toc22302"/>
      <w:bookmarkStart w:id="598" w:name="_Toc14221"/>
      <w:r>
        <w:rPr>
          <w:rFonts w:hint="eastAsia" w:ascii="宋体" w:hAnsi="宋体" w:eastAsia="宋体" w:cs="宋体"/>
          <w:b/>
          <w:bCs/>
          <w:color w:val="auto"/>
          <w:sz w:val="28"/>
          <w:szCs w:val="28"/>
          <w:lang w:eastAsia="zh-CN"/>
        </w:rPr>
        <w:t>9　施工安全、治安保卫和环境保护</w:t>
      </w:r>
      <w:bookmarkEnd w:id="595"/>
      <w:bookmarkEnd w:id="596"/>
      <w:bookmarkEnd w:id="597"/>
      <w:bookmarkEnd w:id="598"/>
    </w:p>
    <w:p w14:paraId="35E0897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599" w:name="bookmark695"/>
      <w:bookmarkEnd w:id="599"/>
      <w:r>
        <w:rPr>
          <w:rFonts w:hint="eastAsia" w:ascii="宋体" w:hAnsi="宋体" w:eastAsia="宋体" w:cs="宋体"/>
          <w:b/>
          <w:bCs/>
          <w:color w:val="auto"/>
          <w:sz w:val="24"/>
          <w:szCs w:val="24"/>
          <w:lang w:eastAsia="zh-CN"/>
        </w:rPr>
        <w:t>9.1　发包人的施工安全责任</w:t>
      </w:r>
    </w:p>
    <w:p w14:paraId="0207179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9.1.1　</w:t>
      </w:r>
      <w:r>
        <w:rPr>
          <w:rFonts w:hint="eastAsia" w:ascii="宋体" w:hAnsi="宋体" w:eastAsia="宋体" w:cs="宋体"/>
          <w:color w:val="auto"/>
          <w:sz w:val="24"/>
          <w:szCs w:val="24"/>
          <w:lang w:eastAsia="zh-CN"/>
        </w:rPr>
        <w:t>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651FCE05">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9.1.2　</w:t>
      </w:r>
      <w:r>
        <w:rPr>
          <w:rFonts w:hint="eastAsia" w:ascii="宋体" w:hAnsi="宋体" w:eastAsia="宋体" w:cs="宋体"/>
          <w:color w:val="auto"/>
          <w:sz w:val="24"/>
          <w:szCs w:val="24"/>
          <w:lang w:eastAsia="zh-CN"/>
        </w:rPr>
        <w:t>发包人应对其现场机构雇佣的全部人员的工伤事故承担责任，但由于承包人原因造成发包人人员工伤的，应由承包人承担责任。</w:t>
      </w:r>
    </w:p>
    <w:p w14:paraId="102F867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9.1.3　</w:t>
      </w:r>
      <w:r>
        <w:rPr>
          <w:rFonts w:hint="eastAsia" w:ascii="宋体" w:hAnsi="宋体" w:eastAsia="宋体" w:cs="宋体"/>
          <w:color w:val="auto"/>
          <w:sz w:val="24"/>
          <w:szCs w:val="24"/>
          <w:lang w:eastAsia="zh-CN"/>
        </w:rPr>
        <w:t>发包人应负责赔偿以下各种情况造成的第三者人身伤亡和财产损失：</w:t>
      </w:r>
    </w:p>
    <w:p w14:paraId="0A4541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（l）工程或工程的任何部分对土地的占用所造成的第三者财产损失。</w:t>
      </w:r>
    </w:p>
    <w:p w14:paraId="1DEA76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（2）由于发包人原因在施工场地及其毗邻地带造成的第三者人身伤亡和财产损失。</w:t>
      </w:r>
    </w:p>
    <w:p w14:paraId="46DDE3F5">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9.1.4　</w:t>
      </w:r>
      <w:r>
        <w:rPr>
          <w:rFonts w:hint="eastAsia" w:ascii="宋体" w:hAnsi="宋体" w:eastAsia="宋体" w:cs="宋体"/>
          <w:color w:val="auto"/>
          <w:sz w:val="24"/>
          <w:szCs w:val="24"/>
          <w:lang w:eastAsia="zh-CN"/>
        </w:rPr>
        <w:t>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497EFD4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9.1.5　</w:t>
      </w:r>
      <w:r>
        <w:rPr>
          <w:rFonts w:hint="eastAsia" w:ascii="宋体" w:hAnsi="宋体" w:eastAsia="宋体" w:cs="宋体"/>
          <w:color w:val="auto"/>
          <w:sz w:val="24"/>
          <w:szCs w:val="24"/>
          <w:lang w:eastAsia="zh-CN"/>
        </w:rPr>
        <w:t>发包人按照已标价工程量清单所列金额和合同约定的计量支付规定，支付安全作业环境及安全施工措施所需费用。</w:t>
      </w:r>
    </w:p>
    <w:p w14:paraId="27C76D6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9.1.6　</w:t>
      </w:r>
      <w:r>
        <w:rPr>
          <w:rFonts w:hint="eastAsia" w:ascii="宋体" w:hAnsi="宋体" w:eastAsia="宋体" w:cs="宋体"/>
          <w:color w:val="auto"/>
          <w:sz w:val="24"/>
          <w:szCs w:val="24"/>
          <w:lang w:eastAsia="zh-CN"/>
        </w:rPr>
        <w:t>发包人负责组织工程参建单位编制保证安全生产的措施方案。工程开工前，就落实保证安全生产的措施进行全面系统的布置，进一步明确承包人的安全生产责任。</w:t>
      </w:r>
    </w:p>
    <w:p w14:paraId="28BBDAE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9.1.7　</w:t>
      </w:r>
      <w:r>
        <w:rPr>
          <w:rFonts w:hint="eastAsia" w:ascii="宋体" w:hAnsi="宋体" w:eastAsia="宋体" w:cs="宋体"/>
          <w:color w:val="auto"/>
          <w:sz w:val="24"/>
          <w:szCs w:val="24"/>
          <w:lang w:eastAsia="zh-CN"/>
        </w:rPr>
        <w:t>发包人负责在拆除工程和爆破工程施工14天前向有关部门或机构报送相关备案资料。</w:t>
      </w:r>
    </w:p>
    <w:p w14:paraId="49C8F63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600" w:name="bookmark208"/>
      <w:bookmarkEnd w:id="600"/>
      <w:r>
        <w:rPr>
          <w:rFonts w:hint="eastAsia" w:ascii="宋体" w:hAnsi="宋体" w:eastAsia="宋体" w:cs="宋体"/>
          <w:b/>
          <w:bCs/>
          <w:color w:val="auto"/>
          <w:sz w:val="24"/>
          <w:szCs w:val="24"/>
          <w:lang w:eastAsia="zh-CN"/>
        </w:rPr>
        <w:t>9.2　承包人的施工安全责任</w:t>
      </w:r>
    </w:p>
    <w:p w14:paraId="3D9AFF0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9.2.1　</w:t>
      </w:r>
      <w:r>
        <w:rPr>
          <w:rFonts w:hint="eastAsia" w:ascii="宋体" w:hAnsi="宋体" w:eastAsia="宋体" w:cs="宋体"/>
          <w:color w:val="auto"/>
          <w:sz w:val="24"/>
          <w:szCs w:val="24"/>
          <w:lang w:eastAsia="zh-CN"/>
        </w:rPr>
        <w:t>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7E35FE2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9.2.2　</w:t>
      </w:r>
      <w:r>
        <w:rPr>
          <w:rFonts w:hint="eastAsia" w:ascii="宋体" w:hAnsi="宋体" w:eastAsia="宋体" w:cs="宋体"/>
          <w:color w:val="auto"/>
          <w:sz w:val="24"/>
          <w:szCs w:val="24"/>
          <w:lang w:eastAsia="zh-CN"/>
        </w:rPr>
        <w:t>承包人应加强施工作业安全管理，特别应加强易燃易爆材料、火工器材、有毒与腐蚀性材料和其他危险品的管理，以及对爆破作业和地下工程施工等危险作业的管理。</w:t>
      </w:r>
    </w:p>
    <w:p w14:paraId="7864768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9.2.3　</w:t>
      </w:r>
      <w:r>
        <w:rPr>
          <w:rFonts w:hint="eastAsia" w:ascii="宋体" w:hAnsi="宋体" w:eastAsia="宋体" w:cs="宋体"/>
          <w:color w:val="auto"/>
          <w:sz w:val="24"/>
          <w:szCs w:val="24"/>
          <w:lang w:eastAsia="zh-CN"/>
        </w:rPr>
        <w:t>承包人应严格按照国家安全标准制定施工安全操作规程，配备必要的安全生产和劳动保护设施，加强对承包人人员的安全教育，并发放安全工作手册和劳动保护用具。</w:t>
      </w:r>
    </w:p>
    <w:p w14:paraId="41253BF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9.2.4　</w:t>
      </w:r>
      <w:r>
        <w:rPr>
          <w:rFonts w:hint="eastAsia" w:ascii="宋体" w:hAnsi="宋体" w:eastAsia="宋体" w:cs="宋体"/>
          <w:color w:val="auto"/>
          <w:sz w:val="24"/>
          <w:szCs w:val="24"/>
          <w:lang w:eastAsia="zh-CN"/>
        </w:rPr>
        <w:t>承包人应按监理人的指示制定应对灾害的紧急预案，报送监理人审批。承包人还应按预案做好安全检查，配置必要的救助物资和器材，切实保护好有关人员的人身和财产安全。</w:t>
      </w:r>
    </w:p>
    <w:p w14:paraId="4C7A61D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9.2.5　</w:t>
      </w:r>
      <w:r>
        <w:rPr>
          <w:rFonts w:hint="eastAsia" w:ascii="宋体" w:hAnsi="宋体" w:eastAsia="宋体" w:cs="宋体"/>
          <w:color w:val="auto"/>
          <w:sz w:val="24"/>
          <w:szCs w:val="24"/>
          <w:lang w:eastAsia="zh-CN"/>
        </w:rPr>
        <w:t>合同约定的安全作业环境及安全施工措施所需费用应遵守有关规定，并包括在相关工作的合同价格中。因采取合同未约定的安全作业环境及安全施工措施增加的费用，由监理人按第3.5款商定或确定。</w:t>
      </w:r>
    </w:p>
    <w:p w14:paraId="0E08A9F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9.2.6　</w:t>
      </w:r>
      <w:r>
        <w:rPr>
          <w:rFonts w:hint="eastAsia" w:ascii="宋体" w:hAnsi="宋体" w:eastAsia="宋体" w:cs="宋体"/>
          <w:color w:val="auto"/>
          <w:sz w:val="24"/>
          <w:szCs w:val="24"/>
          <w:lang w:eastAsia="zh-CN"/>
        </w:rPr>
        <w:t>承包人应对其履行合同所雇佣的全部人员，包括分包人人员的工伤事故承担责任，但由于发包人原因造成承包人人员工伤事故的，应由发包人承担责任。</w:t>
      </w:r>
    </w:p>
    <w:p w14:paraId="7D6DEE7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9.2.7　</w:t>
      </w:r>
      <w:r>
        <w:rPr>
          <w:rFonts w:hint="eastAsia" w:ascii="宋体" w:hAnsi="宋体" w:eastAsia="宋体" w:cs="宋体"/>
          <w:color w:val="auto"/>
          <w:sz w:val="24"/>
          <w:szCs w:val="24"/>
          <w:lang w:eastAsia="zh-CN"/>
        </w:rPr>
        <w:t>由于承包人原因在施工场地内及其毗邻地带造成的第三者人员伤亡和财产损失，由承包人负责赔偿。</w:t>
      </w:r>
    </w:p>
    <w:p w14:paraId="7D61C40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9.2.8　</w:t>
      </w:r>
      <w:r>
        <w:rPr>
          <w:rFonts w:hint="eastAsia" w:ascii="宋体" w:hAnsi="宋体" w:eastAsia="宋体" w:cs="宋体"/>
          <w:color w:val="auto"/>
          <w:sz w:val="24"/>
          <w:szCs w:val="24"/>
          <w:lang w:eastAsia="zh-CN"/>
        </w:rPr>
        <w:t>承包人已标价工程量清单应包含工程安全作业环境及安全施工措施所需费用。</w:t>
      </w:r>
    </w:p>
    <w:p w14:paraId="2AAA7CB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9.2.9　</w:t>
      </w:r>
      <w:r>
        <w:rPr>
          <w:rFonts w:hint="eastAsia" w:ascii="宋体" w:hAnsi="宋体" w:eastAsia="宋体" w:cs="宋体"/>
          <w:color w:val="auto"/>
          <w:sz w:val="24"/>
          <w:szCs w:val="24"/>
          <w:lang w:eastAsia="zh-CN"/>
        </w:rPr>
        <w:t>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697E49A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9.2.10　</w:t>
      </w:r>
      <w:r>
        <w:rPr>
          <w:rFonts w:hint="eastAsia" w:ascii="宋体" w:hAnsi="宋体" w:eastAsia="宋体" w:cs="宋体"/>
          <w:color w:val="auto"/>
          <w:sz w:val="24"/>
          <w:szCs w:val="24"/>
          <w:lang w:eastAsia="zh-CN"/>
        </w:rPr>
        <w:t>承包人应设立安全生产管理机构，施工现场应有专职安全生产管理人员。</w:t>
      </w:r>
    </w:p>
    <w:p w14:paraId="2CDD2E3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9.2.11　</w:t>
      </w:r>
      <w:r>
        <w:rPr>
          <w:rFonts w:hint="eastAsia" w:ascii="宋体" w:hAnsi="宋体" w:eastAsia="宋体" w:cs="宋体"/>
          <w:color w:val="auto"/>
          <w:sz w:val="24"/>
          <w:szCs w:val="24"/>
          <w:lang w:eastAsia="zh-CN"/>
        </w:rPr>
        <w:t>承包人应负责对特种作业人员进行专门的安全作业培训，并保证特种作业人员持证上岗。</w:t>
      </w:r>
    </w:p>
    <w:p w14:paraId="3C43C36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9.2.12　</w:t>
      </w:r>
      <w:r>
        <w:rPr>
          <w:rFonts w:hint="eastAsia" w:ascii="宋体" w:hAnsi="宋体" w:eastAsia="宋体" w:cs="宋体"/>
          <w:color w:val="auto"/>
          <w:sz w:val="24"/>
          <w:szCs w:val="24"/>
          <w:lang w:eastAsia="zh-CN"/>
        </w:rPr>
        <w:t>承包人应在施工组织设计中编制安全技术措施和施工现场临时用电方案。对专用合同条款约定的工程，应编制专项施工方案报监理人批准。对专用合同条款约定的专项施工方案，还应组织专家进行论证、审查，其中专家中1/2的人员应经发包人同意。</w:t>
      </w:r>
    </w:p>
    <w:p w14:paraId="0EAD5B0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9.2.13　</w:t>
      </w:r>
      <w:r>
        <w:rPr>
          <w:rFonts w:hint="eastAsia" w:ascii="宋体" w:hAnsi="宋体" w:eastAsia="宋体" w:cs="宋体"/>
          <w:color w:val="auto"/>
          <w:sz w:val="24"/>
          <w:szCs w:val="24"/>
          <w:lang w:eastAsia="zh-CN"/>
        </w:rPr>
        <w:t>承包人在使用施工起重机械和整体提升脚手架、模板等自升式架设设施前，应组织有关单位进行验收。</w:t>
      </w:r>
    </w:p>
    <w:p w14:paraId="2B8A165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601" w:name="bookmark209"/>
      <w:bookmarkEnd w:id="601"/>
      <w:r>
        <w:rPr>
          <w:rFonts w:hint="eastAsia" w:ascii="宋体" w:hAnsi="宋体" w:eastAsia="宋体" w:cs="宋体"/>
          <w:b/>
          <w:bCs/>
          <w:color w:val="auto"/>
          <w:sz w:val="24"/>
          <w:szCs w:val="24"/>
          <w:lang w:eastAsia="zh-CN"/>
        </w:rPr>
        <w:t>9.3　治安保卫</w:t>
      </w:r>
    </w:p>
    <w:p w14:paraId="6B88495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9.3.1　</w:t>
      </w:r>
      <w:r>
        <w:rPr>
          <w:rFonts w:hint="eastAsia" w:ascii="宋体" w:hAnsi="宋体" w:eastAsia="宋体" w:cs="宋体"/>
          <w:color w:val="auto"/>
          <w:sz w:val="24"/>
          <w:szCs w:val="24"/>
          <w:lang w:eastAsia="zh-CN"/>
        </w:rPr>
        <w:t>除合同另有约定外，发包人应与当地公安部门协商，在现场建立治安管理机构或联防组织，统一管理施工场地的治安保卫事项，履行合同工程的治安保卫职责。</w:t>
      </w:r>
    </w:p>
    <w:p w14:paraId="667390B5">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9.3.2　</w:t>
      </w:r>
      <w:r>
        <w:rPr>
          <w:rFonts w:hint="eastAsia" w:ascii="宋体" w:hAnsi="宋体" w:eastAsia="宋体" w:cs="宋体"/>
          <w:color w:val="auto"/>
          <w:sz w:val="24"/>
          <w:szCs w:val="24"/>
          <w:lang w:eastAsia="zh-CN"/>
        </w:rPr>
        <w:t>发包人和承包人除应协助现场治安管理机构或联防组织维护施工场地的社会治安外，还应做好包括生活区在内的各自管辖区的治安保卫工作。</w:t>
      </w:r>
    </w:p>
    <w:p w14:paraId="7A836FCE">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9.3.3　</w:t>
      </w:r>
      <w:r>
        <w:rPr>
          <w:rFonts w:hint="eastAsia" w:ascii="宋体" w:hAnsi="宋体" w:eastAsia="宋体" w:cs="宋体"/>
          <w:color w:val="auto"/>
          <w:sz w:val="24"/>
          <w:szCs w:val="24"/>
          <w:lang w:eastAsia="zh-CN"/>
        </w:rPr>
        <w:t>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1F651BF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602" w:name="bookmark210"/>
      <w:bookmarkEnd w:id="602"/>
      <w:r>
        <w:rPr>
          <w:rFonts w:hint="eastAsia" w:ascii="宋体" w:hAnsi="宋体" w:eastAsia="宋体" w:cs="宋体"/>
          <w:b/>
          <w:bCs/>
          <w:color w:val="auto"/>
          <w:sz w:val="24"/>
          <w:szCs w:val="24"/>
          <w:lang w:eastAsia="zh-CN"/>
        </w:rPr>
        <w:t>9.4　环境保护</w:t>
      </w:r>
    </w:p>
    <w:p w14:paraId="04ED817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9.4.1　</w:t>
      </w:r>
      <w:r>
        <w:rPr>
          <w:rFonts w:hint="eastAsia" w:ascii="宋体" w:hAnsi="宋体" w:eastAsia="宋体" w:cs="宋体"/>
          <w:color w:val="auto"/>
          <w:sz w:val="24"/>
          <w:szCs w:val="24"/>
          <w:lang w:eastAsia="zh-CN"/>
        </w:rPr>
        <w:t>承包人在施工过程中，应遵守有关环境保护的法律，履行合同约定的环境保护义务，并对违反法律和合同约定义务所造成的环境破坏、人身伤害和财产损失负责。</w:t>
      </w:r>
    </w:p>
    <w:p w14:paraId="268C32F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9.4.2　</w:t>
      </w:r>
      <w:r>
        <w:rPr>
          <w:rFonts w:hint="eastAsia" w:ascii="宋体" w:hAnsi="宋体" w:eastAsia="宋体" w:cs="宋体"/>
          <w:color w:val="auto"/>
          <w:sz w:val="24"/>
          <w:szCs w:val="24"/>
          <w:lang w:eastAsia="zh-CN"/>
        </w:rPr>
        <w:t>承包人应按合同约定的环保工作内容，编制施工环保措施计划，报送监理人审批。</w:t>
      </w:r>
    </w:p>
    <w:p w14:paraId="6B8C99FA">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9.4.3　</w:t>
      </w:r>
      <w:r>
        <w:rPr>
          <w:rFonts w:hint="eastAsia" w:ascii="宋体" w:hAnsi="宋体" w:eastAsia="宋体" w:cs="宋体"/>
          <w:color w:val="auto"/>
          <w:sz w:val="24"/>
          <w:szCs w:val="24"/>
          <w:lang w:eastAsia="zh-CN"/>
        </w:rPr>
        <w:t>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0BFC010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9.4.4　</w:t>
      </w:r>
      <w:r>
        <w:rPr>
          <w:rFonts w:hint="eastAsia" w:ascii="宋体" w:hAnsi="宋体" w:eastAsia="宋体" w:cs="宋体"/>
          <w:color w:val="auto"/>
          <w:sz w:val="24"/>
          <w:szCs w:val="24"/>
          <w:lang w:eastAsia="zh-CN"/>
        </w:rPr>
        <w:t>承包人应按合同约定采取有效措施，对施工开挖的边坡及时进行支护，维护排水设施，并进行水土保护，避免因施工造成的地质灾害。</w:t>
      </w:r>
    </w:p>
    <w:p w14:paraId="5DBF86D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9.4.5　</w:t>
      </w:r>
      <w:r>
        <w:rPr>
          <w:rFonts w:hint="eastAsia" w:ascii="宋体" w:hAnsi="宋体" w:eastAsia="宋体" w:cs="宋体"/>
          <w:color w:val="auto"/>
          <w:sz w:val="24"/>
          <w:szCs w:val="24"/>
          <w:lang w:eastAsia="zh-CN"/>
        </w:rPr>
        <w:t>承包人应按国家饮用水管理标准定期对饮用水源进行监测，防止施工活动污染饮用水源。</w:t>
      </w:r>
    </w:p>
    <w:p w14:paraId="17A59DA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9.4.6　</w:t>
      </w:r>
      <w:r>
        <w:rPr>
          <w:rFonts w:hint="eastAsia" w:ascii="宋体" w:hAnsi="宋体" w:eastAsia="宋体" w:cs="宋体"/>
          <w:color w:val="auto"/>
          <w:sz w:val="24"/>
          <w:szCs w:val="24"/>
          <w:lang w:eastAsia="zh-CN"/>
        </w:rPr>
        <w:t>承包人应按合同约定，加强对噪声、粉尘、废气、废水和废油的控制，努力降低噪声，控制粉尘和废气浓度，做好废水和废油的治理和排放。</w:t>
      </w:r>
    </w:p>
    <w:p w14:paraId="479E19E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603" w:name="bookmark211"/>
      <w:bookmarkEnd w:id="603"/>
      <w:r>
        <w:rPr>
          <w:rFonts w:hint="eastAsia" w:ascii="宋体" w:hAnsi="宋体" w:eastAsia="宋体" w:cs="宋体"/>
          <w:b/>
          <w:bCs/>
          <w:color w:val="auto"/>
          <w:sz w:val="24"/>
          <w:szCs w:val="24"/>
          <w:lang w:eastAsia="zh-CN"/>
        </w:rPr>
        <w:t>9.5　事故处理</w:t>
      </w:r>
    </w:p>
    <w:p w14:paraId="1754DE5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9.5.1　</w:t>
      </w:r>
      <w:r>
        <w:rPr>
          <w:rFonts w:hint="eastAsia" w:ascii="宋体" w:hAnsi="宋体" w:eastAsia="宋体" w:cs="宋体"/>
          <w:color w:val="auto"/>
          <w:sz w:val="24"/>
          <w:szCs w:val="24"/>
          <w:lang w:eastAsia="zh-CN"/>
        </w:rPr>
        <w:t>发包人负责组织参建单位制定本工程的质量与安全事故应急预案，建立质量与安全事故应急处置指挥部。</w:t>
      </w:r>
    </w:p>
    <w:p w14:paraId="2DE3135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9.5.2　</w:t>
      </w:r>
      <w:r>
        <w:rPr>
          <w:rFonts w:hint="eastAsia" w:ascii="宋体" w:hAnsi="宋体" w:eastAsia="宋体" w:cs="宋体"/>
          <w:color w:val="auto"/>
          <w:sz w:val="24"/>
          <w:szCs w:val="24"/>
          <w:lang w:eastAsia="zh-CN"/>
        </w:rPr>
        <w:t>承包人应对施工现场易发生重大事故的部位、环节进行监控，配备救援器材、设备，并定期组织演练。</w:t>
      </w:r>
    </w:p>
    <w:p w14:paraId="7B68BE1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9.5.3　</w:t>
      </w:r>
      <w:r>
        <w:rPr>
          <w:rFonts w:hint="eastAsia" w:ascii="宋体" w:hAnsi="宋体" w:eastAsia="宋体" w:cs="宋体"/>
          <w:color w:val="auto"/>
          <w:sz w:val="24"/>
          <w:szCs w:val="24"/>
          <w:lang w:eastAsia="zh-CN"/>
        </w:rPr>
        <w:t>工程开工前，承包人应根据本工程的特点制定施工现场施工质量与安全事故应急预案，并报发包人备案。</w:t>
      </w:r>
    </w:p>
    <w:p w14:paraId="7C52B83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9.5.4　</w:t>
      </w:r>
      <w:r>
        <w:rPr>
          <w:rFonts w:hint="eastAsia" w:ascii="宋体" w:hAnsi="宋体" w:eastAsia="宋体" w:cs="宋体"/>
          <w:color w:val="auto"/>
          <w:sz w:val="24"/>
          <w:szCs w:val="24"/>
          <w:lang w:eastAsia="zh-CN"/>
        </w:rPr>
        <w:t>施工过程中发生事故时，发包人、承包人应立即启动应急预案。</w:t>
      </w:r>
    </w:p>
    <w:p w14:paraId="0C716FF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9.5.5　</w:t>
      </w:r>
      <w:r>
        <w:rPr>
          <w:rFonts w:hint="eastAsia" w:ascii="宋体" w:hAnsi="宋体" w:eastAsia="宋体" w:cs="宋体"/>
          <w:color w:val="auto"/>
          <w:sz w:val="24"/>
          <w:szCs w:val="24"/>
          <w:lang w:eastAsia="zh-CN"/>
        </w:rPr>
        <w:t>事故调查处理由发包人按相关规定履行手续，承包人应配合。</w:t>
      </w:r>
    </w:p>
    <w:p w14:paraId="76E239A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604" w:name="bookmark212"/>
      <w:bookmarkEnd w:id="604"/>
      <w:r>
        <w:rPr>
          <w:rFonts w:hint="eastAsia" w:ascii="宋体" w:hAnsi="宋体" w:eastAsia="宋体" w:cs="宋体"/>
          <w:b/>
          <w:bCs/>
          <w:color w:val="auto"/>
          <w:sz w:val="24"/>
          <w:szCs w:val="24"/>
          <w:lang w:eastAsia="zh-CN"/>
        </w:rPr>
        <w:t>9.6　水土保持</w:t>
      </w:r>
    </w:p>
    <w:p w14:paraId="5FCB192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9.6.1　</w:t>
      </w:r>
      <w:r>
        <w:rPr>
          <w:rFonts w:hint="eastAsia" w:ascii="宋体" w:hAnsi="宋体" w:eastAsia="宋体" w:cs="宋体"/>
          <w:color w:val="auto"/>
          <w:sz w:val="24"/>
          <w:szCs w:val="24"/>
          <w:lang w:eastAsia="zh-CN"/>
        </w:rPr>
        <w:t>发包人应及时向承包人提供水土保持方案。</w:t>
      </w:r>
    </w:p>
    <w:p w14:paraId="0D90EAA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9.6.2　</w:t>
      </w:r>
      <w:r>
        <w:rPr>
          <w:rFonts w:hint="eastAsia" w:ascii="宋体" w:hAnsi="宋体" w:eastAsia="宋体" w:cs="宋体"/>
          <w:color w:val="auto"/>
          <w:sz w:val="24"/>
          <w:szCs w:val="24"/>
          <w:lang w:eastAsia="zh-CN"/>
        </w:rPr>
        <w:t>承包人在施工过程中，应遵守有关水土保持的法律法规和规章，履行合同约定的水土保持义务，并对其违反法律和合同约定义务所造成的水土流失灾害、人身伤害和财产损失负责。</w:t>
      </w:r>
    </w:p>
    <w:p w14:paraId="0B87ABD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9.6.3　</w:t>
      </w:r>
      <w:r>
        <w:rPr>
          <w:rFonts w:hint="eastAsia" w:ascii="宋体" w:hAnsi="宋体" w:eastAsia="宋体" w:cs="宋体"/>
          <w:color w:val="auto"/>
          <w:sz w:val="24"/>
          <w:szCs w:val="24"/>
          <w:lang w:eastAsia="zh-CN"/>
        </w:rPr>
        <w:t>承包人的水土保持措施计划，应满足技术标准和要求（合同技术条款）约定的要求。</w:t>
      </w:r>
    </w:p>
    <w:p w14:paraId="6ED82B6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605" w:name="bookmark213"/>
      <w:bookmarkEnd w:id="605"/>
      <w:r>
        <w:rPr>
          <w:rFonts w:hint="eastAsia" w:ascii="宋体" w:hAnsi="宋体" w:eastAsia="宋体" w:cs="宋体"/>
          <w:b/>
          <w:bCs/>
          <w:color w:val="auto"/>
          <w:sz w:val="24"/>
          <w:szCs w:val="24"/>
          <w:lang w:eastAsia="zh-CN"/>
        </w:rPr>
        <w:t>9.7　文明工地</w:t>
      </w:r>
    </w:p>
    <w:p w14:paraId="7605CF27">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9.7.1　</w:t>
      </w:r>
      <w:r>
        <w:rPr>
          <w:rFonts w:hint="eastAsia" w:ascii="宋体" w:hAnsi="宋体" w:eastAsia="宋体" w:cs="宋体"/>
          <w:color w:val="auto"/>
          <w:sz w:val="24"/>
          <w:szCs w:val="24"/>
          <w:lang w:eastAsia="zh-CN"/>
        </w:rPr>
        <w:t>发包人应按专用合同条款的约定，负责建立建设文明建设工地的组织机构，制定建设文明建设工地的规划和办法。</w:t>
      </w:r>
    </w:p>
    <w:p w14:paraId="57E908F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9.7.2　</w:t>
      </w:r>
      <w:r>
        <w:rPr>
          <w:rFonts w:hint="eastAsia" w:ascii="宋体" w:hAnsi="宋体" w:eastAsia="宋体" w:cs="宋体"/>
          <w:color w:val="auto"/>
          <w:sz w:val="24"/>
          <w:szCs w:val="24"/>
          <w:lang w:eastAsia="zh-CN"/>
        </w:rPr>
        <w:t>承包人应按建设文明建设工地的规划和办法，履行职责，承担相应责任。所需费用应含在已标价工程量清单中。</w:t>
      </w:r>
    </w:p>
    <w:p w14:paraId="220A116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606" w:name="bookmark214"/>
      <w:bookmarkEnd w:id="606"/>
      <w:r>
        <w:rPr>
          <w:rFonts w:hint="eastAsia" w:ascii="宋体" w:hAnsi="宋体" w:eastAsia="宋体" w:cs="宋体"/>
          <w:b/>
          <w:bCs/>
          <w:color w:val="auto"/>
          <w:sz w:val="24"/>
          <w:szCs w:val="24"/>
          <w:lang w:eastAsia="zh-CN"/>
        </w:rPr>
        <w:t>9.8　　防汛度汛</w:t>
      </w:r>
    </w:p>
    <w:p w14:paraId="774A40D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9.8.1　</w:t>
      </w:r>
      <w:r>
        <w:rPr>
          <w:rFonts w:hint="eastAsia" w:ascii="宋体" w:hAnsi="宋体" w:eastAsia="宋体" w:cs="宋体"/>
          <w:color w:val="auto"/>
          <w:sz w:val="24"/>
          <w:szCs w:val="24"/>
          <w:lang w:eastAsia="zh-CN"/>
        </w:rPr>
        <w:t>发包人负责组织工程参建单位编制本工程的度汛方案和措施。</w:t>
      </w:r>
    </w:p>
    <w:p w14:paraId="76A60FDB">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9.8.2　</w:t>
      </w:r>
      <w:r>
        <w:rPr>
          <w:rFonts w:hint="eastAsia" w:ascii="宋体" w:hAnsi="宋体" w:eastAsia="宋体" w:cs="宋体"/>
          <w:color w:val="auto"/>
          <w:sz w:val="24"/>
          <w:szCs w:val="24"/>
          <w:lang w:eastAsia="zh-CN"/>
        </w:rPr>
        <w:t>承包人应根据发包人编制的本工程度汛方案和措施，制定相应的度汛方案，报发包人批准后实施。</w:t>
      </w:r>
    </w:p>
    <w:p w14:paraId="5BBB34BA">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607" w:name="bookmark216"/>
      <w:bookmarkEnd w:id="607"/>
      <w:bookmarkStart w:id="608" w:name="bookmark215"/>
      <w:bookmarkEnd w:id="608"/>
      <w:bookmarkStart w:id="609" w:name="_Toc6248"/>
      <w:bookmarkStart w:id="610" w:name="_Toc21043"/>
      <w:bookmarkStart w:id="611" w:name="_Toc18785"/>
      <w:bookmarkStart w:id="612" w:name="_Toc18398"/>
      <w:r>
        <w:rPr>
          <w:rFonts w:hint="eastAsia" w:ascii="宋体" w:hAnsi="宋体" w:eastAsia="宋体" w:cs="宋体"/>
          <w:b/>
          <w:bCs/>
          <w:color w:val="auto"/>
          <w:sz w:val="28"/>
          <w:szCs w:val="28"/>
          <w:lang w:eastAsia="zh-CN"/>
        </w:rPr>
        <w:t>10　进度计划</w:t>
      </w:r>
      <w:bookmarkEnd w:id="609"/>
      <w:bookmarkEnd w:id="610"/>
      <w:bookmarkEnd w:id="611"/>
      <w:bookmarkEnd w:id="612"/>
    </w:p>
    <w:p w14:paraId="37E29A4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613" w:name="bookmark696"/>
      <w:bookmarkEnd w:id="613"/>
      <w:r>
        <w:rPr>
          <w:rFonts w:hint="eastAsia" w:ascii="宋体" w:hAnsi="宋体" w:eastAsia="宋体" w:cs="宋体"/>
          <w:b/>
          <w:bCs/>
          <w:color w:val="auto"/>
          <w:sz w:val="24"/>
          <w:szCs w:val="24"/>
          <w:lang w:eastAsia="zh-CN"/>
        </w:rPr>
        <w:t>10.1　合同进度计划</w:t>
      </w:r>
    </w:p>
    <w:p w14:paraId="0B44DC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14:paraId="6BC249E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614" w:name="bookmark217"/>
      <w:bookmarkEnd w:id="614"/>
      <w:r>
        <w:rPr>
          <w:rFonts w:hint="eastAsia" w:ascii="宋体" w:hAnsi="宋体" w:eastAsia="宋体" w:cs="宋体"/>
          <w:b/>
          <w:bCs/>
          <w:color w:val="auto"/>
          <w:sz w:val="24"/>
          <w:szCs w:val="24"/>
          <w:lang w:eastAsia="zh-CN"/>
        </w:rPr>
        <w:t>10.2　合同进度计划的修订</w:t>
      </w:r>
    </w:p>
    <w:p w14:paraId="179A2E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10E8BB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4B5D90E2">
      <w:pPr>
        <w:widowControl w:val="0"/>
        <w:kinsoku/>
        <w:topLinePunct/>
        <w:autoSpaceDE/>
        <w:autoSpaceDN/>
        <w:spacing w:line="520" w:lineRule="exact"/>
        <w:ind w:firstLine="482" w:firstLineChars="200"/>
        <w:jc w:val="both"/>
        <w:outlineLvl w:val="3"/>
        <w:rPr>
          <w:rFonts w:hint="eastAsia" w:ascii="宋体" w:hAnsi="宋体" w:eastAsia="宋体" w:cs="宋体"/>
          <w:color w:val="auto"/>
          <w:sz w:val="24"/>
          <w:szCs w:val="24"/>
          <w:lang w:eastAsia="zh-CN"/>
        </w:rPr>
      </w:pPr>
      <w:bookmarkStart w:id="615" w:name="bookmark218"/>
      <w:bookmarkEnd w:id="615"/>
      <w:r>
        <w:rPr>
          <w:rFonts w:hint="eastAsia" w:ascii="宋体" w:hAnsi="宋体" w:eastAsia="宋体" w:cs="宋体"/>
          <w:b/>
          <w:bCs/>
          <w:color w:val="auto"/>
          <w:sz w:val="24"/>
          <w:szCs w:val="24"/>
          <w:lang w:eastAsia="zh-CN"/>
        </w:rPr>
        <w:t>10.3　单位工程进度计划</w:t>
      </w:r>
    </w:p>
    <w:p w14:paraId="5F8C04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监理人认为有必要时，承包人应按监理人指示的内容和期限，并根据合同进度计划的进度控制要求，编制单位工程进度计划，提交监理人审批。</w:t>
      </w:r>
    </w:p>
    <w:p w14:paraId="19A0BFA8">
      <w:pPr>
        <w:widowControl w:val="0"/>
        <w:kinsoku/>
        <w:topLinePunct/>
        <w:autoSpaceDE/>
        <w:autoSpaceDN/>
        <w:spacing w:line="520" w:lineRule="exact"/>
        <w:ind w:firstLine="482" w:firstLineChars="200"/>
        <w:jc w:val="both"/>
        <w:outlineLvl w:val="3"/>
        <w:rPr>
          <w:rFonts w:hint="eastAsia" w:ascii="宋体" w:hAnsi="宋体" w:eastAsia="宋体" w:cs="宋体"/>
          <w:color w:val="auto"/>
          <w:sz w:val="24"/>
          <w:szCs w:val="24"/>
          <w:lang w:eastAsia="zh-CN"/>
        </w:rPr>
      </w:pPr>
      <w:bookmarkStart w:id="616" w:name="bookmark219"/>
      <w:bookmarkEnd w:id="616"/>
      <w:r>
        <w:rPr>
          <w:rFonts w:hint="eastAsia" w:ascii="宋体" w:hAnsi="宋体" w:eastAsia="宋体" w:cs="宋体"/>
          <w:b/>
          <w:bCs/>
          <w:color w:val="auto"/>
          <w:sz w:val="24"/>
          <w:szCs w:val="24"/>
          <w:lang w:eastAsia="zh-CN"/>
        </w:rPr>
        <w:t>10.4　提交资金流估算表</w:t>
      </w:r>
    </w:p>
    <w:p w14:paraId="46E556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673B82CA">
      <w:pPr>
        <w:widowControl w:val="0"/>
        <w:kinsoku/>
        <w:wordWrap w:val="0"/>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资金流估算表（参考格式）</w:t>
      </w:r>
    </w:p>
    <w:p w14:paraId="71156BF4">
      <w:pPr>
        <w:widowControl w:val="0"/>
        <w:kinsoku/>
        <w:wordWrap w:val="0"/>
        <w:topLinePunct/>
        <w:autoSpaceDE/>
        <w:autoSpaceDN/>
        <w:spacing w:line="52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金额单位：</w:t>
      </w:r>
    </w:p>
    <w:tbl>
      <w:tblPr>
        <w:tblStyle w:val="20"/>
        <w:tblW w:w="8903"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594"/>
        <w:gridCol w:w="803"/>
        <w:gridCol w:w="1076"/>
        <w:gridCol w:w="1181"/>
        <w:gridCol w:w="884"/>
        <w:gridCol w:w="882"/>
        <w:gridCol w:w="767"/>
        <w:gridCol w:w="1037"/>
        <w:gridCol w:w="965"/>
      </w:tblGrid>
      <w:tr w14:paraId="079E4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4" w:type="dxa"/>
            <w:tcBorders>
              <w:top w:val="single" w:color="000000" w:sz="6" w:space="0"/>
              <w:left w:val="single" w:color="000000" w:sz="6" w:space="0"/>
            </w:tcBorders>
            <w:vAlign w:val="center"/>
          </w:tcPr>
          <w:p w14:paraId="5DDB510C">
            <w:pPr>
              <w:pStyle w:val="21"/>
              <w:widowControl w:val="0"/>
              <w:kinsoku/>
              <w:wordWrap w:val="0"/>
              <w:topLinePunct/>
              <w:autoSpaceDE/>
              <w:autoSpaceDN/>
              <w:jc w:val="center"/>
              <w:rPr>
                <w:rFonts w:hint="eastAsia"/>
                <w:color w:val="auto"/>
                <w:sz w:val="21"/>
                <w:szCs w:val="21"/>
              </w:rPr>
            </w:pPr>
            <w:r>
              <w:rPr>
                <w:color w:val="auto"/>
                <w:sz w:val="21"/>
                <w:szCs w:val="21"/>
              </w:rPr>
              <w:t>年</w:t>
            </w:r>
          </w:p>
        </w:tc>
        <w:tc>
          <w:tcPr>
            <w:tcW w:w="594" w:type="dxa"/>
            <w:tcBorders>
              <w:top w:val="single" w:color="000000" w:sz="6" w:space="0"/>
            </w:tcBorders>
            <w:vAlign w:val="center"/>
          </w:tcPr>
          <w:p w14:paraId="41C1184B">
            <w:pPr>
              <w:pStyle w:val="21"/>
              <w:widowControl w:val="0"/>
              <w:kinsoku/>
              <w:wordWrap w:val="0"/>
              <w:topLinePunct/>
              <w:autoSpaceDE/>
              <w:autoSpaceDN/>
              <w:jc w:val="center"/>
              <w:rPr>
                <w:rFonts w:hint="eastAsia"/>
                <w:color w:val="auto"/>
                <w:sz w:val="21"/>
                <w:szCs w:val="21"/>
              </w:rPr>
            </w:pPr>
            <w:r>
              <w:rPr>
                <w:color w:val="auto"/>
                <w:sz w:val="21"/>
                <w:szCs w:val="21"/>
              </w:rPr>
              <w:t>月</w:t>
            </w:r>
          </w:p>
        </w:tc>
        <w:tc>
          <w:tcPr>
            <w:tcW w:w="803" w:type="dxa"/>
            <w:tcBorders>
              <w:top w:val="single" w:color="000000" w:sz="6" w:space="0"/>
            </w:tcBorders>
            <w:vAlign w:val="center"/>
          </w:tcPr>
          <w:p w14:paraId="27CDD468">
            <w:pPr>
              <w:pStyle w:val="21"/>
              <w:widowControl w:val="0"/>
              <w:kinsoku/>
              <w:wordWrap w:val="0"/>
              <w:topLinePunct/>
              <w:autoSpaceDE/>
              <w:autoSpaceDN/>
              <w:jc w:val="center"/>
              <w:rPr>
                <w:rFonts w:hint="eastAsia"/>
                <w:color w:val="auto"/>
                <w:sz w:val="21"/>
                <w:szCs w:val="21"/>
              </w:rPr>
            </w:pPr>
            <w:r>
              <w:rPr>
                <w:color w:val="auto"/>
                <w:sz w:val="21"/>
                <w:szCs w:val="21"/>
              </w:rPr>
              <w:t>工程预付款</w:t>
            </w:r>
          </w:p>
        </w:tc>
        <w:tc>
          <w:tcPr>
            <w:tcW w:w="1076" w:type="dxa"/>
            <w:tcBorders>
              <w:top w:val="single" w:color="000000" w:sz="6" w:space="0"/>
            </w:tcBorders>
            <w:vAlign w:val="center"/>
          </w:tcPr>
          <w:p w14:paraId="1E5A677C">
            <w:pPr>
              <w:pStyle w:val="21"/>
              <w:widowControl w:val="0"/>
              <w:kinsoku/>
              <w:wordWrap w:val="0"/>
              <w:topLinePunct/>
              <w:autoSpaceDE/>
              <w:autoSpaceDN/>
              <w:jc w:val="center"/>
              <w:rPr>
                <w:rFonts w:hint="eastAsia"/>
                <w:color w:val="auto"/>
                <w:sz w:val="21"/>
                <w:szCs w:val="21"/>
              </w:rPr>
            </w:pPr>
            <w:r>
              <w:rPr>
                <w:color w:val="auto"/>
                <w:sz w:val="21"/>
                <w:szCs w:val="21"/>
              </w:rPr>
              <w:t>完成工作量付款</w:t>
            </w:r>
          </w:p>
        </w:tc>
        <w:tc>
          <w:tcPr>
            <w:tcW w:w="1181" w:type="dxa"/>
            <w:tcBorders>
              <w:top w:val="single" w:color="000000" w:sz="6" w:space="0"/>
            </w:tcBorders>
            <w:vAlign w:val="center"/>
          </w:tcPr>
          <w:p w14:paraId="0D40C163">
            <w:pPr>
              <w:pStyle w:val="21"/>
              <w:widowControl w:val="0"/>
              <w:kinsoku/>
              <w:wordWrap w:val="0"/>
              <w:topLinePunct/>
              <w:autoSpaceDE/>
              <w:autoSpaceDN/>
              <w:jc w:val="center"/>
              <w:rPr>
                <w:rFonts w:hint="eastAsia"/>
                <w:color w:val="auto"/>
                <w:sz w:val="21"/>
                <w:szCs w:val="21"/>
              </w:rPr>
            </w:pPr>
            <w:r>
              <w:rPr>
                <w:color w:val="auto"/>
                <w:sz w:val="21"/>
                <w:szCs w:val="21"/>
              </w:rPr>
              <w:t>质量保证金扣留</w:t>
            </w:r>
          </w:p>
        </w:tc>
        <w:tc>
          <w:tcPr>
            <w:tcW w:w="884" w:type="dxa"/>
            <w:tcBorders>
              <w:top w:val="single" w:color="000000" w:sz="6" w:space="0"/>
            </w:tcBorders>
            <w:vAlign w:val="center"/>
          </w:tcPr>
          <w:p w14:paraId="0847B56E">
            <w:pPr>
              <w:pStyle w:val="21"/>
              <w:widowControl w:val="0"/>
              <w:kinsoku/>
              <w:wordWrap w:val="0"/>
              <w:topLinePunct/>
              <w:autoSpaceDE/>
              <w:autoSpaceDN/>
              <w:jc w:val="center"/>
              <w:rPr>
                <w:rFonts w:hint="eastAsia"/>
                <w:color w:val="auto"/>
                <w:sz w:val="21"/>
                <w:szCs w:val="21"/>
              </w:rPr>
            </w:pPr>
            <w:r>
              <w:rPr>
                <w:color w:val="auto"/>
                <w:sz w:val="21"/>
                <w:szCs w:val="21"/>
              </w:rPr>
              <w:t>材料款扣除</w:t>
            </w:r>
          </w:p>
        </w:tc>
        <w:tc>
          <w:tcPr>
            <w:tcW w:w="882" w:type="dxa"/>
            <w:tcBorders>
              <w:top w:val="single" w:color="000000" w:sz="6" w:space="0"/>
            </w:tcBorders>
            <w:vAlign w:val="center"/>
          </w:tcPr>
          <w:p w14:paraId="4207F4DC">
            <w:pPr>
              <w:pStyle w:val="21"/>
              <w:widowControl w:val="0"/>
              <w:kinsoku/>
              <w:wordWrap w:val="0"/>
              <w:topLinePunct/>
              <w:autoSpaceDE/>
              <w:autoSpaceDN/>
              <w:jc w:val="center"/>
              <w:rPr>
                <w:rFonts w:hint="eastAsia"/>
                <w:color w:val="auto"/>
                <w:sz w:val="21"/>
                <w:szCs w:val="21"/>
              </w:rPr>
            </w:pPr>
            <w:r>
              <w:rPr>
                <w:color w:val="auto"/>
                <w:sz w:val="21"/>
                <w:szCs w:val="21"/>
              </w:rPr>
              <w:t>预付款扣还</w:t>
            </w:r>
          </w:p>
        </w:tc>
        <w:tc>
          <w:tcPr>
            <w:tcW w:w="767" w:type="dxa"/>
            <w:tcBorders>
              <w:top w:val="single" w:color="000000" w:sz="6" w:space="0"/>
            </w:tcBorders>
            <w:vAlign w:val="center"/>
          </w:tcPr>
          <w:p w14:paraId="464962BB">
            <w:pPr>
              <w:pStyle w:val="21"/>
              <w:widowControl w:val="0"/>
              <w:kinsoku/>
              <w:wordWrap w:val="0"/>
              <w:topLinePunct/>
              <w:autoSpaceDE/>
              <w:autoSpaceDN/>
              <w:jc w:val="center"/>
              <w:rPr>
                <w:rFonts w:hint="eastAsia"/>
                <w:color w:val="auto"/>
                <w:sz w:val="21"/>
                <w:szCs w:val="21"/>
              </w:rPr>
            </w:pPr>
            <w:r>
              <w:rPr>
                <w:color w:val="auto"/>
                <w:sz w:val="21"/>
                <w:szCs w:val="21"/>
              </w:rPr>
              <w:t>其他</w:t>
            </w:r>
          </w:p>
        </w:tc>
        <w:tc>
          <w:tcPr>
            <w:tcW w:w="1037" w:type="dxa"/>
            <w:tcBorders>
              <w:top w:val="single" w:color="000000" w:sz="6" w:space="0"/>
            </w:tcBorders>
            <w:vAlign w:val="center"/>
          </w:tcPr>
          <w:p w14:paraId="085D6C5D">
            <w:pPr>
              <w:pStyle w:val="21"/>
              <w:widowControl w:val="0"/>
              <w:kinsoku/>
              <w:wordWrap w:val="0"/>
              <w:topLinePunct/>
              <w:autoSpaceDE/>
              <w:autoSpaceDN/>
              <w:jc w:val="center"/>
              <w:rPr>
                <w:rFonts w:hint="eastAsia"/>
                <w:color w:val="auto"/>
                <w:sz w:val="21"/>
                <w:szCs w:val="21"/>
              </w:rPr>
            </w:pPr>
            <w:r>
              <w:rPr>
                <w:color w:val="auto"/>
                <w:sz w:val="21"/>
                <w:szCs w:val="21"/>
              </w:rPr>
              <w:t>应收款</w:t>
            </w:r>
          </w:p>
        </w:tc>
        <w:tc>
          <w:tcPr>
            <w:tcW w:w="965" w:type="dxa"/>
            <w:tcBorders>
              <w:top w:val="single" w:color="000000" w:sz="6" w:space="0"/>
              <w:right w:val="single" w:color="000000" w:sz="6" w:space="0"/>
            </w:tcBorders>
            <w:vAlign w:val="center"/>
          </w:tcPr>
          <w:p w14:paraId="0312E9C1">
            <w:pPr>
              <w:pStyle w:val="21"/>
              <w:widowControl w:val="0"/>
              <w:kinsoku/>
              <w:wordWrap w:val="0"/>
              <w:topLinePunct/>
              <w:autoSpaceDE/>
              <w:autoSpaceDN/>
              <w:jc w:val="center"/>
              <w:rPr>
                <w:rFonts w:hint="eastAsia"/>
                <w:color w:val="auto"/>
                <w:sz w:val="21"/>
                <w:szCs w:val="21"/>
              </w:rPr>
            </w:pPr>
            <w:r>
              <w:rPr>
                <w:color w:val="auto"/>
                <w:sz w:val="21"/>
                <w:szCs w:val="21"/>
              </w:rPr>
              <w:t>累计应收款</w:t>
            </w:r>
          </w:p>
        </w:tc>
      </w:tr>
      <w:tr w14:paraId="401D9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714" w:type="dxa"/>
            <w:tcBorders>
              <w:left w:val="single" w:color="000000" w:sz="6" w:space="0"/>
            </w:tcBorders>
            <w:vAlign w:val="center"/>
          </w:tcPr>
          <w:p w14:paraId="5EF9382C">
            <w:pPr>
              <w:widowControl w:val="0"/>
              <w:kinsoku/>
              <w:wordWrap w:val="0"/>
              <w:topLinePunct/>
              <w:autoSpaceDE/>
              <w:autoSpaceDN/>
              <w:jc w:val="center"/>
              <w:rPr>
                <w:color w:val="auto"/>
              </w:rPr>
            </w:pPr>
          </w:p>
        </w:tc>
        <w:tc>
          <w:tcPr>
            <w:tcW w:w="594" w:type="dxa"/>
            <w:vAlign w:val="center"/>
          </w:tcPr>
          <w:p w14:paraId="19ECE34B">
            <w:pPr>
              <w:widowControl w:val="0"/>
              <w:kinsoku/>
              <w:wordWrap w:val="0"/>
              <w:topLinePunct/>
              <w:autoSpaceDE/>
              <w:autoSpaceDN/>
              <w:jc w:val="center"/>
              <w:rPr>
                <w:color w:val="auto"/>
              </w:rPr>
            </w:pPr>
          </w:p>
        </w:tc>
        <w:tc>
          <w:tcPr>
            <w:tcW w:w="803" w:type="dxa"/>
            <w:vAlign w:val="center"/>
          </w:tcPr>
          <w:p w14:paraId="2FD86D58">
            <w:pPr>
              <w:widowControl w:val="0"/>
              <w:kinsoku/>
              <w:wordWrap w:val="0"/>
              <w:topLinePunct/>
              <w:autoSpaceDE/>
              <w:autoSpaceDN/>
              <w:jc w:val="center"/>
              <w:rPr>
                <w:color w:val="auto"/>
              </w:rPr>
            </w:pPr>
          </w:p>
        </w:tc>
        <w:tc>
          <w:tcPr>
            <w:tcW w:w="1076" w:type="dxa"/>
            <w:vAlign w:val="center"/>
          </w:tcPr>
          <w:p w14:paraId="1CE78C2F">
            <w:pPr>
              <w:widowControl w:val="0"/>
              <w:kinsoku/>
              <w:wordWrap w:val="0"/>
              <w:topLinePunct/>
              <w:autoSpaceDE/>
              <w:autoSpaceDN/>
              <w:jc w:val="center"/>
              <w:rPr>
                <w:color w:val="auto"/>
              </w:rPr>
            </w:pPr>
          </w:p>
        </w:tc>
        <w:tc>
          <w:tcPr>
            <w:tcW w:w="1181" w:type="dxa"/>
            <w:vAlign w:val="center"/>
          </w:tcPr>
          <w:p w14:paraId="79F997ED">
            <w:pPr>
              <w:widowControl w:val="0"/>
              <w:kinsoku/>
              <w:wordWrap w:val="0"/>
              <w:topLinePunct/>
              <w:autoSpaceDE/>
              <w:autoSpaceDN/>
              <w:jc w:val="center"/>
              <w:rPr>
                <w:color w:val="auto"/>
              </w:rPr>
            </w:pPr>
          </w:p>
        </w:tc>
        <w:tc>
          <w:tcPr>
            <w:tcW w:w="884" w:type="dxa"/>
            <w:vAlign w:val="center"/>
          </w:tcPr>
          <w:p w14:paraId="7746496B">
            <w:pPr>
              <w:widowControl w:val="0"/>
              <w:kinsoku/>
              <w:wordWrap w:val="0"/>
              <w:topLinePunct/>
              <w:autoSpaceDE/>
              <w:autoSpaceDN/>
              <w:jc w:val="center"/>
              <w:rPr>
                <w:color w:val="auto"/>
              </w:rPr>
            </w:pPr>
          </w:p>
        </w:tc>
        <w:tc>
          <w:tcPr>
            <w:tcW w:w="882" w:type="dxa"/>
            <w:vAlign w:val="center"/>
          </w:tcPr>
          <w:p w14:paraId="5E7B847B">
            <w:pPr>
              <w:widowControl w:val="0"/>
              <w:kinsoku/>
              <w:wordWrap w:val="0"/>
              <w:topLinePunct/>
              <w:autoSpaceDE/>
              <w:autoSpaceDN/>
              <w:jc w:val="center"/>
              <w:rPr>
                <w:color w:val="auto"/>
              </w:rPr>
            </w:pPr>
          </w:p>
        </w:tc>
        <w:tc>
          <w:tcPr>
            <w:tcW w:w="767" w:type="dxa"/>
            <w:vAlign w:val="center"/>
          </w:tcPr>
          <w:p w14:paraId="43965134">
            <w:pPr>
              <w:widowControl w:val="0"/>
              <w:kinsoku/>
              <w:wordWrap w:val="0"/>
              <w:topLinePunct/>
              <w:autoSpaceDE/>
              <w:autoSpaceDN/>
              <w:jc w:val="center"/>
              <w:rPr>
                <w:color w:val="auto"/>
              </w:rPr>
            </w:pPr>
          </w:p>
        </w:tc>
        <w:tc>
          <w:tcPr>
            <w:tcW w:w="1037" w:type="dxa"/>
            <w:vAlign w:val="center"/>
          </w:tcPr>
          <w:p w14:paraId="78B60EA8">
            <w:pPr>
              <w:widowControl w:val="0"/>
              <w:kinsoku/>
              <w:wordWrap w:val="0"/>
              <w:topLinePunct/>
              <w:autoSpaceDE/>
              <w:autoSpaceDN/>
              <w:jc w:val="center"/>
              <w:rPr>
                <w:color w:val="auto"/>
              </w:rPr>
            </w:pPr>
          </w:p>
        </w:tc>
        <w:tc>
          <w:tcPr>
            <w:tcW w:w="965" w:type="dxa"/>
            <w:tcBorders>
              <w:right w:val="single" w:color="000000" w:sz="6" w:space="0"/>
            </w:tcBorders>
            <w:vAlign w:val="center"/>
          </w:tcPr>
          <w:p w14:paraId="7B5D29E8">
            <w:pPr>
              <w:widowControl w:val="0"/>
              <w:kinsoku/>
              <w:wordWrap w:val="0"/>
              <w:topLinePunct/>
              <w:autoSpaceDE/>
              <w:autoSpaceDN/>
              <w:jc w:val="center"/>
              <w:rPr>
                <w:color w:val="auto"/>
              </w:rPr>
            </w:pPr>
          </w:p>
        </w:tc>
      </w:tr>
      <w:tr w14:paraId="468DB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14" w:type="dxa"/>
            <w:tcBorders>
              <w:left w:val="single" w:color="000000" w:sz="6" w:space="0"/>
            </w:tcBorders>
            <w:vAlign w:val="center"/>
          </w:tcPr>
          <w:p w14:paraId="4980B3E2">
            <w:pPr>
              <w:widowControl w:val="0"/>
              <w:kinsoku/>
              <w:wordWrap w:val="0"/>
              <w:topLinePunct/>
              <w:autoSpaceDE/>
              <w:autoSpaceDN/>
              <w:jc w:val="center"/>
              <w:rPr>
                <w:color w:val="auto"/>
              </w:rPr>
            </w:pPr>
          </w:p>
        </w:tc>
        <w:tc>
          <w:tcPr>
            <w:tcW w:w="594" w:type="dxa"/>
            <w:vAlign w:val="center"/>
          </w:tcPr>
          <w:p w14:paraId="6981D0FF">
            <w:pPr>
              <w:widowControl w:val="0"/>
              <w:kinsoku/>
              <w:wordWrap w:val="0"/>
              <w:topLinePunct/>
              <w:autoSpaceDE/>
              <w:autoSpaceDN/>
              <w:jc w:val="center"/>
              <w:rPr>
                <w:color w:val="auto"/>
              </w:rPr>
            </w:pPr>
          </w:p>
        </w:tc>
        <w:tc>
          <w:tcPr>
            <w:tcW w:w="803" w:type="dxa"/>
            <w:vAlign w:val="center"/>
          </w:tcPr>
          <w:p w14:paraId="343BB60E">
            <w:pPr>
              <w:widowControl w:val="0"/>
              <w:kinsoku/>
              <w:wordWrap w:val="0"/>
              <w:topLinePunct/>
              <w:autoSpaceDE/>
              <w:autoSpaceDN/>
              <w:jc w:val="center"/>
              <w:rPr>
                <w:color w:val="auto"/>
              </w:rPr>
            </w:pPr>
          </w:p>
        </w:tc>
        <w:tc>
          <w:tcPr>
            <w:tcW w:w="1076" w:type="dxa"/>
            <w:vAlign w:val="center"/>
          </w:tcPr>
          <w:p w14:paraId="71C414BE">
            <w:pPr>
              <w:widowControl w:val="0"/>
              <w:kinsoku/>
              <w:wordWrap w:val="0"/>
              <w:topLinePunct/>
              <w:autoSpaceDE/>
              <w:autoSpaceDN/>
              <w:jc w:val="center"/>
              <w:rPr>
                <w:color w:val="auto"/>
              </w:rPr>
            </w:pPr>
          </w:p>
        </w:tc>
        <w:tc>
          <w:tcPr>
            <w:tcW w:w="1181" w:type="dxa"/>
            <w:vAlign w:val="center"/>
          </w:tcPr>
          <w:p w14:paraId="0A5CBF2D">
            <w:pPr>
              <w:widowControl w:val="0"/>
              <w:kinsoku/>
              <w:wordWrap w:val="0"/>
              <w:topLinePunct/>
              <w:autoSpaceDE/>
              <w:autoSpaceDN/>
              <w:jc w:val="center"/>
              <w:rPr>
                <w:color w:val="auto"/>
              </w:rPr>
            </w:pPr>
          </w:p>
        </w:tc>
        <w:tc>
          <w:tcPr>
            <w:tcW w:w="884" w:type="dxa"/>
            <w:vAlign w:val="center"/>
          </w:tcPr>
          <w:p w14:paraId="231EE875">
            <w:pPr>
              <w:widowControl w:val="0"/>
              <w:kinsoku/>
              <w:wordWrap w:val="0"/>
              <w:topLinePunct/>
              <w:autoSpaceDE/>
              <w:autoSpaceDN/>
              <w:jc w:val="center"/>
              <w:rPr>
                <w:color w:val="auto"/>
              </w:rPr>
            </w:pPr>
          </w:p>
        </w:tc>
        <w:tc>
          <w:tcPr>
            <w:tcW w:w="882" w:type="dxa"/>
            <w:vAlign w:val="center"/>
          </w:tcPr>
          <w:p w14:paraId="73C89270">
            <w:pPr>
              <w:widowControl w:val="0"/>
              <w:kinsoku/>
              <w:wordWrap w:val="0"/>
              <w:topLinePunct/>
              <w:autoSpaceDE/>
              <w:autoSpaceDN/>
              <w:jc w:val="center"/>
              <w:rPr>
                <w:color w:val="auto"/>
              </w:rPr>
            </w:pPr>
          </w:p>
        </w:tc>
        <w:tc>
          <w:tcPr>
            <w:tcW w:w="767" w:type="dxa"/>
            <w:vAlign w:val="center"/>
          </w:tcPr>
          <w:p w14:paraId="70A6CCE5">
            <w:pPr>
              <w:widowControl w:val="0"/>
              <w:kinsoku/>
              <w:wordWrap w:val="0"/>
              <w:topLinePunct/>
              <w:autoSpaceDE/>
              <w:autoSpaceDN/>
              <w:jc w:val="center"/>
              <w:rPr>
                <w:color w:val="auto"/>
              </w:rPr>
            </w:pPr>
          </w:p>
        </w:tc>
        <w:tc>
          <w:tcPr>
            <w:tcW w:w="1037" w:type="dxa"/>
            <w:vAlign w:val="center"/>
          </w:tcPr>
          <w:p w14:paraId="4A0F50EC">
            <w:pPr>
              <w:widowControl w:val="0"/>
              <w:kinsoku/>
              <w:wordWrap w:val="0"/>
              <w:topLinePunct/>
              <w:autoSpaceDE/>
              <w:autoSpaceDN/>
              <w:jc w:val="center"/>
              <w:rPr>
                <w:color w:val="auto"/>
              </w:rPr>
            </w:pPr>
          </w:p>
        </w:tc>
        <w:tc>
          <w:tcPr>
            <w:tcW w:w="965" w:type="dxa"/>
            <w:tcBorders>
              <w:right w:val="single" w:color="000000" w:sz="6" w:space="0"/>
            </w:tcBorders>
            <w:vAlign w:val="center"/>
          </w:tcPr>
          <w:p w14:paraId="48A03E95">
            <w:pPr>
              <w:widowControl w:val="0"/>
              <w:kinsoku/>
              <w:wordWrap w:val="0"/>
              <w:topLinePunct/>
              <w:autoSpaceDE/>
              <w:autoSpaceDN/>
              <w:jc w:val="center"/>
              <w:rPr>
                <w:color w:val="auto"/>
              </w:rPr>
            </w:pPr>
          </w:p>
        </w:tc>
      </w:tr>
      <w:tr w14:paraId="7D30C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714" w:type="dxa"/>
            <w:tcBorders>
              <w:left w:val="single" w:color="000000" w:sz="6" w:space="0"/>
              <w:bottom w:val="single" w:color="000000" w:sz="6" w:space="0"/>
            </w:tcBorders>
            <w:vAlign w:val="center"/>
          </w:tcPr>
          <w:p w14:paraId="452FA36A">
            <w:pPr>
              <w:widowControl w:val="0"/>
              <w:kinsoku/>
              <w:wordWrap w:val="0"/>
              <w:topLinePunct/>
              <w:autoSpaceDE/>
              <w:autoSpaceDN/>
              <w:jc w:val="center"/>
              <w:rPr>
                <w:color w:val="auto"/>
              </w:rPr>
            </w:pPr>
          </w:p>
        </w:tc>
        <w:tc>
          <w:tcPr>
            <w:tcW w:w="594" w:type="dxa"/>
            <w:tcBorders>
              <w:bottom w:val="single" w:color="000000" w:sz="6" w:space="0"/>
            </w:tcBorders>
            <w:vAlign w:val="center"/>
          </w:tcPr>
          <w:p w14:paraId="4F9CE123">
            <w:pPr>
              <w:widowControl w:val="0"/>
              <w:kinsoku/>
              <w:wordWrap w:val="0"/>
              <w:topLinePunct/>
              <w:autoSpaceDE/>
              <w:autoSpaceDN/>
              <w:jc w:val="center"/>
              <w:rPr>
                <w:color w:val="auto"/>
              </w:rPr>
            </w:pPr>
          </w:p>
        </w:tc>
        <w:tc>
          <w:tcPr>
            <w:tcW w:w="803" w:type="dxa"/>
            <w:tcBorders>
              <w:bottom w:val="single" w:color="000000" w:sz="6" w:space="0"/>
            </w:tcBorders>
            <w:vAlign w:val="center"/>
          </w:tcPr>
          <w:p w14:paraId="5075EE6E">
            <w:pPr>
              <w:widowControl w:val="0"/>
              <w:kinsoku/>
              <w:wordWrap w:val="0"/>
              <w:topLinePunct/>
              <w:autoSpaceDE/>
              <w:autoSpaceDN/>
              <w:jc w:val="center"/>
              <w:rPr>
                <w:color w:val="auto"/>
              </w:rPr>
            </w:pPr>
          </w:p>
        </w:tc>
        <w:tc>
          <w:tcPr>
            <w:tcW w:w="1076" w:type="dxa"/>
            <w:tcBorders>
              <w:bottom w:val="single" w:color="000000" w:sz="6" w:space="0"/>
            </w:tcBorders>
            <w:vAlign w:val="center"/>
          </w:tcPr>
          <w:p w14:paraId="5748CF52">
            <w:pPr>
              <w:widowControl w:val="0"/>
              <w:kinsoku/>
              <w:wordWrap w:val="0"/>
              <w:topLinePunct/>
              <w:autoSpaceDE/>
              <w:autoSpaceDN/>
              <w:jc w:val="center"/>
              <w:rPr>
                <w:color w:val="auto"/>
              </w:rPr>
            </w:pPr>
          </w:p>
        </w:tc>
        <w:tc>
          <w:tcPr>
            <w:tcW w:w="1181" w:type="dxa"/>
            <w:tcBorders>
              <w:bottom w:val="single" w:color="000000" w:sz="6" w:space="0"/>
            </w:tcBorders>
            <w:vAlign w:val="center"/>
          </w:tcPr>
          <w:p w14:paraId="1F466312">
            <w:pPr>
              <w:widowControl w:val="0"/>
              <w:kinsoku/>
              <w:wordWrap w:val="0"/>
              <w:topLinePunct/>
              <w:autoSpaceDE/>
              <w:autoSpaceDN/>
              <w:jc w:val="center"/>
              <w:rPr>
                <w:color w:val="auto"/>
              </w:rPr>
            </w:pPr>
          </w:p>
        </w:tc>
        <w:tc>
          <w:tcPr>
            <w:tcW w:w="884" w:type="dxa"/>
            <w:tcBorders>
              <w:bottom w:val="single" w:color="000000" w:sz="6" w:space="0"/>
            </w:tcBorders>
            <w:vAlign w:val="center"/>
          </w:tcPr>
          <w:p w14:paraId="6A535AB1">
            <w:pPr>
              <w:widowControl w:val="0"/>
              <w:kinsoku/>
              <w:wordWrap w:val="0"/>
              <w:topLinePunct/>
              <w:autoSpaceDE/>
              <w:autoSpaceDN/>
              <w:jc w:val="center"/>
              <w:rPr>
                <w:color w:val="auto"/>
              </w:rPr>
            </w:pPr>
          </w:p>
        </w:tc>
        <w:tc>
          <w:tcPr>
            <w:tcW w:w="882" w:type="dxa"/>
            <w:tcBorders>
              <w:bottom w:val="single" w:color="000000" w:sz="6" w:space="0"/>
            </w:tcBorders>
            <w:vAlign w:val="center"/>
          </w:tcPr>
          <w:p w14:paraId="1ACB1823">
            <w:pPr>
              <w:widowControl w:val="0"/>
              <w:kinsoku/>
              <w:wordWrap w:val="0"/>
              <w:topLinePunct/>
              <w:autoSpaceDE/>
              <w:autoSpaceDN/>
              <w:jc w:val="center"/>
              <w:rPr>
                <w:color w:val="auto"/>
              </w:rPr>
            </w:pPr>
          </w:p>
        </w:tc>
        <w:tc>
          <w:tcPr>
            <w:tcW w:w="767" w:type="dxa"/>
            <w:tcBorders>
              <w:bottom w:val="single" w:color="000000" w:sz="6" w:space="0"/>
            </w:tcBorders>
            <w:vAlign w:val="center"/>
          </w:tcPr>
          <w:p w14:paraId="7C69B667">
            <w:pPr>
              <w:widowControl w:val="0"/>
              <w:kinsoku/>
              <w:wordWrap w:val="0"/>
              <w:topLinePunct/>
              <w:autoSpaceDE/>
              <w:autoSpaceDN/>
              <w:jc w:val="center"/>
              <w:rPr>
                <w:color w:val="auto"/>
              </w:rPr>
            </w:pPr>
          </w:p>
        </w:tc>
        <w:tc>
          <w:tcPr>
            <w:tcW w:w="1037" w:type="dxa"/>
            <w:tcBorders>
              <w:bottom w:val="single" w:color="000000" w:sz="6" w:space="0"/>
            </w:tcBorders>
            <w:vAlign w:val="center"/>
          </w:tcPr>
          <w:p w14:paraId="7E877664">
            <w:pPr>
              <w:widowControl w:val="0"/>
              <w:kinsoku/>
              <w:wordWrap w:val="0"/>
              <w:topLinePunct/>
              <w:autoSpaceDE/>
              <w:autoSpaceDN/>
              <w:jc w:val="center"/>
              <w:rPr>
                <w:color w:val="auto"/>
              </w:rPr>
            </w:pPr>
          </w:p>
        </w:tc>
        <w:tc>
          <w:tcPr>
            <w:tcW w:w="965" w:type="dxa"/>
            <w:tcBorders>
              <w:bottom w:val="single" w:color="000000" w:sz="6" w:space="0"/>
              <w:right w:val="single" w:color="000000" w:sz="6" w:space="0"/>
            </w:tcBorders>
            <w:vAlign w:val="center"/>
          </w:tcPr>
          <w:p w14:paraId="2DD5C69A">
            <w:pPr>
              <w:widowControl w:val="0"/>
              <w:kinsoku/>
              <w:wordWrap w:val="0"/>
              <w:topLinePunct/>
              <w:autoSpaceDE/>
              <w:autoSpaceDN/>
              <w:jc w:val="center"/>
              <w:rPr>
                <w:color w:val="auto"/>
              </w:rPr>
            </w:pPr>
          </w:p>
        </w:tc>
      </w:tr>
    </w:tbl>
    <w:p w14:paraId="5364629C">
      <w:pPr>
        <w:widowControl w:val="0"/>
        <w:kinsoku/>
        <w:topLinePunct/>
        <w:autoSpaceDE/>
        <w:autoSpaceDN/>
        <w:spacing w:line="520" w:lineRule="exact"/>
        <w:jc w:val="both"/>
        <w:outlineLvl w:val="2"/>
        <w:rPr>
          <w:rFonts w:hint="eastAsia" w:ascii="宋体" w:hAnsi="宋体" w:eastAsia="宋体" w:cs="宋体"/>
          <w:b/>
          <w:bCs/>
          <w:color w:val="auto"/>
          <w:sz w:val="28"/>
          <w:szCs w:val="28"/>
        </w:rPr>
      </w:pPr>
      <w:bookmarkStart w:id="617" w:name="bookmark220"/>
      <w:bookmarkEnd w:id="617"/>
      <w:bookmarkStart w:id="618" w:name="bookmark221"/>
      <w:bookmarkEnd w:id="618"/>
      <w:bookmarkStart w:id="619" w:name="_Toc22765"/>
      <w:bookmarkStart w:id="620" w:name="_Toc6822"/>
      <w:bookmarkStart w:id="621" w:name="_Toc16364"/>
      <w:bookmarkStart w:id="622" w:name="_Toc22129"/>
      <w:r>
        <w:rPr>
          <w:rFonts w:hint="eastAsia" w:ascii="宋体" w:hAnsi="宋体" w:eastAsia="宋体" w:cs="宋体"/>
          <w:b/>
          <w:bCs/>
          <w:color w:val="auto"/>
          <w:sz w:val="28"/>
          <w:szCs w:val="28"/>
        </w:rPr>
        <w:t>11</w:t>
      </w:r>
      <w:r>
        <w:rPr>
          <w:rFonts w:hint="eastAsia" w:ascii="宋体" w:hAnsi="宋体" w:eastAsia="宋体" w:cs="宋体"/>
          <w:b/>
          <w:bCs/>
          <w:color w:val="auto"/>
          <w:sz w:val="28"/>
          <w:szCs w:val="28"/>
          <w:lang w:eastAsia="zh-CN"/>
        </w:rPr>
        <w:t>　</w:t>
      </w:r>
      <w:r>
        <w:rPr>
          <w:rFonts w:hint="eastAsia" w:ascii="宋体" w:hAnsi="宋体" w:eastAsia="宋体" w:cs="宋体"/>
          <w:b/>
          <w:bCs/>
          <w:color w:val="auto"/>
          <w:sz w:val="28"/>
          <w:szCs w:val="28"/>
        </w:rPr>
        <w:t>开工和完工</w:t>
      </w:r>
      <w:bookmarkEnd w:id="619"/>
      <w:bookmarkEnd w:id="620"/>
      <w:bookmarkEnd w:id="621"/>
      <w:bookmarkEnd w:id="622"/>
    </w:p>
    <w:p w14:paraId="4D27D436">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rPr>
      </w:pPr>
      <w:bookmarkStart w:id="623" w:name="bookmark697"/>
      <w:bookmarkEnd w:id="623"/>
      <w:r>
        <w:rPr>
          <w:rFonts w:ascii="Times New Roman" w:hAnsi="Times New Roman" w:eastAsia="Times New Roman" w:cs="Times New Roman"/>
          <w:b/>
          <w:bCs/>
          <w:color w:val="auto"/>
          <w:sz w:val="24"/>
          <w:szCs w:val="24"/>
        </w:rPr>
        <w:t>11.1</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rPr>
        <w:t>开工</w:t>
      </w:r>
    </w:p>
    <w:p w14:paraId="0C04F7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11.1.1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监理人应在开工日期</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天前向承包人发出开工通知。监理人在发出开工通知前应获得发包人同意。工期自监理人发出的开工通知中载明的开工日期起计算。承包人应在开工日期后尽快施工。</w:t>
      </w:r>
    </w:p>
    <w:p w14:paraId="35A277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11.1.2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承包人应按第</w:t>
      </w:r>
      <w:r>
        <w:rPr>
          <w:rFonts w:ascii="Times New Roman" w:hAnsi="Times New Roman" w:eastAsia="Times New Roman" w:cs="Times New Roman"/>
          <w:color w:val="auto"/>
          <w:sz w:val="24"/>
          <w:szCs w:val="24"/>
          <w:lang w:eastAsia="zh-CN"/>
        </w:rPr>
        <w:t>10.1</w:t>
      </w:r>
      <w:r>
        <w:rPr>
          <w:rFonts w:ascii="宋体" w:hAnsi="宋体" w:eastAsia="宋体" w:cs="宋体"/>
          <w:color w:val="auto"/>
          <w:sz w:val="24"/>
          <w:szCs w:val="24"/>
          <w:lang w:eastAsia="zh-CN"/>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34C279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11.1.3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若发包人未能按合同约定向承包人提供开工的必要条件，承包人有权要求延长工期。监理人应在收到承包人的书面要求后，按第</w:t>
      </w:r>
      <w:r>
        <w:rPr>
          <w:rFonts w:ascii="Times New Roman" w:hAnsi="Times New Roman" w:eastAsia="Times New Roman" w:cs="Times New Roman"/>
          <w:color w:val="auto"/>
          <w:sz w:val="24"/>
          <w:szCs w:val="24"/>
          <w:lang w:eastAsia="zh-CN"/>
        </w:rPr>
        <w:t>3.5</w:t>
      </w:r>
      <w:r>
        <w:rPr>
          <w:rFonts w:ascii="宋体" w:hAnsi="宋体" w:eastAsia="宋体" w:cs="宋体"/>
          <w:color w:val="auto"/>
          <w:sz w:val="24"/>
          <w:szCs w:val="24"/>
          <w:lang w:eastAsia="zh-CN"/>
        </w:rPr>
        <w:t>款的约定，与合同双方商定或确定增加的费用和延长的工期。</w:t>
      </w:r>
    </w:p>
    <w:p w14:paraId="23B625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11.1.4</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承包人在接到开工通知后</w:t>
      </w:r>
      <w:r>
        <w:rPr>
          <w:rFonts w:ascii="Times New Roman" w:hAnsi="Times New Roman" w:eastAsia="Times New Roman" w:cs="Times New Roman"/>
          <w:color w:val="auto"/>
          <w:sz w:val="24"/>
          <w:szCs w:val="24"/>
          <w:lang w:eastAsia="zh-CN"/>
        </w:rPr>
        <w:t>14</w:t>
      </w:r>
      <w:r>
        <w:rPr>
          <w:rFonts w:ascii="宋体" w:hAnsi="宋体" w:eastAsia="宋体" w:cs="宋体"/>
          <w:color w:val="auto"/>
          <w:sz w:val="24"/>
          <w:szCs w:val="24"/>
          <w:lang w:eastAsia="zh-CN"/>
        </w:rPr>
        <w:t>天内未按进度计划要求及时进场组织施工，监理人可通知承包人在接到通知后</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天内提交一份说明其进场延误的书面报告，报送监理人。书面报告应说明不能及时进场的原因和补救措施，由此增加的费用和工期延误责任由承包人承担。</w:t>
      </w:r>
    </w:p>
    <w:p w14:paraId="1DBCDAA9">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24" w:name="bookmark222"/>
      <w:bookmarkEnd w:id="624"/>
      <w:r>
        <w:rPr>
          <w:rFonts w:ascii="Times New Roman" w:hAnsi="Times New Roman" w:eastAsia="Times New Roman" w:cs="Times New Roman"/>
          <w:b/>
          <w:bCs/>
          <w:color w:val="auto"/>
          <w:sz w:val="24"/>
          <w:szCs w:val="24"/>
          <w:lang w:eastAsia="zh-CN"/>
        </w:rPr>
        <w:t>11.2</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完工</w:t>
      </w:r>
    </w:p>
    <w:p w14:paraId="711D38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承包人应在第</w:t>
      </w:r>
      <w:r>
        <w:fldChar w:fldCharType="begin"/>
      </w:r>
      <w:r>
        <w:rPr>
          <w:lang w:eastAsia="zh-CN"/>
        </w:rPr>
        <w:instrText xml:space="preserve">HYPERLINK "1.1.4.3"</w:instrText>
      </w:r>
      <w:r>
        <w:fldChar w:fldCharType="separate"/>
      </w:r>
      <w:r>
        <w:rPr>
          <w:rFonts w:ascii="Times New Roman" w:hAnsi="Times New Roman" w:eastAsia="Times New Roman" w:cs="Times New Roman"/>
          <w:color w:val="auto"/>
          <w:sz w:val="24"/>
          <w:szCs w:val="24"/>
          <w:lang w:eastAsia="zh-CN"/>
        </w:rPr>
        <w:t>1.1.4.3</w:t>
      </w:r>
      <w:r>
        <w:fldChar w:fldCharType="end"/>
      </w:r>
      <w:r>
        <w:rPr>
          <w:rFonts w:ascii="宋体" w:hAnsi="宋体" w:eastAsia="宋体" w:cs="宋体"/>
          <w:color w:val="auto"/>
          <w:sz w:val="24"/>
          <w:szCs w:val="24"/>
          <w:lang w:eastAsia="zh-CN"/>
        </w:rPr>
        <w:t>目约定的期限内完成合同工程。合同工程实际完工日期在合同工程完工证书中明确。</w:t>
      </w:r>
    </w:p>
    <w:p w14:paraId="090A5577">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25" w:name="bookmark223"/>
      <w:bookmarkEnd w:id="625"/>
      <w:r>
        <w:rPr>
          <w:rFonts w:ascii="Times New Roman" w:hAnsi="Times New Roman" w:eastAsia="Times New Roman" w:cs="Times New Roman"/>
          <w:b/>
          <w:bCs/>
          <w:color w:val="auto"/>
          <w:sz w:val="24"/>
          <w:szCs w:val="24"/>
          <w:lang w:eastAsia="zh-CN"/>
        </w:rPr>
        <w:t>11.3</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发包人的工期延误</w:t>
      </w:r>
    </w:p>
    <w:p w14:paraId="6C7D5B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在履行合同过程中，由于发包人的下列原因造成工期延误的，承包人有权要求发包人延长工期和（或）增加费用，并支付合理利润。需要修订合同进度计划的，按照第</w:t>
      </w:r>
      <w:r>
        <w:rPr>
          <w:rFonts w:ascii="Times New Roman" w:hAnsi="Times New Roman" w:eastAsia="Times New Roman" w:cs="Times New Roman"/>
          <w:color w:val="auto"/>
          <w:sz w:val="24"/>
          <w:szCs w:val="24"/>
          <w:lang w:eastAsia="zh-CN"/>
        </w:rPr>
        <w:t>10.2</w:t>
      </w:r>
      <w:r>
        <w:rPr>
          <w:rFonts w:ascii="宋体" w:hAnsi="宋体" w:eastAsia="宋体" w:cs="宋体"/>
          <w:color w:val="auto"/>
          <w:sz w:val="24"/>
          <w:szCs w:val="24"/>
          <w:lang w:eastAsia="zh-CN"/>
        </w:rPr>
        <w:t>款的约定办理。</w:t>
      </w:r>
    </w:p>
    <w:p w14:paraId="2030AE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）增加合同工作内容。</w:t>
      </w:r>
    </w:p>
    <w:p w14:paraId="06AC69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）改变合同中任何一项工作的质量要求或其他特性。</w:t>
      </w:r>
    </w:p>
    <w:p w14:paraId="1F5F8D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）发包人迟延提供材料、工程设备或变更交货地点的。</w:t>
      </w:r>
    </w:p>
    <w:p w14:paraId="2FCE18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）因发包人原因导致的暂停施工。</w:t>
      </w:r>
    </w:p>
    <w:p w14:paraId="109D3B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）提供图纸延误。</w:t>
      </w:r>
    </w:p>
    <w:p w14:paraId="7B02FC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）未按合同约定及时支付预付款、进度款。</w:t>
      </w:r>
    </w:p>
    <w:p w14:paraId="3CA23C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）发包人造成工期延误的其他原因。</w:t>
      </w:r>
    </w:p>
    <w:p w14:paraId="36F8B5B9">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26" w:name="bookmark224"/>
      <w:bookmarkEnd w:id="626"/>
      <w:r>
        <w:rPr>
          <w:rFonts w:ascii="Times New Roman" w:hAnsi="Times New Roman" w:eastAsia="Times New Roman" w:cs="Times New Roman"/>
          <w:b/>
          <w:bCs/>
          <w:color w:val="auto"/>
          <w:sz w:val="24"/>
          <w:szCs w:val="24"/>
          <w:lang w:eastAsia="zh-CN"/>
        </w:rPr>
        <w:t>11.4</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异常恶劣的气候条件</w:t>
      </w:r>
    </w:p>
    <w:p w14:paraId="7E605A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11.4.1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当工程所在地发生危及施工安全的异常恶劣气候时，发包人和承包人应按本合同通用合同条款第</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条的约定，及时采取暂停施工或部分暂停施工措施。异常恶劣气候条件解除后，承包人应及时安排复工。</w:t>
      </w:r>
    </w:p>
    <w:p w14:paraId="5173B7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11.4.2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异常恶劣气候条件造成的工期延误和工程损坏，应由发包人与承包人参照本合同通用合同条款第</w:t>
      </w:r>
      <w:r>
        <w:rPr>
          <w:rFonts w:ascii="Times New Roman" w:hAnsi="Times New Roman" w:eastAsia="Times New Roman" w:cs="Times New Roman"/>
          <w:color w:val="auto"/>
          <w:sz w:val="24"/>
          <w:szCs w:val="24"/>
          <w:lang w:eastAsia="zh-CN"/>
        </w:rPr>
        <w:t>21.3</w:t>
      </w:r>
      <w:r>
        <w:rPr>
          <w:rFonts w:ascii="宋体" w:hAnsi="宋体" w:eastAsia="宋体" w:cs="宋体"/>
          <w:color w:val="auto"/>
          <w:sz w:val="24"/>
          <w:szCs w:val="24"/>
          <w:lang w:eastAsia="zh-CN"/>
        </w:rPr>
        <w:t>款的约定协商处理。</w:t>
      </w:r>
    </w:p>
    <w:p w14:paraId="5F4BBB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11.4.3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本合同工程界定异常恶劣气候条件的范围在专用合同条款中约定。</w:t>
      </w:r>
    </w:p>
    <w:p w14:paraId="775D2088">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27" w:name="bookmark225"/>
      <w:bookmarkEnd w:id="627"/>
      <w:r>
        <w:rPr>
          <w:rFonts w:ascii="Times New Roman" w:hAnsi="Times New Roman" w:eastAsia="Times New Roman" w:cs="Times New Roman"/>
          <w:b/>
          <w:bCs/>
          <w:color w:val="auto"/>
          <w:sz w:val="24"/>
          <w:szCs w:val="24"/>
          <w:lang w:eastAsia="zh-CN"/>
        </w:rPr>
        <w:t>11.5</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承包人的工期延误</w:t>
      </w:r>
    </w:p>
    <w:p w14:paraId="4AB5FE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由于承包人原因，未能按合同进度计划完成工作，或监理人认为承包人施工进度不能满足合同工期要求的，承包人应采取措施加快进度，并承担加快进度所增加的费用。由于承包人原因造成工期延误，承包人应支付逾期完工违约金。逾期完工违约金的计算方法在专用合同条款中约定。承包人支付逾期完工违约金，不免除承包人完成工程及修补缺陷的义务。</w:t>
      </w:r>
    </w:p>
    <w:p w14:paraId="42DE95A0">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28" w:name="bookmark226"/>
      <w:bookmarkEnd w:id="628"/>
      <w:r>
        <w:rPr>
          <w:rFonts w:ascii="Times New Roman" w:hAnsi="Times New Roman" w:eastAsia="Times New Roman" w:cs="Times New Roman"/>
          <w:b/>
          <w:bCs/>
          <w:color w:val="auto"/>
          <w:sz w:val="24"/>
          <w:szCs w:val="24"/>
          <w:lang w:eastAsia="zh-CN"/>
        </w:rPr>
        <w:t>11.6</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工期提前</w:t>
      </w:r>
    </w:p>
    <w:p w14:paraId="701F01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708883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发包人要求提前完工的，双方协商一致后应签订提前完工协议，协议内容包括：</w:t>
      </w:r>
    </w:p>
    <w:p w14:paraId="403551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）提前的时间和修订后的进度计划。</w:t>
      </w:r>
    </w:p>
    <w:p w14:paraId="58892E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）承包人的赶工措施。</w:t>
      </w:r>
    </w:p>
    <w:p w14:paraId="21BF75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）发包人为赶工提供的条件。</w:t>
      </w:r>
    </w:p>
    <w:p w14:paraId="491481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）赶工费用（包括利润和奖金）。</w:t>
      </w:r>
    </w:p>
    <w:p w14:paraId="32AB25BC">
      <w:pPr>
        <w:widowControl w:val="0"/>
        <w:kinsoku/>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629" w:name="bookmark228"/>
      <w:bookmarkEnd w:id="629"/>
      <w:bookmarkStart w:id="630" w:name="bookmark227"/>
      <w:bookmarkEnd w:id="630"/>
      <w:bookmarkStart w:id="631" w:name="_Toc21354"/>
      <w:bookmarkStart w:id="632" w:name="_Toc11489"/>
      <w:bookmarkStart w:id="633" w:name="_Toc641"/>
      <w:bookmarkStart w:id="634" w:name="_Toc6888"/>
      <w:r>
        <w:rPr>
          <w:rFonts w:hint="eastAsia" w:ascii="宋体" w:hAnsi="宋体" w:eastAsia="宋体" w:cs="宋体"/>
          <w:b/>
          <w:bCs/>
          <w:color w:val="auto"/>
          <w:sz w:val="28"/>
          <w:szCs w:val="28"/>
          <w:lang w:eastAsia="zh-CN"/>
        </w:rPr>
        <w:t>12　暂停施工</w:t>
      </w:r>
      <w:bookmarkEnd w:id="631"/>
      <w:bookmarkEnd w:id="632"/>
      <w:bookmarkEnd w:id="633"/>
      <w:bookmarkEnd w:id="634"/>
    </w:p>
    <w:p w14:paraId="6AD36719">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35" w:name="bookmark698"/>
      <w:bookmarkEnd w:id="635"/>
      <w:r>
        <w:rPr>
          <w:rFonts w:ascii="Times New Roman" w:hAnsi="Times New Roman" w:eastAsia="Times New Roman" w:cs="Times New Roman"/>
          <w:b/>
          <w:bCs/>
          <w:color w:val="auto"/>
          <w:sz w:val="24"/>
          <w:szCs w:val="24"/>
          <w:lang w:eastAsia="zh-CN"/>
        </w:rPr>
        <w:t>12.1</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承包人暂停施工的责任</w:t>
      </w:r>
    </w:p>
    <w:p w14:paraId="4B2727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因下列暂停施工增加的费用和（或）工期延误由承包人承担：</w:t>
      </w:r>
    </w:p>
    <w:p w14:paraId="381269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）承包人违约引起的暂停施工。</w:t>
      </w:r>
    </w:p>
    <w:p w14:paraId="356FDB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）由于承包人原因为工程合理施工和安全保障所必需的暂停施工。</w:t>
      </w:r>
    </w:p>
    <w:p w14:paraId="1F539E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）承包人擅自暂停施工。</w:t>
      </w:r>
    </w:p>
    <w:p w14:paraId="65ED06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）承包人其他原因引起的暂停施工。</w:t>
      </w:r>
    </w:p>
    <w:p w14:paraId="511C79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）专用合同条款约定由承包人承担的其他暂停施工。</w:t>
      </w:r>
    </w:p>
    <w:p w14:paraId="4C7232BB">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36" w:name="bookmark229"/>
      <w:bookmarkEnd w:id="636"/>
      <w:r>
        <w:rPr>
          <w:rFonts w:ascii="Times New Roman" w:hAnsi="Times New Roman" w:eastAsia="Times New Roman" w:cs="Times New Roman"/>
          <w:b/>
          <w:bCs/>
          <w:color w:val="auto"/>
          <w:sz w:val="24"/>
          <w:szCs w:val="24"/>
          <w:lang w:eastAsia="zh-CN"/>
        </w:rPr>
        <w:t>12.2</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发包人暂停施工的责任</w:t>
      </w:r>
    </w:p>
    <w:p w14:paraId="541120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由于发包人原因引起的暂停施工造成工期延误的，承包人有权要求发包人延长工期和（或）增加费用，并支付合理利润。</w:t>
      </w:r>
    </w:p>
    <w:p w14:paraId="30205B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属于下列任何一种情况引起的暂停施工，均为发包人的责任：</w:t>
      </w:r>
    </w:p>
    <w:p w14:paraId="6450F9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）由于发包人违约引起的暂停施工。</w:t>
      </w:r>
    </w:p>
    <w:p w14:paraId="118EFA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）由于不可抗力的自然或社会因素引起的暂停施工。</w:t>
      </w:r>
    </w:p>
    <w:p w14:paraId="352D62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）专用合同条款中约定的其他由于发包人原因引起的暂停施工。</w:t>
      </w:r>
    </w:p>
    <w:p w14:paraId="291F62AF">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37" w:name="bookmark230"/>
      <w:bookmarkEnd w:id="637"/>
      <w:r>
        <w:rPr>
          <w:rFonts w:ascii="Times New Roman" w:hAnsi="Times New Roman" w:eastAsia="Times New Roman" w:cs="Times New Roman"/>
          <w:b/>
          <w:bCs/>
          <w:color w:val="auto"/>
          <w:sz w:val="24"/>
          <w:szCs w:val="24"/>
          <w:lang w:eastAsia="zh-CN"/>
        </w:rPr>
        <w:t>12.3</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监理人暂停施工指示</w:t>
      </w:r>
    </w:p>
    <w:p w14:paraId="34198B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12.3.1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监理人认为有必要时，可向承包人作出暂停施工的指示，承包人应按监理人指示暂停施工。不论由于何种原因引起的暂停施工，暂停施工期间承包人应负责妥善保护工程并提供安全保障。</w:t>
      </w:r>
    </w:p>
    <w:p w14:paraId="5316C7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12.3.2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由于发包人的原因发生暂停施工的紧急情况，且监理人未及时下达暂停施工指示的，承包人可先暂停施工，并及时向监理人提出暂停施工的书面请求。监理人应在接到书面请求后的</w:t>
      </w:r>
      <w:r>
        <w:rPr>
          <w:rFonts w:ascii="Times New Roman" w:hAnsi="Times New Roman" w:eastAsia="Times New Roman" w:cs="Times New Roman"/>
          <w:color w:val="auto"/>
          <w:sz w:val="24"/>
          <w:szCs w:val="24"/>
          <w:lang w:eastAsia="zh-CN"/>
        </w:rPr>
        <w:t>24</w:t>
      </w:r>
      <w:r>
        <w:rPr>
          <w:rFonts w:ascii="宋体" w:hAnsi="宋体" w:eastAsia="宋体" w:cs="宋体"/>
          <w:color w:val="auto"/>
          <w:sz w:val="24"/>
          <w:szCs w:val="24"/>
          <w:lang w:eastAsia="zh-CN"/>
        </w:rPr>
        <w:t>小时内予以答复，逾期未答复的，视为同意承包人的暂停施工请求。</w:t>
      </w:r>
    </w:p>
    <w:p w14:paraId="2BE1A816">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38" w:name="bookmark231"/>
      <w:bookmarkEnd w:id="638"/>
      <w:r>
        <w:rPr>
          <w:rFonts w:ascii="Times New Roman" w:hAnsi="Times New Roman" w:eastAsia="Times New Roman" w:cs="Times New Roman"/>
          <w:b/>
          <w:bCs/>
          <w:color w:val="auto"/>
          <w:sz w:val="24"/>
          <w:szCs w:val="24"/>
          <w:lang w:eastAsia="zh-CN"/>
        </w:rPr>
        <w:t>12.4</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暂停施工后的复工</w:t>
      </w:r>
    </w:p>
    <w:p w14:paraId="0AFA13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12.4.1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36D7A2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12.4.2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承包人无故拖延和拒绝复工的，由此增加的费用和工期延误由承包人承担；因发包人原因无法按时复工的，承包人有权要求发包人延长工期和（或）增加费用，并支付合理利润。</w:t>
      </w:r>
    </w:p>
    <w:p w14:paraId="0992420E">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39" w:name="bookmark232"/>
      <w:bookmarkEnd w:id="639"/>
      <w:r>
        <w:rPr>
          <w:rFonts w:ascii="Times New Roman" w:hAnsi="Times New Roman" w:eastAsia="Times New Roman" w:cs="Times New Roman"/>
          <w:b/>
          <w:bCs/>
          <w:color w:val="auto"/>
          <w:sz w:val="24"/>
          <w:szCs w:val="24"/>
          <w:lang w:eastAsia="zh-CN"/>
        </w:rPr>
        <w:t>12.5</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暂停施工持续56天以上</w:t>
      </w:r>
    </w:p>
    <w:p w14:paraId="4AFCD2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12.5.1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监理人发出暂停施工指示后</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天内未向承包人发出复工通知，除了该项停工属于第</w:t>
      </w:r>
      <w:r>
        <w:rPr>
          <w:rFonts w:ascii="Times New Roman" w:hAnsi="Times New Roman" w:eastAsia="Times New Roman" w:cs="Times New Roman"/>
          <w:color w:val="auto"/>
          <w:sz w:val="24"/>
          <w:szCs w:val="24"/>
          <w:lang w:eastAsia="zh-CN"/>
        </w:rPr>
        <w:t>12.1</w:t>
      </w:r>
      <w:r>
        <w:rPr>
          <w:rFonts w:ascii="宋体" w:hAnsi="宋体" w:eastAsia="宋体" w:cs="宋体"/>
          <w:color w:val="auto"/>
          <w:sz w:val="24"/>
          <w:szCs w:val="24"/>
          <w:lang w:eastAsia="zh-CN"/>
        </w:rPr>
        <w:t>款的情况外，承包人可向监理人提交书面通知，要求监理人在收到书面通知后</w:t>
      </w:r>
      <w:r>
        <w:rPr>
          <w:rFonts w:ascii="Times New Roman" w:hAnsi="Times New Roman" w:eastAsia="Times New Roman" w:cs="Times New Roman"/>
          <w:color w:val="auto"/>
          <w:sz w:val="24"/>
          <w:szCs w:val="24"/>
          <w:lang w:eastAsia="zh-CN"/>
        </w:rPr>
        <w:t>28</w:t>
      </w:r>
      <w:r>
        <w:rPr>
          <w:rFonts w:ascii="宋体" w:hAnsi="宋体" w:eastAsia="宋体" w:cs="宋体"/>
          <w:color w:val="auto"/>
          <w:sz w:val="24"/>
          <w:szCs w:val="24"/>
          <w:lang w:eastAsia="zh-CN"/>
        </w:rPr>
        <w:t>天内准许已暂停施工的工程或其中一部分工程继续施工。如监理人逾期不予批准，则承包人可以通知监理人，将工程受影响的部分视为按第</w:t>
      </w:r>
      <w:r>
        <w:rPr>
          <w:rFonts w:ascii="Times New Roman" w:hAnsi="Times New Roman" w:eastAsia="Times New Roman" w:cs="Times New Roman"/>
          <w:color w:val="auto"/>
          <w:sz w:val="24"/>
          <w:szCs w:val="24"/>
          <w:lang w:eastAsia="zh-CN"/>
        </w:rPr>
        <w:t>15.1</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）项的可取消工作。如暂停施工影响到整个工程，可视为发包人违约，应按第</w:t>
      </w:r>
      <w:r>
        <w:rPr>
          <w:rFonts w:ascii="Times New Roman" w:hAnsi="Times New Roman" w:eastAsia="Times New Roman" w:cs="Times New Roman"/>
          <w:color w:val="auto"/>
          <w:sz w:val="24"/>
          <w:szCs w:val="24"/>
          <w:lang w:eastAsia="zh-CN"/>
        </w:rPr>
        <w:t>22.2</w:t>
      </w:r>
      <w:r>
        <w:rPr>
          <w:rFonts w:ascii="宋体" w:hAnsi="宋体" w:eastAsia="宋体" w:cs="宋体"/>
          <w:color w:val="auto"/>
          <w:sz w:val="24"/>
          <w:szCs w:val="24"/>
          <w:lang w:eastAsia="zh-CN"/>
        </w:rPr>
        <w:t>款的约定办理。</w:t>
      </w:r>
    </w:p>
    <w:p w14:paraId="60207F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12.5.2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由于承包人责任引起的暂停施工，如承包人在收到监理人暂停施工指示后</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天内不认真采取有效的复工措施，造成工期延误，可视为承包人违约，应按第</w:t>
      </w:r>
      <w:r>
        <w:rPr>
          <w:rFonts w:ascii="Times New Roman" w:hAnsi="Times New Roman" w:eastAsia="Times New Roman" w:cs="Times New Roman"/>
          <w:color w:val="auto"/>
          <w:sz w:val="24"/>
          <w:szCs w:val="24"/>
          <w:lang w:eastAsia="zh-CN"/>
        </w:rPr>
        <w:t>22.1</w:t>
      </w:r>
      <w:r>
        <w:rPr>
          <w:rFonts w:ascii="宋体" w:hAnsi="宋体" w:eastAsia="宋体" w:cs="宋体"/>
          <w:color w:val="auto"/>
          <w:sz w:val="24"/>
          <w:szCs w:val="24"/>
          <w:lang w:eastAsia="zh-CN"/>
        </w:rPr>
        <w:t>款的约定办理。</w:t>
      </w:r>
    </w:p>
    <w:p w14:paraId="59CA1EA9">
      <w:pPr>
        <w:widowControl w:val="0"/>
        <w:kinsoku/>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640" w:name="bookmark233"/>
      <w:bookmarkEnd w:id="640"/>
      <w:bookmarkStart w:id="641" w:name="bookmark234"/>
      <w:bookmarkEnd w:id="641"/>
      <w:bookmarkStart w:id="642" w:name="_Toc26306"/>
      <w:bookmarkStart w:id="643" w:name="_Toc23915"/>
      <w:bookmarkStart w:id="644" w:name="_Toc29747"/>
      <w:bookmarkStart w:id="645" w:name="_Toc14659"/>
      <w:r>
        <w:rPr>
          <w:rFonts w:hint="eastAsia" w:ascii="宋体" w:hAnsi="宋体" w:eastAsia="宋体" w:cs="宋体"/>
          <w:b/>
          <w:bCs/>
          <w:color w:val="auto"/>
          <w:sz w:val="28"/>
          <w:szCs w:val="28"/>
          <w:lang w:eastAsia="zh-CN"/>
        </w:rPr>
        <w:t>13　工程质量</w:t>
      </w:r>
      <w:bookmarkEnd w:id="642"/>
      <w:bookmarkEnd w:id="643"/>
      <w:bookmarkEnd w:id="644"/>
      <w:bookmarkEnd w:id="645"/>
    </w:p>
    <w:p w14:paraId="3A071C73">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46" w:name="bookmark699"/>
      <w:bookmarkEnd w:id="646"/>
      <w:r>
        <w:rPr>
          <w:rFonts w:ascii="Times New Roman" w:hAnsi="Times New Roman" w:eastAsia="Times New Roman" w:cs="Times New Roman"/>
          <w:b/>
          <w:bCs/>
          <w:color w:val="auto"/>
          <w:sz w:val="24"/>
          <w:szCs w:val="24"/>
          <w:lang w:eastAsia="zh-CN"/>
        </w:rPr>
        <w:t>13.1</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工程质量要求</w:t>
      </w:r>
    </w:p>
    <w:p w14:paraId="3DDB46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13.1.1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工程质量验收按合同约定验收标准执行。</w:t>
      </w:r>
    </w:p>
    <w:p w14:paraId="202ED3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13.1.2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因承包人原因造成工程质量达不到合同约定验收标准的，监理人有权要求承包人返工直至符合合同要求为止，由此造成的费用增加和（或）工期延误由承包人承担。</w:t>
      </w:r>
    </w:p>
    <w:p w14:paraId="3F7604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13.1.3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因发包人原因造成工程质量达不到合同约定验收标准的，发包人应承担由于承包人返工造成的费用增加和（或）工期延误，并支付承包人合理利润。</w:t>
      </w:r>
    </w:p>
    <w:p w14:paraId="2D9FA112">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47" w:name="bookmark235"/>
      <w:bookmarkEnd w:id="647"/>
      <w:r>
        <w:rPr>
          <w:rFonts w:ascii="Times New Roman" w:hAnsi="Times New Roman" w:eastAsia="Times New Roman" w:cs="Times New Roman"/>
          <w:b/>
          <w:bCs/>
          <w:color w:val="auto"/>
          <w:sz w:val="24"/>
          <w:szCs w:val="24"/>
          <w:lang w:eastAsia="zh-CN"/>
        </w:rPr>
        <w:t>13.2</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承包人的质量管理</w:t>
      </w:r>
    </w:p>
    <w:p w14:paraId="5FF2F9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13.2.1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0748FC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13.2.2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承包人应加强对施工人员的质量教育和技术培训，定期考核施工人员的劳动技能，严格执行规范和操作规程。</w:t>
      </w:r>
    </w:p>
    <w:p w14:paraId="15FC5ADF">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48" w:name="bookmark236"/>
      <w:bookmarkEnd w:id="648"/>
      <w:r>
        <w:rPr>
          <w:rFonts w:ascii="Times New Roman" w:hAnsi="Times New Roman" w:eastAsia="Times New Roman" w:cs="Times New Roman"/>
          <w:b/>
          <w:bCs/>
          <w:color w:val="auto"/>
          <w:sz w:val="24"/>
          <w:szCs w:val="24"/>
          <w:lang w:eastAsia="zh-CN"/>
        </w:rPr>
        <w:t>13.3</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承包人的质量检查</w:t>
      </w:r>
    </w:p>
    <w:p w14:paraId="0D36E6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承包人应按合同约定对材料、工程设备以及工程的所有部位及其施工工艺进行全过程的质量检查和检验，并作详细记录，编制工程质量报表，报送监理人审查。</w:t>
      </w:r>
    </w:p>
    <w:p w14:paraId="0E2D9774">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49" w:name="bookmark237"/>
      <w:bookmarkEnd w:id="649"/>
      <w:r>
        <w:rPr>
          <w:rFonts w:ascii="Times New Roman" w:hAnsi="Times New Roman" w:eastAsia="Times New Roman" w:cs="Times New Roman"/>
          <w:b/>
          <w:bCs/>
          <w:color w:val="auto"/>
          <w:sz w:val="24"/>
          <w:szCs w:val="24"/>
          <w:lang w:eastAsia="zh-CN"/>
        </w:rPr>
        <w:t>13.4</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监理人的质量检查</w:t>
      </w:r>
    </w:p>
    <w:p w14:paraId="0617E6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5DE7210C">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50" w:name="bookmark238"/>
      <w:bookmarkEnd w:id="650"/>
      <w:r>
        <w:rPr>
          <w:rFonts w:ascii="Times New Roman" w:hAnsi="Times New Roman" w:eastAsia="Times New Roman" w:cs="Times New Roman"/>
          <w:b/>
          <w:bCs/>
          <w:color w:val="auto"/>
          <w:sz w:val="24"/>
          <w:szCs w:val="24"/>
          <w:lang w:eastAsia="zh-CN"/>
        </w:rPr>
        <w:t>13.5</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工程隐蔽部位覆盖前的检查</w:t>
      </w:r>
    </w:p>
    <w:p w14:paraId="06EBA0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13.5.1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通知监理人检查</w:t>
      </w:r>
    </w:p>
    <w:p w14:paraId="186AD2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551A61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13.5.2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监理人未到场检查</w:t>
      </w:r>
    </w:p>
    <w:p w14:paraId="70176B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监理人未按第</w:t>
      </w:r>
      <w:r>
        <w:rPr>
          <w:rFonts w:ascii="Times New Roman" w:hAnsi="Times New Roman" w:eastAsia="Times New Roman" w:cs="Times New Roman"/>
          <w:color w:val="auto"/>
          <w:sz w:val="24"/>
          <w:szCs w:val="24"/>
          <w:lang w:eastAsia="zh-CN"/>
        </w:rPr>
        <w:t>13.5.l</w:t>
      </w:r>
      <w:r>
        <w:rPr>
          <w:rFonts w:ascii="宋体" w:hAnsi="宋体" w:eastAsia="宋体" w:cs="宋体"/>
          <w:color w:val="auto"/>
          <w:sz w:val="24"/>
          <w:szCs w:val="24"/>
          <w:lang w:eastAsia="zh-CN"/>
        </w:rPr>
        <w:t>项约定的时间进行检查的，除监理人另有指示外，承包人可自行完成覆盖工作，并作相应记录报送监理人，监理人应签字确认。监理人事后对检查记录有疑问的，可按第</w:t>
      </w:r>
      <w:r>
        <w:rPr>
          <w:rFonts w:ascii="Times New Roman" w:hAnsi="Times New Roman" w:eastAsia="Times New Roman" w:cs="Times New Roman"/>
          <w:color w:val="auto"/>
          <w:sz w:val="24"/>
          <w:szCs w:val="24"/>
          <w:lang w:eastAsia="zh-CN"/>
        </w:rPr>
        <w:t>13.5.3</w:t>
      </w:r>
      <w:r>
        <w:rPr>
          <w:rFonts w:ascii="宋体" w:hAnsi="宋体" w:eastAsia="宋体" w:cs="宋体"/>
          <w:color w:val="auto"/>
          <w:sz w:val="24"/>
          <w:szCs w:val="24"/>
          <w:lang w:eastAsia="zh-CN"/>
        </w:rPr>
        <w:t>项的约定重新检查。</w:t>
      </w:r>
    </w:p>
    <w:p w14:paraId="4D7B92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13.5.3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监理人重新检查</w:t>
      </w:r>
    </w:p>
    <w:p w14:paraId="18A4C8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承包人按第</w:t>
      </w:r>
      <w:r>
        <w:rPr>
          <w:rFonts w:ascii="Times New Roman" w:hAnsi="Times New Roman" w:eastAsia="Times New Roman" w:cs="Times New Roman"/>
          <w:color w:val="auto"/>
          <w:sz w:val="24"/>
          <w:szCs w:val="24"/>
          <w:lang w:eastAsia="zh-CN"/>
        </w:rPr>
        <w:t>13.5.1</w:t>
      </w:r>
      <w:r>
        <w:rPr>
          <w:rFonts w:ascii="宋体" w:hAnsi="宋体" w:eastAsia="宋体" w:cs="宋体"/>
          <w:color w:val="auto"/>
          <w:sz w:val="24"/>
          <w:szCs w:val="24"/>
          <w:lang w:eastAsia="zh-CN"/>
        </w:rPr>
        <w:t>项或第</w:t>
      </w:r>
      <w:r>
        <w:rPr>
          <w:rFonts w:ascii="Times New Roman" w:hAnsi="Times New Roman" w:eastAsia="Times New Roman" w:cs="Times New Roman"/>
          <w:color w:val="auto"/>
          <w:sz w:val="24"/>
          <w:szCs w:val="24"/>
          <w:lang w:eastAsia="zh-CN"/>
        </w:rPr>
        <w:t>13.5.2</w:t>
      </w:r>
      <w:r>
        <w:rPr>
          <w:rFonts w:ascii="宋体" w:hAnsi="宋体" w:eastAsia="宋体" w:cs="宋体"/>
          <w:color w:val="auto"/>
          <w:sz w:val="24"/>
          <w:szCs w:val="24"/>
          <w:lang w:eastAsia="zh-CN"/>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04A161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13.5.4</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承包人私自覆盖</w:t>
      </w:r>
    </w:p>
    <w:p w14:paraId="3E2B6F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承包人未通知监理人到场检查，私自将工程隐蔽部位覆盖的，监理人有权指示承包人钻孔探测或揭开检查，由此增加的费用和（或）工期延误由承包人承担。</w:t>
      </w:r>
    </w:p>
    <w:p w14:paraId="23624232">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51" w:name="bookmark239"/>
      <w:bookmarkEnd w:id="651"/>
      <w:r>
        <w:rPr>
          <w:rFonts w:ascii="Times New Roman" w:hAnsi="Times New Roman" w:eastAsia="Times New Roman" w:cs="Times New Roman"/>
          <w:b/>
          <w:bCs/>
          <w:color w:val="auto"/>
          <w:sz w:val="24"/>
          <w:szCs w:val="24"/>
          <w:lang w:eastAsia="zh-CN"/>
        </w:rPr>
        <w:t>13.6</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清除不合格工程</w:t>
      </w:r>
    </w:p>
    <w:p w14:paraId="0B923B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13.6.1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040DE8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13.6.2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由于发包人提供的材料或工程设备不合格造成的工程不合格，需要承包人采取措施补救的，发包人应承担由此增加的费用和（或）工期延误，并支付承包人合理利润。</w:t>
      </w:r>
    </w:p>
    <w:p w14:paraId="24963D06">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52" w:name="bookmark240"/>
      <w:bookmarkEnd w:id="652"/>
      <w:r>
        <w:rPr>
          <w:rFonts w:ascii="Times New Roman" w:hAnsi="Times New Roman" w:eastAsia="Times New Roman" w:cs="Times New Roman"/>
          <w:b/>
          <w:bCs/>
          <w:color w:val="auto"/>
          <w:sz w:val="24"/>
          <w:szCs w:val="24"/>
          <w:lang w:eastAsia="zh-CN"/>
        </w:rPr>
        <w:t>13.7</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质量验收与质量评定</w:t>
      </w:r>
    </w:p>
    <w:p w14:paraId="32AFE1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13.7.1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发包人应组织承包人进行工程项目划分，并确定单位工程、分部工程、重要隐蔽单元工程和关键部位单元工程。</w:t>
      </w:r>
    </w:p>
    <w:p w14:paraId="206EA3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13.7.2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工程实施过程中，单位工程、分部工程、重要隐蔽单元工程和关键部位单元工程的项目划分需要调整时，发包人应重新报质量监督机构。</w:t>
      </w:r>
    </w:p>
    <w:p w14:paraId="4F7B3F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13.7.3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承包人应在单元（工序）工程质量自检合格后，报监理人申请验收并签证。</w:t>
      </w:r>
    </w:p>
    <w:p w14:paraId="4644AC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13.7.4</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除专用合同条款另有约定外，承包人应在重要隐蔽单元工程和关键部位单元工程质量自检合格以及监理人验收签证后，由发包人组织承包人等单位组成的联合小组，共同验收签证并填写质量验收签证表。</w:t>
      </w:r>
    </w:p>
    <w:p w14:paraId="539F45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13.7.5</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应在分部工程质量自检合格后，通过监理人向发包人提交验收申请，由发包人、承包人等单位组成的验收工作组共同验收签证并填写分部工程验收鉴定书。发包人负责按有关规定将分部工程质量结论报工程质量监督机构。</w:t>
      </w:r>
    </w:p>
    <w:p w14:paraId="20307AE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13.7.6</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应在单位工程质量自检合格后，通过监理人向发包人提交验收申请，由发包人、承包人等单位组成的验收工作组共同验收签证并填写单位工程验收鉴定书。发包人负责按有关规定将分部工程质量结论报工程质量监督机构。</w:t>
      </w:r>
    </w:p>
    <w:p w14:paraId="7EE78A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13.7.7</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除专用合同条款另有约定外，工程质量等级分为合格和优良，应分别达到约定的标准。</w:t>
      </w:r>
    </w:p>
    <w:p w14:paraId="13B6F66F">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53" w:name="bookmark241"/>
      <w:bookmarkEnd w:id="653"/>
      <w:r>
        <w:rPr>
          <w:rFonts w:ascii="Times New Roman" w:hAnsi="Times New Roman" w:eastAsia="Times New Roman" w:cs="Times New Roman"/>
          <w:b/>
          <w:bCs/>
          <w:color w:val="auto"/>
          <w:sz w:val="24"/>
          <w:szCs w:val="24"/>
          <w:lang w:eastAsia="zh-CN"/>
        </w:rPr>
        <w:t>13.8</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质量事故处理</w:t>
      </w:r>
    </w:p>
    <w:p w14:paraId="6D18AA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13.8.1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发生质量事故时，承包人应及时向发包人和监理人报告。</w:t>
      </w:r>
    </w:p>
    <w:p w14:paraId="6657E0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13.8.2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质量事故调查处理由发包人按相关规定履行手续，承包人应配合。</w:t>
      </w:r>
    </w:p>
    <w:p w14:paraId="545C9B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13.8.3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在施工过程中，因特殊原因使得工程个别部位或局部发生达不到技术标准和设计要求（但不影响使用），且未能及时进行处理的工程质量缺陷问题（质量评定仍定为合格），应以工程质量缺陷备案形式进行记录备案。质量缺陷备案表由监理人组织填写，内容应真实、准确、完整。各工程参建单位代表应在质量缺陷备案表上签字，若有不同意见应明确记载。质量缺陷备案表应及时报工程质量监督机构备案。</w:t>
      </w:r>
    </w:p>
    <w:p w14:paraId="7FB9AD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13.8.4</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工程竣工验收时，发包人负责向竣工验收委员会汇报并提交历次质量缺陷备案资料。</w:t>
      </w:r>
    </w:p>
    <w:p w14:paraId="114FF10C">
      <w:pPr>
        <w:widowControl w:val="0"/>
        <w:kinsoku/>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654" w:name="bookmark242"/>
      <w:bookmarkEnd w:id="654"/>
      <w:bookmarkStart w:id="655" w:name="bookmark243"/>
      <w:bookmarkEnd w:id="655"/>
      <w:bookmarkStart w:id="656" w:name="_Toc15370"/>
      <w:bookmarkStart w:id="657" w:name="_Toc16246"/>
      <w:bookmarkStart w:id="658" w:name="_Toc15613"/>
      <w:bookmarkStart w:id="659" w:name="_Toc13282"/>
      <w:r>
        <w:rPr>
          <w:rFonts w:hint="eastAsia" w:ascii="宋体" w:hAnsi="宋体" w:eastAsia="宋体" w:cs="宋体"/>
          <w:b/>
          <w:bCs/>
          <w:color w:val="auto"/>
          <w:sz w:val="28"/>
          <w:szCs w:val="28"/>
          <w:lang w:eastAsia="zh-CN"/>
        </w:rPr>
        <w:t>14　试验和检验</w:t>
      </w:r>
      <w:bookmarkEnd w:id="656"/>
      <w:bookmarkEnd w:id="657"/>
      <w:bookmarkEnd w:id="658"/>
      <w:bookmarkEnd w:id="659"/>
    </w:p>
    <w:p w14:paraId="42DF1347">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60" w:name="bookmark700"/>
      <w:bookmarkEnd w:id="660"/>
      <w:r>
        <w:rPr>
          <w:rFonts w:ascii="Times New Roman" w:hAnsi="Times New Roman" w:eastAsia="Times New Roman" w:cs="Times New Roman"/>
          <w:b/>
          <w:bCs/>
          <w:color w:val="auto"/>
          <w:sz w:val="24"/>
          <w:szCs w:val="24"/>
          <w:lang w:eastAsia="zh-CN"/>
        </w:rPr>
        <w:t>14.1</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材料、工程设备和工程的试验和检验</w:t>
      </w:r>
    </w:p>
    <w:p w14:paraId="02F374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14.1.1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50C131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14.1.2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监理人未按合同约定派员参加试验和检验的，除监理人另有指示外，承包人可自行试验和检验，并应立即将试验和检验结果报送监理人，监理人应签字确认。</w:t>
      </w:r>
    </w:p>
    <w:p w14:paraId="1E949D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14.1.3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466054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14.1.4</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承包人应按相关规定和标准对水泥、钢材等原材料与中间产品质量进行检验，并报监理人复核。</w:t>
      </w:r>
    </w:p>
    <w:p w14:paraId="7888F1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14.1.5</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38A0B2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14.1.6</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对专用合同条款约定的试块、试件及有关材料，监理人实行见证取样。见证取样资料由承包人制备，记录应真实齐全，监理人、承包人等参与见证取样人员均应在相关文件上签字。</w:t>
      </w:r>
    </w:p>
    <w:p w14:paraId="07FA8AC0">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61" w:name="bookmark244"/>
      <w:bookmarkEnd w:id="661"/>
      <w:r>
        <w:rPr>
          <w:rFonts w:ascii="Times New Roman" w:hAnsi="Times New Roman" w:eastAsia="Times New Roman" w:cs="Times New Roman"/>
          <w:b/>
          <w:bCs/>
          <w:color w:val="auto"/>
          <w:sz w:val="24"/>
          <w:szCs w:val="24"/>
          <w:lang w:eastAsia="zh-CN"/>
        </w:rPr>
        <w:t>14.2</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现场材料试验</w:t>
      </w:r>
    </w:p>
    <w:p w14:paraId="31A99F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14.2.1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承包人根据合同约定或监理人指示进行的现场材料试验，应由承包人提供试验场所、试验人员、试验设备器材以及其他必要的试验条件。</w:t>
      </w:r>
    </w:p>
    <w:p w14:paraId="535E6A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14.2.2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监理人在必要时可以使用承包人的试验场所、试验设备器材以及其他试验条件，进行以工程质量检查为目的的复核性材料试验，承包人应予以协助。</w:t>
      </w:r>
    </w:p>
    <w:p w14:paraId="6819A6F6">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62" w:name="bookmark245"/>
      <w:bookmarkEnd w:id="662"/>
      <w:r>
        <w:rPr>
          <w:rFonts w:ascii="Times New Roman" w:hAnsi="Times New Roman" w:eastAsia="Times New Roman" w:cs="Times New Roman"/>
          <w:b/>
          <w:bCs/>
          <w:color w:val="auto"/>
          <w:sz w:val="24"/>
          <w:szCs w:val="24"/>
          <w:lang w:eastAsia="zh-CN"/>
        </w:rPr>
        <w:t>14.3</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现场工艺试验</w:t>
      </w:r>
    </w:p>
    <w:p w14:paraId="3B270F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承包人应按合同约定或监理人指示进行现场工艺试验。对大型的现场工艺试验，监理人认为必要时，应由承包人根据监理人提出的工艺试验要求，编制工艺试验措施计划，报送监理人审批。</w:t>
      </w:r>
    </w:p>
    <w:p w14:paraId="649201D1">
      <w:pPr>
        <w:widowControl w:val="0"/>
        <w:kinsoku/>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663" w:name="bookmark246"/>
      <w:bookmarkEnd w:id="663"/>
      <w:bookmarkStart w:id="664" w:name="bookmark247"/>
      <w:bookmarkEnd w:id="664"/>
      <w:bookmarkStart w:id="665" w:name="_Toc8413"/>
      <w:bookmarkStart w:id="666" w:name="_Toc22098"/>
      <w:bookmarkStart w:id="667" w:name="_Toc18581"/>
      <w:bookmarkStart w:id="668" w:name="_Toc27653"/>
      <w:r>
        <w:rPr>
          <w:rFonts w:hint="eastAsia" w:ascii="宋体" w:hAnsi="宋体" w:eastAsia="宋体" w:cs="宋体"/>
          <w:b/>
          <w:bCs/>
          <w:color w:val="auto"/>
          <w:sz w:val="28"/>
          <w:szCs w:val="28"/>
          <w:lang w:eastAsia="zh-CN"/>
        </w:rPr>
        <w:t>15　变更</w:t>
      </w:r>
      <w:bookmarkEnd w:id="665"/>
      <w:bookmarkEnd w:id="666"/>
      <w:bookmarkEnd w:id="667"/>
      <w:bookmarkEnd w:id="668"/>
    </w:p>
    <w:p w14:paraId="505CAD2E">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69" w:name="bookmark701"/>
      <w:bookmarkEnd w:id="669"/>
      <w:r>
        <w:rPr>
          <w:rFonts w:ascii="Times New Roman" w:hAnsi="Times New Roman" w:eastAsia="Times New Roman" w:cs="Times New Roman"/>
          <w:b/>
          <w:bCs/>
          <w:color w:val="auto"/>
          <w:sz w:val="24"/>
          <w:szCs w:val="24"/>
          <w:lang w:eastAsia="zh-CN"/>
        </w:rPr>
        <w:t>15.1</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变更的范围和内容</w:t>
      </w:r>
    </w:p>
    <w:p w14:paraId="0E6C9A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在履行合同中发生以下情形之一，应按照本款规定进行变更。</w:t>
      </w:r>
    </w:p>
    <w:p w14:paraId="775DA9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）取消合同中任何一项工作，但被取消的工作不能转由发包人或其他人实施。</w:t>
      </w:r>
    </w:p>
    <w:p w14:paraId="5F4149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）改变合同中任何一项工作的质量或其他特性。</w:t>
      </w:r>
    </w:p>
    <w:p w14:paraId="66BFB0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）改变合同工程的基线、标高、位置或尺寸。</w:t>
      </w:r>
    </w:p>
    <w:p w14:paraId="62D746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）改变合同中任何一项工作的施工时间或改变已批准的施工工艺或顺序。</w:t>
      </w:r>
    </w:p>
    <w:p w14:paraId="77C142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）为完成工程需要追加的额外工作。</w:t>
      </w:r>
    </w:p>
    <w:p w14:paraId="4C16CA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）增加或减少专用合同条款中约定的关键项目工程量超过其工程总量的一定数量百分比。</w:t>
      </w:r>
    </w:p>
    <w:p w14:paraId="216418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上述第（</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）目的变更内容引起工程施工组织和进度计划发生实质性变动和影响其原定的价格时，才予调整该项目的单价。第（</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）目情形下单价调整方式在专用合同条款中约定。</w:t>
      </w:r>
    </w:p>
    <w:p w14:paraId="1800313E">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70" w:name="bookmark248"/>
      <w:bookmarkEnd w:id="670"/>
      <w:r>
        <w:rPr>
          <w:rFonts w:ascii="Times New Roman" w:hAnsi="Times New Roman" w:eastAsia="Times New Roman" w:cs="Times New Roman"/>
          <w:b/>
          <w:bCs/>
          <w:color w:val="auto"/>
          <w:sz w:val="24"/>
          <w:szCs w:val="24"/>
          <w:lang w:eastAsia="zh-CN"/>
        </w:rPr>
        <w:t>15.2</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变更权</w:t>
      </w:r>
    </w:p>
    <w:p w14:paraId="5A6DE8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在履行合同过程中，经发包人同意，监理人可按第</w:t>
      </w:r>
      <w:r>
        <w:rPr>
          <w:rFonts w:ascii="Times New Roman" w:hAnsi="Times New Roman" w:eastAsia="Times New Roman" w:cs="Times New Roman"/>
          <w:color w:val="auto"/>
          <w:sz w:val="24"/>
          <w:szCs w:val="24"/>
          <w:lang w:eastAsia="zh-CN"/>
        </w:rPr>
        <w:t>15.3</w:t>
      </w:r>
      <w:r>
        <w:rPr>
          <w:rFonts w:ascii="宋体" w:hAnsi="宋体" w:eastAsia="宋体" w:cs="宋体"/>
          <w:color w:val="auto"/>
          <w:sz w:val="24"/>
          <w:szCs w:val="24"/>
          <w:lang w:eastAsia="zh-CN"/>
        </w:rPr>
        <w:t>款约定的变更程序向承包人作出变更指示，承包人应遵照执行。没有监理人的变更指示，承包人不得擅自变更。</w:t>
      </w:r>
    </w:p>
    <w:p w14:paraId="457E1DB8">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71" w:name="bookmark249"/>
      <w:bookmarkEnd w:id="671"/>
      <w:r>
        <w:rPr>
          <w:rFonts w:ascii="Times New Roman" w:hAnsi="Times New Roman" w:eastAsia="Times New Roman" w:cs="Times New Roman"/>
          <w:b/>
          <w:bCs/>
          <w:color w:val="auto"/>
          <w:sz w:val="24"/>
          <w:szCs w:val="24"/>
          <w:lang w:eastAsia="zh-CN"/>
        </w:rPr>
        <w:t>15.3</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变更程序</w:t>
      </w:r>
    </w:p>
    <w:p w14:paraId="1246E8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15.3.1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变更的提出</w:t>
      </w:r>
    </w:p>
    <w:p w14:paraId="455DA2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）在合同履行过程中，可能发生第</w:t>
      </w:r>
      <w:r>
        <w:rPr>
          <w:rFonts w:ascii="Times New Roman" w:hAnsi="Times New Roman" w:eastAsia="Times New Roman" w:cs="Times New Roman"/>
          <w:color w:val="auto"/>
          <w:sz w:val="24"/>
          <w:szCs w:val="24"/>
          <w:lang w:eastAsia="zh-CN"/>
        </w:rPr>
        <w:t>15.1</w:t>
      </w:r>
      <w:r>
        <w:rPr>
          <w:rFonts w:ascii="宋体" w:hAnsi="宋体" w:eastAsia="宋体" w:cs="宋体"/>
          <w:color w:val="auto"/>
          <w:sz w:val="24"/>
          <w:szCs w:val="24"/>
          <w:lang w:eastAsia="zh-CN"/>
        </w:rPr>
        <w:t>款约定情形的，监理人可向承包人发出变更意向书。变更意向书应说明变更的具体内容和发包人对变更的时间要求，并附必要的图纸和相关资料。变更意向书应要求承包人提交包括拟实施变更工作的计划、措施和完工时间等内容的实施方案。发包人同意承包人根据变更意向书要求提交的变更实施方案的，由监理人按第</w:t>
      </w:r>
      <w:r>
        <w:rPr>
          <w:rFonts w:ascii="Times New Roman" w:hAnsi="Times New Roman" w:eastAsia="Times New Roman" w:cs="Times New Roman"/>
          <w:color w:val="auto"/>
          <w:sz w:val="24"/>
          <w:szCs w:val="24"/>
          <w:lang w:eastAsia="zh-CN"/>
        </w:rPr>
        <w:t>15.3.3</w:t>
      </w:r>
      <w:r>
        <w:rPr>
          <w:rFonts w:ascii="宋体" w:hAnsi="宋体" w:eastAsia="宋体" w:cs="宋体"/>
          <w:color w:val="auto"/>
          <w:sz w:val="24"/>
          <w:szCs w:val="24"/>
          <w:lang w:eastAsia="zh-CN"/>
        </w:rPr>
        <w:t>项约定发出变更指示。</w:t>
      </w:r>
    </w:p>
    <w:p w14:paraId="342F81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）在合同履行过程中，发生第</w:t>
      </w:r>
      <w:r>
        <w:rPr>
          <w:rFonts w:ascii="Times New Roman" w:hAnsi="Times New Roman" w:eastAsia="Times New Roman" w:cs="Times New Roman"/>
          <w:color w:val="auto"/>
          <w:sz w:val="24"/>
          <w:szCs w:val="24"/>
          <w:lang w:eastAsia="zh-CN"/>
        </w:rPr>
        <w:t>15.1</w:t>
      </w:r>
      <w:r>
        <w:rPr>
          <w:rFonts w:ascii="宋体" w:hAnsi="宋体" w:eastAsia="宋体" w:cs="宋体"/>
          <w:color w:val="auto"/>
          <w:sz w:val="24"/>
          <w:szCs w:val="24"/>
          <w:lang w:eastAsia="zh-CN"/>
        </w:rPr>
        <w:t>款约定情形的，监理人应按照第</w:t>
      </w:r>
      <w:r>
        <w:rPr>
          <w:rFonts w:ascii="Times New Roman" w:hAnsi="Times New Roman" w:eastAsia="Times New Roman" w:cs="Times New Roman"/>
          <w:color w:val="auto"/>
          <w:sz w:val="24"/>
          <w:szCs w:val="24"/>
          <w:lang w:eastAsia="zh-CN"/>
        </w:rPr>
        <w:t>15.3.3</w:t>
      </w:r>
      <w:r>
        <w:rPr>
          <w:rFonts w:ascii="宋体" w:hAnsi="宋体" w:eastAsia="宋体" w:cs="宋体"/>
          <w:color w:val="auto"/>
          <w:sz w:val="24"/>
          <w:szCs w:val="24"/>
          <w:lang w:eastAsia="zh-CN"/>
        </w:rPr>
        <w:t>项约定向承包人发出变更指示。</w:t>
      </w:r>
    </w:p>
    <w:p w14:paraId="1D77DD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）承包人收到监理人按合同约定发出的图纸和文件，经检查认为其中存在第</w:t>
      </w:r>
      <w:r>
        <w:rPr>
          <w:rFonts w:ascii="Times New Roman" w:hAnsi="Times New Roman" w:eastAsia="Times New Roman" w:cs="Times New Roman"/>
          <w:color w:val="auto"/>
          <w:sz w:val="24"/>
          <w:szCs w:val="24"/>
          <w:lang w:eastAsia="zh-CN"/>
        </w:rPr>
        <w:t>15.1</w:t>
      </w:r>
      <w:r>
        <w:rPr>
          <w:rFonts w:ascii="宋体" w:hAnsi="宋体" w:eastAsia="宋体" w:cs="宋体"/>
          <w:color w:val="auto"/>
          <w:sz w:val="24"/>
          <w:szCs w:val="24"/>
          <w:lang w:eastAsia="zh-CN"/>
        </w:rPr>
        <w:t>款约定情形的，可向监理人提出书面变更建议。变更建议应阐明要求变更的依据，并附必要的图纸和说明。监理人收到承包人书面建议后，应与发包人共同研究，确认存在变更的，应在收到承包人书面建议后的</w:t>
      </w:r>
      <w:r>
        <w:rPr>
          <w:rFonts w:ascii="Times New Roman" w:hAnsi="Times New Roman" w:eastAsia="Times New Roman" w:cs="Times New Roman"/>
          <w:color w:val="auto"/>
          <w:sz w:val="24"/>
          <w:szCs w:val="24"/>
          <w:lang w:eastAsia="zh-CN"/>
        </w:rPr>
        <w:t>14</w:t>
      </w:r>
      <w:r>
        <w:rPr>
          <w:rFonts w:ascii="宋体" w:hAnsi="宋体" w:eastAsia="宋体" w:cs="宋体"/>
          <w:color w:val="auto"/>
          <w:sz w:val="24"/>
          <w:szCs w:val="24"/>
          <w:lang w:eastAsia="zh-CN"/>
        </w:rPr>
        <w:t>天内作出变更指示。经研究后不同意作为变更的，应由监理人书面答复承包人。</w:t>
      </w:r>
    </w:p>
    <w:p w14:paraId="1A6B98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）若承包人收到监理人的变更意向书后认为难以实施此项变更，应立即通知监理人，说明原因并附详细依据。监理人与承包人和发包人协商后确定撤销、改变或不改变原变更意向书。</w:t>
      </w:r>
    </w:p>
    <w:p w14:paraId="2CB6F8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15.3.2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变更估价</w:t>
      </w:r>
    </w:p>
    <w:p w14:paraId="02591B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）除专用合同条款对期限另有约定外，承包人应在收到变更指示或变更意向书后的</w:t>
      </w:r>
      <w:r>
        <w:rPr>
          <w:rFonts w:ascii="Times New Roman" w:hAnsi="Times New Roman" w:eastAsia="Times New Roman" w:cs="Times New Roman"/>
          <w:color w:val="auto"/>
          <w:sz w:val="24"/>
          <w:szCs w:val="24"/>
          <w:lang w:eastAsia="zh-CN"/>
        </w:rPr>
        <w:t>14</w:t>
      </w:r>
      <w:r>
        <w:rPr>
          <w:rFonts w:ascii="宋体" w:hAnsi="宋体" w:eastAsia="宋体" w:cs="宋体"/>
          <w:color w:val="auto"/>
          <w:sz w:val="24"/>
          <w:szCs w:val="24"/>
          <w:lang w:eastAsia="zh-CN"/>
        </w:rPr>
        <w:t>天内，向监理人提交变更报价书，报价内容应根据第</w:t>
      </w:r>
      <w:r>
        <w:rPr>
          <w:rFonts w:ascii="Times New Roman" w:hAnsi="Times New Roman" w:eastAsia="Times New Roman" w:cs="Times New Roman"/>
          <w:color w:val="auto"/>
          <w:sz w:val="24"/>
          <w:szCs w:val="24"/>
          <w:lang w:eastAsia="zh-CN"/>
        </w:rPr>
        <w:t>15.4</w:t>
      </w:r>
      <w:r>
        <w:rPr>
          <w:rFonts w:ascii="宋体" w:hAnsi="宋体" w:eastAsia="宋体" w:cs="宋体"/>
          <w:color w:val="auto"/>
          <w:sz w:val="24"/>
          <w:szCs w:val="24"/>
          <w:lang w:eastAsia="zh-CN"/>
        </w:rPr>
        <w:t>款约定的估价原则，详细开列变更工作的价格组成及其依据，并附必要的施工方法说明和有关图纸。</w:t>
      </w:r>
    </w:p>
    <w:p w14:paraId="2F8B26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）变更工作影响工期的，承包人应提出调整工期的具体细节。监理人认为有必要时，可要求承包人提交要求提前或延长工期的施工进度计划及相应施工措施等详细资料。</w:t>
      </w:r>
    </w:p>
    <w:p w14:paraId="08638A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）除专用合同条款对期限另有约定外，监理人收到承包人变更报价书后的</w:t>
      </w:r>
      <w:r>
        <w:rPr>
          <w:rFonts w:ascii="Times New Roman" w:hAnsi="Times New Roman" w:eastAsia="Times New Roman" w:cs="Times New Roman"/>
          <w:color w:val="auto"/>
          <w:sz w:val="24"/>
          <w:szCs w:val="24"/>
          <w:lang w:eastAsia="zh-CN"/>
        </w:rPr>
        <w:t>14</w:t>
      </w:r>
      <w:r>
        <w:rPr>
          <w:rFonts w:ascii="宋体" w:hAnsi="宋体" w:eastAsia="宋体" w:cs="宋体"/>
          <w:color w:val="auto"/>
          <w:sz w:val="24"/>
          <w:szCs w:val="24"/>
          <w:lang w:eastAsia="zh-CN"/>
        </w:rPr>
        <w:t>天内，根据第</w:t>
      </w:r>
      <w:r>
        <w:rPr>
          <w:rFonts w:ascii="Times New Roman" w:hAnsi="Times New Roman" w:eastAsia="Times New Roman" w:cs="Times New Roman"/>
          <w:color w:val="auto"/>
          <w:sz w:val="24"/>
          <w:szCs w:val="24"/>
          <w:lang w:eastAsia="zh-CN"/>
        </w:rPr>
        <w:t>15.4</w:t>
      </w:r>
      <w:r>
        <w:rPr>
          <w:rFonts w:ascii="宋体" w:hAnsi="宋体" w:eastAsia="宋体" w:cs="宋体"/>
          <w:color w:val="auto"/>
          <w:sz w:val="24"/>
          <w:szCs w:val="24"/>
          <w:lang w:eastAsia="zh-CN"/>
        </w:rPr>
        <w:t>款约定的估价原则，按照第</w:t>
      </w:r>
      <w:r>
        <w:rPr>
          <w:rFonts w:ascii="Times New Roman" w:hAnsi="Times New Roman" w:eastAsia="Times New Roman" w:cs="Times New Roman"/>
          <w:color w:val="auto"/>
          <w:sz w:val="24"/>
          <w:szCs w:val="24"/>
          <w:lang w:eastAsia="zh-CN"/>
        </w:rPr>
        <w:t>3.5</w:t>
      </w:r>
      <w:r>
        <w:rPr>
          <w:rFonts w:ascii="宋体" w:hAnsi="宋体" w:eastAsia="宋体" w:cs="宋体"/>
          <w:color w:val="auto"/>
          <w:sz w:val="24"/>
          <w:szCs w:val="24"/>
          <w:lang w:eastAsia="zh-CN"/>
        </w:rPr>
        <w:t>款商定或确定变更价格。</w:t>
      </w:r>
    </w:p>
    <w:p w14:paraId="6DBBE8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15.3.3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变更指示</w:t>
      </w:r>
    </w:p>
    <w:p w14:paraId="5CCDD7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）变更指示只能由监理人发出。</w:t>
      </w:r>
    </w:p>
    <w:p w14:paraId="5FDEBC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）变更指示应说明变更的目的、范围、变更内容以及变更的工程量及其进度和技术要求，并附有关图纸和文件。承包人收到变更指示后，应按变更指示进行变更工作。</w:t>
      </w:r>
    </w:p>
    <w:p w14:paraId="7EF299CB">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72" w:name="bookmark250"/>
      <w:bookmarkEnd w:id="672"/>
      <w:r>
        <w:rPr>
          <w:rFonts w:ascii="Times New Roman" w:hAnsi="Times New Roman" w:eastAsia="Times New Roman" w:cs="Times New Roman"/>
          <w:b/>
          <w:bCs/>
          <w:color w:val="auto"/>
          <w:sz w:val="24"/>
          <w:szCs w:val="24"/>
          <w:lang w:eastAsia="zh-CN"/>
        </w:rPr>
        <w:t>15.4</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变更的估价原则</w:t>
      </w:r>
    </w:p>
    <w:p w14:paraId="3C0307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除专用合同条款另有约定外，因变更引起的价格调整按照本款约定处理。</w:t>
      </w:r>
    </w:p>
    <w:p w14:paraId="5B3F70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15.4.1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已标价工程量清单中有适用于变更工作的子目的，采用该子目的单价。</w:t>
      </w:r>
    </w:p>
    <w:p w14:paraId="2BDB25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15.4.2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已标价工程量清单中无适用于变更工作的子目，但有类似子目的，可在合理范围内参照类似子目的单价，由监理人按第</w:t>
      </w:r>
      <w:r>
        <w:rPr>
          <w:rFonts w:ascii="Times New Roman" w:hAnsi="Times New Roman" w:eastAsia="Times New Roman" w:cs="Times New Roman"/>
          <w:color w:val="auto"/>
          <w:sz w:val="24"/>
          <w:szCs w:val="24"/>
          <w:lang w:eastAsia="zh-CN"/>
        </w:rPr>
        <w:t>3.5</w:t>
      </w:r>
      <w:r>
        <w:rPr>
          <w:rFonts w:ascii="宋体" w:hAnsi="宋体" w:eastAsia="宋体" w:cs="宋体"/>
          <w:color w:val="auto"/>
          <w:sz w:val="24"/>
          <w:szCs w:val="24"/>
          <w:lang w:eastAsia="zh-CN"/>
        </w:rPr>
        <w:t>款商定或确定变更工作的单价。</w:t>
      </w:r>
    </w:p>
    <w:p w14:paraId="112C73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15.4.3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已标价工程量清单中无适用或类似子目的单价，可按照成本加利润的原则，由监理人按第</w:t>
      </w:r>
      <w:r>
        <w:rPr>
          <w:rFonts w:ascii="Times New Roman" w:hAnsi="Times New Roman" w:eastAsia="Times New Roman" w:cs="Times New Roman"/>
          <w:color w:val="auto"/>
          <w:sz w:val="24"/>
          <w:szCs w:val="24"/>
          <w:lang w:eastAsia="zh-CN"/>
        </w:rPr>
        <w:t>3.5</w:t>
      </w:r>
      <w:r>
        <w:rPr>
          <w:rFonts w:ascii="宋体" w:hAnsi="宋体" w:eastAsia="宋体" w:cs="宋体"/>
          <w:color w:val="auto"/>
          <w:sz w:val="24"/>
          <w:szCs w:val="24"/>
          <w:lang w:eastAsia="zh-CN"/>
        </w:rPr>
        <w:t>款商定或确定变更工作的单价。</w:t>
      </w:r>
    </w:p>
    <w:p w14:paraId="715E8405">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73" w:name="bookmark251"/>
      <w:bookmarkEnd w:id="673"/>
      <w:r>
        <w:rPr>
          <w:rFonts w:ascii="Times New Roman" w:hAnsi="Times New Roman" w:eastAsia="Times New Roman" w:cs="Times New Roman"/>
          <w:b/>
          <w:bCs/>
          <w:color w:val="auto"/>
          <w:sz w:val="24"/>
          <w:szCs w:val="24"/>
          <w:lang w:eastAsia="zh-CN"/>
        </w:rPr>
        <w:t>15.5</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承包人的合理化建议</w:t>
      </w:r>
    </w:p>
    <w:p w14:paraId="51FB9B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15.5.1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w:t>
      </w:r>
      <w:r>
        <w:rPr>
          <w:rFonts w:ascii="宋体" w:hAnsi="宋体" w:eastAsia="宋体" w:cs="宋体"/>
          <w:color w:val="auto"/>
          <w:spacing w:val="-20"/>
          <w:sz w:val="24"/>
          <w:szCs w:val="24"/>
          <w:lang w:eastAsia="zh-CN"/>
        </w:rPr>
        <w:t>件。监理人应与发包人协商是否采纳建议。建议被采纳并构成变更的，应按第</w:t>
      </w:r>
      <w:r>
        <w:rPr>
          <w:rFonts w:ascii="Times New Roman" w:hAnsi="Times New Roman" w:eastAsia="Times New Roman" w:cs="Times New Roman"/>
          <w:color w:val="auto"/>
          <w:spacing w:val="-20"/>
          <w:sz w:val="24"/>
          <w:szCs w:val="24"/>
          <w:lang w:eastAsia="zh-CN"/>
        </w:rPr>
        <w:t>15.3.3</w:t>
      </w:r>
      <w:r>
        <w:rPr>
          <w:rFonts w:ascii="宋体" w:hAnsi="宋体" w:eastAsia="宋体" w:cs="宋体"/>
          <w:color w:val="auto"/>
          <w:spacing w:val="-20"/>
          <w:sz w:val="24"/>
          <w:szCs w:val="24"/>
          <w:lang w:eastAsia="zh-CN"/>
        </w:rPr>
        <w:t>项约定向承包人发出变更指示。</w:t>
      </w:r>
    </w:p>
    <w:p w14:paraId="3C8160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15.5.2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承包人提出的合理化建议降低了合同价格、缩短了工期或者提高了工程经济效益的，发包人可按国家有关规定在专用合同条款中约定给予奖励。</w:t>
      </w:r>
    </w:p>
    <w:p w14:paraId="4A55F5C0">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74" w:name="bookmark252"/>
      <w:bookmarkEnd w:id="674"/>
      <w:r>
        <w:rPr>
          <w:rFonts w:ascii="Times New Roman" w:hAnsi="Times New Roman" w:eastAsia="Times New Roman" w:cs="Times New Roman"/>
          <w:b/>
          <w:bCs/>
          <w:color w:val="auto"/>
          <w:sz w:val="24"/>
          <w:szCs w:val="24"/>
          <w:lang w:eastAsia="zh-CN"/>
        </w:rPr>
        <w:t>15.6</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预留金</w:t>
      </w:r>
    </w:p>
    <w:p w14:paraId="5EC1AE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预留金只能按照监理人的指示使用，并对合同价格进行相应调整。</w:t>
      </w:r>
    </w:p>
    <w:p w14:paraId="4756FA37">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75" w:name="bookmark253"/>
      <w:bookmarkEnd w:id="675"/>
      <w:r>
        <w:rPr>
          <w:rFonts w:ascii="Times New Roman" w:hAnsi="Times New Roman" w:eastAsia="Times New Roman" w:cs="Times New Roman"/>
          <w:b/>
          <w:bCs/>
          <w:color w:val="auto"/>
          <w:sz w:val="24"/>
          <w:szCs w:val="24"/>
          <w:lang w:eastAsia="zh-CN"/>
        </w:rPr>
        <w:t>15.7</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计日工</w:t>
      </w:r>
    </w:p>
    <w:p w14:paraId="6EC9E1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15.7.1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发包人认为有必要时，由监理人通知承包人以计日工方式实施变更的零星工作。其价款按列入已标价工程量清单中的计日工计价子目及其单价进行计算。</w:t>
      </w:r>
    </w:p>
    <w:p w14:paraId="51EB3C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15.7.2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采用计日工计价的任何一项变更工作，应从预留金中支付，承包人应在该项变更的实施过程中，每天提交以下报表和有关凭证报送监理人审批：</w:t>
      </w:r>
    </w:p>
    <w:p w14:paraId="488354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）工作名称、内容和数量。</w:t>
      </w:r>
    </w:p>
    <w:p w14:paraId="7147A7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）投入该工作所有人员的姓名、工种、级别和耗用工时。</w:t>
      </w:r>
    </w:p>
    <w:p w14:paraId="64E684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）投入该工作的材料类别和数量。</w:t>
      </w:r>
    </w:p>
    <w:p w14:paraId="7A63F0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）投入该工作的施工设备型号、台数和耗用台班。</w:t>
      </w:r>
    </w:p>
    <w:p w14:paraId="670ACD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）监理人要求提交的其他资料和凭证。</w:t>
      </w:r>
    </w:p>
    <w:p w14:paraId="2470F9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15.7.3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计日工由承包人汇总后，按第</w:t>
      </w:r>
      <w:r>
        <w:rPr>
          <w:rFonts w:ascii="Times New Roman" w:hAnsi="Times New Roman" w:eastAsia="Times New Roman" w:cs="Times New Roman"/>
          <w:color w:val="auto"/>
          <w:sz w:val="24"/>
          <w:szCs w:val="24"/>
          <w:lang w:eastAsia="zh-CN"/>
        </w:rPr>
        <w:t>17.3.2</w:t>
      </w:r>
      <w:r>
        <w:rPr>
          <w:rFonts w:ascii="宋体" w:hAnsi="宋体" w:eastAsia="宋体" w:cs="宋体"/>
          <w:color w:val="auto"/>
          <w:sz w:val="24"/>
          <w:szCs w:val="24"/>
          <w:lang w:eastAsia="zh-CN"/>
        </w:rPr>
        <w:t>项的约定列入进度付款申请单，由监理人复核并经发包人同意后列入进度付款。</w:t>
      </w:r>
    </w:p>
    <w:p w14:paraId="1D272B21">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76" w:name="bookmark254"/>
      <w:bookmarkEnd w:id="676"/>
      <w:r>
        <w:rPr>
          <w:rFonts w:ascii="Times New Roman" w:hAnsi="Times New Roman" w:eastAsia="Times New Roman" w:cs="Times New Roman"/>
          <w:b/>
          <w:bCs/>
          <w:color w:val="auto"/>
          <w:sz w:val="24"/>
          <w:szCs w:val="24"/>
          <w:lang w:eastAsia="zh-CN"/>
        </w:rPr>
        <w:t>15.8</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暂估价</w:t>
      </w:r>
    </w:p>
    <w:p w14:paraId="02AE5D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15.8.1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p>
    <w:p w14:paraId="7639F0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15.8.2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发包人在工程量清单中给定暂估价的材料和工程设备不属于依法必须招标的范围或未达到规定的规模标准的，应由承包人按第</w:t>
      </w:r>
      <w:r>
        <w:rPr>
          <w:rFonts w:ascii="Times New Roman" w:hAnsi="Times New Roman" w:eastAsia="Times New Roman" w:cs="Times New Roman"/>
          <w:color w:val="auto"/>
          <w:sz w:val="24"/>
          <w:szCs w:val="24"/>
          <w:lang w:eastAsia="zh-CN"/>
        </w:rPr>
        <w:t>5.1</w:t>
      </w:r>
      <w:r>
        <w:rPr>
          <w:rFonts w:ascii="宋体" w:hAnsi="宋体" w:eastAsia="宋体" w:cs="宋体"/>
          <w:color w:val="auto"/>
          <w:sz w:val="24"/>
          <w:szCs w:val="24"/>
          <w:lang w:eastAsia="zh-CN"/>
        </w:rPr>
        <w:t>款的约定提供。经监理人确认的材料、工程设备的价格与工程量清单中所列的暂估价的金额差以及相应的税金等其他费用列入合同价格。</w:t>
      </w:r>
    </w:p>
    <w:p w14:paraId="27C1A9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15.8.3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发包人在工程量清单中给定暂估价的专业工程不属于依法必须招标的范围或未达到规定的规模标准的，由监理人按照第</w:t>
      </w:r>
      <w:r>
        <w:rPr>
          <w:rFonts w:ascii="Times New Roman" w:hAnsi="Times New Roman" w:eastAsia="Times New Roman" w:cs="Times New Roman"/>
          <w:color w:val="auto"/>
          <w:sz w:val="24"/>
          <w:szCs w:val="24"/>
          <w:lang w:eastAsia="zh-CN"/>
        </w:rPr>
        <w:t>15.4</w:t>
      </w:r>
      <w:r>
        <w:rPr>
          <w:rFonts w:ascii="宋体" w:hAnsi="宋体" w:eastAsia="宋体" w:cs="宋体"/>
          <w:color w:val="auto"/>
          <w:sz w:val="24"/>
          <w:szCs w:val="24"/>
          <w:lang w:eastAsia="zh-CN"/>
        </w:rPr>
        <w:t>款进行估价，但专用合同条款另有约定的除外。经估价的专业工程与工程量清单中所列的暂估价的金额差以及相应的税金等其他费用列入合同价格。</w:t>
      </w:r>
    </w:p>
    <w:p w14:paraId="4B8603D7">
      <w:pPr>
        <w:widowControl w:val="0"/>
        <w:kinsoku/>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677" w:name="bookmark256"/>
      <w:bookmarkEnd w:id="677"/>
      <w:bookmarkStart w:id="678" w:name="bookmark255"/>
      <w:bookmarkEnd w:id="678"/>
      <w:bookmarkStart w:id="679" w:name="_Toc9016"/>
      <w:bookmarkStart w:id="680" w:name="_Toc20790"/>
      <w:bookmarkStart w:id="681" w:name="_Toc17865"/>
      <w:bookmarkStart w:id="682" w:name="_Toc27327"/>
      <w:r>
        <w:rPr>
          <w:rFonts w:hint="eastAsia" w:ascii="宋体" w:hAnsi="宋体" w:eastAsia="宋体" w:cs="宋体"/>
          <w:b/>
          <w:bCs/>
          <w:color w:val="auto"/>
          <w:sz w:val="28"/>
          <w:szCs w:val="28"/>
          <w:lang w:eastAsia="zh-CN"/>
        </w:rPr>
        <w:t>16　价格调整</w:t>
      </w:r>
      <w:bookmarkEnd w:id="679"/>
      <w:bookmarkEnd w:id="680"/>
      <w:bookmarkEnd w:id="681"/>
      <w:bookmarkEnd w:id="682"/>
    </w:p>
    <w:p w14:paraId="6F4E2CEA">
      <w:pPr>
        <w:widowControl w:val="0"/>
        <w:kinsoku/>
        <w:topLinePunct/>
        <w:autoSpaceDE/>
        <w:autoSpaceDN/>
        <w:spacing w:line="520" w:lineRule="exact"/>
        <w:ind w:left="7"/>
        <w:jc w:val="both"/>
        <w:outlineLvl w:val="3"/>
        <w:rPr>
          <w:rFonts w:ascii="Times New Roman" w:hAnsi="Times New Roman" w:eastAsia="Times New Roman" w:cs="Times New Roman"/>
          <w:b/>
          <w:bCs/>
          <w:color w:val="auto"/>
          <w:sz w:val="24"/>
          <w:szCs w:val="24"/>
          <w:lang w:eastAsia="zh-CN"/>
        </w:rPr>
      </w:pPr>
      <w:bookmarkStart w:id="683" w:name="bookmark702"/>
      <w:bookmarkEnd w:id="683"/>
      <w:r>
        <w:rPr>
          <w:rFonts w:ascii="Times New Roman" w:hAnsi="Times New Roman" w:eastAsia="Times New Roman" w:cs="Times New Roman"/>
          <w:b/>
          <w:bCs/>
          <w:color w:val="auto"/>
          <w:sz w:val="24"/>
          <w:szCs w:val="24"/>
          <w:lang w:eastAsia="zh-CN"/>
        </w:rPr>
        <w:t>16.1</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物价波动引起的价格调整</w:t>
      </w:r>
    </w:p>
    <w:p w14:paraId="251DF6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由于物价波动原因引起合同价格需要调整的，其价格调整方式在专用合同条款中约定。</w:t>
      </w:r>
    </w:p>
    <w:p w14:paraId="098F49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16.1.1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采用价格指数调整价格差额</w:t>
      </w:r>
    </w:p>
    <w:p w14:paraId="58F692F1">
      <w:pPr>
        <w:widowControl w:val="0"/>
        <w:kinsoku/>
        <w:topLinePunct/>
        <w:autoSpaceDE/>
        <w:autoSpaceDN/>
        <w:spacing w:line="520" w:lineRule="exact"/>
        <w:ind w:firstLine="420" w:firstLineChars="200"/>
        <w:jc w:val="both"/>
        <w:rPr>
          <w:rFonts w:hint="eastAsia" w:ascii="宋体" w:hAnsi="宋体" w:eastAsia="宋体" w:cs="宋体"/>
          <w:color w:val="auto"/>
          <w:sz w:val="24"/>
          <w:szCs w:val="24"/>
          <w:lang w:eastAsia="zh-CN"/>
        </w:rPr>
      </w:pPr>
      <w:r>
        <w:fldChar w:fldCharType="begin"/>
      </w:r>
      <w:r>
        <w:instrText xml:space="preserve"> HYPERLINK "16.1.1.1" </w:instrText>
      </w:r>
      <w:r>
        <w:fldChar w:fldCharType="separate"/>
      </w:r>
      <w:r>
        <w:rPr>
          <w:rFonts w:ascii="Times New Roman" w:hAnsi="Times New Roman" w:eastAsia="Times New Roman" w:cs="Times New Roman"/>
          <w:color w:val="auto"/>
          <w:sz w:val="24"/>
          <w:szCs w:val="24"/>
          <w:lang w:eastAsia="zh-CN"/>
        </w:rPr>
        <w:t>16.1.1.1</w:t>
      </w:r>
      <w:r>
        <w:rPr>
          <w:rFonts w:ascii="Times New Roman" w:hAnsi="Times New Roman" w:eastAsia="Times New Roman" w:cs="Times New Roman"/>
          <w:color w:val="auto"/>
          <w:sz w:val="24"/>
          <w:szCs w:val="24"/>
          <w:lang w:eastAsia="zh-CN"/>
        </w:rPr>
        <w:fldChar w:fldCharType="end"/>
      </w:r>
      <w:r>
        <w:rPr>
          <w:rFonts w:hint="eastAsia" w:ascii="Times New Roman" w:hAnsi="Times New Roman" w:eastAsia="宋体" w:cs="Times New Roman"/>
          <w:color w:val="auto"/>
          <w:sz w:val="24"/>
          <w:szCs w:val="24"/>
          <w:lang w:eastAsia="zh-CN"/>
        </w:rPr>
        <w:t>　</w:t>
      </w:r>
      <w:r>
        <w:rPr>
          <w:rFonts w:ascii="宋体" w:hAnsi="宋体" w:eastAsia="宋体" w:cs="宋体"/>
          <w:color w:val="auto"/>
          <w:sz w:val="24"/>
          <w:szCs w:val="24"/>
          <w:lang w:eastAsia="zh-CN"/>
        </w:rPr>
        <w:t>价格调整公式</w:t>
      </w:r>
    </w:p>
    <w:p w14:paraId="06701A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因人工、材料和设备等价格波动影响合同价格时，根据投标函附录中的价格指数和权重表约定的数据，按以下公式计算差额并调整合同价格。</w:t>
      </w:r>
    </w:p>
    <w:p w14:paraId="15BDBF4A">
      <w:pPr>
        <w:widowControl w:val="0"/>
        <w:kinsoku/>
        <w:wordWrap w:val="0"/>
        <w:topLinePunct/>
        <w:autoSpaceDE/>
        <w:autoSpaceDN/>
        <w:spacing w:line="360" w:lineRule="auto"/>
        <w:ind w:left="923"/>
        <w:jc w:val="both"/>
        <w:rPr>
          <w:color w:val="auto"/>
        </w:rPr>
      </w:pPr>
      <w:r>
        <w:rPr>
          <w:color w:val="auto"/>
          <w:lang w:eastAsia="zh-CN"/>
        </w:rPr>
        <w:drawing>
          <wp:inline distT="0" distB="0" distL="0" distR="0">
            <wp:extent cx="4398645" cy="35242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9"/>
                    <a:stretch>
                      <a:fillRect/>
                    </a:stretch>
                  </pic:blipFill>
                  <pic:spPr>
                    <a:xfrm>
                      <a:off x="0" y="0"/>
                      <a:ext cx="4398873" cy="352560"/>
                    </a:xfrm>
                    <a:prstGeom prst="rect">
                      <a:avLst/>
                    </a:prstGeom>
                  </pic:spPr>
                </pic:pic>
              </a:graphicData>
            </a:graphic>
          </wp:inline>
        </w:drawing>
      </w:r>
    </w:p>
    <w:p w14:paraId="2B60476F">
      <w:pPr>
        <w:widowControl w:val="0"/>
        <w:kinsoku/>
        <w:wordWrap w:val="0"/>
        <w:topLinePunct/>
        <w:autoSpaceDE/>
        <w:autoSpaceDN/>
        <w:spacing w:line="520" w:lineRule="exact"/>
        <w:ind w:left="48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式中：</w:t>
      </w:r>
      <w:r>
        <w:rPr>
          <w:rFonts w:hint="eastAsia" w:ascii="宋体" w:hAnsi="宋体" w:eastAsia="宋体" w:cs="宋体"/>
          <w:color w:val="auto"/>
          <w:sz w:val="24"/>
          <w:szCs w:val="24"/>
        </w:rPr>
        <w:t>Δ</w:t>
      </w:r>
      <w:r>
        <w:rPr>
          <w:rFonts w:hint="eastAsia" w:ascii="宋体" w:hAnsi="宋体" w:eastAsia="宋体" w:cs="宋体"/>
          <w:color w:val="auto"/>
          <w:sz w:val="24"/>
          <w:szCs w:val="24"/>
          <w:lang w:eastAsia="zh-CN"/>
        </w:rPr>
        <w:t>P--需调整的价格差额；</w:t>
      </w:r>
    </w:p>
    <w:p w14:paraId="27A14717">
      <w:pPr>
        <w:widowControl w:val="0"/>
        <w:kinsoku/>
        <w:wordWrap w:val="0"/>
        <w:topLinePunct/>
        <w:autoSpaceDE/>
        <w:autoSpaceDN/>
        <w:spacing w:line="520" w:lineRule="exact"/>
        <w:ind w:left="48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P</w:t>
      </w:r>
      <w:r>
        <w:rPr>
          <w:rFonts w:hint="eastAsia" w:ascii="宋体" w:hAnsi="宋体" w:eastAsia="宋体" w:cs="宋体"/>
          <w:color w:val="auto"/>
          <w:sz w:val="16"/>
          <w:szCs w:val="16"/>
          <w:lang w:eastAsia="zh-CN"/>
        </w:rPr>
        <w:t>O</w:t>
      </w:r>
      <w:r>
        <w:rPr>
          <w:rFonts w:hint="eastAsia" w:ascii="宋体" w:hAnsi="宋体" w:eastAsia="宋体" w:cs="宋体"/>
          <w:color w:val="auto"/>
          <w:sz w:val="24"/>
          <w:szCs w:val="24"/>
          <w:lang w:eastAsia="zh-CN"/>
        </w:rPr>
        <w:t>--本章第17.3.3项、第17.5.2项和第17.6.2项约定的付款证书中承包人应得到的已完成工程量的金额。此项金额应不包括价格调整、不计质量保证金的扣留和支付、预付款的支付和扣回，本章第15条约定的变更及其他金额已按现行价格计价的，也不计在内；</w:t>
      </w:r>
    </w:p>
    <w:p w14:paraId="7131080E">
      <w:pPr>
        <w:widowControl w:val="0"/>
        <w:kinsoku/>
        <w:wordWrap w:val="0"/>
        <w:topLinePunct/>
        <w:autoSpaceDE/>
        <w:autoSpaceDN/>
        <w:spacing w:line="520" w:lineRule="exact"/>
        <w:ind w:left="119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A--定值权重（即不调部分的权重）；</w:t>
      </w:r>
    </w:p>
    <w:p w14:paraId="010F04F7">
      <w:pPr>
        <w:widowControl w:val="0"/>
        <w:kinsoku/>
        <w:wordWrap w:val="0"/>
        <w:topLinePunct/>
        <w:autoSpaceDE/>
        <w:autoSpaceDN/>
        <w:spacing w:line="520" w:lineRule="exact"/>
        <w:ind w:left="3" w:firstLine="1191"/>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w:t>
      </w:r>
      <w:r>
        <w:rPr>
          <w:rFonts w:hint="eastAsia" w:ascii="宋体" w:hAnsi="宋体" w:eastAsia="宋体" w:cs="宋体"/>
          <w:color w:val="auto"/>
          <w:sz w:val="16"/>
          <w:szCs w:val="16"/>
          <w:lang w:eastAsia="zh-CN"/>
        </w:rPr>
        <w:t>1</w:t>
      </w:r>
      <w:r>
        <w:rPr>
          <w:rFonts w:hint="eastAsia" w:ascii="宋体" w:hAnsi="宋体" w:eastAsia="宋体" w:cs="宋体"/>
          <w:color w:val="auto"/>
          <w:sz w:val="24"/>
          <w:szCs w:val="24"/>
          <w:lang w:eastAsia="zh-CN"/>
        </w:rPr>
        <w:t>，B</w:t>
      </w:r>
      <w:r>
        <w:rPr>
          <w:rFonts w:hint="eastAsia" w:ascii="宋体" w:hAnsi="宋体" w:eastAsia="宋体" w:cs="宋体"/>
          <w:color w:val="auto"/>
          <w:sz w:val="16"/>
          <w:szCs w:val="16"/>
          <w:lang w:eastAsia="zh-CN"/>
        </w:rPr>
        <w:t>2</w:t>
      </w:r>
      <w:r>
        <w:rPr>
          <w:rFonts w:hint="eastAsia" w:ascii="宋体" w:hAnsi="宋体" w:eastAsia="宋体" w:cs="宋体"/>
          <w:color w:val="auto"/>
          <w:sz w:val="24"/>
          <w:szCs w:val="24"/>
          <w:lang w:eastAsia="zh-CN"/>
        </w:rPr>
        <w:t>，B</w:t>
      </w:r>
      <w:r>
        <w:rPr>
          <w:rFonts w:hint="eastAsia" w:ascii="宋体" w:hAnsi="宋体" w:eastAsia="宋体" w:cs="宋体"/>
          <w:color w:val="auto"/>
          <w:sz w:val="16"/>
          <w:szCs w:val="16"/>
          <w:lang w:eastAsia="zh-CN"/>
        </w:rPr>
        <w:t>3</w:t>
      </w:r>
      <w:r>
        <w:rPr>
          <w:rFonts w:hint="eastAsia" w:ascii="宋体" w:hAnsi="宋体" w:eastAsia="宋体" w:cs="宋体"/>
          <w:color w:val="auto"/>
          <w:sz w:val="24"/>
          <w:szCs w:val="24"/>
          <w:lang w:eastAsia="zh-CN"/>
        </w:rPr>
        <w:t>，…,B</w:t>
      </w:r>
      <w:r>
        <w:rPr>
          <w:rFonts w:hint="eastAsia" w:ascii="宋体" w:hAnsi="宋体" w:eastAsia="宋体" w:cs="宋体"/>
          <w:color w:val="auto"/>
          <w:sz w:val="16"/>
          <w:szCs w:val="16"/>
          <w:lang w:eastAsia="zh-CN"/>
        </w:rPr>
        <w:t>n</w:t>
      </w:r>
      <w:r>
        <w:rPr>
          <w:rFonts w:hint="eastAsia" w:ascii="宋体" w:hAnsi="宋体" w:eastAsia="宋体" w:cs="宋体"/>
          <w:color w:val="auto"/>
          <w:sz w:val="24"/>
          <w:szCs w:val="24"/>
          <w:lang w:eastAsia="zh-CN"/>
        </w:rPr>
        <w:t>--各可调因子的变值权重（即可调部分的权重），为各可调因子在投标函投标总报价中所占的比例；</w:t>
      </w:r>
    </w:p>
    <w:p w14:paraId="383E1F38">
      <w:pPr>
        <w:widowControl w:val="0"/>
        <w:kinsoku/>
        <w:wordWrap w:val="0"/>
        <w:topLinePunct/>
        <w:autoSpaceDE/>
        <w:autoSpaceDN/>
        <w:spacing w:line="520" w:lineRule="exact"/>
        <w:ind w:right="66" w:firstLine="1194"/>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t1</w:t>
      </w: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t2</w:t>
      </w: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t3</w:t>
      </w: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tn</w:t>
      </w:r>
      <w:r>
        <w:rPr>
          <w:rFonts w:hint="eastAsia" w:ascii="宋体" w:hAnsi="宋体" w:eastAsia="宋体" w:cs="宋体"/>
          <w:color w:val="auto"/>
          <w:sz w:val="24"/>
          <w:szCs w:val="24"/>
          <w:lang w:eastAsia="zh-CN"/>
        </w:rPr>
        <w:t>--各可调因子的现行价格指数，指本章第17.3.3项、第17.5.2项和第17.6.2项约定的付款证书相关周期最后一天的前42天的各可调因子的价格指数；</w:t>
      </w:r>
    </w:p>
    <w:p w14:paraId="4240769F">
      <w:pPr>
        <w:widowControl w:val="0"/>
        <w:kinsoku/>
        <w:wordWrap w:val="0"/>
        <w:topLinePunct/>
        <w:autoSpaceDE/>
        <w:autoSpaceDN/>
        <w:spacing w:line="520" w:lineRule="exact"/>
        <w:ind w:left="2" w:right="66" w:firstLine="1192"/>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01</w:t>
      </w: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02</w:t>
      </w: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03</w:t>
      </w:r>
      <w:r>
        <w:rPr>
          <w:rFonts w:hint="eastAsia" w:ascii="宋体" w:hAnsi="宋体" w:eastAsia="宋体" w:cs="宋体"/>
          <w:color w:val="auto"/>
          <w:sz w:val="24"/>
          <w:szCs w:val="24"/>
          <w:lang w:eastAsia="zh-CN"/>
        </w:rPr>
        <w:t>，…,F</w:t>
      </w:r>
      <w:r>
        <w:rPr>
          <w:rFonts w:hint="eastAsia" w:ascii="宋体" w:hAnsi="宋体" w:eastAsia="宋体" w:cs="宋体"/>
          <w:color w:val="auto"/>
          <w:sz w:val="16"/>
          <w:szCs w:val="16"/>
          <w:lang w:eastAsia="zh-CN"/>
        </w:rPr>
        <w:t>0n</w:t>
      </w:r>
      <w:r>
        <w:rPr>
          <w:rFonts w:hint="eastAsia" w:ascii="宋体" w:hAnsi="宋体" w:eastAsia="宋体" w:cs="宋体"/>
          <w:color w:val="auto"/>
          <w:sz w:val="24"/>
          <w:szCs w:val="24"/>
          <w:lang w:eastAsia="zh-CN"/>
        </w:rPr>
        <w:t>--各可调因子的基本价格指数，指基准日期的各可调因子的价格指数。</w:t>
      </w:r>
    </w:p>
    <w:p w14:paraId="3E137772">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0BDA2769">
      <w:pPr>
        <w:widowControl w:val="0"/>
        <w:kinsoku/>
        <w:wordWrap w:val="0"/>
        <w:topLinePunct/>
        <w:autoSpaceDE/>
        <w:autoSpaceDN/>
        <w:spacing w:line="520" w:lineRule="exact"/>
        <w:ind w:firstLine="420" w:firstLineChars="200"/>
        <w:jc w:val="both"/>
        <w:rPr>
          <w:rFonts w:hint="eastAsia" w:ascii="宋体" w:hAnsi="宋体" w:eastAsia="宋体" w:cs="宋体"/>
          <w:color w:val="auto"/>
          <w:sz w:val="24"/>
          <w:szCs w:val="24"/>
          <w:lang w:eastAsia="zh-CN"/>
        </w:rPr>
      </w:pPr>
      <w:r>
        <w:fldChar w:fldCharType="begin"/>
      </w:r>
      <w:r>
        <w:instrText xml:space="preserve"> HYPERLINK "16.1.1.2" </w:instrText>
      </w:r>
      <w:r>
        <w:fldChar w:fldCharType="separate"/>
      </w:r>
      <w:r>
        <w:rPr>
          <w:rFonts w:hint="eastAsia" w:ascii="宋体" w:hAnsi="宋体" w:eastAsia="宋体" w:cs="宋体"/>
          <w:color w:val="auto"/>
          <w:sz w:val="24"/>
          <w:szCs w:val="24"/>
          <w:lang w:eastAsia="zh-CN"/>
        </w:rPr>
        <w:t>16.1.1.2</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暂时确定调整差额</w:t>
      </w:r>
    </w:p>
    <w:p w14:paraId="4B26963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在计算调整差额时得不到现行价格指数的，可暂用上一次价格指数计算，并在以后的付款中再按实际价格指数进行调整。</w:t>
      </w:r>
    </w:p>
    <w:p w14:paraId="225CFF11">
      <w:pPr>
        <w:widowControl w:val="0"/>
        <w:kinsoku/>
        <w:wordWrap w:val="0"/>
        <w:topLinePunct/>
        <w:autoSpaceDE/>
        <w:autoSpaceDN/>
        <w:spacing w:line="520" w:lineRule="exact"/>
        <w:ind w:firstLine="420" w:firstLineChars="200"/>
        <w:jc w:val="both"/>
        <w:rPr>
          <w:rFonts w:hint="eastAsia" w:ascii="宋体" w:hAnsi="宋体" w:eastAsia="宋体" w:cs="宋体"/>
          <w:color w:val="auto"/>
          <w:sz w:val="24"/>
          <w:szCs w:val="24"/>
          <w:lang w:eastAsia="zh-CN"/>
        </w:rPr>
      </w:pPr>
      <w:r>
        <w:fldChar w:fldCharType="begin"/>
      </w:r>
      <w:r>
        <w:instrText xml:space="preserve"> HYPERLINK "16.1.1.3" </w:instrText>
      </w:r>
      <w:r>
        <w:fldChar w:fldCharType="separate"/>
      </w:r>
      <w:r>
        <w:rPr>
          <w:rFonts w:hint="eastAsia" w:ascii="宋体" w:hAnsi="宋体" w:eastAsia="宋体" w:cs="宋体"/>
          <w:color w:val="auto"/>
          <w:sz w:val="24"/>
          <w:szCs w:val="24"/>
          <w:lang w:eastAsia="zh-CN"/>
        </w:rPr>
        <w:t>16.1.1.3</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权重的调整</w:t>
      </w:r>
    </w:p>
    <w:p w14:paraId="64B1EF2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按第15.1款约定的变更导致原定合同中的权重不合理时，由监理人与承包人和发包人协商后进行调整。</w:t>
      </w:r>
    </w:p>
    <w:p w14:paraId="1930FCBF">
      <w:pPr>
        <w:widowControl w:val="0"/>
        <w:kinsoku/>
        <w:wordWrap w:val="0"/>
        <w:topLinePunct/>
        <w:autoSpaceDE/>
        <w:autoSpaceDN/>
        <w:spacing w:line="520" w:lineRule="exact"/>
        <w:ind w:firstLine="420" w:firstLineChars="200"/>
        <w:jc w:val="both"/>
        <w:rPr>
          <w:rFonts w:hint="eastAsia" w:ascii="宋体" w:hAnsi="宋体" w:eastAsia="宋体" w:cs="宋体"/>
          <w:color w:val="auto"/>
          <w:sz w:val="24"/>
          <w:szCs w:val="24"/>
          <w:lang w:eastAsia="zh-CN"/>
        </w:rPr>
      </w:pPr>
      <w:r>
        <w:fldChar w:fldCharType="begin"/>
      </w:r>
      <w:r>
        <w:instrText xml:space="preserve"> HYPERLINK "16.1.1.4" </w:instrText>
      </w:r>
      <w:r>
        <w:fldChar w:fldCharType="separate"/>
      </w:r>
      <w:r>
        <w:rPr>
          <w:rFonts w:hint="eastAsia" w:ascii="宋体" w:hAnsi="宋体" w:eastAsia="宋体" w:cs="宋体"/>
          <w:color w:val="auto"/>
          <w:sz w:val="24"/>
          <w:szCs w:val="24"/>
          <w:lang w:eastAsia="zh-CN"/>
        </w:rPr>
        <w:t>16.1.1.4</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承包人工期延误后的价格调整</w:t>
      </w:r>
    </w:p>
    <w:p w14:paraId="075CE0B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由于承包人原因未在约定的工期内完工的，则对原约定完工日期后继续施工的工程，在使用第</w:t>
      </w:r>
      <w:r>
        <w:fldChar w:fldCharType="begin"/>
      </w:r>
      <w:r>
        <w:instrText xml:space="preserve"> HYPERLINK "16.1.1.1" </w:instrText>
      </w:r>
      <w:r>
        <w:fldChar w:fldCharType="separate"/>
      </w:r>
      <w:r>
        <w:rPr>
          <w:rFonts w:hint="eastAsia" w:ascii="宋体" w:hAnsi="宋体" w:eastAsia="宋体" w:cs="宋体"/>
          <w:color w:val="auto"/>
          <w:sz w:val="24"/>
          <w:szCs w:val="24"/>
          <w:lang w:eastAsia="zh-CN"/>
        </w:rPr>
        <w:t>16.1.1.1</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目价格调整公式时，应采用原约定完工日期与实际完工日期的两个价格指数中较低的一个作为现行价格指数。</w:t>
      </w:r>
    </w:p>
    <w:p w14:paraId="112672BA">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16.1.2　</w:t>
      </w:r>
      <w:r>
        <w:rPr>
          <w:rFonts w:hint="eastAsia" w:ascii="宋体" w:hAnsi="宋体" w:eastAsia="宋体" w:cs="宋体"/>
          <w:color w:val="auto"/>
          <w:sz w:val="24"/>
          <w:szCs w:val="24"/>
          <w:lang w:eastAsia="zh-CN"/>
        </w:rPr>
        <w:t>采用造价信息调整价格差额</w:t>
      </w:r>
    </w:p>
    <w:p w14:paraId="0B0C08A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67B512F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工程造价信息的来源以及价格调整的项目和系数在专用合同条款中约定。</w:t>
      </w:r>
    </w:p>
    <w:p w14:paraId="28A6345A">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684" w:name="bookmark257"/>
      <w:bookmarkEnd w:id="684"/>
      <w:r>
        <w:rPr>
          <w:rFonts w:hint="eastAsia" w:ascii="宋体" w:hAnsi="宋体" w:eastAsia="宋体" w:cs="宋体"/>
          <w:b/>
          <w:bCs/>
          <w:color w:val="auto"/>
          <w:sz w:val="24"/>
          <w:szCs w:val="24"/>
          <w:lang w:eastAsia="zh-CN"/>
        </w:rPr>
        <w:t>16.2　法律、法规、规章变化引起的价格调整</w:t>
      </w:r>
    </w:p>
    <w:p w14:paraId="0B331C4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基准日后，因法律、法规、规章变化导致承包人在合同履行中所需要的工程费用发生除第16.1款约定以外的增减时，监理人应根据法律、法规、规章，国家或省、自治区、直辖市有关部门的规定，按第3.5款商定或确定需调整的合同价款。</w:t>
      </w:r>
    </w:p>
    <w:p w14:paraId="42D01FB0">
      <w:pPr>
        <w:widowControl w:val="0"/>
        <w:kinsoku/>
        <w:wordWrap w:val="0"/>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685" w:name="bookmark259"/>
      <w:bookmarkEnd w:id="685"/>
      <w:bookmarkStart w:id="686" w:name="bookmark258"/>
      <w:bookmarkEnd w:id="686"/>
      <w:bookmarkStart w:id="687" w:name="_Toc11262"/>
      <w:bookmarkStart w:id="688" w:name="_Toc19534"/>
      <w:bookmarkStart w:id="689" w:name="_Toc21976"/>
      <w:bookmarkStart w:id="690" w:name="_Toc29259"/>
      <w:r>
        <w:rPr>
          <w:rFonts w:hint="eastAsia" w:ascii="宋体" w:hAnsi="宋体" w:eastAsia="宋体" w:cs="宋体"/>
          <w:b/>
          <w:bCs/>
          <w:color w:val="auto"/>
          <w:sz w:val="28"/>
          <w:szCs w:val="28"/>
          <w:lang w:eastAsia="zh-CN"/>
        </w:rPr>
        <w:t>17　计量与支付</w:t>
      </w:r>
      <w:bookmarkEnd w:id="687"/>
      <w:bookmarkEnd w:id="688"/>
      <w:bookmarkEnd w:id="689"/>
      <w:bookmarkEnd w:id="690"/>
    </w:p>
    <w:p w14:paraId="455C8B9D">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691" w:name="bookmark703"/>
      <w:bookmarkEnd w:id="691"/>
      <w:r>
        <w:rPr>
          <w:rFonts w:hint="eastAsia" w:ascii="宋体" w:hAnsi="宋体" w:eastAsia="宋体" w:cs="宋体"/>
          <w:b/>
          <w:bCs/>
          <w:color w:val="auto"/>
          <w:sz w:val="24"/>
          <w:szCs w:val="24"/>
          <w:lang w:eastAsia="zh-CN"/>
        </w:rPr>
        <w:t>17.1　计量</w:t>
      </w:r>
    </w:p>
    <w:p w14:paraId="0A64D65D">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17.1.1　</w:t>
      </w:r>
      <w:r>
        <w:rPr>
          <w:rFonts w:hint="eastAsia" w:ascii="宋体" w:hAnsi="宋体" w:eastAsia="宋体" w:cs="宋体"/>
          <w:color w:val="auto"/>
          <w:sz w:val="24"/>
          <w:szCs w:val="24"/>
          <w:lang w:eastAsia="zh-CN"/>
        </w:rPr>
        <w:t>计量单位</w:t>
      </w:r>
    </w:p>
    <w:p w14:paraId="59805678">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计量采用国家法定的计量单位。</w:t>
      </w:r>
    </w:p>
    <w:p w14:paraId="2B822BA3">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17.1.2　</w:t>
      </w:r>
      <w:r>
        <w:rPr>
          <w:rFonts w:hint="eastAsia" w:ascii="宋体" w:hAnsi="宋体" w:eastAsia="宋体" w:cs="宋体"/>
          <w:color w:val="auto"/>
          <w:sz w:val="24"/>
          <w:szCs w:val="24"/>
          <w:lang w:eastAsia="zh-CN"/>
        </w:rPr>
        <w:t>计量方法</w:t>
      </w:r>
    </w:p>
    <w:p w14:paraId="3BD0D139">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结算工程量应按工程量清单中约定的方法计量。</w:t>
      </w:r>
    </w:p>
    <w:p w14:paraId="54F75CB6">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17.1.3　</w:t>
      </w:r>
      <w:r>
        <w:rPr>
          <w:rFonts w:hint="eastAsia" w:ascii="宋体" w:hAnsi="宋体" w:eastAsia="宋体" w:cs="宋体"/>
          <w:color w:val="auto"/>
          <w:sz w:val="24"/>
          <w:szCs w:val="24"/>
          <w:lang w:eastAsia="zh-CN"/>
        </w:rPr>
        <w:t>计量周期</w:t>
      </w:r>
    </w:p>
    <w:p w14:paraId="30AC864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除专用合同条款另有约定外，单价子目已完成工程量按月计量，总价子目的计量周期按批准的支付分解报告确定。</w:t>
      </w:r>
    </w:p>
    <w:p w14:paraId="65A79181">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17.1.4　</w:t>
      </w:r>
      <w:r>
        <w:rPr>
          <w:rFonts w:hint="eastAsia" w:ascii="宋体" w:hAnsi="宋体" w:eastAsia="宋体" w:cs="宋体"/>
          <w:color w:val="auto"/>
          <w:sz w:val="24"/>
          <w:szCs w:val="24"/>
          <w:lang w:eastAsia="zh-CN"/>
        </w:rPr>
        <w:t>单价子目的计量</w:t>
      </w:r>
    </w:p>
    <w:p w14:paraId="6885E18B">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（l）已标价工程量清单中的单价子目工程量为估算工程量。结算工程量是承包人实际完成的，并按合同约定的计量方法进行计量的工程量。</w:t>
      </w:r>
    </w:p>
    <w:p w14:paraId="732A8FF9">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（2）承包人对已完成的工程进行计量，向监理人提交进度付款申请单、已完成工程量报表和有关计量资料。</w:t>
      </w:r>
    </w:p>
    <w:p w14:paraId="42E234A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7B0B9601">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（4）监理人认为有必要时，可通知承包人共同进行联合测量、计量，承包人应遵照执行。</w:t>
      </w:r>
    </w:p>
    <w:p w14:paraId="0686974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p>
    <w:p w14:paraId="7467576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（6）监理人应在收到承包人提交的工程量报表后的7天内进行复核，监理人未在约定时间内复核的，承包人提交的工程量报表中的工程量视为承包人实际完成的工程量，据此计算工程价款。</w:t>
      </w:r>
    </w:p>
    <w:p w14:paraId="3B9058D1">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17.1.5　</w:t>
      </w:r>
      <w:r>
        <w:rPr>
          <w:rFonts w:hint="eastAsia" w:ascii="宋体" w:hAnsi="宋体" w:eastAsia="宋体" w:cs="宋体"/>
          <w:color w:val="auto"/>
          <w:sz w:val="24"/>
          <w:szCs w:val="24"/>
          <w:lang w:eastAsia="zh-CN"/>
        </w:rPr>
        <w:t>总价子目的计量</w:t>
      </w:r>
    </w:p>
    <w:p w14:paraId="2BAC1A7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总价子目的分解和计量按照下述约定进行。</w:t>
      </w:r>
    </w:p>
    <w:p w14:paraId="048077E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（1）总价子目的计量和支付应以总价为基础，不因第16.1款中的因素而进行调整。承包人实际完成的工程量，是进行工程目标管理和控制进度支付的依据。</w:t>
      </w:r>
    </w:p>
    <w:p w14:paraId="4F850B52">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3E103549">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（3）监理人对承包人提交的上述资料进行复核，以确定分阶段实际完成的工程量和工程形象目标。对其有异议的，可要求承包人按第8.2款约定进行共同复核和抽样复测。</w:t>
      </w:r>
    </w:p>
    <w:p w14:paraId="0ED90BF6">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（4）除按照第15条约定的变更外，总价子目的工程量是承包人用于结算的最终工程量。</w:t>
      </w:r>
    </w:p>
    <w:p w14:paraId="37AC990F">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692" w:name="bookmark260"/>
      <w:bookmarkEnd w:id="692"/>
      <w:r>
        <w:rPr>
          <w:rFonts w:hint="eastAsia" w:ascii="宋体" w:hAnsi="宋体" w:eastAsia="宋体" w:cs="宋体"/>
          <w:b/>
          <w:bCs/>
          <w:color w:val="auto"/>
          <w:sz w:val="24"/>
          <w:szCs w:val="24"/>
          <w:lang w:eastAsia="zh-CN"/>
        </w:rPr>
        <w:t>17.2　预付款</w:t>
      </w:r>
    </w:p>
    <w:p w14:paraId="7378B33B">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17.2.1　</w:t>
      </w:r>
      <w:r>
        <w:rPr>
          <w:rFonts w:hint="eastAsia" w:ascii="宋体" w:hAnsi="宋体" w:eastAsia="宋体" w:cs="宋体"/>
          <w:color w:val="auto"/>
          <w:sz w:val="24"/>
          <w:szCs w:val="24"/>
          <w:lang w:eastAsia="zh-CN"/>
        </w:rPr>
        <w:t>预付款</w:t>
      </w:r>
    </w:p>
    <w:p w14:paraId="7880D60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对重大工程项目，按年度工程计划逐年支付。</w:t>
      </w:r>
    </w:p>
    <w:p w14:paraId="019F53C3">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17.2.2　</w:t>
      </w:r>
      <w:r>
        <w:rPr>
          <w:rFonts w:hint="eastAsia" w:ascii="宋体" w:hAnsi="宋体" w:eastAsia="宋体" w:cs="宋体"/>
          <w:color w:val="auto"/>
          <w:sz w:val="24"/>
          <w:szCs w:val="24"/>
          <w:lang w:eastAsia="zh-CN"/>
        </w:rPr>
        <w:t>预付款保函（担保）</w:t>
      </w:r>
    </w:p>
    <w:p w14:paraId="585D2080">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承包人无须向发包人提交预付款保函。发包人向承包人支付的预付款，应按照本合同第17.2.1项规定使用，承包人提交的履约担保对预付款的正常使用承担保证责任。</w:t>
      </w:r>
    </w:p>
    <w:p w14:paraId="07B4C557">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17.2.3　</w:t>
      </w:r>
      <w:r>
        <w:rPr>
          <w:rFonts w:hint="eastAsia" w:ascii="宋体" w:hAnsi="宋体" w:eastAsia="宋体" w:cs="宋体"/>
          <w:color w:val="auto"/>
          <w:sz w:val="24"/>
          <w:szCs w:val="24"/>
          <w:lang w:eastAsia="zh-CN"/>
        </w:rPr>
        <w:t>预付款的扣回与还清</w:t>
      </w:r>
    </w:p>
    <w:p w14:paraId="3D035CB1">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预付款在进度付款中扣回，扣回与还清办法在专用合同条款中约定。在颁发合同工程完工证书前，由于不可抗力或其它原因解除合同时，预付款尚未扣清的，尚未扣清的预付款余额应作为承包人的到期应付款。</w:t>
      </w:r>
    </w:p>
    <w:p w14:paraId="4507D415">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693" w:name="bookmark261"/>
      <w:bookmarkEnd w:id="693"/>
      <w:r>
        <w:rPr>
          <w:rFonts w:hint="eastAsia" w:ascii="宋体" w:hAnsi="宋体" w:eastAsia="宋体" w:cs="宋体"/>
          <w:b/>
          <w:bCs/>
          <w:color w:val="auto"/>
          <w:sz w:val="24"/>
          <w:szCs w:val="24"/>
          <w:lang w:eastAsia="zh-CN"/>
        </w:rPr>
        <w:t>17.3　工程进度付款</w:t>
      </w:r>
    </w:p>
    <w:p w14:paraId="5860050A">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17.3.1　</w:t>
      </w:r>
      <w:r>
        <w:rPr>
          <w:rFonts w:hint="eastAsia" w:ascii="宋体" w:hAnsi="宋体" w:eastAsia="宋体" w:cs="宋体"/>
          <w:color w:val="auto"/>
          <w:sz w:val="24"/>
          <w:szCs w:val="24"/>
          <w:lang w:eastAsia="zh-CN"/>
        </w:rPr>
        <w:t>付款周期</w:t>
      </w:r>
    </w:p>
    <w:p w14:paraId="76AE418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付款周期同计量周期。</w:t>
      </w:r>
    </w:p>
    <w:p w14:paraId="16158DCD">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17.3.2　</w:t>
      </w:r>
      <w:r>
        <w:rPr>
          <w:rFonts w:hint="eastAsia" w:ascii="宋体" w:hAnsi="宋体" w:eastAsia="宋体" w:cs="宋体"/>
          <w:color w:val="auto"/>
          <w:sz w:val="24"/>
          <w:szCs w:val="24"/>
          <w:lang w:eastAsia="zh-CN"/>
        </w:rPr>
        <w:t>进度付款申请单</w:t>
      </w:r>
    </w:p>
    <w:p w14:paraId="53EDA15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5E53D628">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（l）截至本次付款周期末已实施工程的价款。</w:t>
      </w:r>
    </w:p>
    <w:p w14:paraId="514B9BE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（2）根据第15条应增加和扣减的变更金额。</w:t>
      </w:r>
    </w:p>
    <w:p w14:paraId="5CA9429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（3）根据第23条应增加和扣减的索赔金额。</w:t>
      </w:r>
    </w:p>
    <w:p w14:paraId="646D5C5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（4）根据第17.2款约定应支付的预付款和扣减的返还预付款。</w:t>
      </w:r>
    </w:p>
    <w:p w14:paraId="527D9276">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（5）根据合同应增加和扣减的其他金额。</w:t>
      </w:r>
    </w:p>
    <w:p w14:paraId="36688C90">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17.3.3　</w:t>
      </w:r>
      <w:r>
        <w:rPr>
          <w:rFonts w:hint="eastAsia" w:ascii="宋体" w:hAnsi="宋体" w:eastAsia="宋体" w:cs="宋体"/>
          <w:color w:val="auto"/>
          <w:sz w:val="24"/>
          <w:szCs w:val="24"/>
          <w:lang w:eastAsia="zh-CN"/>
        </w:rPr>
        <w:t>进度付款证书和支付时间</w:t>
      </w:r>
    </w:p>
    <w:p w14:paraId="63E54607">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DBC72F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（2）发包人应在监理人收到进度付款申请单后的28天内，将进度应付款支付给承包人。发包人不按期支付的，按专用合同条款的约定支付逾期付款违约金。</w:t>
      </w:r>
    </w:p>
    <w:p w14:paraId="7192D081">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（3）监理人出具进度付款证书，不应视为监理人已同意、批准或接受了承包人完成的该部分工作。</w:t>
      </w:r>
    </w:p>
    <w:p w14:paraId="2855EB5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（4）进度付款涉及政府投资资金的，按照国库集中支付等国家相关规定和专用合同条款的约定办理。</w:t>
      </w:r>
    </w:p>
    <w:p w14:paraId="03330410">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17.3.4　</w:t>
      </w:r>
      <w:r>
        <w:rPr>
          <w:rFonts w:hint="eastAsia" w:ascii="宋体" w:hAnsi="宋体" w:eastAsia="宋体" w:cs="宋体"/>
          <w:color w:val="auto"/>
          <w:sz w:val="24"/>
          <w:szCs w:val="24"/>
          <w:lang w:eastAsia="zh-CN"/>
        </w:rPr>
        <w:t>工程进度付款的修正</w:t>
      </w:r>
    </w:p>
    <w:p w14:paraId="572F92E8">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在对以往历次已签发的进度付款证书进行汇总和复核中发现错、漏或重复的，监理人有权予以修正，承包人也有权提出修正申请。经双方复核同意的修正，应在本次进度付款中支付或扣除。</w:t>
      </w:r>
    </w:p>
    <w:p w14:paraId="5723B7DB">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694" w:name="bookmark262"/>
      <w:bookmarkEnd w:id="694"/>
      <w:r>
        <w:rPr>
          <w:rFonts w:hint="eastAsia" w:ascii="宋体" w:hAnsi="宋体" w:eastAsia="宋体" w:cs="宋体"/>
          <w:b/>
          <w:bCs/>
          <w:color w:val="auto"/>
          <w:sz w:val="24"/>
          <w:szCs w:val="24"/>
          <w:lang w:eastAsia="zh-CN"/>
        </w:rPr>
        <w:t>17.4　质量保证金</w:t>
      </w:r>
    </w:p>
    <w:p w14:paraId="10513AC8">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17.4.1　</w:t>
      </w:r>
      <w:r>
        <w:rPr>
          <w:rFonts w:hint="eastAsia" w:ascii="宋体" w:hAnsi="宋体" w:eastAsia="宋体" w:cs="宋体"/>
          <w:color w:val="auto"/>
          <w:sz w:val="24"/>
          <w:szCs w:val="24"/>
          <w:lang w:eastAsia="zh-CN"/>
        </w:rPr>
        <w:t>质量保证金总额在专用合同条款中约定，在合同工程完工结算时扣留，工程进度付款时不另行扣留。发包人在扣留质量保证金时，应同时将履约担保退还给承包人。</w:t>
      </w:r>
    </w:p>
    <w:p w14:paraId="1748C58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承包人可采用等额工程保函（包括银行保函、保险机构保证保险保单和融资担保公司保函）换取质量保证金，办理保函所需的费用由承包人承担。</w:t>
      </w:r>
    </w:p>
    <w:p w14:paraId="5DCF8338">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17.4.2　</w:t>
      </w:r>
      <w:r>
        <w:rPr>
          <w:rFonts w:hint="eastAsia" w:ascii="宋体" w:hAnsi="宋体" w:eastAsia="宋体" w:cs="宋体"/>
          <w:color w:val="auto"/>
          <w:sz w:val="24"/>
          <w:szCs w:val="24"/>
          <w:lang w:eastAsia="zh-CN"/>
        </w:rPr>
        <w:t>在第</w:t>
      </w:r>
      <w:r>
        <w:fldChar w:fldCharType="begin"/>
      </w:r>
      <w:r>
        <w:rPr>
          <w:lang w:eastAsia="zh-CN"/>
        </w:rPr>
        <w:instrText xml:space="preserve">HYPERLINK "1.1.4.5"</w:instrText>
      </w:r>
      <w:r>
        <w:fldChar w:fldCharType="separate"/>
      </w:r>
      <w:r>
        <w:rPr>
          <w:rFonts w:hint="eastAsia" w:ascii="宋体" w:hAnsi="宋体" w:eastAsia="宋体" w:cs="宋体"/>
          <w:color w:val="auto"/>
          <w:sz w:val="24"/>
          <w:szCs w:val="24"/>
          <w:lang w:eastAsia="zh-CN"/>
        </w:rPr>
        <w:t>1.1.4.5</w:t>
      </w:r>
      <w:r>
        <w:fldChar w:fldCharType="end"/>
      </w:r>
      <w:r>
        <w:rPr>
          <w:rFonts w:hint="eastAsia" w:ascii="宋体" w:hAnsi="宋体" w:eastAsia="宋体" w:cs="宋体"/>
          <w:color w:val="auto"/>
          <w:sz w:val="24"/>
          <w:szCs w:val="24"/>
          <w:lang w:eastAsia="zh-CN"/>
        </w:rPr>
        <w:t>目约定的缺陷责任期（工程质量保修期）满时，发包人将在30个工作日内会同承包人按照合同约定的内容核实承包人是否完成保修责任。如无异议，发包人应当在核实后将剩余的质量保证金支付给承包人。</w:t>
      </w:r>
    </w:p>
    <w:p w14:paraId="7CE9E2BE">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17.4.3　</w:t>
      </w:r>
      <w:r>
        <w:rPr>
          <w:rFonts w:hint="eastAsia" w:ascii="宋体" w:hAnsi="宋体" w:eastAsia="宋体" w:cs="宋体"/>
          <w:color w:val="auto"/>
          <w:sz w:val="24"/>
          <w:szCs w:val="24"/>
          <w:lang w:eastAsia="zh-CN"/>
        </w:rPr>
        <w:t>在第</w:t>
      </w:r>
      <w:r>
        <w:fldChar w:fldCharType="begin"/>
      </w:r>
      <w:r>
        <w:rPr>
          <w:lang w:eastAsia="zh-CN"/>
        </w:rPr>
        <w:instrText xml:space="preserve">HYPERLINK "1.1.4.5"</w:instrText>
      </w:r>
      <w:r>
        <w:fldChar w:fldCharType="separate"/>
      </w:r>
      <w:r>
        <w:rPr>
          <w:rFonts w:hint="eastAsia" w:ascii="宋体" w:hAnsi="宋体" w:eastAsia="宋体" w:cs="宋体"/>
          <w:color w:val="auto"/>
          <w:sz w:val="24"/>
          <w:szCs w:val="24"/>
          <w:lang w:eastAsia="zh-CN"/>
        </w:rPr>
        <w:t>1.1.4.5</w:t>
      </w:r>
      <w:r>
        <w:fldChar w:fldCharType="end"/>
      </w:r>
      <w:r>
        <w:rPr>
          <w:rFonts w:hint="eastAsia" w:ascii="宋体" w:hAnsi="宋体" w:eastAsia="宋体" w:cs="宋体"/>
          <w:color w:val="auto"/>
          <w:sz w:val="24"/>
          <w:szCs w:val="24"/>
          <w:lang w:eastAsia="zh-CN"/>
        </w:rPr>
        <w:t>目约定的缺陷责任期满时，承包人没有完成缺陷责任的，发包人有权扣留与未履行责任剩余工作所需金额相应的质量保证金余额，并有权根据第19.3款约定要求延长缺陷责任期，直至完成剩余工作为止。</w:t>
      </w:r>
    </w:p>
    <w:p w14:paraId="33AC8657">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695" w:name="bookmark263"/>
      <w:bookmarkEnd w:id="695"/>
      <w:r>
        <w:rPr>
          <w:rFonts w:hint="eastAsia" w:ascii="宋体" w:hAnsi="宋体" w:eastAsia="宋体" w:cs="宋体"/>
          <w:b/>
          <w:bCs/>
          <w:color w:val="auto"/>
          <w:sz w:val="24"/>
          <w:szCs w:val="24"/>
          <w:lang w:eastAsia="zh-CN"/>
        </w:rPr>
        <w:t>17.5　完工结算</w:t>
      </w:r>
    </w:p>
    <w:p w14:paraId="7CAA800F">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17.5.1　</w:t>
      </w:r>
      <w:r>
        <w:rPr>
          <w:rFonts w:hint="eastAsia" w:ascii="宋体" w:hAnsi="宋体" w:eastAsia="宋体" w:cs="宋体"/>
          <w:color w:val="auto"/>
          <w:sz w:val="24"/>
          <w:szCs w:val="24"/>
          <w:lang w:eastAsia="zh-CN"/>
        </w:rPr>
        <w:t>完工付款申请单</w:t>
      </w:r>
    </w:p>
    <w:p w14:paraId="33FFB217">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735FF2E5">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（2）监理人对完工付款申请单有异议的，有权要求承包人进行修正和提供补充资料。经监理人和承包人协商后，由承包人向监理人提交修正后的完工付款申请单。</w:t>
      </w:r>
    </w:p>
    <w:p w14:paraId="42F63387">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17.5.2　</w:t>
      </w:r>
      <w:r>
        <w:rPr>
          <w:rFonts w:hint="eastAsia" w:ascii="宋体" w:hAnsi="宋体" w:eastAsia="宋体" w:cs="宋体"/>
          <w:color w:val="auto"/>
          <w:sz w:val="24"/>
          <w:szCs w:val="24"/>
          <w:lang w:eastAsia="zh-CN"/>
        </w:rPr>
        <w:t>完工付款证书及支付时间</w:t>
      </w:r>
    </w:p>
    <w:p w14:paraId="7A239117">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在收到承包人提交的完工付款申请单后的14天内完成核查，提出发包人到期应支付给承包人的价款送发包人审核并抄送承包人。监理人未在约定时间内核查，又未提出具体意见的，视为承包人提交的完工付款申请单已经监理人核查同意。</w:t>
      </w:r>
    </w:p>
    <w:p w14:paraId="41821166">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或受其委托的工程造价咨询企业应对承包人提交结算送审资料的真实性、完整性进行复核，在专用合同条款约定的期限内完成工程结算审核工作。并由监理人向承包人出具经发包人签认的完工付款证书。发包人或受其委托的工程造价咨询企业未在约定时间内审核又未提出具体意见的，监理人提出发包人到期应支付给承包人的价款视为已经发包人同意。</w:t>
      </w:r>
    </w:p>
    <w:p w14:paraId="35E23B37">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（3）发包人应在监理人出具完工付款证书后的14天内，将应支付款支付给承包人。发包人不按期支付的，按第17.3.3（2）目的约定，将逾期付款违约金支付给承包人。</w:t>
      </w:r>
    </w:p>
    <w:p w14:paraId="4306798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（4）完工付款涉及政府投资资金的，按第17.3.3（4）目的约定办理。</w:t>
      </w:r>
    </w:p>
    <w:p w14:paraId="6A722ED9">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17.5.3　</w:t>
      </w:r>
      <w:r>
        <w:rPr>
          <w:rFonts w:hint="eastAsia" w:ascii="宋体" w:hAnsi="宋体" w:eastAsia="宋体" w:cs="宋体"/>
          <w:color w:val="auto"/>
          <w:sz w:val="24"/>
          <w:szCs w:val="24"/>
          <w:lang w:eastAsia="zh-CN"/>
        </w:rPr>
        <w:t>无争议价款结算支付</w:t>
      </w:r>
    </w:p>
    <w:p w14:paraId="397C3B1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包人或受其委托的工程造价咨询企业超过约定期限未办结工程结算审核的，应出具无争议部分结算审核报告。无争议部分结算审核报告应明确无争议的金额、争议问题的造成原因、发承包双方各自主张的金额和理由，以及受委托的工程造价咨询企业的建议意见等内容。</w:t>
      </w:r>
    </w:p>
    <w:p w14:paraId="6DF479C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承包双方应在无争议部分结算审核报告签署意见，发包人应按合同约定及时支付无争议部分工程价款。发包人不得以审计或结算审核结果未出具为由拒绝或者迟延支付应当支付的工程价款，承包人不得以审计或结算审核结果未出具为由拖欠农民工工资。</w:t>
      </w:r>
    </w:p>
    <w:p w14:paraId="56F1F5D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（3）对争议部分结算，按第24条的约定执行。</w:t>
      </w:r>
    </w:p>
    <w:p w14:paraId="1B70BB22">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696" w:name="bookmark264"/>
      <w:bookmarkEnd w:id="696"/>
      <w:r>
        <w:rPr>
          <w:rFonts w:hint="eastAsia" w:ascii="宋体" w:hAnsi="宋体" w:eastAsia="宋体" w:cs="宋体"/>
          <w:b/>
          <w:bCs/>
          <w:color w:val="auto"/>
          <w:sz w:val="24"/>
          <w:szCs w:val="24"/>
          <w:lang w:eastAsia="zh-CN"/>
        </w:rPr>
        <w:t>17.6　最终结清</w:t>
      </w:r>
    </w:p>
    <w:p w14:paraId="4EC7B728">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17.6.1　</w:t>
      </w:r>
      <w:r>
        <w:rPr>
          <w:rFonts w:hint="eastAsia" w:ascii="宋体" w:hAnsi="宋体" w:eastAsia="宋体" w:cs="宋体"/>
          <w:color w:val="auto"/>
          <w:sz w:val="24"/>
          <w:szCs w:val="24"/>
          <w:lang w:eastAsia="zh-CN"/>
        </w:rPr>
        <w:t>最终结清申请单</w:t>
      </w:r>
    </w:p>
    <w:p w14:paraId="5ECA4F06">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（1）工程质量保修责任终止证书签发后，承包人应按监理人批准的格式提交最终结清申请单。提交最终结清申请单的份数在专用合同条款中约定。</w:t>
      </w:r>
    </w:p>
    <w:p w14:paraId="12467CB0">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（2）发包人对最终结清申请单内容有异议的，有权要求承包人进行修正和提供补充资料，由承包人向监理人提交修正后的最终结清申请单。</w:t>
      </w:r>
    </w:p>
    <w:p w14:paraId="352A27CE">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17.6.2　</w:t>
      </w:r>
      <w:r>
        <w:rPr>
          <w:rFonts w:hint="eastAsia" w:ascii="宋体" w:hAnsi="宋体" w:eastAsia="宋体" w:cs="宋体"/>
          <w:color w:val="auto"/>
          <w:sz w:val="24"/>
          <w:szCs w:val="24"/>
          <w:lang w:eastAsia="zh-CN"/>
        </w:rPr>
        <w:t>最终结清证书和支付时间</w:t>
      </w:r>
    </w:p>
    <w:p w14:paraId="2D45E8B2">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6DFCCCD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（2）发包人应在监理人出具最终结清证书后的14天内，将应支付款支付给承包人。发包人不按期支付的，按第17.3.3（2）目的约定，将逾期付款违约金支付给承包人。</w:t>
      </w:r>
    </w:p>
    <w:p w14:paraId="164BBF62">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（3）承包人对发包人签认的最终结清证书有异议的，按第24条的约定办理。</w:t>
      </w:r>
    </w:p>
    <w:p w14:paraId="72F9D390">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（4）最终结清付款涉及政府投资资金的，按第17.3.3（4）目的约定办理。</w:t>
      </w:r>
    </w:p>
    <w:p w14:paraId="753627A8">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697" w:name="bookmark265"/>
      <w:bookmarkEnd w:id="697"/>
      <w:r>
        <w:rPr>
          <w:rFonts w:hint="eastAsia" w:ascii="宋体" w:hAnsi="宋体" w:eastAsia="宋体" w:cs="宋体"/>
          <w:b/>
          <w:bCs/>
          <w:color w:val="auto"/>
          <w:sz w:val="24"/>
          <w:szCs w:val="24"/>
          <w:lang w:eastAsia="zh-CN"/>
        </w:rPr>
        <w:t>17.7　竣工财务决算</w:t>
      </w:r>
    </w:p>
    <w:p w14:paraId="399C4B0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发包人负责编制本工程项目竣工财务决算，承包人应按专用合同条款的约定提供竣工财务决算编制所需的相关材料。</w:t>
      </w:r>
    </w:p>
    <w:p w14:paraId="3BF7DE4E">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698" w:name="bookmark266"/>
      <w:bookmarkEnd w:id="698"/>
      <w:r>
        <w:rPr>
          <w:rFonts w:hint="eastAsia" w:ascii="宋体" w:hAnsi="宋体" w:eastAsia="宋体" w:cs="宋体"/>
          <w:b/>
          <w:bCs/>
          <w:color w:val="auto"/>
          <w:sz w:val="24"/>
          <w:szCs w:val="24"/>
          <w:lang w:eastAsia="zh-CN"/>
        </w:rPr>
        <w:t>17.8　竣工审计</w:t>
      </w:r>
    </w:p>
    <w:p w14:paraId="2F183319">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发包人负责完成本工程竣工审计手续，承包人应完成相关配合工作。</w:t>
      </w:r>
    </w:p>
    <w:p w14:paraId="4E6D1AFA">
      <w:pPr>
        <w:widowControl w:val="0"/>
        <w:kinsoku/>
        <w:wordWrap w:val="0"/>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699" w:name="bookmark267"/>
      <w:bookmarkEnd w:id="699"/>
      <w:bookmarkStart w:id="700" w:name="bookmark268"/>
      <w:bookmarkEnd w:id="700"/>
      <w:bookmarkStart w:id="701" w:name="_Toc25618"/>
      <w:bookmarkStart w:id="702" w:name="_Toc13227"/>
      <w:bookmarkStart w:id="703" w:name="_Toc4145"/>
      <w:bookmarkStart w:id="704" w:name="_Toc10577"/>
      <w:r>
        <w:rPr>
          <w:rFonts w:hint="eastAsia" w:ascii="宋体" w:hAnsi="宋体" w:eastAsia="宋体" w:cs="宋体"/>
          <w:b/>
          <w:bCs/>
          <w:color w:val="auto"/>
          <w:sz w:val="28"/>
          <w:szCs w:val="28"/>
          <w:lang w:eastAsia="zh-CN"/>
        </w:rPr>
        <w:t>18　工程验收</w:t>
      </w:r>
      <w:bookmarkEnd w:id="701"/>
      <w:bookmarkEnd w:id="702"/>
      <w:bookmarkEnd w:id="703"/>
      <w:bookmarkEnd w:id="704"/>
    </w:p>
    <w:p w14:paraId="4AB0BAF1">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05" w:name="bookmark704"/>
      <w:bookmarkEnd w:id="705"/>
      <w:r>
        <w:rPr>
          <w:rFonts w:hint="eastAsia" w:ascii="宋体" w:hAnsi="宋体" w:eastAsia="宋体" w:cs="宋体"/>
          <w:b/>
          <w:bCs/>
          <w:color w:val="auto"/>
          <w:sz w:val="24"/>
          <w:szCs w:val="24"/>
          <w:lang w:eastAsia="zh-CN"/>
        </w:rPr>
        <w:t>18.1　验收工作分类</w:t>
      </w:r>
    </w:p>
    <w:p w14:paraId="79008C62">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25168DD4">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06" w:name="bookmark269"/>
      <w:bookmarkEnd w:id="706"/>
      <w:r>
        <w:rPr>
          <w:rFonts w:hint="eastAsia" w:ascii="宋体" w:hAnsi="宋体" w:eastAsia="宋体" w:cs="宋体"/>
          <w:b/>
          <w:bCs/>
          <w:color w:val="auto"/>
          <w:sz w:val="24"/>
          <w:szCs w:val="24"/>
          <w:lang w:eastAsia="zh-CN"/>
        </w:rPr>
        <w:t>18.2　分部工程验收</w:t>
      </w:r>
    </w:p>
    <w:p w14:paraId="6D4BCC2A">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18.2.1　</w:t>
      </w:r>
      <w:r>
        <w:rPr>
          <w:rFonts w:hint="eastAsia" w:ascii="宋体" w:hAnsi="宋体" w:eastAsia="宋体" w:cs="宋体"/>
          <w:color w:val="auto"/>
          <w:sz w:val="24"/>
          <w:szCs w:val="24"/>
          <w:lang w:eastAsia="zh-CN"/>
        </w:rPr>
        <w:t>分部工程具备验收条件时，承包人应向发包人提交验收申请报告，发包人应在收到验收申请报告之日起10个工作日内决定是否同意进行验收。</w:t>
      </w:r>
    </w:p>
    <w:p w14:paraId="0FE45269">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18.2.2　</w:t>
      </w:r>
      <w:r>
        <w:rPr>
          <w:rFonts w:hint="eastAsia" w:ascii="宋体" w:hAnsi="宋体" w:eastAsia="宋体" w:cs="宋体"/>
          <w:color w:val="auto"/>
          <w:sz w:val="24"/>
          <w:szCs w:val="24"/>
          <w:lang w:eastAsia="zh-CN"/>
        </w:rPr>
        <w:t>除专用合同条款另有约定外，监理人主持分部工程验收，承包人应派符合条件的代表参加验收工作组。</w:t>
      </w:r>
    </w:p>
    <w:p w14:paraId="453A3008">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18.2.3　</w:t>
      </w:r>
      <w:r>
        <w:rPr>
          <w:rFonts w:hint="eastAsia" w:ascii="宋体" w:hAnsi="宋体" w:eastAsia="宋体" w:cs="宋体"/>
          <w:color w:val="auto"/>
          <w:sz w:val="24"/>
          <w:szCs w:val="24"/>
          <w:lang w:eastAsia="zh-CN"/>
        </w:rPr>
        <w:t>分部工程验收通过后，发包人向承包人发送分部工程验收鉴定书。承包人应及时完成分部工程验收鉴定书载明应由承包人处理的遗留问题。</w:t>
      </w:r>
    </w:p>
    <w:p w14:paraId="64516AFC">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07" w:name="bookmark270"/>
      <w:bookmarkEnd w:id="707"/>
      <w:r>
        <w:rPr>
          <w:rFonts w:hint="eastAsia" w:ascii="宋体" w:hAnsi="宋体" w:eastAsia="宋体" w:cs="宋体"/>
          <w:b/>
          <w:bCs/>
          <w:color w:val="auto"/>
          <w:sz w:val="24"/>
          <w:szCs w:val="24"/>
          <w:lang w:eastAsia="zh-CN"/>
        </w:rPr>
        <w:t>18.3　单位工程验收</w:t>
      </w:r>
    </w:p>
    <w:p w14:paraId="22823BB6">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18.3.1　</w:t>
      </w:r>
      <w:r>
        <w:rPr>
          <w:rFonts w:hint="eastAsia" w:ascii="宋体" w:hAnsi="宋体" w:eastAsia="宋体" w:cs="宋体"/>
          <w:color w:val="auto"/>
          <w:sz w:val="24"/>
          <w:szCs w:val="24"/>
          <w:lang w:eastAsia="zh-CN"/>
        </w:rPr>
        <w:t>单位工程具备验收条件时，承包人应向发包人提交验收申请报告，发包人应在收到验收申请报告之日起10个工作日内决定是否同意进行验收。</w:t>
      </w:r>
    </w:p>
    <w:p w14:paraId="793979C0">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18.3.2　</w:t>
      </w:r>
      <w:r>
        <w:rPr>
          <w:rFonts w:hint="eastAsia" w:ascii="宋体" w:hAnsi="宋体" w:eastAsia="宋体" w:cs="宋体"/>
          <w:color w:val="auto"/>
          <w:sz w:val="24"/>
          <w:szCs w:val="24"/>
          <w:lang w:eastAsia="zh-CN"/>
        </w:rPr>
        <w:t>发包人主持单位工程验收，承包人应派符合条件的代表参加验收工作组。</w:t>
      </w:r>
    </w:p>
    <w:p w14:paraId="2D00A347">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18.3.3　</w:t>
      </w:r>
      <w:r>
        <w:rPr>
          <w:rFonts w:hint="eastAsia" w:ascii="宋体" w:hAnsi="宋体" w:eastAsia="宋体" w:cs="宋体"/>
          <w:color w:val="auto"/>
          <w:sz w:val="24"/>
          <w:szCs w:val="24"/>
          <w:lang w:eastAsia="zh-CN"/>
        </w:rPr>
        <w:t>单位工程验收通过后，发包人向承包人发送单位工程验收鉴定书。承包人应及时完成单位工程验收鉴定书载明应由承包人处理的遗留问题。</w:t>
      </w:r>
    </w:p>
    <w:p w14:paraId="0C849D42">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18.3.4　</w:t>
      </w:r>
      <w:r>
        <w:rPr>
          <w:rFonts w:hint="eastAsia" w:ascii="宋体" w:hAnsi="宋体" w:eastAsia="宋体" w:cs="宋体"/>
          <w:color w:val="auto"/>
          <w:sz w:val="24"/>
          <w:szCs w:val="24"/>
          <w:lang w:eastAsia="zh-CN"/>
        </w:rPr>
        <w:t>需提前投入使用的单位工程在专用合同条款中明确。</w:t>
      </w:r>
    </w:p>
    <w:p w14:paraId="5691A4DF">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08" w:name="bookmark271"/>
      <w:bookmarkEnd w:id="708"/>
      <w:r>
        <w:rPr>
          <w:rFonts w:hint="eastAsia" w:ascii="宋体" w:hAnsi="宋体" w:eastAsia="宋体" w:cs="宋体"/>
          <w:b/>
          <w:bCs/>
          <w:color w:val="auto"/>
          <w:sz w:val="24"/>
          <w:szCs w:val="24"/>
          <w:lang w:eastAsia="zh-CN"/>
        </w:rPr>
        <w:t>18.4　合同工程完工验收</w:t>
      </w:r>
    </w:p>
    <w:p w14:paraId="2C6EEC2F">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18.4.1　</w:t>
      </w:r>
      <w:r>
        <w:rPr>
          <w:rFonts w:hint="eastAsia" w:ascii="宋体" w:hAnsi="宋体" w:eastAsia="宋体" w:cs="宋体"/>
          <w:color w:val="auto"/>
          <w:sz w:val="24"/>
          <w:szCs w:val="24"/>
          <w:lang w:eastAsia="zh-CN"/>
        </w:rPr>
        <w:t>合同工程具备验收条件时，承包人应通过监理单位向发包人提交验收申请报告，发包人应自收到验收申请报告之日起20个工作日内决定是否同意进行验收，并通知相关单位。</w:t>
      </w:r>
    </w:p>
    <w:p w14:paraId="36679381">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18.4.2　</w:t>
      </w:r>
      <w:r>
        <w:rPr>
          <w:rFonts w:hint="eastAsia" w:ascii="宋体" w:hAnsi="宋体" w:eastAsia="宋体" w:cs="宋体"/>
          <w:color w:val="auto"/>
          <w:sz w:val="24"/>
          <w:szCs w:val="24"/>
          <w:lang w:eastAsia="zh-CN"/>
        </w:rPr>
        <w:t>发包人主持合同工程完工验收，承包人应派代表参加验收工作组。</w:t>
      </w:r>
    </w:p>
    <w:p w14:paraId="3E9279D4">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18.4.3　</w:t>
      </w:r>
      <w:r>
        <w:rPr>
          <w:rFonts w:hint="eastAsia" w:ascii="宋体" w:hAnsi="宋体" w:eastAsia="宋体" w:cs="宋体"/>
          <w:color w:val="auto"/>
          <w:sz w:val="24"/>
          <w:szCs w:val="24"/>
          <w:lang w:eastAsia="zh-CN"/>
        </w:rPr>
        <w:t>合同工程完工验收通过后，发包人向承包人发送合同工程完工验收鉴定书。承包人应及时完成合同工程完工验收鉴定书载明应由承包人处理的遗留问题。</w:t>
      </w:r>
    </w:p>
    <w:p w14:paraId="14589C2D">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18.4.4　</w:t>
      </w:r>
      <w:r>
        <w:rPr>
          <w:rFonts w:hint="eastAsia" w:ascii="宋体" w:hAnsi="宋体" w:eastAsia="宋体" w:cs="宋体"/>
          <w:color w:val="auto"/>
          <w:sz w:val="24"/>
          <w:szCs w:val="24"/>
          <w:lang w:eastAsia="zh-CN"/>
        </w:rPr>
        <w:t>合同工程完工验收通过后，发包人与承包人应在30个工作日内完成工程的交接工作，并形成交接记录。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266C1BE1">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09" w:name="bookmark272"/>
      <w:bookmarkEnd w:id="709"/>
      <w:r>
        <w:rPr>
          <w:rFonts w:hint="eastAsia" w:ascii="宋体" w:hAnsi="宋体" w:eastAsia="宋体" w:cs="宋体"/>
          <w:b/>
          <w:bCs/>
          <w:color w:val="auto"/>
          <w:sz w:val="24"/>
          <w:szCs w:val="24"/>
          <w:lang w:eastAsia="zh-CN"/>
        </w:rPr>
        <w:t>18.5　阶段验收</w:t>
      </w:r>
    </w:p>
    <w:p w14:paraId="1C763CB0">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18.5.1　</w:t>
      </w:r>
      <w:r>
        <w:rPr>
          <w:rFonts w:hint="eastAsia" w:ascii="宋体" w:hAnsi="宋体" w:eastAsia="宋体" w:cs="宋体"/>
          <w:color w:val="auto"/>
          <w:sz w:val="24"/>
          <w:szCs w:val="24"/>
          <w:lang w:eastAsia="zh-CN"/>
        </w:rPr>
        <w:t>工程建设具备阶段验收条件时，发包人负责提出阶段验收申请报告。承包人应派代表参加阶段验收，并作为被验收单位在验收鉴定书上签字。阶段验收的具体类别在专用合同条款中约定。</w:t>
      </w:r>
    </w:p>
    <w:p w14:paraId="7F02FD62">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18.5.2　</w:t>
      </w:r>
      <w:r>
        <w:rPr>
          <w:rFonts w:hint="eastAsia" w:ascii="宋体" w:hAnsi="宋体" w:eastAsia="宋体" w:cs="宋体"/>
          <w:color w:val="auto"/>
          <w:sz w:val="24"/>
          <w:szCs w:val="24"/>
          <w:lang w:eastAsia="zh-CN"/>
        </w:rPr>
        <w:t>承包人应及时完成阶段验收鉴定书载明应由承包人处理的遗留问题。</w:t>
      </w:r>
    </w:p>
    <w:p w14:paraId="30BF8373">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10" w:name="bookmark273"/>
      <w:bookmarkEnd w:id="710"/>
      <w:r>
        <w:rPr>
          <w:rFonts w:hint="eastAsia" w:ascii="宋体" w:hAnsi="宋体" w:eastAsia="宋体" w:cs="宋体"/>
          <w:b/>
          <w:bCs/>
          <w:color w:val="auto"/>
          <w:sz w:val="24"/>
          <w:szCs w:val="24"/>
          <w:lang w:eastAsia="zh-CN"/>
        </w:rPr>
        <w:t>18.6　专项验收</w:t>
      </w:r>
    </w:p>
    <w:p w14:paraId="3E22AD84">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18.6.1　</w:t>
      </w:r>
      <w:r>
        <w:rPr>
          <w:rFonts w:hint="eastAsia" w:ascii="宋体" w:hAnsi="宋体" w:eastAsia="宋体" w:cs="宋体"/>
          <w:color w:val="auto"/>
          <w:sz w:val="24"/>
          <w:szCs w:val="24"/>
          <w:lang w:eastAsia="zh-CN"/>
        </w:rPr>
        <w:t>发包人负责提出专项验收申请报告。承包人应按专项验收的相关规定参加专项验收。专项验收的具体类别在专用合同条款中约定。</w:t>
      </w:r>
    </w:p>
    <w:p w14:paraId="53677984">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18.6.2　</w:t>
      </w:r>
      <w:r>
        <w:rPr>
          <w:rFonts w:hint="eastAsia" w:ascii="宋体" w:hAnsi="宋体" w:eastAsia="宋体" w:cs="宋体"/>
          <w:color w:val="auto"/>
          <w:sz w:val="24"/>
          <w:szCs w:val="24"/>
          <w:lang w:eastAsia="zh-CN"/>
        </w:rPr>
        <w:t>承包人应及时完成专项验收成果性文件载明应由承包人处理的遗留问题。</w:t>
      </w:r>
    </w:p>
    <w:p w14:paraId="43ADB19E">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11" w:name="bookmark274"/>
      <w:bookmarkEnd w:id="711"/>
      <w:r>
        <w:rPr>
          <w:rFonts w:hint="eastAsia" w:ascii="宋体" w:hAnsi="宋体" w:eastAsia="宋体" w:cs="宋体"/>
          <w:b/>
          <w:bCs/>
          <w:color w:val="auto"/>
          <w:sz w:val="24"/>
          <w:szCs w:val="24"/>
          <w:lang w:eastAsia="zh-CN"/>
        </w:rPr>
        <w:t>18.7　竣工验收</w:t>
      </w:r>
    </w:p>
    <w:p w14:paraId="7983CD1E">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18.7.1　</w:t>
      </w:r>
      <w:r>
        <w:rPr>
          <w:rFonts w:hint="eastAsia" w:ascii="宋体" w:hAnsi="宋体" w:eastAsia="宋体" w:cs="宋体"/>
          <w:color w:val="auto"/>
          <w:sz w:val="24"/>
          <w:szCs w:val="24"/>
          <w:lang w:eastAsia="zh-CN"/>
        </w:rPr>
        <w:t>申请竣工验收前，发包人组织竣工验收自查，承包人应派代表参加。</w:t>
      </w:r>
    </w:p>
    <w:p w14:paraId="5060E61E">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18.7.2　</w:t>
      </w:r>
      <w:r>
        <w:rPr>
          <w:rFonts w:hint="eastAsia" w:ascii="宋体" w:hAnsi="宋体" w:eastAsia="宋体" w:cs="宋体"/>
          <w:color w:val="auto"/>
          <w:sz w:val="24"/>
          <w:szCs w:val="24"/>
          <w:lang w:eastAsia="zh-CN"/>
        </w:rPr>
        <w:t>竣工验收分为竣工技术预验收和竣工验收两个阶段。发包人应通知承包人派代表参加技术预验收和竣工验收。</w:t>
      </w:r>
    </w:p>
    <w:p w14:paraId="3068EE3B">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18.7.3　</w:t>
      </w:r>
      <w:r>
        <w:rPr>
          <w:rFonts w:hint="eastAsia" w:ascii="宋体" w:hAnsi="宋体" w:eastAsia="宋体" w:cs="宋体"/>
          <w:color w:val="auto"/>
          <w:sz w:val="24"/>
          <w:szCs w:val="24"/>
          <w:lang w:eastAsia="zh-CN"/>
        </w:rPr>
        <w:t>专用合同条款约定工程需要进行技术鉴定的，承包人应提交有关资料并完成配合工作。</w:t>
      </w:r>
    </w:p>
    <w:p w14:paraId="44882566">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18.7.4　</w:t>
      </w:r>
      <w:r>
        <w:rPr>
          <w:rFonts w:hint="eastAsia" w:ascii="宋体" w:hAnsi="宋体" w:eastAsia="宋体" w:cs="宋体"/>
          <w:color w:val="auto"/>
          <w:sz w:val="24"/>
          <w:szCs w:val="24"/>
          <w:lang w:eastAsia="zh-CN"/>
        </w:rPr>
        <w:t>竣工验收需要进行质量检测的，所需费用由发包人承担，但因承包人原因造成质量不合格的除外。</w:t>
      </w:r>
    </w:p>
    <w:p w14:paraId="360F9D56">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18.7.5　</w:t>
      </w:r>
      <w:r>
        <w:rPr>
          <w:rFonts w:hint="eastAsia" w:ascii="宋体" w:hAnsi="宋体" w:eastAsia="宋体" w:cs="宋体"/>
          <w:color w:val="auto"/>
          <w:sz w:val="24"/>
          <w:szCs w:val="24"/>
          <w:lang w:eastAsia="zh-CN"/>
        </w:rPr>
        <w:t>工程质量保修期满以及竣工验收遗留问题和尾工处理完成并通过验收后，发包人负责将处理情况和验收成果报送竣工验收主持单位，申请领取工程竣工证书，并发送承包人。</w:t>
      </w:r>
    </w:p>
    <w:p w14:paraId="1013B992">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12" w:name="bookmark275"/>
      <w:bookmarkEnd w:id="712"/>
      <w:r>
        <w:rPr>
          <w:rFonts w:hint="eastAsia" w:ascii="宋体" w:hAnsi="宋体" w:eastAsia="宋体" w:cs="宋体"/>
          <w:b/>
          <w:bCs/>
          <w:color w:val="auto"/>
          <w:sz w:val="24"/>
          <w:szCs w:val="24"/>
          <w:lang w:eastAsia="zh-CN"/>
        </w:rPr>
        <w:t>18.8　施工期运行</w:t>
      </w:r>
    </w:p>
    <w:p w14:paraId="5FC2DAE6">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18.8.1　</w:t>
      </w:r>
      <w:r>
        <w:rPr>
          <w:rFonts w:hint="eastAsia" w:ascii="宋体" w:hAnsi="宋体" w:eastAsia="宋体" w:cs="宋体"/>
          <w:color w:val="auto"/>
          <w:sz w:val="24"/>
          <w:szCs w:val="24"/>
          <w:lang w:eastAsia="zh-CN"/>
        </w:rPr>
        <w:t>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5154809F">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18.8.2　</w:t>
      </w:r>
      <w:r>
        <w:rPr>
          <w:rFonts w:hint="eastAsia" w:ascii="宋体" w:hAnsi="宋体" w:eastAsia="宋体" w:cs="宋体"/>
          <w:color w:val="auto"/>
          <w:sz w:val="24"/>
          <w:szCs w:val="24"/>
          <w:lang w:eastAsia="zh-CN"/>
        </w:rPr>
        <w:t>在施工期运行中发现工程或工程设备损坏或存在缺陷的，由承包人按第19.2款约定进行修复。</w:t>
      </w:r>
    </w:p>
    <w:p w14:paraId="31D73026">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13" w:name="bookmark276"/>
      <w:bookmarkEnd w:id="713"/>
      <w:r>
        <w:rPr>
          <w:rFonts w:hint="eastAsia" w:ascii="宋体" w:hAnsi="宋体" w:eastAsia="宋体" w:cs="宋体"/>
          <w:b/>
          <w:bCs/>
          <w:color w:val="auto"/>
          <w:sz w:val="24"/>
          <w:szCs w:val="24"/>
          <w:lang w:eastAsia="zh-CN"/>
        </w:rPr>
        <w:t>18.9　试运行</w:t>
      </w:r>
    </w:p>
    <w:p w14:paraId="275EFA39">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18.9.1　</w:t>
      </w:r>
      <w:r>
        <w:rPr>
          <w:rFonts w:hint="eastAsia" w:ascii="宋体" w:hAnsi="宋体" w:eastAsia="宋体" w:cs="宋体"/>
          <w:color w:val="auto"/>
          <w:sz w:val="24"/>
          <w:szCs w:val="24"/>
          <w:lang w:eastAsia="zh-CN"/>
        </w:rPr>
        <w:t>除专用合同条款另有约定外，承包人应按规定进行工程及工程设备试运行，负责提供试运行所需的人员、器材和必要的条件，并承担全部试运行费用。</w:t>
      </w:r>
    </w:p>
    <w:p w14:paraId="01B21D13">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18.9.2　</w:t>
      </w:r>
      <w:r>
        <w:rPr>
          <w:rFonts w:hint="eastAsia" w:ascii="宋体" w:hAnsi="宋体" w:eastAsia="宋体" w:cs="宋体"/>
          <w:color w:val="auto"/>
          <w:sz w:val="24"/>
          <w:szCs w:val="24"/>
          <w:lang w:eastAsia="zh-CN"/>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29121681">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14" w:name="bookmark277"/>
      <w:bookmarkEnd w:id="714"/>
      <w:r>
        <w:rPr>
          <w:rFonts w:hint="eastAsia" w:ascii="宋体" w:hAnsi="宋体" w:eastAsia="宋体" w:cs="宋体"/>
          <w:b/>
          <w:bCs/>
          <w:color w:val="auto"/>
          <w:sz w:val="24"/>
          <w:szCs w:val="24"/>
          <w:lang w:eastAsia="zh-CN"/>
        </w:rPr>
        <w:t>18.10　完工清场</w:t>
      </w:r>
    </w:p>
    <w:p w14:paraId="35F619F9">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18.10.1　</w:t>
      </w:r>
      <w:r>
        <w:rPr>
          <w:rFonts w:hint="eastAsia" w:ascii="宋体" w:hAnsi="宋体" w:eastAsia="宋体" w:cs="宋体"/>
          <w:color w:val="auto"/>
          <w:sz w:val="24"/>
          <w:szCs w:val="24"/>
          <w:lang w:eastAsia="zh-CN"/>
        </w:rPr>
        <w:t>工程项目完工清场的工作范围和内容在技术标准和要求（合同技术条款）中约定。</w:t>
      </w:r>
    </w:p>
    <w:p w14:paraId="3D4F3E66">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18.10.2　</w:t>
      </w:r>
      <w:r>
        <w:rPr>
          <w:rFonts w:hint="eastAsia" w:ascii="宋体" w:hAnsi="宋体" w:eastAsia="宋体" w:cs="宋体"/>
          <w:color w:val="auto"/>
          <w:sz w:val="24"/>
          <w:szCs w:val="24"/>
          <w:lang w:eastAsia="zh-CN"/>
        </w:rPr>
        <w:t>承包人未按监理人的要求恢复临时占地，或者场地清理未达到合同约定的，发包人有权委托其他人恢复或清理，所发生的金额从拟支付给承包人的款项中扣除。</w:t>
      </w:r>
    </w:p>
    <w:p w14:paraId="241999D6">
      <w:pPr>
        <w:widowControl w:val="0"/>
        <w:kinsoku/>
        <w:wordWrap w:val="0"/>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715" w:name="bookmark278"/>
      <w:bookmarkEnd w:id="715"/>
      <w:r>
        <w:rPr>
          <w:rFonts w:hint="eastAsia" w:ascii="宋体" w:hAnsi="宋体" w:eastAsia="宋体" w:cs="宋体"/>
          <w:b/>
          <w:bCs/>
          <w:color w:val="auto"/>
          <w:sz w:val="24"/>
          <w:szCs w:val="24"/>
          <w:lang w:eastAsia="zh-CN"/>
        </w:rPr>
        <w:t>18.11　施工队伍的撤离</w:t>
      </w:r>
    </w:p>
    <w:p w14:paraId="052F64D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063D15A8">
      <w:pPr>
        <w:widowControl w:val="0"/>
        <w:kinsoku/>
        <w:wordWrap w:val="0"/>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716" w:name="bookmark279"/>
      <w:bookmarkEnd w:id="716"/>
      <w:bookmarkStart w:id="717" w:name="bookmark280"/>
      <w:bookmarkEnd w:id="717"/>
      <w:bookmarkStart w:id="718" w:name="_Toc14648"/>
      <w:bookmarkStart w:id="719" w:name="_Toc28506"/>
      <w:bookmarkStart w:id="720" w:name="_Toc20456"/>
      <w:bookmarkStart w:id="721" w:name="_Toc5087"/>
      <w:r>
        <w:rPr>
          <w:rFonts w:hint="eastAsia" w:ascii="宋体" w:hAnsi="宋体" w:eastAsia="宋体" w:cs="宋体"/>
          <w:b/>
          <w:bCs/>
          <w:color w:val="auto"/>
          <w:sz w:val="28"/>
          <w:szCs w:val="28"/>
          <w:lang w:eastAsia="zh-CN"/>
        </w:rPr>
        <w:t>19　缺陷责任与保修责任</w:t>
      </w:r>
      <w:bookmarkEnd w:id="718"/>
      <w:bookmarkEnd w:id="719"/>
      <w:bookmarkEnd w:id="720"/>
      <w:bookmarkEnd w:id="721"/>
    </w:p>
    <w:p w14:paraId="70747750">
      <w:pPr>
        <w:widowControl w:val="0"/>
        <w:kinsoku/>
        <w:wordWrap w:val="0"/>
        <w:topLinePunct/>
        <w:autoSpaceDE/>
        <w:autoSpaceDN/>
        <w:spacing w:line="520" w:lineRule="exact"/>
        <w:ind w:left="7"/>
        <w:jc w:val="both"/>
        <w:outlineLvl w:val="3"/>
        <w:rPr>
          <w:rFonts w:hint="eastAsia" w:ascii="宋体" w:hAnsi="宋体" w:eastAsia="宋体" w:cs="宋体"/>
          <w:color w:val="auto"/>
          <w:sz w:val="24"/>
          <w:szCs w:val="24"/>
          <w:lang w:eastAsia="zh-CN"/>
        </w:rPr>
      </w:pPr>
      <w:bookmarkStart w:id="722" w:name="bookmark705"/>
      <w:bookmarkEnd w:id="722"/>
      <w:r>
        <w:rPr>
          <w:rFonts w:hint="eastAsia" w:ascii="宋体" w:hAnsi="宋体" w:eastAsia="宋体" w:cs="宋体"/>
          <w:b/>
          <w:bCs/>
          <w:color w:val="auto"/>
          <w:sz w:val="24"/>
          <w:szCs w:val="24"/>
          <w:lang w:eastAsia="zh-CN"/>
        </w:rPr>
        <w:t>19.1　缺陷责任期（工程质量保修期）的起算时间</w:t>
      </w:r>
    </w:p>
    <w:p w14:paraId="3F123B7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3980F4F7">
      <w:pPr>
        <w:widowControl w:val="0"/>
        <w:kinsoku/>
        <w:wordWrap w:val="0"/>
        <w:topLinePunct/>
        <w:autoSpaceDE/>
        <w:autoSpaceDN/>
        <w:spacing w:line="520" w:lineRule="exact"/>
        <w:ind w:left="7"/>
        <w:jc w:val="both"/>
        <w:outlineLvl w:val="3"/>
        <w:rPr>
          <w:rFonts w:hint="eastAsia" w:ascii="宋体" w:hAnsi="宋体" w:eastAsia="宋体" w:cs="宋体"/>
          <w:color w:val="auto"/>
          <w:sz w:val="24"/>
          <w:szCs w:val="24"/>
          <w:lang w:eastAsia="zh-CN"/>
        </w:rPr>
      </w:pPr>
      <w:bookmarkStart w:id="723" w:name="bookmark281"/>
      <w:bookmarkEnd w:id="723"/>
      <w:r>
        <w:rPr>
          <w:rFonts w:hint="eastAsia" w:ascii="宋体" w:hAnsi="宋体" w:eastAsia="宋体" w:cs="宋体"/>
          <w:b/>
          <w:bCs/>
          <w:color w:val="auto"/>
          <w:sz w:val="24"/>
          <w:szCs w:val="24"/>
          <w:lang w:eastAsia="zh-CN"/>
        </w:rPr>
        <w:t>19.2　缺陷责任</w:t>
      </w:r>
    </w:p>
    <w:p w14:paraId="2342774E">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19.2.1　</w:t>
      </w:r>
      <w:r>
        <w:rPr>
          <w:rFonts w:hint="eastAsia" w:ascii="宋体" w:hAnsi="宋体" w:eastAsia="宋体" w:cs="宋体"/>
          <w:color w:val="auto"/>
          <w:sz w:val="24"/>
          <w:szCs w:val="24"/>
          <w:lang w:eastAsia="zh-CN"/>
        </w:rPr>
        <w:t>承包人应在缺陷责任期内对已交付使用的工程承担缺陷责任。</w:t>
      </w:r>
    </w:p>
    <w:p w14:paraId="47E7C16E">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19.2.2　</w:t>
      </w:r>
      <w:r>
        <w:rPr>
          <w:rFonts w:hint="eastAsia" w:ascii="宋体" w:hAnsi="宋体" w:eastAsia="宋体" w:cs="宋体"/>
          <w:color w:val="auto"/>
          <w:sz w:val="24"/>
          <w:szCs w:val="24"/>
          <w:lang w:eastAsia="zh-CN"/>
        </w:rPr>
        <w:t>缺陷责任期内，发包人对已接收使用的工程负责日常维护工作。发包人在使用过程中，发现已接收的工程存在新的缺陷或已修复的缺陷部位或部件又遭损坏的，承包人应负责修复，直至检验合格为止。</w:t>
      </w:r>
    </w:p>
    <w:p w14:paraId="20F4677D">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19.2.3　</w:t>
      </w:r>
      <w:r>
        <w:rPr>
          <w:rFonts w:hint="eastAsia" w:ascii="宋体" w:hAnsi="宋体" w:eastAsia="宋体" w:cs="宋体"/>
          <w:color w:val="auto"/>
          <w:sz w:val="24"/>
          <w:szCs w:val="24"/>
          <w:lang w:eastAsia="zh-CN"/>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5B32E7AC">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19.2.4　</w:t>
      </w:r>
      <w:r>
        <w:rPr>
          <w:rFonts w:hint="eastAsia" w:ascii="宋体" w:hAnsi="宋体" w:eastAsia="宋体" w:cs="宋体"/>
          <w:color w:val="auto"/>
          <w:sz w:val="24"/>
          <w:szCs w:val="24"/>
          <w:lang w:eastAsia="zh-CN"/>
        </w:rPr>
        <w:t>承包人不能在合理时间内修复缺陷的，发包人可自行修复或委托其他人修复，所需费用和利润的承担，按第19.2.3项约定办理。</w:t>
      </w:r>
    </w:p>
    <w:p w14:paraId="4AEE9357">
      <w:pPr>
        <w:widowControl w:val="0"/>
        <w:kinsoku/>
        <w:wordWrap w:val="0"/>
        <w:topLinePunct/>
        <w:autoSpaceDE/>
        <w:autoSpaceDN/>
        <w:spacing w:line="520" w:lineRule="exact"/>
        <w:ind w:left="10"/>
        <w:jc w:val="both"/>
        <w:outlineLvl w:val="3"/>
        <w:rPr>
          <w:rFonts w:hint="eastAsia" w:ascii="宋体" w:hAnsi="宋体" w:eastAsia="宋体" w:cs="宋体"/>
          <w:color w:val="auto"/>
          <w:sz w:val="24"/>
          <w:szCs w:val="24"/>
          <w:lang w:eastAsia="zh-CN"/>
        </w:rPr>
      </w:pPr>
      <w:bookmarkStart w:id="724" w:name="bookmark282"/>
      <w:bookmarkEnd w:id="724"/>
      <w:r>
        <w:rPr>
          <w:rFonts w:hint="eastAsia" w:ascii="宋体" w:hAnsi="宋体" w:eastAsia="宋体" w:cs="宋体"/>
          <w:b/>
          <w:bCs/>
          <w:color w:val="auto"/>
          <w:sz w:val="24"/>
          <w:szCs w:val="24"/>
          <w:lang w:eastAsia="zh-CN"/>
        </w:rPr>
        <w:t>19.3　缺陷责任期的延长</w:t>
      </w:r>
    </w:p>
    <w:p w14:paraId="3D9752F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由于承包人原因造成某项缺陷或损坏使某项工程或工程设备不能按原定目标使用而需要再次检查、检验和修复的，发包人有权要求承包人相应延长缺陷责任期，但缺陷责任期最长不超过2年。</w:t>
      </w:r>
    </w:p>
    <w:p w14:paraId="71577A57">
      <w:pPr>
        <w:widowControl w:val="0"/>
        <w:kinsoku/>
        <w:wordWrap w:val="0"/>
        <w:topLinePunct/>
        <w:autoSpaceDE/>
        <w:autoSpaceDN/>
        <w:spacing w:line="520" w:lineRule="exact"/>
        <w:ind w:left="10"/>
        <w:jc w:val="both"/>
        <w:outlineLvl w:val="3"/>
        <w:rPr>
          <w:rFonts w:hint="eastAsia" w:ascii="宋体" w:hAnsi="宋体" w:eastAsia="宋体" w:cs="宋体"/>
          <w:color w:val="auto"/>
          <w:sz w:val="24"/>
          <w:szCs w:val="24"/>
          <w:lang w:eastAsia="zh-CN"/>
        </w:rPr>
      </w:pPr>
      <w:bookmarkStart w:id="725" w:name="bookmark283"/>
      <w:bookmarkEnd w:id="725"/>
      <w:r>
        <w:rPr>
          <w:rFonts w:hint="eastAsia" w:ascii="宋体" w:hAnsi="宋体" w:eastAsia="宋体" w:cs="宋体"/>
          <w:b/>
          <w:bCs/>
          <w:color w:val="auto"/>
          <w:sz w:val="24"/>
          <w:szCs w:val="24"/>
          <w:lang w:eastAsia="zh-CN"/>
        </w:rPr>
        <w:t>19.4　进一步试验和试运行</w:t>
      </w:r>
    </w:p>
    <w:p w14:paraId="43FD51EB">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任何一项缺陷或损坏修复后，经检查证明其影响了工程或工程设备的使用性能，承包人应重新进行合同约定的试验和试运行，试验和试运行的全部费用应由责任方承担。</w:t>
      </w:r>
    </w:p>
    <w:p w14:paraId="683C7704">
      <w:pPr>
        <w:widowControl w:val="0"/>
        <w:kinsoku/>
        <w:wordWrap w:val="0"/>
        <w:topLinePunct/>
        <w:autoSpaceDE/>
        <w:autoSpaceDN/>
        <w:spacing w:line="520" w:lineRule="exact"/>
        <w:ind w:left="10"/>
        <w:jc w:val="both"/>
        <w:outlineLvl w:val="3"/>
        <w:rPr>
          <w:rFonts w:hint="eastAsia" w:ascii="宋体" w:hAnsi="宋体" w:eastAsia="宋体" w:cs="宋体"/>
          <w:color w:val="auto"/>
          <w:sz w:val="24"/>
          <w:szCs w:val="24"/>
          <w:lang w:eastAsia="zh-CN"/>
        </w:rPr>
      </w:pPr>
      <w:bookmarkStart w:id="726" w:name="bookmark284"/>
      <w:bookmarkEnd w:id="726"/>
      <w:r>
        <w:rPr>
          <w:rFonts w:hint="eastAsia" w:ascii="宋体" w:hAnsi="宋体" w:eastAsia="宋体" w:cs="宋体"/>
          <w:b/>
          <w:bCs/>
          <w:color w:val="auto"/>
          <w:sz w:val="24"/>
          <w:szCs w:val="24"/>
          <w:lang w:eastAsia="zh-CN"/>
        </w:rPr>
        <w:t>19.5　承包人的进入权</w:t>
      </w:r>
    </w:p>
    <w:p w14:paraId="72AEBBB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缺陷责任期内承包人为缺陷修复工作需要，有权进入工程现场，但应遵守发包人的保安和保密规定。</w:t>
      </w:r>
    </w:p>
    <w:p w14:paraId="3463CDC5">
      <w:pPr>
        <w:widowControl w:val="0"/>
        <w:kinsoku/>
        <w:wordWrap w:val="0"/>
        <w:topLinePunct/>
        <w:autoSpaceDE/>
        <w:autoSpaceDN/>
        <w:spacing w:line="520" w:lineRule="exact"/>
        <w:ind w:left="10"/>
        <w:jc w:val="both"/>
        <w:outlineLvl w:val="3"/>
        <w:rPr>
          <w:rFonts w:hint="eastAsia" w:ascii="宋体" w:hAnsi="宋体" w:eastAsia="宋体" w:cs="宋体"/>
          <w:color w:val="auto"/>
          <w:sz w:val="24"/>
          <w:szCs w:val="24"/>
          <w:lang w:eastAsia="zh-CN"/>
        </w:rPr>
      </w:pPr>
      <w:bookmarkStart w:id="727" w:name="bookmark285"/>
      <w:bookmarkEnd w:id="727"/>
      <w:r>
        <w:rPr>
          <w:rFonts w:hint="eastAsia" w:ascii="宋体" w:hAnsi="宋体" w:eastAsia="宋体" w:cs="宋体"/>
          <w:b/>
          <w:bCs/>
          <w:color w:val="auto"/>
          <w:sz w:val="24"/>
          <w:szCs w:val="24"/>
          <w:lang w:eastAsia="zh-CN"/>
        </w:rPr>
        <w:t>19.6　缺陷责任期终止证书（工程质量保修责任终止证书）</w:t>
      </w:r>
    </w:p>
    <w:p w14:paraId="73D9CF4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合同工程完工验收或投入使用验收后，发包人与承包人应办理工程交接手续，承包人应向发包人递交工程质量保修书。</w:t>
      </w:r>
    </w:p>
    <w:p w14:paraId="05F12F3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缺陷责任期（工程质量保修期）满后30个工作日内，发包人应向承包人颁发工程质量保修责任终止证书，并退还剩余的质量保证金，但保修责任范围内的质量缺陷未处理完成的应除外。</w:t>
      </w:r>
    </w:p>
    <w:p w14:paraId="10ADC7DF">
      <w:pPr>
        <w:widowControl w:val="0"/>
        <w:kinsoku/>
        <w:wordWrap w:val="0"/>
        <w:topLinePunct/>
        <w:autoSpaceDE/>
        <w:autoSpaceDN/>
        <w:spacing w:line="520" w:lineRule="exact"/>
        <w:ind w:left="10"/>
        <w:jc w:val="both"/>
        <w:outlineLvl w:val="3"/>
        <w:rPr>
          <w:rFonts w:hint="eastAsia" w:ascii="宋体" w:hAnsi="宋体" w:eastAsia="宋体" w:cs="宋体"/>
          <w:color w:val="auto"/>
          <w:sz w:val="24"/>
          <w:szCs w:val="24"/>
          <w:lang w:eastAsia="zh-CN"/>
        </w:rPr>
      </w:pPr>
      <w:bookmarkStart w:id="728" w:name="bookmark286"/>
      <w:bookmarkEnd w:id="728"/>
      <w:r>
        <w:rPr>
          <w:rFonts w:hint="eastAsia" w:ascii="宋体" w:hAnsi="宋体" w:eastAsia="宋体" w:cs="宋体"/>
          <w:b/>
          <w:bCs/>
          <w:color w:val="auto"/>
          <w:sz w:val="24"/>
          <w:szCs w:val="24"/>
          <w:lang w:eastAsia="zh-CN"/>
        </w:rPr>
        <w:t>19.7　保修责任</w:t>
      </w:r>
    </w:p>
    <w:p w14:paraId="75D97CE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合同当事人根据有关法律规定，在专用合同条款中约定工程质量保修范围、期限和责任。在全部工程完工验收前，已经发包人提前验收的单位工程，其保修期的起算日期相应提前。</w:t>
      </w:r>
    </w:p>
    <w:p w14:paraId="33993096">
      <w:pPr>
        <w:widowControl w:val="0"/>
        <w:kinsoku/>
        <w:wordWrap w:val="0"/>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729" w:name="bookmark287"/>
      <w:bookmarkEnd w:id="729"/>
      <w:bookmarkStart w:id="730" w:name="bookmark288"/>
      <w:bookmarkEnd w:id="730"/>
      <w:bookmarkStart w:id="731" w:name="_Toc25946"/>
      <w:bookmarkStart w:id="732" w:name="_Toc21555"/>
      <w:bookmarkStart w:id="733" w:name="_Toc18721"/>
      <w:bookmarkStart w:id="734" w:name="_Toc18947"/>
      <w:r>
        <w:rPr>
          <w:rFonts w:hint="eastAsia" w:ascii="宋体" w:hAnsi="宋体" w:eastAsia="宋体" w:cs="宋体"/>
          <w:b/>
          <w:bCs/>
          <w:color w:val="auto"/>
          <w:sz w:val="28"/>
          <w:szCs w:val="28"/>
          <w:lang w:eastAsia="zh-CN"/>
        </w:rPr>
        <w:t>20　保险</w:t>
      </w:r>
      <w:bookmarkEnd w:id="731"/>
      <w:bookmarkEnd w:id="732"/>
      <w:bookmarkEnd w:id="733"/>
      <w:bookmarkEnd w:id="734"/>
    </w:p>
    <w:p w14:paraId="16E9CAC7">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35" w:name="bookmark706"/>
      <w:bookmarkEnd w:id="735"/>
      <w:r>
        <w:rPr>
          <w:rFonts w:hint="eastAsia" w:ascii="宋体" w:hAnsi="宋体" w:eastAsia="宋体" w:cs="宋体"/>
          <w:b/>
          <w:bCs/>
          <w:color w:val="auto"/>
          <w:sz w:val="24"/>
          <w:szCs w:val="24"/>
          <w:lang w:eastAsia="zh-CN"/>
        </w:rPr>
        <w:t>20.1　建筑安装工程保险</w:t>
      </w:r>
    </w:p>
    <w:p w14:paraId="2214F76E">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19650736">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36" w:name="bookmark289"/>
      <w:bookmarkEnd w:id="736"/>
      <w:r>
        <w:rPr>
          <w:rFonts w:hint="eastAsia" w:ascii="宋体" w:hAnsi="宋体" w:eastAsia="宋体" w:cs="宋体"/>
          <w:b/>
          <w:bCs/>
          <w:color w:val="auto"/>
          <w:sz w:val="24"/>
          <w:szCs w:val="24"/>
          <w:lang w:eastAsia="zh-CN"/>
        </w:rPr>
        <w:t>20.2　人员工伤事故的保险</w:t>
      </w:r>
    </w:p>
    <w:p w14:paraId="53D26AB3">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20.2.1　</w:t>
      </w:r>
      <w:r>
        <w:rPr>
          <w:rFonts w:hint="eastAsia" w:ascii="宋体" w:hAnsi="宋体" w:eastAsia="宋体" w:cs="宋体"/>
          <w:color w:val="auto"/>
          <w:sz w:val="24"/>
          <w:szCs w:val="24"/>
          <w:lang w:eastAsia="zh-CN"/>
        </w:rPr>
        <w:t>承包人员工伤事故的保险</w:t>
      </w:r>
    </w:p>
    <w:p w14:paraId="4A5424D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承包人应依照有关法律规定参加工伤保险，为其履行合同所雇佣的全部人员，缴纳工伤保险费，并要求其分包人也进行此项保险。</w:t>
      </w:r>
    </w:p>
    <w:p w14:paraId="19159DA7">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20.2.2　</w:t>
      </w:r>
      <w:r>
        <w:rPr>
          <w:rFonts w:hint="eastAsia" w:ascii="宋体" w:hAnsi="宋体" w:eastAsia="宋体" w:cs="宋体"/>
          <w:color w:val="auto"/>
          <w:sz w:val="24"/>
          <w:szCs w:val="24"/>
          <w:lang w:eastAsia="zh-CN"/>
        </w:rPr>
        <w:t>发包人员工伤事故的保险</w:t>
      </w:r>
    </w:p>
    <w:p w14:paraId="6D4DD1D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发包人应依照有关法律规定参加工伤保险，为其现场机构雇佣的全部人员，缴纳工伤保险费，并要求其监理人也进行此项保险。</w:t>
      </w:r>
    </w:p>
    <w:p w14:paraId="5D779AC4">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37" w:name="bookmark290"/>
      <w:bookmarkEnd w:id="737"/>
      <w:r>
        <w:rPr>
          <w:rFonts w:hint="eastAsia" w:ascii="宋体" w:hAnsi="宋体" w:eastAsia="宋体" w:cs="宋体"/>
          <w:b/>
          <w:bCs/>
          <w:color w:val="auto"/>
          <w:sz w:val="24"/>
          <w:szCs w:val="24"/>
          <w:lang w:eastAsia="zh-CN"/>
        </w:rPr>
        <w:t>20.3　人身意外伤害险</w:t>
      </w:r>
    </w:p>
    <w:p w14:paraId="507928A5">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发包人和承包人可以为其施工现场的全部人员办理意外伤害保险并支付保险费，包括其员工及其为履行合同聘请的第三方的人员。具体事项由合同当事人在专用合同条款中约定。</w:t>
      </w:r>
    </w:p>
    <w:p w14:paraId="53191ACE">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38" w:name="bookmark291"/>
      <w:bookmarkEnd w:id="738"/>
      <w:r>
        <w:rPr>
          <w:rFonts w:hint="eastAsia" w:ascii="宋体" w:hAnsi="宋体" w:eastAsia="宋体" w:cs="宋体"/>
          <w:b/>
          <w:bCs/>
          <w:color w:val="auto"/>
          <w:sz w:val="24"/>
          <w:szCs w:val="24"/>
          <w:lang w:eastAsia="zh-CN"/>
        </w:rPr>
        <w:t>20.4　安全生产责任保险</w:t>
      </w:r>
    </w:p>
    <w:p w14:paraId="05263B03">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20.4.1　</w:t>
      </w:r>
      <w:r>
        <w:rPr>
          <w:rFonts w:hint="eastAsia" w:ascii="宋体" w:hAnsi="宋体" w:eastAsia="宋体" w:cs="宋体"/>
          <w:color w:val="auto"/>
          <w:sz w:val="24"/>
          <w:szCs w:val="24"/>
          <w:lang w:eastAsia="zh-CN"/>
        </w:rPr>
        <w:t>安全生产责任保险系指在保险期内，对因生产安全事故造成的从业人员人身伤亡赔偿，第三者人身伤亡和财产损失赔偿，事故抢险救援、医疗救护、事故鉴定、法律诉讼等费用和事先经保险人书面同意支付的其他费用等赔偿责任</w:t>
      </w:r>
      <w:r>
        <w:rPr>
          <w:rFonts w:hint="eastAsia" w:ascii="宋体" w:hAnsi="宋体" w:eastAsia="宋体" w:cs="宋体"/>
          <w:b/>
          <w:bCs/>
          <w:color w:val="auto"/>
          <w:sz w:val="24"/>
          <w:szCs w:val="24"/>
          <w:lang w:eastAsia="zh-CN"/>
        </w:rPr>
        <w:t>。</w:t>
      </w:r>
    </w:p>
    <w:p w14:paraId="26B2A454">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20.4.2　</w:t>
      </w:r>
      <w:r>
        <w:rPr>
          <w:rFonts w:hint="eastAsia" w:ascii="宋体" w:hAnsi="宋体" w:eastAsia="宋体" w:cs="宋体"/>
          <w:color w:val="auto"/>
          <w:sz w:val="24"/>
          <w:szCs w:val="24"/>
          <w:lang w:eastAsia="zh-CN"/>
        </w:rPr>
        <w:t>在缺陷责任期终止证书颁发前，投保第20.4.1项约定的安全生产责任保险，其保险费用在安全生产措施费中列支。</w:t>
      </w:r>
    </w:p>
    <w:p w14:paraId="2E56F3DF">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39" w:name="bookmark292"/>
      <w:bookmarkEnd w:id="739"/>
      <w:r>
        <w:rPr>
          <w:rFonts w:hint="eastAsia" w:ascii="宋体" w:hAnsi="宋体" w:eastAsia="宋体" w:cs="宋体"/>
          <w:b/>
          <w:bCs/>
          <w:color w:val="auto"/>
          <w:sz w:val="24"/>
          <w:szCs w:val="24"/>
          <w:lang w:eastAsia="zh-CN"/>
        </w:rPr>
        <w:t>20.5　其他保险</w:t>
      </w:r>
    </w:p>
    <w:p w14:paraId="58D6852E">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除专用合同条款另有约定外，承包人应为其施工设备、进场的材料和工程设备等办理保险。</w:t>
      </w:r>
    </w:p>
    <w:p w14:paraId="38C02761">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40" w:name="bookmark293"/>
      <w:bookmarkEnd w:id="740"/>
      <w:r>
        <w:rPr>
          <w:rFonts w:hint="eastAsia" w:ascii="宋体" w:hAnsi="宋体" w:eastAsia="宋体" w:cs="宋体"/>
          <w:b/>
          <w:bCs/>
          <w:color w:val="auto"/>
          <w:sz w:val="24"/>
          <w:szCs w:val="24"/>
          <w:lang w:eastAsia="zh-CN"/>
        </w:rPr>
        <w:t>20.6　对各项保险的一般要求</w:t>
      </w:r>
    </w:p>
    <w:p w14:paraId="3EB37CC5">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20.6.1　</w:t>
      </w:r>
      <w:r>
        <w:rPr>
          <w:rFonts w:hint="eastAsia" w:ascii="宋体" w:hAnsi="宋体" w:eastAsia="宋体" w:cs="宋体"/>
          <w:color w:val="auto"/>
          <w:sz w:val="24"/>
          <w:szCs w:val="24"/>
          <w:lang w:eastAsia="zh-CN"/>
        </w:rPr>
        <w:t>保险凭证</w:t>
      </w:r>
    </w:p>
    <w:p w14:paraId="06C664D1">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承包人应在专用合同条款约定的期限内向发包人提交各项保险生效的证据和保险单副本，保险单必须与专用合同条款约定的条件保持一致。</w:t>
      </w:r>
    </w:p>
    <w:p w14:paraId="041651D6">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20.6.2　</w:t>
      </w:r>
      <w:r>
        <w:rPr>
          <w:rFonts w:hint="eastAsia" w:ascii="宋体" w:hAnsi="宋体" w:eastAsia="宋体" w:cs="宋体"/>
          <w:color w:val="auto"/>
          <w:sz w:val="24"/>
          <w:szCs w:val="24"/>
          <w:lang w:eastAsia="zh-CN"/>
        </w:rPr>
        <w:t>保险合同条款的变动</w:t>
      </w:r>
    </w:p>
    <w:p w14:paraId="674E4326">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承包人需要变动保险合同条款时，应事先征得发包人同意，并通知监理人。保险人作出变动的，承包人应在收到保险人通知后立即通知发包人和监理人。</w:t>
      </w:r>
    </w:p>
    <w:p w14:paraId="407302CA">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20.6.3　</w:t>
      </w:r>
      <w:r>
        <w:rPr>
          <w:rFonts w:hint="eastAsia" w:ascii="宋体" w:hAnsi="宋体" w:eastAsia="宋体" w:cs="宋体"/>
          <w:color w:val="auto"/>
          <w:sz w:val="24"/>
          <w:szCs w:val="24"/>
          <w:lang w:eastAsia="zh-CN"/>
        </w:rPr>
        <w:t>持续保险</w:t>
      </w:r>
    </w:p>
    <w:p w14:paraId="173ECE2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承包人应与保险人保持联系，使保险人能够随时了解工程实施中的变动，并确保按保险合同条款要求持续保险。</w:t>
      </w:r>
    </w:p>
    <w:p w14:paraId="5F76C484">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20.6.4　</w:t>
      </w:r>
      <w:r>
        <w:rPr>
          <w:rFonts w:hint="eastAsia" w:ascii="宋体" w:hAnsi="宋体" w:eastAsia="宋体" w:cs="宋体"/>
          <w:color w:val="auto"/>
          <w:sz w:val="24"/>
          <w:szCs w:val="24"/>
          <w:lang w:eastAsia="zh-CN"/>
        </w:rPr>
        <w:t>保险金不足的补偿</w:t>
      </w:r>
    </w:p>
    <w:p w14:paraId="6A5DF7C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保险金不足以补偿损失时，应由承包人和发包人各自负责补偿的范围和金额在专用合同条款中约定。</w:t>
      </w:r>
    </w:p>
    <w:p w14:paraId="31F8A3B5">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20.6.5　</w:t>
      </w:r>
      <w:r>
        <w:rPr>
          <w:rFonts w:hint="eastAsia" w:ascii="宋体" w:hAnsi="宋体" w:eastAsia="宋体" w:cs="宋体"/>
          <w:color w:val="auto"/>
          <w:sz w:val="24"/>
          <w:szCs w:val="24"/>
          <w:lang w:eastAsia="zh-CN"/>
        </w:rPr>
        <w:t>未按约定投保的补救</w:t>
      </w:r>
    </w:p>
    <w:p w14:paraId="2AAD12A0">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（1）由于负有投保义务的一方当事人未按合同约定办理保险，或未能使保险持续有效的，另一方当事人可代为办理，所需费用由对方当事人承担。</w:t>
      </w:r>
    </w:p>
    <w:p w14:paraId="4CB03C9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（2）由于负有投保义务的一方当事人未按合同约定办理某项保险，导致受益人未能得到保险人的赔偿，原应从该项保险得到的保险金应由负有投保义务的一方当事人支付。</w:t>
      </w:r>
    </w:p>
    <w:p w14:paraId="201277F4">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20.6.6　</w:t>
      </w:r>
      <w:r>
        <w:rPr>
          <w:rFonts w:hint="eastAsia" w:ascii="宋体" w:hAnsi="宋体" w:eastAsia="宋体" w:cs="宋体"/>
          <w:color w:val="auto"/>
          <w:sz w:val="24"/>
          <w:szCs w:val="24"/>
          <w:lang w:eastAsia="zh-CN"/>
        </w:rPr>
        <w:t>报告义务</w:t>
      </w:r>
    </w:p>
    <w:p w14:paraId="7F909D75">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当保险事故发生时，投保人应按照保险单规定的条件和期限及时向保险人报告。</w:t>
      </w:r>
    </w:p>
    <w:p w14:paraId="69F59F31">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41" w:name="bookmark294"/>
      <w:bookmarkEnd w:id="741"/>
      <w:r>
        <w:rPr>
          <w:rFonts w:hint="eastAsia" w:ascii="宋体" w:hAnsi="宋体" w:eastAsia="宋体" w:cs="宋体"/>
          <w:b/>
          <w:bCs/>
          <w:color w:val="auto"/>
          <w:sz w:val="24"/>
          <w:szCs w:val="24"/>
          <w:lang w:eastAsia="zh-CN"/>
        </w:rPr>
        <w:t>20.7　风险责任的转移</w:t>
      </w:r>
    </w:p>
    <w:p w14:paraId="0EE9073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工程通过合同工程完工验收并移交给发包人后，原由承包人应承担的风险责任，以及保险的责任、权利和义务同时转移给发包人，但承包人在缺陷责任期（工程质量保修期）前造成损失和损坏情形除外。</w:t>
      </w:r>
    </w:p>
    <w:p w14:paraId="1CC6E92E">
      <w:pPr>
        <w:widowControl w:val="0"/>
        <w:kinsoku/>
        <w:wordWrap w:val="0"/>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742" w:name="bookmark296"/>
      <w:bookmarkEnd w:id="742"/>
      <w:bookmarkStart w:id="743" w:name="bookmark295"/>
      <w:bookmarkEnd w:id="743"/>
      <w:bookmarkStart w:id="744" w:name="_Toc32068"/>
      <w:bookmarkStart w:id="745" w:name="_Toc6179"/>
      <w:bookmarkStart w:id="746" w:name="_Toc25764"/>
      <w:bookmarkStart w:id="747" w:name="_Toc3571"/>
      <w:r>
        <w:rPr>
          <w:rFonts w:hint="eastAsia" w:ascii="宋体" w:hAnsi="宋体" w:eastAsia="宋体" w:cs="宋体"/>
          <w:b/>
          <w:bCs/>
          <w:color w:val="auto"/>
          <w:sz w:val="28"/>
          <w:szCs w:val="28"/>
          <w:lang w:eastAsia="zh-CN"/>
        </w:rPr>
        <w:t>21　不可抗力</w:t>
      </w:r>
      <w:bookmarkEnd w:id="744"/>
      <w:bookmarkEnd w:id="745"/>
      <w:bookmarkEnd w:id="746"/>
      <w:bookmarkEnd w:id="747"/>
    </w:p>
    <w:p w14:paraId="15EC4A87">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48" w:name="bookmark707"/>
      <w:bookmarkEnd w:id="748"/>
      <w:r>
        <w:rPr>
          <w:rFonts w:hint="eastAsia" w:ascii="宋体" w:hAnsi="宋体" w:eastAsia="宋体" w:cs="宋体"/>
          <w:b/>
          <w:bCs/>
          <w:color w:val="auto"/>
          <w:sz w:val="24"/>
          <w:szCs w:val="24"/>
          <w:lang w:eastAsia="zh-CN"/>
        </w:rPr>
        <w:t>21.1　不可抗力的确认</w:t>
      </w:r>
    </w:p>
    <w:p w14:paraId="24F3D517">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21.1.1　</w:t>
      </w:r>
      <w:r>
        <w:rPr>
          <w:rFonts w:hint="eastAsia" w:ascii="宋体" w:hAnsi="宋体" w:eastAsia="宋体" w:cs="宋体"/>
          <w:color w:val="auto"/>
          <w:sz w:val="24"/>
          <w:szCs w:val="24"/>
          <w:lang w:eastAsia="zh-CN"/>
        </w:rPr>
        <w:t>不可抗力是指承包人和发包人在订立合同时不可预见，在工程施工过程中不可避免发生并不能克服的自然灾害和社会性突发事件，如地震、海啸、瘟疫、水灾、骚乱、暴动、战争和专用合同条款约定的其他情形。</w:t>
      </w:r>
    </w:p>
    <w:p w14:paraId="3942A81A">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21.1.2　</w:t>
      </w:r>
      <w:r>
        <w:rPr>
          <w:rFonts w:hint="eastAsia" w:ascii="宋体" w:hAnsi="宋体" w:eastAsia="宋体" w:cs="宋体"/>
          <w:color w:val="auto"/>
          <w:sz w:val="24"/>
          <w:szCs w:val="24"/>
          <w:lang w:eastAsia="zh-CN"/>
        </w:rPr>
        <w:t>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4D37B1A1">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49" w:name="bookmark297"/>
      <w:bookmarkEnd w:id="749"/>
      <w:r>
        <w:rPr>
          <w:rFonts w:hint="eastAsia" w:ascii="宋体" w:hAnsi="宋体" w:eastAsia="宋体" w:cs="宋体"/>
          <w:b/>
          <w:bCs/>
          <w:color w:val="auto"/>
          <w:sz w:val="24"/>
          <w:szCs w:val="24"/>
          <w:lang w:eastAsia="zh-CN"/>
        </w:rPr>
        <w:t>21.2　不可抗力的通知</w:t>
      </w:r>
    </w:p>
    <w:p w14:paraId="6CA65290">
      <w:pPr>
        <w:widowControl w:val="0"/>
        <w:kinsoku/>
        <w:wordWrap w:val="0"/>
        <w:topLinePunct/>
        <w:autoSpaceDE/>
        <w:autoSpaceDN/>
        <w:spacing w:line="520" w:lineRule="exact"/>
        <w:ind w:left="7" w:right="85" w:firstLine="474"/>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21.2.1　</w:t>
      </w:r>
      <w:r>
        <w:rPr>
          <w:rFonts w:hint="eastAsia" w:ascii="宋体" w:hAnsi="宋体" w:eastAsia="宋体" w:cs="宋体"/>
          <w:color w:val="auto"/>
          <w:sz w:val="24"/>
          <w:szCs w:val="24"/>
          <w:lang w:eastAsia="zh-CN"/>
        </w:rPr>
        <w:t>合同一方当事人遇到不可抗力事件，使其履行合同义务受到阻碍时，应立即通知合同另一方当事人和监理人，书面说明不可抗力和受阻碍的详细情况，并提供必要的证明。</w:t>
      </w:r>
    </w:p>
    <w:p w14:paraId="43BA5FCA">
      <w:pPr>
        <w:widowControl w:val="0"/>
        <w:kinsoku/>
        <w:wordWrap w:val="0"/>
        <w:topLinePunct/>
        <w:autoSpaceDE/>
        <w:autoSpaceDN/>
        <w:spacing w:line="520" w:lineRule="exact"/>
        <w:ind w:left="6" w:right="61" w:firstLine="476"/>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21.2.2　</w:t>
      </w:r>
      <w:r>
        <w:rPr>
          <w:rFonts w:hint="eastAsia" w:ascii="宋体" w:hAnsi="宋体" w:eastAsia="宋体" w:cs="宋体"/>
          <w:color w:val="auto"/>
          <w:sz w:val="24"/>
          <w:szCs w:val="24"/>
          <w:lang w:eastAsia="zh-CN"/>
        </w:rPr>
        <w:t>如不可抗力持续发生，合同一方当事人应及时向合同另一方当事人和监理人提交中间报告，说明不可抗力和履行合同受阻的情况，并于不可抗力事件结束后28天内提交最终报告及有关资料。</w:t>
      </w:r>
    </w:p>
    <w:p w14:paraId="5FF99D6D">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50" w:name="bookmark298"/>
      <w:bookmarkEnd w:id="750"/>
      <w:r>
        <w:rPr>
          <w:rFonts w:hint="eastAsia" w:ascii="宋体" w:hAnsi="宋体" w:eastAsia="宋体" w:cs="宋体"/>
          <w:b/>
          <w:bCs/>
          <w:color w:val="auto"/>
          <w:sz w:val="24"/>
          <w:szCs w:val="24"/>
          <w:lang w:eastAsia="zh-CN"/>
        </w:rPr>
        <w:t>21.3　不可抗力后果及其处理</w:t>
      </w:r>
    </w:p>
    <w:p w14:paraId="06193EA9">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21.3.1　</w:t>
      </w:r>
      <w:r>
        <w:rPr>
          <w:rFonts w:hint="eastAsia" w:ascii="宋体" w:hAnsi="宋体" w:eastAsia="宋体" w:cs="宋体"/>
          <w:color w:val="auto"/>
          <w:sz w:val="24"/>
          <w:szCs w:val="24"/>
          <w:lang w:eastAsia="zh-CN"/>
        </w:rPr>
        <w:t>不可抗力造成损害的责任</w:t>
      </w:r>
    </w:p>
    <w:p w14:paraId="118587A1">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除专用合同条款另有约定外，不可抗力导致的人员伤亡、财产损失、费用增加和（或）工期延误等后果，由合同双方按以下原则承担：</w:t>
      </w:r>
    </w:p>
    <w:p w14:paraId="4AB0E1B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（1）永久工程，包括已运至施工场地的材料和工程设备的损害，以及因工程损害造成的第三者人员伤亡和财产损失由发包人承担。</w:t>
      </w:r>
    </w:p>
    <w:p w14:paraId="7ED0D69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（2）承包人设备的损坏由承包人承担。</w:t>
      </w:r>
    </w:p>
    <w:p w14:paraId="2CC645C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（3）发包人和承包人各自承担其人员伤亡和其他财产损失及其相关费用。</w:t>
      </w:r>
    </w:p>
    <w:p w14:paraId="4D6F261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（4）承包人的停工损失由承包人承担，但停工期间应监理人要求照管工程和清理、修复工程的金额由发包人承担。</w:t>
      </w:r>
    </w:p>
    <w:p w14:paraId="3C1497B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（5）不能按期完工的，应合理延长工期，承包人不需支付逾期完工违约金。发包人要求赶工的，承包人应采取赶工措施，赶工费用由发包人承担。</w:t>
      </w:r>
    </w:p>
    <w:p w14:paraId="7D0E42FD">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21.3.2　</w:t>
      </w:r>
      <w:r>
        <w:rPr>
          <w:rFonts w:hint="eastAsia" w:ascii="宋体" w:hAnsi="宋体" w:eastAsia="宋体" w:cs="宋体"/>
          <w:color w:val="auto"/>
          <w:sz w:val="24"/>
          <w:szCs w:val="24"/>
          <w:lang w:eastAsia="zh-CN"/>
        </w:rPr>
        <w:t>延迟履行期间发生的不可抗力</w:t>
      </w:r>
    </w:p>
    <w:p w14:paraId="272CE47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合同一方当事人延迟履行，在延迟履行期间发生不可抗力的，不免除其责任。</w:t>
      </w:r>
    </w:p>
    <w:p w14:paraId="00465D91">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21.3.3　</w:t>
      </w:r>
      <w:r>
        <w:rPr>
          <w:rFonts w:hint="eastAsia" w:ascii="宋体" w:hAnsi="宋体" w:eastAsia="宋体" w:cs="宋体"/>
          <w:color w:val="auto"/>
          <w:sz w:val="24"/>
          <w:szCs w:val="24"/>
          <w:lang w:eastAsia="zh-CN"/>
        </w:rPr>
        <w:t>避免和减少不可抗力损失</w:t>
      </w:r>
    </w:p>
    <w:p w14:paraId="26802219">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不可抗力发生后，发包人和承包人均应采取措施尽量避免和减少损失的扩大，任何一方没有采取有效措施导致损失扩大的，应对扩大的损失承担责任。</w:t>
      </w:r>
    </w:p>
    <w:p w14:paraId="1CA8E92F">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21.3.4　</w:t>
      </w:r>
      <w:r>
        <w:rPr>
          <w:rFonts w:hint="eastAsia" w:ascii="宋体" w:hAnsi="宋体" w:eastAsia="宋体" w:cs="宋体"/>
          <w:color w:val="auto"/>
          <w:sz w:val="24"/>
          <w:szCs w:val="24"/>
          <w:lang w:eastAsia="zh-CN"/>
        </w:rPr>
        <w:t>因不可抗力解除合同</w:t>
      </w:r>
    </w:p>
    <w:p w14:paraId="1706789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6E4DA58D">
      <w:pPr>
        <w:widowControl w:val="0"/>
        <w:kinsoku/>
        <w:wordWrap w:val="0"/>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751" w:name="bookmark300"/>
      <w:bookmarkEnd w:id="751"/>
      <w:bookmarkStart w:id="752" w:name="bookmark299"/>
      <w:bookmarkEnd w:id="752"/>
      <w:bookmarkStart w:id="753" w:name="_Toc28052"/>
      <w:bookmarkStart w:id="754" w:name="_Toc6655"/>
      <w:bookmarkStart w:id="755" w:name="_Toc32385"/>
      <w:bookmarkStart w:id="756" w:name="_Toc9804"/>
      <w:r>
        <w:rPr>
          <w:rFonts w:hint="eastAsia" w:ascii="宋体" w:hAnsi="宋体" w:eastAsia="宋体" w:cs="宋体"/>
          <w:b/>
          <w:bCs/>
          <w:color w:val="auto"/>
          <w:sz w:val="28"/>
          <w:szCs w:val="28"/>
          <w:lang w:eastAsia="zh-CN"/>
        </w:rPr>
        <w:t>22　违约</w:t>
      </w:r>
      <w:bookmarkEnd w:id="753"/>
      <w:bookmarkEnd w:id="754"/>
      <w:bookmarkEnd w:id="755"/>
      <w:bookmarkEnd w:id="756"/>
    </w:p>
    <w:p w14:paraId="33D50ADC">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57" w:name="bookmark708"/>
      <w:bookmarkEnd w:id="757"/>
      <w:r>
        <w:rPr>
          <w:rFonts w:hint="eastAsia" w:ascii="宋体" w:hAnsi="宋体" w:eastAsia="宋体" w:cs="宋体"/>
          <w:b/>
          <w:bCs/>
          <w:color w:val="auto"/>
          <w:sz w:val="24"/>
          <w:szCs w:val="24"/>
          <w:lang w:eastAsia="zh-CN"/>
        </w:rPr>
        <w:t>22.1　承包人违约</w:t>
      </w:r>
    </w:p>
    <w:p w14:paraId="0F0E5E7C">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22.1.1　</w:t>
      </w:r>
      <w:r>
        <w:rPr>
          <w:rFonts w:hint="eastAsia" w:ascii="宋体" w:hAnsi="宋体" w:eastAsia="宋体" w:cs="宋体"/>
          <w:color w:val="auto"/>
          <w:sz w:val="24"/>
          <w:szCs w:val="24"/>
          <w:lang w:eastAsia="zh-CN"/>
        </w:rPr>
        <w:t>承包人违约的情形</w:t>
      </w:r>
    </w:p>
    <w:p w14:paraId="354B763E">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在履行合同过程中发生的下列情况属承包人违约：</w:t>
      </w:r>
    </w:p>
    <w:p w14:paraId="2B03EF08">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（1）承包人违反第1.8款或第4.3款的约定，私自将合同的全部或部分权利转让给其他人，或私自将合同的全部或部分义务转移给其他人。</w:t>
      </w:r>
    </w:p>
    <w:p w14:paraId="50F5DCD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（2）承包人违反第5.3款或第6.4款的约定，未经监理人批准，私自将已按合同约定进入施工场地的施工设备、临时设施或材料撤离施工场地。</w:t>
      </w:r>
    </w:p>
    <w:p w14:paraId="0325591B">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（3）承包人违反第5.4款的约定使用了不合格材料或工程设备，工程质量达不到标准要求，又拒绝清除不合格工程。</w:t>
      </w:r>
    </w:p>
    <w:p w14:paraId="4AD81B1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（4）承包人未能按合同进度计划及时完成合同约定的工作，已造成或预期造成工期延误。</w:t>
      </w:r>
    </w:p>
    <w:p w14:paraId="5F949A6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（5）承包人在缺陷责任期（工程质量保修期）内，未能对合同工程完工验收鉴定书所列的缺陷清单的内容或缺陷责任期（工程质量保修期）内发生的缺陷进行修复，而又拒绝按监理人指示再进行修补。</w:t>
      </w:r>
    </w:p>
    <w:p w14:paraId="62F51A3E">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（6）承包人无法继续履行或明确表示不履行或实质上已停止履行合同。</w:t>
      </w:r>
    </w:p>
    <w:p w14:paraId="6FFCA3C6">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（7）承包人不按合同约定履行义务的其他情况。</w:t>
      </w:r>
    </w:p>
    <w:p w14:paraId="4A23C84F">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22.1.2　</w:t>
      </w:r>
      <w:r>
        <w:rPr>
          <w:rFonts w:hint="eastAsia" w:ascii="宋体" w:hAnsi="宋体" w:eastAsia="宋体" w:cs="宋体"/>
          <w:color w:val="auto"/>
          <w:sz w:val="24"/>
          <w:szCs w:val="24"/>
          <w:lang w:eastAsia="zh-CN"/>
        </w:rPr>
        <w:t>对承包人违约的处理</w:t>
      </w:r>
    </w:p>
    <w:p w14:paraId="59C84F65">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（1）承包人发生第22.1.1（6）目约定的违约情况时，发包人可通知承包人立即解除合同，并按有关法律处理。</w:t>
      </w:r>
    </w:p>
    <w:p w14:paraId="749AC79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（2）承包人发生除第22.1.1（6）目约定以外的其他违约情况时，监理人可向承包人发出整改通知，要求其在指定的期限内改正。承包人应承担其违约所引起的费用增加和（或）工期延误。</w:t>
      </w:r>
    </w:p>
    <w:p w14:paraId="70E77C90">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（3）经检查证明承包人已采取了有效措施纠正违约行为，具备复工条件的，可由监理人签发复工通知复工。</w:t>
      </w:r>
    </w:p>
    <w:p w14:paraId="7BA28DA1">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22.1.3　</w:t>
      </w:r>
      <w:r>
        <w:rPr>
          <w:rFonts w:hint="eastAsia" w:ascii="宋体" w:hAnsi="宋体" w:eastAsia="宋体" w:cs="宋体"/>
          <w:color w:val="auto"/>
          <w:sz w:val="24"/>
          <w:szCs w:val="24"/>
          <w:lang w:eastAsia="zh-CN"/>
        </w:rPr>
        <w:t>承包人违约解除合同</w:t>
      </w:r>
    </w:p>
    <w:p w14:paraId="26205A4B">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4234AC03">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22.1.4　</w:t>
      </w:r>
      <w:r>
        <w:rPr>
          <w:rFonts w:hint="eastAsia" w:ascii="宋体" w:hAnsi="宋体" w:eastAsia="宋体" w:cs="宋体"/>
          <w:color w:val="auto"/>
          <w:sz w:val="24"/>
          <w:szCs w:val="24"/>
          <w:lang w:eastAsia="zh-CN"/>
        </w:rPr>
        <w:t>合同解除后的估价、付款和结清</w:t>
      </w:r>
    </w:p>
    <w:p w14:paraId="79B7D4D7">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（1）合同解除后，监理人按第3.5款商定或确定承包人实际完成工作的价值，以及承包人已提供的材料、施工设备、工程设备和临时工程等的价值。</w:t>
      </w:r>
    </w:p>
    <w:p w14:paraId="1C6D2F9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（2）合同解除后，发包人应暂停对承包人的一切付款，查清各项付款和已扣款金额，包括承包人应支付的违约金。</w:t>
      </w:r>
    </w:p>
    <w:p w14:paraId="23C6CA6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（3）合同解除后，发包人应按第23.4款的约定向承包人索赔由于解除合同给发包人造成的损失。</w:t>
      </w:r>
    </w:p>
    <w:p w14:paraId="1C50C85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（4）合同双方确认上述往来款项后，出具最终结清付款证书，结清全部合同款项。</w:t>
      </w:r>
    </w:p>
    <w:p w14:paraId="62234890">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（5）发包人和承包人未能就解除合同后的结清达成一致而形成争议的，按第24条的约定办理。</w:t>
      </w:r>
    </w:p>
    <w:p w14:paraId="7EA39FAA">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22.1.5　</w:t>
      </w:r>
      <w:r>
        <w:rPr>
          <w:rFonts w:hint="eastAsia" w:ascii="宋体" w:hAnsi="宋体" w:eastAsia="宋体" w:cs="宋体"/>
          <w:color w:val="auto"/>
          <w:sz w:val="24"/>
          <w:szCs w:val="24"/>
          <w:lang w:eastAsia="zh-CN"/>
        </w:rPr>
        <w:t>协议利益的转让</w:t>
      </w:r>
    </w:p>
    <w:p w14:paraId="6631376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因承包人违约解除合同的，发包人有权要求承包人将其为实施合同而签订的材料和设备的订货协议或任何服务协议利益转让给发包人，并在解除合同后的14天内，依法办理转让手续。</w:t>
      </w:r>
    </w:p>
    <w:p w14:paraId="0927C4B0">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22.1.6　</w:t>
      </w:r>
      <w:r>
        <w:rPr>
          <w:rFonts w:hint="eastAsia" w:ascii="宋体" w:hAnsi="宋体" w:eastAsia="宋体" w:cs="宋体"/>
          <w:color w:val="auto"/>
          <w:sz w:val="24"/>
          <w:szCs w:val="24"/>
          <w:lang w:eastAsia="zh-CN"/>
        </w:rPr>
        <w:t>紧急情况下无能力或不愿进行抢救</w:t>
      </w:r>
    </w:p>
    <w:p w14:paraId="55B14BFC">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0DBCD74B">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58" w:name="bookmark301"/>
      <w:bookmarkEnd w:id="758"/>
      <w:r>
        <w:rPr>
          <w:rFonts w:hint="eastAsia" w:ascii="宋体" w:hAnsi="宋体" w:eastAsia="宋体" w:cs="宋体"/>
          <w:b/>
          <w:bCs/>
          <w:color w:val="auto"/>
          <w:sz w:val="24"/>
          <w:szCs w:val="24"/>
          <w:lang w:eastAsia="zh-CN"/>
        </w:rPr>
        <w:t>22.2　发包人违约</w:t>
      </w:r>
    </w:p>
    <w:p w14:paraId="209C1C6F">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22.2.1　</w:t>
      </w:r>
      <w:r>
        <w:rPr>
          <w:rFonts w:hint="eastAsia" w:ascii="宋体" w:hAnsi="宋体" w:eastAsia="宋体" w:cs="宋体"/>
          <w:color w:val="auto"/>
          <w:sz w:val="24"/>
          <w:szCs w:val="24"/>
          <w:lang w:eastAsia="zh-CN"/>
        </w:rPr>
        <w:t>发包人违约的情形</w:t>
      </w:r>
    </w:p>
    <w:p w14:paraId="1FFB8D0B">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在履行合同过程中发生的下列情形，属发包人违约：</w:t>
      </w:r>
    </w:p>
    <w:p w14:paraId="105E93C0">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（1）发包人未能按合同约定支付预付款或合同价款，或拖延、拒绝批准付款申请和支付凭证，导致付款延误的。</w:t>
      </w:r>
    </w:p>
    <w:p w14:paraId="1756DB6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（2）发包人原因造成停工的。</w:t>
      </w:r>
    </w:p>
    <w:p w14:paraId="7A2CEB0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（3）监理人无正当理由没有在约定期限内发出复工指示，导致承包人无法复工的。</w:t>
      </w:r>
    </w:p>
    <w:p w14:paraId="2840F36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（4）发包人无法继续履行或明确表示不履行或实质上已停止履行合同的。</w:t>
      </w:r>
    </w:p>
    <w:p w14:paraId="5EC6DFD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（5）发包人不履行合同约定其他义务的。</w:t>
      </w:r>
    </w:p>
    <w:p w14:paraId="0E85BC4F">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22.2.2　</w:t>
      </w:r>
      <w:r>
        <w:rPr>
          <w:rFonts w:hint="eastAsia" w:ascii="宋体" w:hAnsi="宋体" w:eastAsia="宋体" w:cs="宋体"/>
          <w:color w:val="auto"/>
          <w:sz w:val="24"/>
          <w:szCs w:val="24"/>
          <w:lang w:eastAsia="zh-CN"/>
        </w:rPr>
        <w:t>承包人有权暂停施工</w:t>
      </w:r>
    </w:p>
    <w:p w14:paraId="3B95D29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7DBC5439">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22.2.3　</w:t>
      </w:r>
      <w:r>
        <w:rPr>
          <w:rFonts w:hint="eastAsia" w:ascii="宋体" w:hAnsi="宋体" w:eastAsia="宋体" w:cs="宋体"/>
          <w:color w:val="auto"/>
          <w:sz w:val="24"/>
          <w:szCs w:val="24"/>
          <w:lang w:eastAsia="zh-CN"/>
        </w:rPr>
        <w:t>发包人违约解除合同</w:t>
      </w:r>
    </w:p>
    <w:p w14:paraId="3CF8147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（1）发生第22.2.1（4）目的违约情况时，承包人可书面通知发包人解除合同。</w:t>
      </w:r>
    </w:p>
    <w:p w14:paraId="143588D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（2）承包人按22.2.2项暂停施工28天后，发包人仍不纠正违约行为的，承包人可向发包人发出解除合同通知。但承包人的这一行动不免除发包人承担的违约责任，也不影响承包人根据合同约定享有的索赔权利。</w:t>
      </w:r>
    </w:p>
    <w:p w14:paraId="64CEC298">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22.2.4　</w:t>
      </w:r>
      <w:r>
        <w:rPr>
          <w:rFonts w:hint="eastAsia" w:ascii="宋体" w:hAnsi="宋体" w:eastAsia="宋体" w:cs="宋体"/>
          <w:color w:val="auto"/>
          <w:sz w:val="24"/>
          <w:szCs w:val="24"/>
          <w:lang w:eastAsia="zh-CN"/>
        </w:rPr>
        <w:t>解除合同后的付款</w:t>
      </w:r>
    </w:p>
    <w:p w14:paraId="6B0C270B">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因发包人违约解除合同的，发包人应在解除合同后28天内向承包人支付下列金额，承包人应在此期限内及时向发包人提交要求支付下列金额的有关资料和凭证：</w:t>
      </w:r>
    </w:p>
    <w:p w14:paraId="4C42CB6E">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（1）合同解除日以前所完成工作的价款。</w:t>
      </w:r>
    </w:p>
    <w:p w14:paraId="39830D4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（2）承包人为该工程施工订购并已付款的材料、工程设备和其他物品的金额。发包人付还后，该材料、工程设备和其他物品归发包人所有。</w:t>
      </w:r>
    </w:p>
    <w:p w14:paraId="73A25B1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（3）承包人为完成工程所发生的，而发包人未支付的金额。</w:t>
      </w:r>
    </w:p>
    <w:p w14:paraId="368CDDC4">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（4）承包人撤离施工场地以及遣散承包人人员的金额。</w:t>
      </w:r>
    </w:p>
    <w:p w14:paraId="55247767">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（5）由于解除合同应赔偿的承包人损失。</w:t>
      </w:r>
    </w:p>
    <w:p w14:paraId="73058408">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（6）按合同约定在合同解除日前应支付给承包人的其他金额。</w:t>
      </w:r>
    </w:p>
    <w:p w14:paraId="35A70A0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发包人应按本项约定支付上述金额并退还质量保证金和履约担保，但有权要求承包人支付应偿还给发包人的各项金额。</w:t>
      </w:r>
    </w:p>
    <w:p w14:paraId="6438E118">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22.2.5　</w:t>
      </w:r>
      <w:r>
        <w:rPr>
          <w:rFonts w:hint="eastAsia" w:ascii="宋体" w:hAnsi="宋体" w:eastAsia="宋体" w:cs="宋体"/>
          <w:color w:val="auto"/>
          <w:sz w:val="24"/>
          <w:szCs w:val="24"/>
          <w:lang w:eastAsia="zh-CN"/>
        </w:rPr>
        <w:t>解除合同后的承包人撤离</w:t>
      </w:r>
    </w:p>
    <w:p w14:paraId="75205026">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发包人违约而解除合同后，承包人应妥善做好已完工工程和已购材料、设备的保护和移交工作，按发包人要求将承包人设备和人员撤出施工场地。承包人撤出施工场地应遵守第18.7.1项的约定，发包人应为承包人撤出提供必要条件。</w:t>
      </w:r>
    </w:p>
    <w:p w14:paraId="73AFBA5D">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59" w:name="bookmark302"/>
      <w:bookmarkEnd w:id="759"/>
      <w:r>
        <w:rPr>
          <w:rFonts w:hint="eastAsia" w:ascii="宋体" w:hAnsi="宋体" w:eastAsia="宋体" w:cs="宋体"/>
          <w:b/>
          <w:bCs/>
          <w:color w:val="auto"/>
          <w:sz w:val="24"/>
          <w:szCs w:val="24"/>
          <w:lang w:eastAsia="zh-CN"/>
        </w:rPr>
        <w:t>22.3　第三人造成的违约</w:t>
      </w:r>
    </w:p>
    <w:p w14:paraId="378D65A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在履行合同过程中，一方当事人因第三人的原因造成违约的，应当向对方当事人承担违约责任。一方当事人和第三人之间的纠纷，依照法律规定或者按照约定解决。</w:t>
      </w:r>
    </w:p>
    <w:p w14:paraId="4682098B">
      <w:pPr>
        <w:widowControl w:val="0"/>
        <w:kinsoku/>
        <w:wordWrap w:val="0"/>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760" w:name="bookmark304"/>
      <w:bookmarkEnd w:id="760"/>
      <w:bookmarkStart w:id="761" w:name="bookmark303"/>
      <w:bookmarkEnd w:id="761"/>
      <w:bookmarkStart w:id="762" w:name="_Toc29603"/>
      <w:bookmarkStart w:id="763" w:name="_Toc25192"/>
      <w:bookmarkStart w:id="764" w:name="_Toc32328"/>
      <w:bookmarkStart w:id="765" w:name="_Toc3112"/>
      <w:r>
        <w:rPr>
          <w:rFonts w:hint="eastAsia" w:ascii="宋体" w:hAnsi="宋体" w:eastAsia="宋体" w:cs="宋体"/>
          <w:b/>
          <w:bCs/>
          <w:color w:val="auto"/>
          <w:sz w:val="28"/>
          <w:szCs w:val="28"/>
          <w:lang w:eastAsia="zh-CN"/>
        </w:rPr>
        <w:t>23　索赔</w:t>
      </w:r>
      <w:bookmarkEnd w:id="762"/>
      <w:bookmarkEnd w:id="763"/>
      <w:bookmarkEnd w:id="764"/>
      <w:bookmarkEnd w:id="765"/>
    </w:p>
    <w:p w14:paraId="05B4EAB9">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66" w:name="bookmark709"/>
      <w:bookmarkEnd w:id="766"/>
      <w:r>
        <w:rPr>
          <w:rFonts w:hint="eastAsia" w:ascii="宋体" w:hAnsi="宋体" w:eastAsia="宋体" w:cs="宋体"/>
          <w:b/>
          <w:bCs/>
          <w:color w:val="auto"/>
          <w:sz w:val="24"/>
          <w:szCs w:val="24"/>
          <w:lang w:eastAsia="zh-CN"/>
        </w:rPr>
        <w:t>23.1　承包人索赔的提出</w:t>
      </w:r>
    </w:p>
    <w:p w14:paraId="089D6ACA">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根据合同约定，承包人认为有权得到追加付款和（或）延长工期的，应按以下程序向发包人提出索赔：</w:t>
      </w:r>
    </w:p>
    <w:p w14:paraId="1A1687F9">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D6B24F6">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（2）承包人应在发出索赔意向通知书后28天内，向监理人正式递交索赔通知书。索赔通知书应详细说明索赔理由以及要求追加的付款金额和（或）延长的工期，并附必要的记录和证明材料。</w:t>
      </w:r>
    </w:p>
    <w:p w14:paraId="4275D279">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（3）索赔事件具有连续影响的，承包人应按合理时间间隔继续递交延续索赔通知，说明连续影响的实际情况和记录，列出累计的追加付款金额和（或）工期延长天数。</w:t>
      </w:r>
    </w:p>
    <w:p w14:paraId="3D185562">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（4）在索赔事件影响结束后的28天内，承包人应向监理人递交最终索赔通知书，说明最终要求索赔的追加付款金额和延长的工期，并附必要的记录和证明材料。</w:t>
      </w:r>
    </w:p>
    <w:p w14:paraId="699059E1">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67" w:name="bookmark305"/>
      <w:bookmarkEnd w:id="767"/>
      <w:r>
        <w:rPr>
          <w:rFonts w:hint="eastAsia" w:ascii="宋体" w:hAnsi="宋体" w:eastAsia="宋体" w:cs="宋体"/>
          <w:b/>
          <w:bCs/>
          <w:color w:val="auto"/>
          <w:sz w:val="24"/>
          <w:szCs w:val="24"/>
          <w:lang w:eastAsia="zh-CN"/>
        </w:rPr>
        <w:t>23.2　承包人索赔处理程序</w:t>
      </w:r>
    </w:p>
    <w:p w14:paraId="61D4FF4D">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（1）监理人收到承包人提交的索赔通知书后，应及时审查索赔通知书的内容、查验承包人的记录和证明材料，必要时监理人可要求承包人提交全部原始记录副本。</w:t>
      </w:r>
    </w:p>
    <w:p w14:paraId="435322C3">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（2）监理人应按第3.5款商定或确定追加的付款和（或）延长的工期，并在收到上述索赔通知书或有关索赔的进一步证明材料后的42天内，将索赔处理结果答复承包人。</w:t>
      </w:r>
    </w:p>
    <w:p w14:paraId="67695AFE">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（3）承包人接受索赔处理结果的，发包人应在作出索赔处理结果答复后28天内完成赔付。承包人不接受索赔处理结果的，按第24条的约定办理。</w:t>
      </w:r>
    </w:p>
    <w:p w14:paraId="4FD4BF67">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68" w:name="bookmark306"/>
      <w:bookmarkEnd w:id="768"/>
      <w:r>
        <w:rPr>
          <w:rFonts w:hint="eastAsia" w:ascii="宋体" w:hAnsi="宋体" w:eastAsia="宋体" w:cs="宋体"/>
          <w:b/>
          <w:bCs/>
          <w:color w:val="auto"/>
          <w:sz w:val="24"/>
          <w:szCs w:val="24"/>
          <w:lang w:eastAsia="zh-CN"/>
        </w:rPr>
        <w:t>23.3　承包人提出索赔的期限</w:t>
      </w:r>
    </w:p>
    <w:p w14:paraId="2FBFB94C">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23.3.1　</w:t>
      </w:r>
      <w:r>
        <w:rPr>
          <w:rFonts w:hint="eastAsia" w:ascii="宋体" w:hAnsi="宋体" w:eastAsia="宋体" w:cs="宋体"/>
          <w:color w:val="auto"/>
          <w:sz w:val="24"/>
          <w:szCs w:val="24"/>
          <w:lang w:eastAsia="zh-CN"/>
        </w:rPr>
        <w:t>承包人按第17.5款的约定接受了完工付款证书后，应被认为已无权再提出在合同工程完工证书颁发前所发生的任何索赔。</w:t>
      </w:r>
    </w:p>
    <w:p w14:paraId="69345B25">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23.3.2　</w:t>
      </w:r>
      <w:r>
        <w:rPr>
          <w:rFonts w:hint="eastAsia" w:ascii="宋体" w:hAnsi="宋体" w:eastAsia="宋体" w:cs="宋体"/>
          <w:color w:val="auto"/>
          <w:sz w:val="24"/>
          <w:szCs w:val="24"/>
          <w:lang w:eastAsia="zh-CN"/>
        </w:rPr>
        <w:t>承包人按第17.6款的约定提交的最终结清申请单中，只限于提出合同工程完工证书颁发后发生的索赔。提出索赔的期限自接受最终结清证书时终止。</w:t>
      </w:r>
    </w:p>
    <w:p w14:paraId="18997FAC">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69" w:name="bookmark307"/>
      <w:bookmarkEnd w:id="769"/>
      <w:r>
        <w:rPr>
          <w:rFonts w:hint="eastAsia" w:ascii="宋体" w:hAnsi="宋体" w:eastAsia="宋体" w:cs="宋体"/>
          <w:b/>
          <w:bCs/>
          <w:color w:val="auto"/>
          <w:sz w:val="24"/>
          <w:szCs w:val="24"/>
          <w:lang w:eastAsia="zh-CN"/>
        </w:rPr>
        <w:t>23.4　发包人的索赔</w:t>
      </w:r>
    </w:p>
    <w:p w14:paraId="53C3AC2B">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23.4.1　</w:t>
      </w:r>
      <w:r>
        <w:rPr>
          <w:rFonts w:hint="eastAsia" w:ascii="宋体" w:hAnsi="宋体" w:eastAsia="宋体" w:cs="宋体"/>
          <w:color w:val="auto"/>
          <w:sz w:val="24"/>
          <w:szCs w:val="24"/>
          <w:lang w:eastAsia="zh-CN"/>
        </w:rPr>
        <w:t>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14B0E0CA">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23.4.2　</w:t>
      </w:r>
      <w:r>
        <w:rPr>
          <w:rFonts w:hint="eastAsia" w:ascii="宋体" w:hAnsi="宋体" w:eastAsia="宋体" w:cs="宋体"/>
          <w:color w:val="auto"/>
          <w:sz w:val="24"/>
          <w:szCs w:val="24"/>
          <w:lang w:eastAsia="zh-CN"/>
        </w:rPr>
        <w:t>监理人按第3.5款商定或确定发包人从承包人处得到赔付的金额和（或）缺陷责任期的延长期。承包人应付给发包人的金额可从拟支付给承包人的合同价款中扣除，或由承包人以其他方式支付给发包人。</w:t>
      </w:r>
    </w:p>
    <w:p w14:paraId="60AC5FD3">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23.4.3　</w:t>
      </w:r>
      <w:r>
        <w:rPr>
          <w:rFonts w:hint="eastAsia" w:ascii="宋体" w:hAnsi="宋体" w:eastAsia="宋体" w:cs="宋体"/>
          <w:color w:val="auto"/>
          <w:sz w:val="24"/>
          <w:szCs w:val="24"/>
          <w:lang w:eastAsia="zh-CN"/>
        </w:rPr>
        <w:t>承包人对监理人按第23.4.1项发出的索赔书面通知内容持异议时，应在收到书面通知后的14天内，将持有异议的书面报告及其证明材料提交监理人。监理</w:t>
      </w:r>
      <w:r>
        <w:rPr>
          <w:rFonts w:hint="eastAsia" w:ascii="宋体" w:hAnsi="宋体" w:eastAsia="宋体" w:cs="宋体"/>
          <w:color w:val="auto"/>
          <w:spacing w:val="-20"/>
          <w:sz w:val="24"/>
          <w:szCs w:val="24"/>
          <w:lang w:eastAsia="zh-CN"/>
        </w:rPr>
        <w:t>人应在收到承包人书面报告后的14天内，将异议的处理意见通知承包人，并按第23.4.2项的约定执行赔付。</w:t>
      </w:r>
      <w:r>
        <w:rPr>
          <w:rFonts w:hint="eastAsia" w:ascii="宋体" w:hAnsi="宋体" w:eastAsia="宋体" w:cs="宋体"/>
          <w:color w:val="auto"/>
          <w:sz w:val="24"/>
          <w:szCs w:val="24"/>
          <w:lang w:eastAsia="zh-CN"/>
        </w:rPr>
        <w:t>若承包人不接受监理人的索赔处理意见，可按本合同第24条的规定办理。</w:t>
      </w:r>
    </w:p>
    <w:p w14:paraId="4FE51591">
      <w:pPr>
        <w:widowControl w:val="0"/>
        <w:kinsoku/>
        <w:wordWrap w:val="0"/>
        <w:topLinePunct/>
        <w:autoSpaceDE/>
        <w:autoSpaceDN/>
        <w:spacing w:line="520" w:lineRule="exact"/>
        <w:ind w:left="10"/>
        <w:jc w:val="both"/>
        <w:outlineLvl w:val="2"/>
        <w:rPr>
          <w:rFonts w:hint="eastAsia" w:ascii="宋体" w:hAnsi="宋体" w:eastAsia="宋体" w:cs="宋体"/>
          <w:b/>
          <w:bCs/>
          <w:color w:val="auto"/>
          <w:sz w:val="28"/>
          <w:szCs w:val="28"/>
          <w:lang w:eastAsia="zh-CN"/>
        </w:rPr>
      </w:pPr>
      <w:bookmarkStart w:id="770" w:name="bookmark309"/>
      <w:bookmarkEnd w:id="770"/>
      <w:bookmarkStart w:id="771" w:name="bookmark308"/>
      <w:bookmarkEnd w:id="771"/>
      <w:bookmarkStart w:id="772" w:name="_Toc18902"/>
      <w:bookmarkStart w:id="773" w:name="_Toc12241"/>
      <w:bookmarkStart w:id="774" w:name="_Toc14897"/>
      <w:bookmarkStart w:id="775" w:name="_Toc16342"/>
      <w:r>
        <w:rPr>
          <w:rFonts w:hint="eastAsia" w:ascii="宋体" w:hAnsi="宋体" w:eastAsia="宋体" w:cs="宋体"/>
          <w:b/>
          <w:bCs/>
          <w:color w:val="auto"/>
          <w:sz w:val="28"/>
          <w:szCs w:val="28"/>
          <w:lang w:eastAsia="zh-CN"/>
        </w:rPr>
        <w:t>24　争议的解决</w:t>
      </w:r>
      <w:bookmarkEnd w:id="772"/>
      <w:bookmarkEnd w:id="773"/>
      <w:bookmarkEnd w:id="774"/>
      <w:bookmarkEnd w:id="775"/>
    </w:p>
    <w:p w14:paraId="22793571">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76" w:name="bookmark710"/>
      <w:bookmarkEnd w:id="776"/>
      <w:r>
        <w:rPr>
          <w:rFonts w:hint="eastAsia" w:ascii="宋体" w:hAnsi="宋体" w:eastAsia="宋体" w:cs="宋体"/>
          <w:b/>
          <w:bCs/>
          <w:color w:val="auto"/>
          <w:sz w:val="24"/>
          <w:szCs w:val="24"/>
          <w:lang w:eastAsia="zh-CN"/>
        </w:rPr>
        <w:t>24.1　争议的解决方式</w:t>
      </w:r>
    </w:p>
    <w:p w14:paraId="1F03FAC2">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6B79B9F">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（1）向约定的仲裁委员会申请仲裁。</w:t>
      </w:r>
    </w:p>
    <w:p w14:paraId="7CDA16F9">
      <w:pPr>
        <w:widowControl w:val="0"/>
        <w:kinsoku/>
        <w:wordWrap w:val="0"/>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（2）向有管辖权的人民法院提起诉讼。</w:t>
      </w:r>
    </w:p>
    <w:p w14:paraId="55B0442B">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77" w:name="bookmark310"/>
      <w:bookmarkEnd w:id="777"/>
      <w:r>
        <w:rPr>
          <w:rFonts w:hint="eastAsia" w:ascii="宋体" w:hAnsi="宋体" w:eastAsia="宋体" w:cs="宋体"/>
          <w:b/>
          <w:bCs/>
          <w:color w:val="auto"/>
          <w:sz w:val="24"/>
          <w:szCs w:val="24"/>
          <w:lang w:eastAsia="zh-CN"/>
        </w:rPr>
        <w:t>24.2　友好解决</w:t>
      </w:r>
    </w:p>
    <w:p w14:paraId="66340D3F">
      <w:pPr>
        <w:widowControl w:val="0"/>
        <w:kinsoku/>
        <w:wordWrap w:val="0"/>
        <w:topLinePunct/>
        <w:autoSpaceDE/>
        <w:autoSpaceDN/>
        <w:spacing w:line="520" w:lineRule="exact"/>
        <w:ind w:left="5" w:right="188" w:firstLine="477"/>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在提请争议评审、仲裁或者诉讼前，以及在争议评审、仲裁或诉讼过程中，发包人和承包人均可共同努力友好协商解决争议。</w:t>
      </w:r>
    </w:p>
    <w:p w14:paraId="75ED0BBD">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78" w:name="bookmark311"/>
      <w:bookmarkEnd w:id="778"/>
      <w:r>
        <w:rPr>
          <w:rFonts w:hint="eastAsia" w:ascii="宋体" w:hAnsi="宋体" w:eastAsia="宋体" w:cs="宋体"/>
          <w:b/>
          <w:bCs/>
          <w:color w:val="auto"/>
          <w:sz w:val="24"/>
          <w:szCs w:val="24"/>
          <w:lang w:eastAsia="zh-CN"/>
        </w:rPr>
        <w:t>24.3　争议评审</w:t>
      </w:r>
    </w:p>
    <w:p w14:paraId="21E85A68">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24.3.1　</w:t>
      </w:r>
      <w:r>
        <w:rPr>
          <w:rFonts w:hint="eastAsia" w:ascii="宋体" w:hAnsi="宋体" w:eastAsia="宋体" w:cs="宋体"/>
          <w:color w:val="auto"/>
          <w:sz w:val="24"/>
          <w:szCs w:val="24"/>
          <w:lang w:eastAsia="zh-CN"/>
        </w:rPr>
        <w:t>采用争议评审的，发包人和承包人应在开工日后的28天内或在争议发生后，协商成立争议评审组。争议评审组由有合同管理和工程实践经验的专家组成。</w:t>
      </w:r>
    </w:p>
    <w:p w14:paraId="69E10E49">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24.3.2　</w:t>
      </w:r>
      <w:r>
        <w:rPr>
          <w:rFonts w:hint="eastAsia" w:ascii="宋体" w:hAnsi="宋体" w:eastAsia="宋体" w:cs="宋体"/>
          <w:color w:val="auto"/>
          <w:sz w:val="24"/>
          <w:szCs w:val="24"/>
          <w:lang w:eastAsia="zh-CN"/>
        </w:rPr>
        <w:t>合同双方的争议，应首先由申请人向争议评审组提交一份详细的评审申请报告，并附必要的文件、图纸和证明材料，申请人还应将上述报告的副本同时提交给被申请人和监理人。</w:t>
      </w:r>
    </w:p>
    <w:p w14:paraId="79EE03CC">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24.3.3　</w:t>
      </w:r>
      <w:r>
        <w:rPr>
          <w:rFonts w:hint="eastAsia" w:ascii="宋体" w:hAnsi="宋体" w:eastAsia="宋体" w:cs="宋体"/>
          <w:color w:val="auto"/>
          <w:sz w:val="24"/>
          <w:szCs w:val="24"/>
          <w:lang w:eastAsia="zh-CN"/>
        </w:rPr>
        <w:t>被申请人在收到申请人评审申请报告副本后的28天内，向争议评审组提交一份答辩报告，并附证明材料。被申请人应将答辩报告的副本同时提交给申请人和监理人。</w:t>
      </w:r>
    </w:p>
    <w:p w14:paraId="3B149DEC">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24.3.4　</w:t>
      </w:r>
      <w:r>
        <w:rPr>
          <w:rFonts w:hint="eastAsia" w:ascii="宋体" w:hAnsi="宋体" w:eastAsia="宋体" w:cs="宋体"/>
          <w:color w:val="auto"/>
          <w:sz w:val="24"/>
          <w:szCs w:val="24"/>
          <w:lang w:eastAsia="zh-CN"/>
        </w:rPr>
        <w:t>除专用合同条款另有约定外，争议评审组在收到合同双方报告后的14天内，邀请双方代表和有关人员举行调查会，向双方调查争议细节；必要时争议评审组可要求双方进一步提供补充材料。</w:t>
      </w:r>
    </w:p>
    <w:p w14:paraId="20FB4778">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24.3.5　</w:t>
      </w:r>
      <w:r>
        <w:rPr>
          <w:rFonts w:hint="eastAsia" w:ascii="宋体" w:hAnsi="宋体" w:eastAsia="宋体" w:cs="宋体"/>
          <w:color w:val="auto"/>
          <w:sz w:val="24"/>
          <w:szCs w:val="24"/>
          <w:lang w:eastAsia="zh-CN"/>
        </w:rPr>
        <w:t>除专用合同条款另有约定外，在调查会结束后的14天内，争议评审组应在不受任何干扰的情况下进行独立、公正的评审，作出书面评审意见，并说明理由。在争议评审期间，争议双方暂按总监理工程师的确定执行。</w:t>
      </w:r>
    </w:p>
    <w:p w14:paraId="62F18D2D">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24.3.6　</w:t>
      </w:r>
      <w:r>
        <w:rPr>
          <w:rFonts w:hint="eastAsia" w:ascii="宋体" w:hAnsi="宋体" w:eastAsia="宋体" w:cs="宋体"/>
          <w:color w:val="auto"/>
          <w:sz w:val="24"/>
          <w:szCs w:val="24"/>
          <w:lang w:eastAsia="zh-CN"/>
        </w:rPr>
        <w:t>发包人和承包人接受评审意见的，由监理人根据评审意见拟定执行协议，经争议双方签字后作为合同的补充文件，并遵照执行。</w:t>
      </w:r>
    </w:p>
    <w:p w14:paraId="67C1D53B">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24.3.7　</w:t>
      </w:r>
      <w:r>
        <w:rPr>
          <w:rFonts w:hint="eastAsia" w:ascii="宋体" w:hAnsi="宋体" w:eastAsia="宋体" w:cs="宋体"/>
          <w:color w:val="auto"/>
          <w:sz w:val="24"/>
          <w:szCs w:val="24"/>
          <w:lang w:eastAsia="zh-CN"/>
        </w:rPr>
        <w:t>发包人或承包人不接受评审意见，并要求提交仲裁或提起诉讼的，应在收到评审意见后的14天内将仲裁或起诉意向书面通知另一方，并抄送监理人，但在仲裁或诉讼结束前应暂按总监理工程师的确定执行。</w:t>
      </w:r>
    </w:p>
    <w:p w14:paraId="121E2921">
      <w:pPr>
        <w:widowControl w:val="0"/>
        <w:kinsoku/>
        <w:wordWrap w:val="0"/>
        <w:topLinePunct/>
        <w:autoSpaceDE/>
        <w:autoSpaceDN/>
        <w:spacing w:line="520" w:lineRule="exact"/>
        <w:jc w:val="both"/>
        <w:outlineLvl w:val="3"/>
        <w:rPr>
          <w:rFonts w:hint="eastAsia" w:ascii="宋体" w:hAnsi="宋体" w:eastAsia="宋体" w:cs="宋体"/>
          <w:color w:val="auto"/>
          <w:sz w:val="24"/>
          <w:szCs w:val="24"/>
          <w:lang w:eastAsia="zh-CN"/>
        </w:rPr>
      </w:pPr>
      <w:bookmarkStart w:id="779" w:name="bookmark312"/>
      <w:bookmarkEnd w:id="779"/>
      <w:r>
        <w:rPr>
          <w:rFonts w:hint="eastAsia" w:ascii="宋体" w:hAnsi="宋体" w:eastAsia="宋体" w:cs="宋体"/>
          <w:b/>
          <w:bCs/>
          <w:color w:val="auto"/>
          <w:sz w:val="24"/>
          <w:szCs w:val="24"/>
          <w:lang w:eastAsia="zh-CN"/>
        </w:rPr>
        <w:t>24.4　仲裁</w:t>
      </w:r>
    </w:p>
    <w:p w14:paraId="2A1C91A9">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24.4.1　</w:t>
      </w:r>
      <w:r>
        <w:rPr>
          <w:rFonts w:hint="eastAsia" w:ascii="宋体" w:hAnsi="宋体" w:eastAsia="宋体" w:cs="宋体"/>
          <w:color w:val="auto"/>
          <w:sz w:val="24"/>
          <w:szCs w:val="24"/>
          <w:lang w:eastAsia="zh-CN"/>
        </w:rPr>
        <w:t>若合同双方商定直接向仲裁机构申请仲裁，应签订仲裁协议并约定仲裁机构。</w:t>
      </w:r>
    </w:p>
    <w:p w14:paraId="250CBC7D">
      <w:pPr>
        <w:widowControl w:val="0"/>
        <w:kinsoku/>
        <w:wordWrap w:val="0"/>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24.4.2　</w:t>
      </w:r>
      <w:r>
        <w:rPr>
          <w:rFonts w:hint="eastAsia" w:ascii="宋体" w:hAnsi="宋体" w:eastAsia="宋体" w:cs="宋体"/>
          <w:color w:val="auto"/>
          <w:sz w:val="24"/>
          <w:szCs w:val="24"/>
          <w:lang w:eastAsia="zh-CN"/>
        </w:rPr>
        <w:t>若合同双方未能达成仲裁协议，则本合同的仲裁条款无效，任一方均有权向人民法院提起诉讼。</w:t>
      </w:r>
    </w:p>
    <w:p w14:paraId="74A7D4CF">
      <w:pPr>
        <w:rPr>
          <w:rFonts w:hint="eastAsia" w:ascii="宋体" w:hAnsi="宋体" w:eastAsia="宋体" w:cs="宋体"/>
          <w:b/>
          <w:bCs/>
          <w:color w:val="auto"/>
          <w:sz w:val="31"/>
          <w:szCs w:val="31"/>
          <w:lang w:eastAsia="zh-CN"/>
        </w:rPr>
      </w:pPr>
      <w:bookmarkStart w:id="780" w:name="bookmark315"/>
      <w:bookmarkEnd w:id="780"/>
      <w:bookmarkStart w:id="781" w:name="bookmark314"/>
      <w:bookmarkEnd w:id="781"/>
      <w:bookmarkStart w:id="782" w:name="bookmark313"/>
      <w:bookmarkEnd w:id="782"/>
      <w:r>
        <w:rPr>
          <w:rFonts w:ascii="宋体" w:hAnsi="宋体" w:eastAsia="宋体" w:cs="宋体"/>
          <w:b/>
          <w:bCs/>
          <w:color w:val="auto"/>
          <w:sz w:val="31"/>
          <w:szCs w:val="31"/>
          <w:lang w:eastAsia="zh-CN"/>
        </w:rPr>
        <w:br w:type="page"/>
      </w:r>
    </w:p>
    <w:p w14:paraId="659BFB63">
      <w:pPr>
        <w:widowControl w:val="0"/>
        <w:kinsoku/>
        <w:wordWrap w:val="0"/>
        <w:topLinePunct/>
        <w:autoSpaceDE/>
        <w:autoSpaceDN/>
        <w:spacing w:line="560" w:lineRule="exact"/>
        <w:jc w:val="center"/>
        <w:outlineLvl w:val="1"/>
        <w:rPr>
          <w:rFonts w:hint="eastAsia" w:ascii="宋体" w:hAnsi="宋体" w:eastAsia="宋体" w:cs="宋体"/>
          <w:color w:val="auto"/>
          <w:sz w:val="31"/>
          <w:szCs w:val="31"/>
          <w:lang w:eastAsia="zh-CN"/>
        </w:rPr>
      </w:pPr>
      <w:bookmarkStart w:id="783" w:name="_Toc11681"/>
      <w:bookmarkStart w:id="784" w:name="_Toc31667"/>
      <w:bookmarkStart w:id="785" w:name="_Toc6192"/>
      <w:bookmarkStart w:id="786" w:name="_Toc11144"/>
      <w:r>
        <w:rPr>
          <w:rFonts w:ascii="宋体" w:hAnsi="宋体" w:eastAsia="宋体" w:cs="宋体"/>
          <w:b/>
          <w:bCs/>
          <w:color w:val="auto"/>
          <w:sz w:val="31"/>
          <w:szCs w:val="31"/>
          <w:lang w:eastAsia="zh-CN"/>
        </w:rPr>
        <w:t>第二节</w:t>
      </w:r>
      <w:r>
        <w:rPr>
          <w:rFonts w:hint="eastAsia" w:ascii="宋体" w:hAnsi="宋体" w:eastAsia="宋体" w:cs="宋体"/>
          <w:color w:val="auto"/>
          <w:sz w:val="31"/>
          <w:szCs w:val="31"/>
          <w:lang w:eastAsia="zh-CN"/>
        </w:rPr>
        <w:t>　</w:t>
      </w:r>
      <w:r>
        <w:rPr>
          <w:rFonts w:ascii="宋体" w:hAnsi="宋体" w:eastAsia="宋体" w:cs="宋体"/>
          <w:b/>
          <w:bCs/>
          <w:color w:val="auto"/>
          <w:sz w:val="31"/>
          <w:szCs w:val="31"/>
          <w:lang w:eastAsia="zh-CN"/>
        </w:rPr>
        <w:t>专用合同条款</w:t>
      </w:r>
      <w:bookmarkEnd w:id="783"/>
      <w:bookmarkEnd w:id="784"/>
      <w:bookmarkEnd w:id="785"/>
      <w:bookmarkEnd w:id="786"/>
    </w:p>
    <w:p w14:paraId="2C07FE46">
      <w:pPr>
        <w:pStyle w:val="8"/>
        <w:spacing w:line="265" w:lineRule="auto"/>
        <w:rPr>
          <w:color w:val="auto"/>
          <w:lang w:eastAsia="zh-CN"/>
        </w:rPr>
      </w:pPr>
    </w:p>
    <w:p w14:paraId="49B2A031">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787" w:name="bookmark711"/>
      <w:bookmarkEnd w:id="787"/>
      <w:bookmarkStart w:id="788" w:name="_Toc31091"/>
      <w:bookmarkStart w:id="789" w:name="_Toc2246"/>
      <w:bookmarkStart w:id="790" w:name="_Toc12433"/>
      <w:bookmarkStart w:id="791" w:name="_Toc28862"/>
      <w:r>
        <w:rPr>
          <w:rFonts w:hint="eastAsia" w:ascii="宋体" w:hAnsi="宋体" w:eastAsia="宋体" w:cs="宋体"/>
          <w:b/>
          <w:bCs/>
          <w:color w:val="auto"/>
          <w:sz w:val="28"/>
          <w:szCs w:val="28"/>
          <w:lang w:eastAsia="zh-CN"/>
        </w:rPr>
        <w:t>1　一般约定</w:t>
      </w:r>
      <w:bookmarkEnd w:id="788"/>
      <w:bookmarkEnd w:id="789"/>
      <w:bookmarkEnd w:id="790"/>
      <w:bookmarkEnd w:id="791"/>
    </w:p>
    <w:p w14:paraId="64B84CB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792" w:name="bookmark712"/>
      <w:bookmarkEnd w:id="792"/>
      <w:r>
        <w:rPr>
          <w:rFonts w:hint="eastAsia" w:ascii="宋体" w:hAnsi="宋体" w:eastAsia="宋体" w:cs="宋体"/>
          <w:b/>
          <w:bCs/>
          <w:color w:val="auto"/>
          <w:sz w:val="24"/>
          <w:szCs w:val="24"/>
          <w:lang w:eastAsia="zh-CN"/>
        </w:rPr>
        <w:t>1.1　词语定义</w:t>
      </w:r>
    </w:p>
    <w:p w14:paraId="0D631ACA">
      <w:pPr>
        <w:widowControl w:val="0"/>
        <w:kinsoku/>
        <w:topLinePunct/>
        <w:autoSpaceDE/>
        <w:autoSpaceDN/>
        <w:spacing w:line="520" w:lineRule="exact"/>
        <w:ind w:firstLine="42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1.1.2　</w:t>
      </w:r>
      <w:r>
        <w:rPr>
          <w:rFonts w:hint="eastAsia" w:ascii="宋体" w:hAnsi="宋体" w:eastAsia="宋体" w:cs="宋体"/>
          <w:color w:val="auto"/>
          <w:sz w:val="24"/>
          <w:szCs w:val="24"/>
          <w:lang w:eastAsia="zh-CN"/>
        </w:rPr>
        <w:t>合同当事人和人员</w:t>
      </w:r>
    </w:p>
    <w:p w14:paraId="2E076DDB">
      <w:pPr>
        <w:widowControl w:val="0"/>
        <w:kinsoku/>
        <w:topLinePunct/>
        <w:autoSpaceDE/>
        <w:autoSpaceDN/>
        <w:spacing w:line="520" w:lineRule="exact"/>
        <w:ind w:firstLine="420"/>
        <w:jc w:val="both"/>
        <w:rPr>
          <w:rFonts w:hint="eastAsia" w:ascii="宋体" w:hAnsi="宋体" w:eastAsia="宋体" w:cs="宋体"/>
          <w:color w:val="auto"/>
          <w:sz w:val="24"/>
          <w:szCs w:val="24"/>
          <w:lang w:eastAsia="zh-CN"/>
        </w:rPr>
      </w:pPr>
      <w:r>
        <w:fldChar w:fldCharType="begin"/>
      </w:r>
      <w:r>
        <w:instrText xml:space="preserve"> HYPERLINK "1.1.2.2" </w:instrText>
      </w:r>
      <w:r>
        <w:fldChar w:fldCharType="separate"/>
      </w:r>
      <w:r>
        <w:rPr>
          <w:rFonts w:hint="eastAsia" w:ascii="宋体" w:hAnsi="宋体" w:eastAsia="宋体" w:cs="宋体"/>
          <w:color w:val="auto"/>
          <w:sz w:val="24"/>
          <w:szCs w:val="24"/>
          <w:lang w:eastAsia="zh-CN"/>
        </w:rPr>
        <w:t>1.1.2.2</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发包人：</w:t>
      </w:r>
      <w:r>
        <w:rPr>
          <w:rFonts w:hint="eastAsia" w:ascii="宋体" w:hAnsi="宋体" w:eastAsia="宋体" w:cs="宋体"/>
          <w:color w:val="auto"/>
          <w:sz w:val="24"/>
          <w:szCs w:val="24"/>
          <w:u w:val="single"/>
          <w:lang w:eastAsia="zh-CN"/>
        </w:rPr>
        <w:t>绍兴市柯桥区水利投资开发有限公司</w:t>
      </w:r>
      <w:r>
        <w:rPr>
          <w:rFonts w:hint="eastAsia" w:ascii="宋体" w:hAnsi="宋体" w:eastAsia="宋体" w:cs="宋体"/>
          <w:color w:val="auto"/>
          <w:sz w:val="24"/>
          <w:szCs w:val="24"/>
          <w:lang w:eastAsia="zh-CN"/>
        </w:rPr>
        <w:t>。</w:t>
      </w:r>
    </w:p>
    <w:p w14:paraId="6E0E466B">
      <w:pPr>
        <w:widowControl w:val="0"/>
        <w:kinsoku/>
        <w:topLinePunct/>
        <w:autoSpaceDE/>
        <w:autoSpaceDN/>
        <w:spacing w:line="520" w:lineRule="exact"/>
        <w:ind w:firstLine="420"/>
        <w:jc w:val="both"/>
        <w:rPr>
          <w:rFonts w:hint="eastAsia" w:ascii="宋体" w:hAnsi="宋体" w:eastAsia="宋体" w:cs="宋体"/>
          <w:color w:val="auto"/>
          <w:sz w:val="24"/>
          <w:szCs w:val="24"/>
          <w:lang w:eastAsia="zh-CN"/>
        </w:rPr>
      </w:pPr>
      <w:r>
        <w:fldChar w:fldCharType="begin"/>
      </w:r>
      <w:r>
        <w:instrText xml:space="preserve"> HYPERLINK "1.1.2.3" </w:instrText>
      </w:r>
      <w:r>
        <w:fldChar w:fldCharType="separate"/>
      </w:r>
      <w:r>
        <w:rPr>
          <w:rFonts w:hint="eastAsia" w:ascii="宋体" w:hAnsi="宋体" w:eastAsia="宋体" w:cs="宋体"/>
          <w:color w:val="auto"/>
          <w:sz w:val="24"/>
          <w:szCs w:val="24"/>
          <w:lang w:eastAsia="zh-CN"/>
        </w:rPr>
        <w:t>1.1.2.3</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承包人：</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（签约后填入）。</w:t>
      </w:r>
    </w:p>
    <w:p w14:paraId="34B06B3C">
      <w:pPr>
        <w:widowControl w:val="0"/>
        <w:kinsoku/>
        <w:topLinePunct/>
        <w:autoSpaceDE/>
        <w:autoSpaceDN/>
        <w:spacing w:line="520" w:lineRule="exact"/>
        <w:ind w:firstLine="420"/>
        <w:jc w:val="both"/>
        <w:rPr>
          <w:rFonts w:hint="eastAsia" w:ascii="宋体" w:hAnsi="宋体" w:eastAsia="宋体" w:cs="宋体"/>
          <w:color w:val="auto"/>
          <w:sz w:val="24"/>
          <w:szCs w:val="24"/>
          <w:lang w:eastAsia="zh-CN"/>
        </w:rPr>
      </w:pPr>
      <w:r>
        <w:fldChar w:fldCharType="begin"/>
      </w:r>
      <w:r>
        <w:instrText xml:space="preserve"> HYPERLINK "1.1.2.5" </w:instrText>
      </w:r>
      <w:r>
        <w:fldChar w:fldCharType="separate"/>
      </w:r>
      <w:r>
        <w:rPr>
          <w:rFonts w:hint="eastAsia" w:ascii="宋体" w:hAnsi="宋体" w:eastAsia="宋体" w:cs="宋体"/>
          <w:color w:val="auto"/>
          <w:sz w:val="24"/>
          <w:szCs w:val="24"/>
          <w:lang w:eastAsia="zh-CN"/>
        </w:rPr>
        <w:t>1.1.2.5</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分包人：</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（签约后填入）。</w:t>
      </w:r>
    </w:p>
    <w:p w14:paraId="6F0EBA14">
      <w:pPr>
        <w:widowControl w:val="0"/>
        <w:kinsoku/>
        <w:topLinePunct/>
        <w:autoSpaceDE/>
        <w:autoSpaceDN/>
        <w:spacing w:line="520" w:lineRule="exact"/>
        <w:ind w:firstLine="420"/>
        <w:jc w:val="both"/>
        <w:rPr>
          <w:rFonts w:hint="eastAsia" w:ascii="宋体" w:hAnsi="宋体" w:eastAsia="宋体" w:cs="宋体"/>
          <w:color w:val="auto"/>
          <w:sz w:val="24"/>
          <w:szCs w:val="24"/>
          <w:lang w:eastAsia="zh-CN"/>
        </w:rPr>
      </w:pPr>
      <w:r>
        <w:fldChar w:fldCharType="begin"/>
      </w:r>
      <w:r>
        <w:instrText xml:space="preserve"> HYPERLINK "1.1.2.6" </w:instrText>
      </w:r>
      <w:r>
        <w:fldChar w:fldCharType="separate"/>
      </w:r>
      <w:r>
        <w:rPr>
          <w:rFonts w:hint="eastAsia" w:ascii="宋体" w:hAnsi="宋体" w:eastAsia="宋体" w:cs="宋体"/>
          <w:color w:val="auto"/>
          <w:sz w:val="24"/>
          <w:szCs w:val="24"/>
          <w:lang w:eastAsia="zh-CN"/>
        </w:rPr>
        <w:t>1.1.2.6</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监理人：</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14:paraId="230596F1">
      <w:pPr>
        <w:widowControl w:val="0"/>
        <w:kinsoku/>
        <w:topLinePunct/>
        <w:autoSpaceDE/>
        <w:autoSpaceDN/>
        <w:spacing w:line="520" w:lineRule="exact"/>
        <w:ind w:firstLine="42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1.1.4　</w:t>
      </w:r>
      <w:r>
        <w:rPr>
          <w:rFonts w:hint="eastAsia" w:ascii="宋体" w:hAnsi="宋体" w:eastAsia="宋体" w:cs="宋体"/>
          <w:color w:val="auto"/>
          <w:sz w:val="24"/>
          <w:szCs w:val="24"/>
          <w:lang w:eastAsia="zh-CN"/>
        </w:rPr>
        <w:t>日期</w:t>
      </w:r>
    </w:p>
    <w:p w14:paraId="287C50D4">
      <w:pPr>
        <w:widowControl w:val="0"/>
        <w:kinsoku/>
        <w:topLinePunct/>
        <w:autoSpaceDE/>
        <w:autoSpaceDN/>
        <w:spacing w:line="520" w:lineRule="exact"/>
        <w:ind w:firstLine="420"/>
        <w:jc w:val="both"/>
        <w:rPr>
          <w:rFonts w:hint="eastAsia" w:ascii="宋体" w:hAnsi="宋体" w:eastAsia="宋体" w:cs="宋体"/>
          <w:color w:val="auto"/>
          <w:sz w:val="24"/>
          <w:szCs w:val="24"/>
          <w:lang w:eastAsia="zh-CN"/>
        </w:rPr>
      </w:pPr>
      <w:r>
        <w:fldChar w:fldCharType="begin"/>
      </w:r>
      <w:r>
        <w:instrText xml:space="preserve"> HYPERLINK "1.1.4.5" </w:instrText>
      </w:r>
      <w:r>
        <w:fldChar w:fldCharType="separate"/>
      </w:r>
      <w:r>
        <w:rPr>
          <w:rFonts w:hint="eastAsia" w:ascii="宋体" w:hAnsi="宋体" w:eastAsia="宋体" w:cs="宋体"/>
          <w:color w:val="auto"/>
          <w:sz w:val="24"/>
          <w:szCs w:val="24"/>
          <w:lang w:eastAsia="zh-CN"/>
        </w:rPr>
        <w:t>1.1.4.5</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缺陷责任期（工程质量保修期）：为</w:t>
      </w:r>
      <w:r>
        <w:rPr>
          <w:rFonts w:hint="eastAsia" w:ascii="宋体" w:hAnsi="宋体" w:eastAsia="宋体" w:cs="宋体"/>
          <w:color w:val="auto"/>
          <w:sz w:val="24"/>
          <w:szCs w:val="24"/>
          <w:u w:val="single"/>
          <w:lang w:eastAsia="zh-CN"/>
        </w:rPr>
        <w:t>　2　</w:t>
      </w:r>
      <w:r>
        <w:rPr>
          <w:rFonts w:hint="eastAsia" w:ascii="宋体" w:hAnsi="宋体" w:eastAsia="宋体" w:cs="宋体"/>
          <w:color w:val="auto"/>
          <w:sz w:val="24"/>
          <w:szCs w:val="24"/>
          <w:lang w:eastAsia="zh-CN"/>
        </w:rPr>
        <w:t>年。</w:t>
      </w:r>
    </w:p>
    <w:p w14:paraId="44358E1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793" w:name="bookmark316"/>
      <w:bookmarkEnd w:id="793"/>
      <w:r>
        <w:rPr>
          <w:rFonts w:hint="eastAsia" w:ascii="宋体" w:hAnsi="宋体" w:eastAsia="宋体" w:cs="宋体"/>
          <w:b/>
          <w:bCs/>
          <w:color w:val="auto"/>
          <w:sz w:val="24"/>
          <w:szCs w:val="24"/>
          <w:lang w:eastAsia="zh-CN"/>
        </w:rPr>
        <w:t>1.4　合同文件的优先顺序</w:t>
      </w:r>
    </w:p>
    <w:p w14:paraId="5599B1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除合同另有规定外，解释合同文件的优先顺序如下：</w:t>
      </w:r>
    </w:p>
    <w:p w14:paraId="0444C3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（1）合同协议书（包括补充协议书）。</w:t>
      </w:r>
    </w:p>
    <w:p w14:paraId="5D10D5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（2）中标通知书。</w:t>
      </w:r>
    </w:p>
    <w:p w14:paraId="69D288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（3）投标函及投标函附录。</w:t>
      </w:r>
    </w:p>
    <w:p w14:paraId="4CC173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（4）招投标文件澄清问题、澄清问题的复函、补充通知等相关资料。</w:t>
      </w:r>
    </w:p>
    <w:p w14:paraId="347E08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（5）专用合同条款。</w:t>
      </w:r>
    </w:p>
    <w:p w14:paraId="620AEA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（6）通用合同条款。</w:t>
      </w:r>
    </w:p>
    <w:p w14:paraId="57E53E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（7）技术标准和要求。</w:t>
      </w:r>
    </w:p>
    <w:p w14:paraId="109BB1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（8）图纸。</w:t>
      </w:r>
    </w:p>
    <w:p w14:paraId="4002F3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（9）已标价的工程量清单。</w:t>
      </w:r>
    </w:p>
    <w:p w14:paraId="4C569A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（10）经双方确认进入合同的其他文件。</w:t>
      </w:r>
    </w:p>
    <w:p w14:paraId="316C7B6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794" w:name="bookmark317"/>
      <w:bookmarkEnd w:id="794"/>
      <w:r>
        <w:rPr>
          <w:rFonts w:hint="eastAsia" w:ascii="宋体" w:hAnsi="宋体" w:eastAsia="宋体" w:cs="宋体"/>
          <w:b/>
          <w:bCs/>
          <w:color w:val="auto"/>
          <w:sz w:val="24"/>
          <w:szCs w:val="24"/>
          <w:lang w:eastAsia="zh-CN"/>
        </w:rPr>
        <w:t>1.7　联络</w:t>
      </w:r>
    </w:p>
    <w:p w14:paraId="29C749A1">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u w:val="single"/>
          <w:lang w:eastAsia="zh-CN"/>
        </w:rPr>
      </w:pPr>
      <w:r>
        <w:rPr>
          <w:rFonts w:hint="eastAsia" w:ascii="宋体" w:hAnsi="宋体" w:eastAsia="宋体" w:cs="宋体"/>
          <w:b/>
          <w:bCs/>
          <w:color w:val="auto"/>
          <w:sz w:val="24"/>
          <w:szCs w:val="24"/>
          <w:lang w:eastAsia="zh-CN"/>
        </w:rPr>
        <w:t>1.7.2　</w:t>
      </w:r>
      <w:r>
        <w:rPr>
          <w:rFonts w:hint="eastAsia" w:ascii="宋体" w:hAnsi="宋体" w:eastAsia="宋体" w:cs="宋体"/>
          <w:color w:val="auto"/>
          <w:sz w:val="24"/>
          <w:szCs w:val="24"/>
          <w:lang w:eastAsia="zh-CN"/>
        </w:rPr>
        <w:t>来往函件均应按技术标准和要求（合同技术条款）约定的期限送达</w:t>
      </w:r>
      <w:r>
        <w:rPr>
          <w:rFonts w:hint="eastAsia" w:ascii="宋体" w:hAnsi="宋体" w:eastAsia="宋体" w:cs="宋体"/>
          <w:b/>
          <w:bCs/>
          <w:color w:val="auto"/>
          <w:sz w:val="24"/>
          <w:szCs w:val="24"/>
          <w:u w:val="single"/>
          <w:lang w:eastAsia="zh-CN"/>
        </w:rPr>
        <w:t>项目监理部、发包人</w:t>
      </w:r>
      <w:r>
        <w:rPr>
          <w:rFonts w:hint="eastAsia" w:ascii="宋体" w:hAnsi="宋体" w:eastAsia="宋体" w:cs="宋体"/>
          <w:color w:val="auto"/>
          <w:sz w:val="24"/>
          <w:szCs w:val="24"/>
          <w:u w:val="single"/>
          <w:lang w:eastAsia="zh-CN"/>
        </w:rPr>
        <w:t>（填写文件送达地点）</w:t>
      </w:r>
      <w:r>
        <w:rPr>
          <w:rFonts w:hint="eastAsia" w:ascii="宋体" w:hAnsi="宋体" w:eastAsia="宋体" w:cs="宋体"/>
          <w:color w:val="auto"/>
          <w:sz w:val="24"/>
          <w:szCs w:val="24"/>
          <w:lang w:eastAsia="zh-CN"/>
        </w:rPr>
        <w:t>。</w:t>
      </w:r>
    </w:p>
    <w:p w14:paraId="5D608133">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795" w:name="bookmark318"/>
      <w:bookmarkEnd w:id="795"/>
      <w:bookmarkStart w:id="796" w:name="bookmark319"/>
      <w:bookmarkEnd w:id="796"/>
      <w:bookmarkStart w:id="797" w:name="_Toc2360"/>
      <w:bookmarkStart w:id="798" w:name="_Toc22457"/>
      <w:bookmarkStart w:id="799" w:name="_Toc23725"/>
      <w:bookmarkStart w:id="800" w:name="_Toc10294"/>
      <w:r>
        <w:rPr>
          <w:rFonts w:hint="eastAsia" w:ascii="宋体" w:hAnsi="宋体" w:eastAsia="宋体" w:cs="宋体"/>
          <w:b/>
          <w:bCs/>
          <w:color w:val="auto"/>
          <w:sz w:val="28"/>
          <w:szCs w:val="28"/>
          <w:lang w:eastAsia="zh-CN"/>
        </w:rPr>
        <w:t>2　发包人义务</w:t>
      </w:r>
      <w:bookmarkEnd w:id="797"/>
      <w:bookmarkEnd w:id="798"/>
      <w:bookmarkEnd w:id="799"/>
      <w:bookmarkEnd w:id="800"/>
    </w:p>
    <w:p w14:paraId="5A4967F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01" w:name="bookmark713"/>
      <w:bookmarkEnd w:id="801"/>
      <w:r>
        <w:rPr>
          <w:rFonts w:hint="eastAsia" w:ascii="宋体" w:hAnsi="宋体" w:eastAsia="宋体" w:cs="宋体"/>
          <w:b/>
          <w:bCs/>
          <w:color w:val="auto"/>
          <w:sz w:val="24"/>
          <w:szCs w:val="24"/>
          <w:lang w:eastAsia="zh-CN"/>
        </w:rPr>
        <w:t>2.3　提供施工场地</w:t>
      </w:r>
    </w:p>
    <w:p w14:paraId="4D25E11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2.3.2　</w:t>
      </w:r>
      <w:r>
        <w:rPr>
          <w:rFonts w:hint="eastAsia" w:ascii="宋体" w:hAnsi="宋体" w:eastAsia="宋体" w:cs="宋体"/>
          <w:color w:val="auto"/>
          <w:sz w:val="24"/>
          <w:szCs w:val="24"/>
          <w:lang w:eastAsia="zh-CN"/>
        </w:rPr>
        <w:t>发包人提供的用地范围为：</w:t>
      </w:r>
      <w:r>
        <w:rPr>
          <w:rFonts w:hint="eastAsia" w:ascii="宋体" w:hAnsi="宋体" w:eastAsia="宋体" w:cs="宋体"/>
          <w:b/>
          <w:bCs/>
          <w:color w:val="auto"/>
          <w:sz w:val="24"/>
          <w:szCs w:val="24"/>
          <w:u w:val="single"/>
          <w:lang w:eastAsia="zh-CN"/>
        </w:rPr>
        <w:t>红线范围图内（即工程招标征地范围图之内）,承包人应无条件接受现场条件。超出上述范围需要使用的场地，均由承包人自行解决，并自行办妥一切需要办理的手续（包括完工后的交地），由此引起的一切纠纷、事故和赔偿责任，均由承包人承担</w:t>
      </w:r>
      <w:r>
        <w:rPr>
          <w:rFonts w:hint="eastAsia" w:ascii="宋体" w:hAnsi="宋体" w:eastAsia="宋体" w:cs="宋体"/>
          <w:color w:val="auto"/>
          <w:sz w:val="24"/>
          <w:szCs w:val="24"/>
          <w:lang w:eastAsia="zh-CN"/>
        </w:rPr>
        <w:t>。承包人自行勘察的施工场地范围为：</w:t>
      </w:r>
      <w:r>
        <w:rPr>
          <w:rFonts w:hint="eastAsia" w:ascii="宋体" w:hAnsi="宋体" w:eastAsia="宋体" w:cs="宋体"/>
          <w:b/>
          <w:bCs/>
          <w:color w:val="auto"/>
          <w:sz w:val="24"/>
          <w:szCs w:val="24"/>
          <w:u w:val="single"/>
          <w:lang w:eastAsia="zh-CN"/>
        </w:rPr>
        <w:t>承包人认为满足自身施工所需的全部场地</w:t>
      </w:r>
      <w:r>
        <w:rPr>
          <w:rFonts w:hint="eastAsia" w:ascii="宋体" w:hAnsi="宋体" w:eastAsia="宋体" w:cs="宋体"/>
          <w:color w:val="auto"/>
          <w:sz w:val="24"/>
          <w:szCs w:val="24"/>
          <w:lang w:eastAsia="zh-CN"/>
        </w:rPr>
        <w:t>。</w:t>
      </w:r>
    </w:p>
    <w:p w14:paraId="41392D4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02" w:name="bookmark320"/>
      <w:bookmarkEnd w:id="802"/>
      <w:r>
        <w:rPr>
          <w:rFonts w:hint="eastAsia" w:ascii="宋体" w:hAnsi="宋体" w:eastAsia="宋体" w:cs="宋体"/>
          <w:b/>
          <w:bCs/>
          <w:color w:val="auto"/>
          <w:sz w:val="24"/>
          <w:szCs w:val="24"/>
          <w:lang w:eastAsia="zh-CN"/>
        </w:rPr>
        <w:t>2.8　其他义务</w:t>
      </w:r>
    </w:p>
    <w:p w14:paraId="498C16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无。</w:t>
      </w:r>
    </w:p>
    <w:p w14:paraId="1E480E6F">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03" w:name="bookmark321"/>
      <w:bookmarkEnd w:id="803"/>
      <w:bookmarkStart w:id="804" w:name="bookmark322"/>
      <w:bookmarkEnd w:id="804"/>
      <w:bookmarkStart w:id="805" w:name="_Toc30512"/>
      <w:bookmarkStart w:id="806" w:name="_Toc925"/>
      <w:bookmarkStart w:id="807" w:name="_Toc10461"/>
      <w:bookmarkStart w:id="808" w:name="_Toc24964"/>
      <w:r>
        <w:rPr>
          <w:rFonts w:hint="eastAsia" w:ascii="宋体" w:hAnsi="宋体" w:eastAsia="宋体" w:cs="宋体"/>
          <w:b/>
          <w:bCs/>
          <w:color w:val="auto"/>
          <w:sz w:val="28"/>
          <w:szCs w:val="28"/>
          <w:lang w:eastAsia="zh-CN"/>
        </w:rPr>
        <w:t>3　监理人</w:t>
      </w:r>
      <w:bookmarkEnd w:id="805"/>
      <w:bookmarkEnd w:id="806"/>
      <w:bookmarkEnd w:id="807"/>
      <w:bookmarkEnd w:id="808"/>
    </w:p>
    <w:p w14:paraId="4D5E7B4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09" w:name="bookmark714"/>
      <w:bookmarkEnd w:id="809"/>
      <w:r>
        <w:rPr>
          <w:rFonts w:hint="eastAsia" w:ascii="宋体" w:hAnsi="宋体" w:eastAsia="宋体" w:cs="宋体"/>
          <w:b/>
          <w:bCs/>
          <w:color w:val="auto"/>
          <w:sz w:val="24"/>
          <w:szCs w:val="24"/>
          <w:lang w:eastAsia="zh-CN"/>
        </w:rPr>
        <w:t>3.1　监理人的职责和权力</w:t>
      </w:r>
    </w:p>
    <w:p w14:paraId="3CAD6E6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3.1.1　</w:t>
      </w:r>
      <w:r>
        <w:rPr>
          <w:rFonts w:hint="eastAsia" w:ascii="宋体" w:hAnsi="宋体" w:eastAsia="宋体" w:cs="宋体"/>
          <w:color w:val="auto"/>
          <w:sz w:val="24"/>
          <w:szCs w:val="24"/>
          <w:lang w:eastAsia="zh-CN"/>
        </w:rPr>
        <w:t>监理人须根据发包人事先批准的权力范围行使权力，发包人批准的权利范围：</w:t>
      </w:r>
    </w:p>
    <w:p w14:paraId="647029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（1）按第4.3条规定，批准工程分包。</w:t>
      </w:r>
    </w:p>
    <w:p w14:paraId="3DE958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（2）按第11.3款规定，确定延长完工期限。</w:t>
      </w:r>
    </w:p>
    <w:p w14:paraId="3BF7F17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（3）按第15.6条规定，批准预留金的使用。</w:t>
      </w:r>
    </w:p>
    <w:p w14:paraId="31F667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（4）按第15.4条规定，因变更而变动的单价和合价；</w:t>
      </w:r>
    </w:p>
    <w:p w14:paraId="54EA7F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（5）按第23款约定，作出索赔的处理的决定；</w:t>
      </w:r>
    </w:p>
    <w:p w14:paraId="43201B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（6）批准承包人主要管理人员（施工项目负责人、技术负责人、专职安全生产管理人员等）的调动和重要设备的调遣；</w:t>
      </w:r>
    </w:p>
    <w:p w14:paraId="41C458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（7）作出其他影响工期、质量、安全、合同价格等其他重大决定。</w:t>
      </w:r>
    </w:p>
    <w:p w14:paraId="248406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尽管有以上规定，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执行。监理人应按第15条的规定增加相应的费用，并通知发包人。</w:t>
      </w:r>
    </w:p>
    <w:p w14:paraId="77EE1130">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10" w:name="bookmark323"/>
      <w:bookmarkEnd w:id="810"/>
      <w:bookmarkStart w:id="811" w:name="bookmark324"/>
      <w:bookmarkEnd w:id="811"/>
      <w:bookmarkStart w:id="812" w:name="_Toc22735"/>
      <w:bookmarkStart w:id="813" w:name="_Toc3141"/>
      <w:bookmarkStart w:id="814" w:name="_Toc23342"/>
      <w:bookmarkStart w:id="815" w:name="_Toc28062"/>
      <w:r>
        <w:rPr>
          <w:rFonts w:hint="eastAsia" w:ascii="宋体" w:hAnsi="宋体" w:eastAsia="宋体" w:cs="宋体"/>
          <w:b/>
          <w:bCs/>
          <w:color w:val="auto"/>
          <w:sz w:val="28"/>
          <w:szCs w:val="28"/>
          <w:lang w:eastAsia="zh-CN"/>
        </w:rPr>
        <w:t>4　承包人</w:t>
      </w:r>
      <w:bookmarkEnd w:id="812"/>
      <w:bookmarkEnd w:id="813"/>
      <w:bookmarkEnd w:id="814"/>
      <w:bookmarkEnd w:id="815"/>
    </w:p>
    <w:p w14:paraId="03164FA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16" w:name="bookmark715"/>
      <w:bookmarkEnd w:id="816"/>
      <w:r>
        <w:rPr>
          <w:rFonts w:hint="eastAsia" w:ascii="宋体" w:hAnsi="宋体" w:eastAsia="宋体" w:cs="宋体"/>
          <w:b/>
          <w:bCs/>
          <w:color w:val="auto"/>
          <w:sz w:val="24"/>
          <w:szCs w:val="24"/>
          <w:lang w:eastAsia="zh-CN"/>
        </w:rPr>
        <w:t>4.1　承包人一般义务</w:t>
      </w:r>
    </w:p>
    <w:p w14:paraId="09FAA532">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4.1.11　</w:t>
      </w:r>
      <w:r>
        <w:rPr>
          <w:rFonts w:hint="eastAsia" w:ascii="宋体" w:hAnsi="宋体" w:eastAsia="宋体" w:cs="宋体"/>
          <w:color w:val="auto"/>
          <w:sz w:val="24"/>
          <w:szCs w:val="24"/>
          <w:lang w:eastAsia="zh-CN"/>
        </w:rPr>
        <w:t>其他义务</w:t>
      </w:r>
    </w:p>
    <w:p w14:paraId="6FA01561">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承包人因项目建设需要使用红线范围外的临时用地（包括但不限于临时施工道路、混凝土生产系统、砂石料堆场、钢筋加工场、项目部等），均由承包人自行落实解决并办理相关手续，同时承担相关费用。因使用该临时用地所引发的一切纠纷、事故和赔偿责任，均由承包人承担，相关费用已包含在相应项目的报价中（发包人不另行单独列项支付）。发包人可提供相应的协调工作，但发包人的协调行为并不减轻或免除承包人的义务。在退还上述范围的临时占地前，承包人应自费将其恢复到临时占地使用前（或占地使用协议规定）的状况。若承包人撤离后未按要求对临时占地进行恢复，或虽进行了恢复但未达到使用标准，发包人将委托第三方对其恢复，所产生的费用可从应付给承包人的任何款项内扣除。</w:t>
      </w:r>
    </w:p>
    <w:p w14:paraId="6B610D22">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承包人负责临时用地报批详细约定如下：</w:t>
      </w:r>
    </w:p>
    <w:p w14:paraId="0541B96E">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a.承包人负责组织编制临时用地的报批方案，该方案需经国土部门、农业农村部门、财政部门、水利部门、环保部门等五部门进行论证；</w:t>
      </w:r>
    </w:p>
    <w:p w14:paraId="45736FFA">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b.承包人负责支付临时用地押金，在完成复垦恢复并通过验收后，押金可予以退回；</w:t>
      </w:r>
    </w:p>
    <w:p w14:paraId="789B9A71">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c.复垦工作应按国土部门的标准要求进行，先剥离40cm表土后再进行堆放，堆放完毕后用原表土覆盖，并按国土部门标准修筑农田水利设施，以达到有关复垦验收要求。</w:t>
      </w:r>
    </w:p>
    <w:p w14:paraId="0480CBFA">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（2）承担施工安全保卫工作及施工照明的责任与要求：承包人应根据工程需要，提供并维修施工使用的照明、围栏、警示标识等设施，同时负责施工期间的安全保卫工作。</w:t>
      </w:r>
    </w:p>
    <w:p w14:paraId="5C1DF116">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3）需承包人办理的有关施工场地交通、环卫和施工噪音管理等手续：承包人应遵守政府有关主管部门对施工场地交通、施工噪音、环境保护和安全生产等方面的管理规定，办理相关手续、并以书面形式通知发包人。在施工过程中，承包人负责处理因自身原因涉及市政、环保、卫生、交通、污水处理等方面的一切纠纷、事故赔偿责任以及社会治安等相关事宜。其中，对于施工期间产生的泥浆、废排水、余水等，承包人应根据施工组织设计并结合现场实际情况制定处理措施方案，该方案须满足当地环保等有关部门的要求。</w:t>
      </w:r>
    </w:p>
    <w:p w14:paraId="03B6CCD6">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（4）承包人进驻施工现场后3天内，应根据本条款要求制定工地规则，并报监理人审查批准。制定完成的工地规则应告示全体工作人员，确保其在工程实施过程中切实遵守。</w:t>
      </w:r>
    </w:p>
    <w:p w14:paraId="16DCDA2D">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工地规则应包括但不限于下列内容：</w:t>
      </w:r>
    </w:p>
    <w:p w14:paraId="31AABF2C">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A.安全保卫制度；</w:t>
      </w:r>
    </w:p>
    <w:p w14:paraId="7E74D81E">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B.施工安全制度；</w:t>
      </w:r>
    </w:p>
    <w:p w14:paraId="6393EEA2">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C.工地出入管理制度；</w:t>
      </w:r>
    </w:p>
    <w:p w14:paraId="3D36A0E2">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D.环境卫生制度；</w:t>
      </w:r>
    </w:p>
    <w:p w14:paraId="73C6C462">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E.防火、防爆制度；</w:t>
      </w:r>
    </w:p>
    <w:p w14:paraId="2B68CBFA">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F.周围及邻近环境保护规则；</w:t>
      </w:r>
    </w:p>
    <w:p w14:paraId="6E6610B5">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G.农民工管理制度（含维护农民工权益制度）；</w:t>
      </w:r>
    </w:p>
    <w:p w14:paraId="5C9BD641">
      <w:pPr>
        <w:kinsoku/>
        <w:topLinePunct/>
        <w:autoSpaceDE/>
        <w:autoSpaceDN/>
        <w:spacing w:line="520" w:lineRule="exact"/>
        <w:ind w:firstLine="480" w:firstLineChars="200"/>
        <w:jc w:val="both"/>
        <w:rPr>
          <w:rFonts w:hint="eastAsia" w:ascii="宋体" w:hAnsi="宋体" w:eastAsia="宋体" w:cs="宋体"/>
          <w:color w:val="auto"/>
          <w:lang w:eastAsia="zh-CN"/>
        </w:rPr>
      </w:pPr>
      <w:r>
        <w:rPr>
          <w:rFonts w:hint="eastAsia" w:ascii="宋体" w:hAnsi="宋体" w:eastAsia="宋体" w:cs="宋体"/>
          <w:color w:val="auto"/>
          <w:sz w:val="24"/>
          <w:szCs w:val="24"/>
          <w:u w:val="single"/>
          <w:lang w:eastAsia="zh-CN"/>
        </w:rPr>
        <w:t>H.社会治安。</w:t>
      </w:r>
      <w:r>
        <w:rPr>
          <w:rFonts w:hint="eastAsia" w:ascii="宋体" w:hAnsi="宋体" w:eastAsia="宋体" w:cs="宋体"/>
          <w:color w:val="auto"/>
          <w:sz w:val="24"/>
          <w:szCs w:val="24"/>
          <w:shd w:val="clear" w:color="auto" w:fill="FFFFFF"/>
          <w:lang w:eastAsia="zh-CN"/>
        </w:rPr>
        <w:t>承包人应严格落实各项安全防护措施，涵盖但不限于：设置必要的施工警戒标志，落实线杆保护工作，做好施工照明、看守与警卫事宜，实施有毒气体防护及电源电线安全保护，并制定完善的安全保障方案。承包人需对工程施工现场的安全负全面责任，并接受发包人及监理单位现场代表的安全监督。若因承包人未履行上述安全防护职责，导致出现人身伤亡、罚款、索赔、损失补偿、诉讼或其他任何责任，均应由承包人承担全部后果。</w:t>
      </w:r>
    </w:p>
    <w:p w14:paraId="61776808">
      <w:pPr>
        <w:numPr>
          <w:ilvl w:val="0"/>
          <w:numId w:val="2"/>
        </w:num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承包人按时向发包人（或监理人）提交开工报告、完工报告、竣工报告、隐蔽工程验收报告、质量自检记录、完工验收报告以及工程事故报告等资料。本工程完工后，严禁出现“三拖”情况（即拖完工验收、拖完工资料、拖工程移交）。否则，发包人有权依据监理人出具的鉴定结论书，自行组织有关部门进行验收，并提出修改意见。承包人必须严格按照要求进行整改，并承担整改费用；若承包人拒绝按发包人提出的要求整改，发包人有权另请他人进行整改，由此发生的整改费用从未付工程款中扣除，不足部分发包人有权向承包人追偿。当验收通过后具备交付使用条件时，承包人不得以任何借口拒绝移交工程，否则，发包人有权强行使用，由此发生的一切后果由承包人负责。</w:t>
      </w:r>
    </w:p>
    <w:p w14:paraId="3CDEF4BD">
      <w:pPr>
        <w:pStyle w:val="23"/>
        <w:numPr>
          <w:ilvl w:val="0"/>
          <w:numId w:val="3"/>
        </w:numPr>
        <w:topLinePunct/>
        <w:adjustRightInd w:val="0"/>
        <w:snapToGrid w:val="0"/>
        <w:spacing w:line="520" w:lineRule="exact"/>
        <w:ind w:firstLine="480" w:firstLineChars="200"/>
        <w:rPr>
          <w:rFonts w:hint="eastAsia" w:ascii="宋体" w:hAnsi="宋体" w:cs="宋体"/>
          <w:snapToGrid w:val="0"/>
          <w:kern w:val="0"/>
          <w:sz w:val="24"/>
          <w:u w:val="single"/>
        </w:rPr>
      </w:pPr>
      <w:r>
        <w:rPr>
          <w:rFonts w:hint="eastAsia" w:ascii="宋体" w:hAnsi="宋体" w:cs="宋体"/>
          <w:snapToGrid w:val="0"/>
          <w:kern w:val="0"/>
          <w:sz w:val="24"/>
          <w:u w:val="single"/>
        </w:rPr>
        <w:t>承包人需自行解决临时用水和临时用电问题，并自行办理相关手续，在施工方案中进行合理安排，并承担一切费用。必要时，发包人可协调相关接水接电的工作，由此产生的费用由承包人承担。承包人应做好自备发电设备发电以保证施工的准备工作，相关费用已包含在合同相应项目单价中，发包人不另行支付。承包人需对施工用水、用电接口及提供的场外道路进行保护，如有损坏，由承包人负责维修，费用由承包人承担。</w:t>
      </w:r>
    </w:p>
    <w:p w14:paraId="505FDDD6">
      <w:pPr>
        <w:pStyle w:val="23"/>
        <w:topLinePunct/>
        <w:adjustRightInd w:val="0"/>
        <w:snapToGrid w:val="0"/>
        <w:spacing w:line="520" w:lineRule="exact"/>
        <w:ind w:firstLine="480" w:firstLineChars="200"/>
        <w:rPr>
          <w:rFonts w:hint="eastAsia" w:ascii="宋体" w:hAnsi="宋体" w:cs="宋体"/>
          <w:snapToGrid w:val="0"/>
          <w:kern w:val="0"/>
          <w:sz w:val="24"/>
          <w:u w:val="single"/>
        </w:rPr>
      </w:pPr>
      <w:r>
        <w:rPr>
          <w:rFonts w:hint="eastAsia" w:ascii="宋体" w:hAnsi="宋体" w:cs="宋体"/>
          <w:snapToGrid w:val="0"/>
          <w:kern w:val="0"/>
          <w:sz w:val="24"/>
          <w:u w:val="single"/>
        </w:rPr>
        <w:t>（7）承包人应向</w:t>
      </w:r>
      <w:r>
        <w:rPr>
          <w:rFonts w:hint="eastAsia" w:ascii="宋体" w:hAnsi="宋体" w:cs="宋体"/>
          <w:sz w:val="24"/>
          <w:u w:val="single"/>
        </w:rPr>
        <w:t>发包人、监理人、设计人提供不少于200m</w:t>
      </w:r>
      <w:r>
        <w:rPr>
          <w:rFonts w:hint="eastAsia" w:ascii="宋体" w:hAnsi="宋体" w:cs="宋体"/>
          <w:sz w:val="24"/>
          <w:u w:val="single"/>
          <w:vertAlign w:val="superscript"/>
        </w:rPr>
        <w:t>2</w:t>
      </w:r>
      <w:r>
        <w:rPr>
          <w:rFonts w:hint="eastAsia" w:ascii="宋体" w:hAnsi="宋体" w:cs="宋体"/>
          <w:sz w:val="24"/>
          <w:u w:val="single"/>
        </w:rPr>
        <w:t>的现场办公用房，并</w:t>
      </w:r>
      <w:r>
        <w:rPr>
          <w:rFonts w:hint="eastAsia" w:ascii="宋体" w:hAnsi="宋体" w:cs="宋体"/>
          <w:snapToGrid w:val="0"/>
          <w:kern w:val="0"/>
          <w:sz w:val="24"/>
          <w:u w:val="single"/>
        </w:rPr>
        <w:t>承担施工期间用水、用电等费用。</w:t>
      </w:r>
    </w:p>
    <w:p w14:paraId="08CE3928">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8）若承包人采用水上施工方式，应按港航等部门的要求，取得相关的施工许可以及到港船舶检验等有关证件，并自行办理施工所需各种证件、批件和其他审批手续，所需的费用由承包人承担，发包人不另行列项支付。</w:t>
      </w:r>
    </w:p>
    <w:p w14:paraId="6A7361E9">
      <w:pPr>
        <w:numPr>
          <w:ilvl w:val="0"/>
          <w:numId w:val="4"/>
        </w:num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承包人须采取一切必要措施，以防止机械、设备及材料的沉没情况。若出现沉没事件，应立即向有关部门报告，并及时通知发包人及监理人。承包人应采取恰当措施，及时设置浮标或障碍指示灯，直至打捞工作全部完成为止。</w:t>
      </w:r>
    </w:p>
    <w:p w14:paraId="67801231">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（10）承包人应全面考量施工现场所有设备、临时建筑等的防火安全问题，配备充足的防火灭火设备。</w:t>
      </w:r>
    </w:p>
    <w:p w14:paraId="3746C6E1">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11）承包人应妥善处理与工程其他承包人之间的配合关系，当因施工交叉干扰等问题对工程质量、施工进度产生影响时，承包人应与相关承包人友好协商，自行解决问题。若自行协商无法达成解决方案，承包人应无条件服从发包人及监理人的协调。</w:t>
      </w:r>
    </w:p>
    <w:p w14:paraId="314880DA">
      <w:pPr>
        <w:numPr>
          <w:ilvl w:val="0"/>
          <w:numId w:val="5"/>
        </w:num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完工工程成品保护的特殊要求及费用承担规定如下：在已完工工程未交付发包人之前，由承包人负责已完工程的保护工作。在保护期间若发生损坏，承包人应自费进行修复。对于需要采取特殊保护措施的工程部位，承包人应制定特殊保护措施，报发包人（或监理人）同意后实施。</w:t>
      </w:r>
    </w:p>
    <w:p w14:paraId="4584003D">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（13）施工现场清洁卫生的要求：承包人应按照建设行政主管部门和相关部门的规定执行，所需费用由承包人负担。因违反有关规定而造成的损失和罚款，均由承包人负责承担。</w:t>
      </w:r>
    </w:p>
    <w:p w14:paraId="740A0437">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14）承担施工安全保卫工作及夜间施工照明的责任和要求：承包人应按照建设行政管理部门和相关部门的要求，自费承担费用开展这些工作（如安排警卫），并提供相应的设施，以保护公共安全，并提供便利条件。</w:t>
      </w:r>
    </w:p>
    <w:p w14:paraId="3F50ACF0">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（15）承包人应充分预估施工过程中因防洪、来水导致河道水位变化的情况，在施工中应充分考虑相关风险并采取有效应对措施。</w:t>
      </w:r>
    </w:p>
    <w:p w14:paraId="15074FE0">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（16）承包人必须接受发包人或其委托的全过程工程咨询单位（如有）的管理，或接受其委托的监理单位的监理，并按照要求提供完整、真实的原始记录、检测记录等技术资料及各种报表。</w:t>
      </w:r>
    </w:p>
    <w:p w14:paraId="5490124D">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（17）承包人应严格遵守发包人针对工程管理所制定的各项管理制度或管理办法。</w:t>
      </w:r>
    </w:p>
    <w:p w14:paraId="361AEA37">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18）发生工程质量事故或工伤事故后，必须迅速且有效地实施先期处置，以防止事故进一步扩大或人员伤情加重，同时，应第一时间以电话形式联系发包人或监理，按规定上报事故的书面报告，并按照政府有关部门的要求采取相应措施，所发生的费用由承包人承担。</w:t>
      </w:r>
    </w:p>
    <w:p w14:paraId="41981C71">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（19）承包人应参加发包人召开的与本工程相关的会议，并做好会前有关资料的准备工作。</w:t>
      </w:r>
    </w:p>
    <w:p w14:paraId="0387FA70">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（20）在保修期内，承包人应及时开展回访工作，对于属于保修责任范围的事项的，承包人应及时按照相关标准维修。</w:t>
      </w:r>
    </w:p>
    <w:p w14:paraId="129F56EF">
      <w:pPr>
        <w:numPr>
          <w:ilvl w:val="0"/>
          <w:numId w:val="6"/>
        </w:numPr>
        <w:kinsoku/>
        <w:topLinePunct/>
        <w:autoSpaceDE/>
        <w:autoSpaceDN/>
        <w:spacing w:line="520" w:lineRule="exact"/>
        <w:ind w:firstLine="480" w:firstLineChars="200"/>
        <w:jc w:val="both"/>
        <w:rPr>
          <w:rFonts w:hint="eastAsia" w:ascii="宋体" w:hAnsi="宋体" w:eastAsia="宋体" w:cs="宋体"/>
          <w:color w:val="auto"/>
          <w:lang w:eastAsia="zh-CN"/>
        </w:rPr>
      </w:pPr>
      <w:r>
        <w:rPr>
          <w:rFonts w:hint="eastAsia" w:ascii="宋体" w:hAnsi="宋体" w:eastAsia="宋体" w:cs="宋体"/>
          <w:color w:val="auto"/>
          <w:sz w:val="24"/>
          <w:szCs w:val="24"/>
          <w:u w:val="single"/>
          <w:lang w:eastAsia="zh-CN"/>
        </w:rPr>
        <w:t>本项目应依照省级安全文明标化的最新要求，开展水利建设工程文明标化施工工作，主要内容如下：</w:t>
      </w:r>
    </w:p>
    <w:p w14:paraId="05D6C3CD">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1）施工生产区标准化：施工生产区应布局合理、紧凑，因地制宜做好封闭施工、绿色施工、文明施工、安全施工，确保施工场地干净整洁、规范有序，做好文物保护等工作；</w:t>
      </w:r>
    </w:p>
    <w:p w14:paraId="1B225310">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2）办公区标准化：办公区应集中布置、方便管理，因地制宜做好封闭管理、规范管理，确保办公区配套齐全、整洁美观；</w:t>
      </w:r>
    </w:p>
    <w:p w14:paraId="0ED93A26">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3）生活区标准化：生活区应统一规划、设施齐全，满足现场人员学习、生活需要，因地制宜做好封闭管理，确保生活区美观大方、干净舒适；</w:t>
      </w:r>
    </w:p>
    <w:p w14:paraId="3E987329">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4）行为规范标准化：现场各参建人员应遵守工地纪律，规范作业，穿戴防护设施，保持干净整洁，行为举止文明礼貌，充分展现水利人良好形象；</w:t>
      </w:r>
    </w:p>
    <w:p w14:paraId="7986BDF0">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5）数字化建设：因地制宜推进“工程带数字化”行动，充分利用视频监控、智能控制、BIM技术、信息化管理平台等先进技术手段，提升建设管理水平，包括智慧工地的建设。</w:t>
      </w:r>
    </w:p>
    <w:p w14:paraId="41319C6B">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22）承包人须执行柯桥区创建“无欠薪”行动方案所要求的民工工资支付各项要求，落实人工费与其他工程款分账管理等六项制度。人工费比例按照《关于在全省工程建设领域改革保证金制度的通知》（浙建〔2020〕7号文件）的规定执行，且人工费必须由总包单位发放或代劳务分包单位发放。项目部需建立全体人员花名册和工资支付表，确保将工资直接发放至本人，或委托银行进行工资发放，严禁将工资发放给“包工头”或其他不具备用工主体资格的组织和个人。因劳务及职员工资问题引起的纠纷或问题，由承包单位自行承担责任。</w:t>
      </w:r>
    </w:p>
    <w:p w14:paraId="274A9502">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23）承包人应当按照有关规定，在工程开工建设前开设农民工工资专用账户，该账户专项用于支付该工程建设项目农民工工资，并将开设、使用农民工工资专用账户有关资料妥善保存备查,并向发包人提交一套资料留存。</w:t>
      </w:r>
    </w:p>
    <w:p w14:paraId="734322EC">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24）承包人应严格遵守国家、省、市、区有关解决拖欠工程款和民工工资的法律法规，及时支付工程中的材料、设备货款及民工工资等费用。承包人不得以任何借口拖欠材料、设备货款及民工工资等费用，若出现此种现象，发包人有权代为支付其拖欠的材料、设备货款及民工工资，并从应付给承包人的工程款中扣除相应款项。</w:t>
      </w:r>
    </w:p>
    <w:p w14:paraId="719FB696">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25）承包人在使用地方道路期间，必须采取一切必要措施确保车辆正常通行，实现施工与通车互不干扰。承包人应根据通车路段的施工特点，制定通车路段的施工维护方案，该方案需满足交通主管部门的要求，报监理人批准后并认真组织实施。若因承包人措施不力，导致阻车和事故频发或损坏地方道路，影响交通安全和正常运行，造成重大影响并引起索赔，赔偿、诉讼费用及工程拖延或施工费用增加等情况，由承包人应承担一切责任和费用。</w:t>
      </w:r>
    </w:p>
    <w:p w14:paraId="172C8644">
      <w:pPr>
        <w:tabs>
          <w:tab w:val="left" w:pos="9660"/>
        </w:tabs>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26）本工程实施前，承包人应对沿线范围内的地下管线、道路以及周围建筑物、构筑物进行全面细致的勘察，并在施工前采取必要的加固措施。在施工过程中，承包人应采取措施对变形进行控制，若发现损坏应及时进行抢修。施工结束后，承包人需进行必要的维修，维修结果须经相关管理部门认可，以确保沿线在影响范围内的地下管线、道路和周围建筑物、构筑物的正常使用，并承担有关费用。</w:t>
      </w:r>
    </w:p>
    <w:p w14:paraId="2227963A">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（27）本工程施工过程中，承包人应做好沿线建筑物的位移、沉降观测记录，并定期进行整理。若出现异常情况，承包人及时报告监理人、全过程工程咨询人（若有）、设计人及发包人。</w:t>
      </w:r>
    </w:p>
    <w:p w14:paraId="16FE9F17">
      <w:pPr>
        <w:kinsoku/>
        <w:topLinePunct/>
        <w:autoSpaceDE/>
        <w:autoSpaceDN/>
        <w:spacing w:line="520" w:lineRule="exact"/>
        <w:ind w:firstLine="480" w:firstLineChars="200"/>
        <w:jc w:val="both"/>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（28）遇到重大施工技术问题时，承包人应组织行业专家召开专题会议，及时解决问题。</w:t>
      </w:r>
    </w:p>
    <w:p w14:paraId="4129F173">
      <w:pPr>
        <w:kinsoku/>
        <w:topLinePunct/>
        <w:autoSpaceDE/>
        <w:autoSpaceDN/>
        <w:spacing w:line="520" w:lineRule="exact"/>
        <w:ind w:firstLine="482" w:firstLineChars="200"/>
        <w:jc w:val="both"/>
        <w:rPr>
          <w:rFonts w:hint="eastAsia" w:ascii="宋体" w:hAnsi="宋体" w:eastAsia="宋体" w:cs="宋体"/>
          <w:b/>
          <w:bCs/>
          <w:color w:val="auto"/>
          <w:sz w:val="24"/>
          <w:szCs w:val="24"/>
          <w:u w:val="single"/>
          <w:lang w:eastAsia="zh-CN"/>
        </w:rPr>
      </w:pPr>
      <w:r>
        <w:rPr>
          <w:rFonts w:hint="eastAsia" w:ascii="宋体" w:hAnsi="宋体" w:eastAsia="宋体" w:cs="宋体"/>
          <w:b/>
          <w:bCs/>
          <w:color w:val="auto"/>
          <w:sz w:val="24"/>
          <w:szCs w:val="24"/>
          <w:u w:val="single"/>
          <w:lang w:eastAsia="zh-CN"/>
        </w:rPr>
        <w:t>（29）上述（1）至（28）各条款涉及的各类费用均应列入措施费或合同总价内，发包人不再向承包人另行支付。若因此类原因导致工期延误，工期不予顺延，承包人应承担相应的责任及费用。</w:t>
      </w:r>
    </w:p>
    <w:p w14:paraId="0120962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17" w:name="bookmark325"/>
      <w:bookmarkEnd w:id="817"/>
      <w:r>
        <w:rPr>
          <w:rFonts w:hint="eastAsia" w:ascii="宋体" w:hAnsi="宋体" w:eastAsia="宋体" w:cs="宋体"/>
          <w:b/>
          <w:bCs/>
          <w:color w:val="auto"/>
          <w:sz w:val="24"/>
          <w:szCs w:val="24"/>
          <w:lang w:eastAsia="zh-CN"/>
        </w:rPr>
        <w:t>4.3　分包</w:t>
      </w:r>
    </w:p>
    <w:p w14:paraId="5A2E2E8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4.3.2　</w:t>
      </w:r>
      <w:r>
        <w:rPr>
          <w:rFonts w:hint="eastAsia" w:ascii="宋体" w:hAnsi="宋体" w:eastAsia="宋体" w:cs="宋体"/>
          <w:color w:val="auto"/>
          <w:sz w:val="24"/>
          <w:szCs w:val="24"/>
          <w:lang w:eastAsia="zh-CN"/>
        </w:rPr>
        <w:t>允许承包人分包的工程项目、工作内容与分包金额为：</w:t>
      </w:r>
    </w:p>
    <w:p w14:paraId="38BC37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（1）工程项目：</w:t>
      </w:r>
      <w:r>
        <w:rPr>
          <w:rFonts w:hint="eastAsia" w:ascii="宋体" w:hAnsi="宋体" w:eastAsia="宋体" w:cs="宋体"/>
          <w:color w:val="auto"/>
          <w:sz w:val="24"/>
          <w:szCs w:val="24"/>
          <w:u w:val="single"/>
          <w:lang w:eastAsia="zh-CN"/>
        </w:rPr>
        <w:t>主体工程、关键性工作的施工内容不允许分包，其他招标范围内容如承包人自身不具备相应工作内容的资质或自身具备的资质不能满足有关法律法规要求的才可分包。</w:t>
      </w:r>
    </w:p>
    <w:p w14:paraId="2799E2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（2）工作内容：</w:t>
      </w:r>
      <w:r>
        <w:rPr>
          <w:rFonts w:hint="eastAsia" w:ascii="宋体" w:hAnsi="宋体" w:eastAsia="宋体" w:cs="宋体"/>
          <w:color w:val="auto"/>
          <w:sz w:val="24"/>
          <w:szCs w:val="24"/>
          <w:u w:val="single"/>
          <w:lang w:eastAsia="zh-CN"/>
        </w:rPr>
        <w:t>主体工程、关键性工作的施工内容不允许分包，其他招标范围内容如承包人自身不具备相应工作内容的资质或自身具备的资质不能满足有关法律法规要求的才可分包</w:t>
      </w:r>
      <w:r>
        <w:rPr>
          <w:rFonts w:hint="eastAsia" w:ascii="宋体" w:hAnsi="宋体" w:eastAsia="宋体" w:cs="宋体"/>
          <w:color w:val="auto"/>
          <w:sz w:val="24"/>
          <w:szCs w:val="24"/>
          <w:lang w:eastAsia="zh-CN"/>
        </w:rPr>
        <w:t>。</w:t>
      </w:r>
      <w:bookmarkStart w:id="1931" w:name="_GoBack"/>
      <w:bookmarkEnd w:id="1931"/>
    </w:p>
    <w:p w14:paraId="5592C8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（3）分包金额限额：</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lang w:eastAsia="zh-CN"/>
        </w:rPr>
        <w:t>。</w:t>
      </w:r>
    </w:p>
    <w:p w14:paraId="7B2870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（4）接受工程分包的第三人资质要求：</w:t>
      </w:r>
      <w:r>
        <w:rPr>
          <w:rFonts w:hint="eastAsia" w:ascii="宋体" w:hAnsi="宋体" w:eastAsia="宋体" w:cs="宋体"/>
          <w:b/>
          <w:bCs/>
          <w:color w:val="auto"/>
          <w:sz w:val="24"/>
          <w:szCs w:val="24"/>
          <w:lang w:eastAsia="zh-CN"/>
        </w:rPr>
        <w:t>应符合国家法律规定的企业资质等级，且资格能力应与其分包工作的标准和规模相适应，且分包前须经发包人书面同意。</w:t>
      </w:r>
    </w:p>
    <w:p w14:paraId="59609F0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4.3.10　</w:t>
      </w:r>
      <w:r>
        <w:rPr>
          <w:rFonts w:hint="eastAsia" w:ascii="宋体" w:hAnsi="宋体" w:eastAsia="宋体" w:cs="宋体"/>
          <w:color w:val="auto"/>
          <w:sz w:val="24"/>
          <w:szCs w:val="24"/>
          <w:lang w:eastAsia="zh-CN"/>
        </w:rPr>
        <w:t>分包人项目管理机构的设立：</w:t>
      </w:r>
      <w:r>
        <w:rPr>
          <w:rFonts w:hint="eastAsia" w:ascii="宋体" w:hAnsi="宋体" w:eastAsia="宋体" w:cs="宋体"/>
          <w:color w:val="auto"/>
          <w:sz w:val="24"/>
          <w:szCs w:val="24"/>
          <w:u w:val="single"/>
          <w:lang w:eastAsia="zh-CN"/>
        </w:rPr>
        <w:t>　设立在承包人项目现场部　</w:t>
      </w:r>
      <w:r>
        <w:rPr>
          <w:rFonts w:hint="eastAsia" w:ascii="宋体" w:hAnsi="宋体" w:eastAsia="宋体" w:cs="宋体"/>
          <w:color w:val="auto"/>
          <w:sz w:val="24"/>
          <w:szCs w:val="24"/>
          <w:lang w:eastAsia="zh-CN"/>
        </w:rPr>
        <w:t>。</w:t>
      </w:r>
    </w:p>
    <w:p w14:paraId="6AC2DC9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18" w:name="bookmark326"/>
      <w:bookmarkEnd w:id="818"/>
      <w:r>
        <w:rPr>
          <w:rFonts w:hint="eastAsia" w:ascii="宋体" w:hAnsi="宋体" w:eastAsia="宋体" w:cs="宋体"/>
          <w:b/>
          <w:bCs/>
          <w:color w:val="auto"/>
          <w:sz w:val="24"/>
          <w:szCs w:val="24"/>
          <w:lang w:eastAsia="zh-CN"/>
        </w:rPr>
        <w:t>4.5　项目负责人</w:t>
      </w:r>
      <w:r>
        <w:rPr>
          <w:rFonts w:hint="eastAsia" w:ascii="宋体" w:hAnsi="宋体" w:eastAsia="宋体" w:cs="宋体"/>
          <w:b/>
          <w:bCs/>
          <w:strike/>
          <w:color w:val="auto"/>
          <w:sz w:val="24"/>
          <w:szCs w:val="24"/>
          <w:lang w:eastAsia="zh-CN"/>
        </w:rPr>
        <w:t>、副项目负责人（若有）</w:t>
      </w:r>
    </w:p>
    <w:p w14:paraId="509554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本款4.5.5项补充：</w:t>
      </w:r>
    </w:p>
    <w:p w14:paraId="0BC5CC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项目负责人</w:t>
      </w:r>
      <w:r>
        <w:rPr>
          <w:rFonts w:hint="eastAsia" w:ascii="宋体" w:hAnsi="宋体" w:eastAsia="宋体" w:cs="宋体"/>
          <w:strike/>
          <w:color w:val="auto"/>
          <w:sz w:val="24"/>
          <w:szCs w:val="24"/>
          <w:lang w:eastAsia="zh-CN"/>
        </w:rPr>
        <w:t>、副项目负责人（若有）</w:t>
      </w:r>
      <w:r>
        <w:rPr>
          <w:rFonts w:hint="eastAsia" w:ascii="宋体" w:hAnsi="宋体" w:eastAsia="宋体" w:cs="宋体"/>
          <w:color w:val="auto"/>
          <w:sz w:val="24"/>
          <w:szCs w:val="24"/>
          <w:lang w:eastAsia="zh-CN"/>
        </w:rPr>
        <w:t>每月驻工地的天数不少于22天（遇法定节</w:t>
      </w:r>
      <w:r>
        <w:rPr>
          <w:rFonts w:hint="eastAsia" w:ascii="宋体" w:hAnsi="宋体" w:eastAsia="宋体" w:cs="宋体"/>
          <w:color w:val="auto"/>
          <w:spacing w:val="-23"/>
          <w:sz w:val="24"/>
          <w:szCs w:val="24"/>
          <w:lang w:eastAsia="zh-CN"/>
        </w:rPr>
        <w:t>假日可扣减），每少一天支付违约金</w:t>
      </w:r>
      <w:r>
        <w:rPr>
          <w:rFonts w:hint="eastAsia" w:ascii="宋体" w:hAnsi="宋体" w:eastAsia="宋体" w:cs="宋体"/>
          <w:color w:val="auto"/>
          <w:spacing w:val="-23"/>
          <w:sz w:val="24"/>
          <w:szCs w:val="24"/>
          <w:u w:val="single"/>
          <w:lang w:eastAsia="zh-CN"/>
        </w:rPr>
        <w:t>5000</w:t>
      </w:r>
      <w:r>
        <w:rPr>
          <w:rFonts w:hint="eastAsia" w:ascii="宋体" w:hAnsi="宋体" w:eastAsia="宋体" w:cs="宋体"/>
          <w:color w:val="auto"/>
          <w:spacing w:val="-23"/>
          <w:sz w:val="24"/>
          <w:szCs w:val="24"/>
          <w:lang w:eastAsia="zh-CN"/>
        </w:rPr>
        <w:t>元，但扣款最终的累计总金额不应超过</w:t>
      </w:r>
      <w:r>
        <w:rPr>
          <w:rFonts w:hint="eastAsia" w:ascii="宋体" w:hAnsi="宋体" w:eastAsia="宋体" w:cs="宋体"/>
          <w:color w:val="auto"/>
          <w:spacing w:val="-23"/>
          <w:sz w:val="24"/>
          <w:szCs w:val="24"/>
          <w:u w:val="single"/>
          <w:lang w:eastAsia="zh-CN"/>
        </w:rPr>
        <w:t>200</w:t>
      </w:r>
      <w:r>
        <w:rPr>
          <w:rFonts w:hint="eastAsia" w:ascii="宋体" w:hAnsi="宋体" w:eastAsia="宋体" w:cs="宋体"/>
          <w:color w:val="auto"/>
          <w:spacing w:val="-23"/>
          <w:sz w:val="24"/>
          <w:szCs w:val="24"/>
          <w:lang w:eastAsia="zh-CN"/>
        </w:rPr>
        <w:t>万元。</w:t>
      </w:r>
    </w:p>
    <w:p w14:paraId="3E4499DB">
      <w:pPr>
        <w:widowControl w:val="0"/>
        <w:kinsoku/>
        <w:topLinePunct/>
        <w:autoSpaceDE/>
        <w:autoSpaceDN/>
        <w:spacing w:line="520" w:lineRule="exact"/>
        <w:ind w:firstLine="468" w:firstLineChars="200"/>
        <w:jc w:val="both"/>
        <w:rPr>
          <w:rFonts w:hint="eastAsia" w:ascii="宋体" w:hAnsi="宋体" w:eastAsia="宋体" w:cs="宋体"/>
          <w:color w:val="auto"/>
          <w:lang w:eastAsia="zh-CN"/>
        </w:rPr>
      </w:pPr>
      <w:r>
        <w:rPr>
          <w:rFonts w:hint="eastAsia" w:ascii="宋体" w:hAnsi="宋体" w:eastAsia="宋体" w:cs="宋体"/>
          <w:color w:val="auto"/>
          <w:spacing w:val="-3"/>
          <w:sz w:val="24"/>
          <w:szCs w:val="24"/>
          <w:lang w:eastAsia="zh-CN"/>
        </w:rPr>
        <w:t>上述违约金需在当月工程进度款支付前，由承包人交到发包人指定的专用账户。</w:t>
      </w:r>
      <w:r>
        <w:rPr>
          <w:rFonts w:hint="eastAsia" w:ascii="宋体" w:hAnsi="宋体" w:eastAsia="宋体" w:cs="宋体"/>
          <w:color w:val="auto"/>
          <w:sz w:val="24"/>
          <w:szCs w:val="24"/>
          <w:lang w:eastAsia="zh-CN"/>
        </w:rPr>
        <w:t>在工地工作天数按监理人实际考勤记录为准。</w:t>
      </w:r>
    </w:p>
    <w:p w14:paraId="68CF4A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承包人的项目负责人连续</w:t>
      </w:r>
      <w:r>
        <w:rPr>
          <w:rFonts w:hint="eastAsia" w:ascii="宋体" w:hAnsi="宋体" w:eastAsia="宋体" w:cs="宋体"/>
          <w:color w:val="auto"/>
          <w:sz w:val="24"/>
          <w:szCs w:val="24"/>
          <w:u w:val="single"/>
          <w:lang w:eastAsia="zh-CN"/>
        </w:rPr>
        <w:t>3</w:t>
      </w:r>
      <w:r>
        <w:rPr>
          <w:rFonts w:hint="eastAsia" w:ascii="宋体" w:hAnsi="宋体" w:eastAsia="宋体" w:cs="宋体"/>
          <w:color w:val="auto"/>
          <w:sz w:val="24"/>
          <w:szCs w:val="24"/>
          <w:lang w:eastAsia="zh-CN"/>
        </w:rPr>
        <w:t>个月及以上每月驻工地的天数少于</w:t>
      </w:r>
      <w:r>
        <w:rPr>
          <w:rFonts w:hint="eastAsia" w:ascii="宋体" w:hAnsi="宋体" w:eastAsia="宋体" w:cs="宋体"/>
          <w:color w:val="auto"/>
          <w:sz w:val="24"/>
          <w:szCs w:val="24"/>
          <w:u w:val="single"/>
          <w:lang w:eastAsia="zh-CN"/>
        </w:rPr>
        <w:t>15</w:t>
      </w:r>
      <w:r>
        <w:rPr>
          <w:rFonts w:hint="eastAsia" w:ascii="宋体" w:hAnsi="宋体" w:eastAsia="宋体" w:cs="宋体"/>
          <w:color w:val="auto"/>
          <w:sz w:val="24"/>
          <w:szCs w:val="24"/>
          <w:lang w:eastAsia="zh-CN"/>
        </w:rPr>
        <w:t>天，发包人有权解除合同。</w:t>
      </w:r>
    </w:p>
    <w:p w14:paraId="736D492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19" w:name="bookmark327"/>
      <w:bookmarkEnd w:id="819"/>
      <w:r>
        <w:rPr>
          <w:rFonts w:hint="eastAsia" w:ascii="宋体" w:hAnsi="宋体" w:eastAsia="宋体" w:cs="宋体"/>
          <w:b/>
          <w:bCs/>
          <w:color w:val="auto"/>
          <w:sz w:val="24"/>
          <w:szCs w:val="24"/>
          <w:lang w:eastAsia="zh-CN"/>
        </w:rPr>
        <w:t>4.6　承包人人员的管理</w:t>
      </w:r>
    </w:p>
    <w:p w14:paraId="429BAC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本款4.6.3项补充：</w:t>
      </w:r>
    </w:p>
    <w:p w14:paraId="6925C9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项目技术负责人每月驻工地时间不得少于</w:t>
      </w:r>
      <w:r>
        <w:rPr>
          <w:rFonts w:hint="eastAsia" w:ascii="宋体" w:hAnsi="宋体" w:eastAsia="宋体" w:cs="宋体"/>
          <w:color w:val="auto"/>
          <w:sz w:val="24"/>
          <w:szCs w:val="24"/>
          <w:u w:val="single"/>
          <w:lang w:eastAsia="zh-CN"/>
        </w:rPr>
        <w:t>22</w:t>
      </w:r>
      <w:r>
        <w:rPr>
          <w:rFonts w:hint="eastAsia" w:ascii="宋体" w:hAnsi="宋体" w:eastAsia="宋体" w:cs="宋体"/>
          <w:color w:val="auto"/>
          <w:sz w:val="24"/>
          <w:szCs w:val="24"/>
          <w:lang w:eastAsia="zh-CN"/>
        </w:rPr>
        <w:t>天（遇法定节假日可扣减），每少一天支付违约金</w:t>
      </w:r>
      <w:r>
        <w:rPr>
          <w:rFonts w:hint="eastAsia" w:ascii="宋体" w:hAnsi="宋体" w:eastAsia="宋体" w:cs="宋体"/>
          <w:color w:val="auto"/>
          <w:sz w:val="24"/>
          <w:szCs w:val="24"/>
          <w:u w:val="single"/>
          <w:lang w:eastAsia="zh-CN"/>
        </w:rPr>
        <w:t>5000</w:t>
      </w:r>
      <w:r>
        <w:rPr>
          <w:rFonts w:hint="eastAsia" w:ascii="宋体" w:hAnsi="宋体" w:eastAsia="宋体" w:cs="宋体"/>
          <w:color w:val="auto"/>
          <w:sz w:val="24"/>
          <w:szCs w:val="24"/>
          <w:lang w:eastAsia="zh-CN"/>
        </w:rPr>
        <w:t>元，但扣款最终的累计总金额不应超过</w:t>
      </w:r>
      <w:r>
        <w:rPr>
          <w:rFonts w:hint="eastAsia" w:ascii="宋体" w:hAnsi="宋体" w:eastAsia="宋体" w:cs="宋体"/>
          <w:color w:val="auto"/>
          <w:sz w:val="24"/>
          <w:szCs w:val="24"/>
          <w:u w:val="single"/>
          <w:lang w:eastAsia="zh-CN"/>
        </w:rPr>
        <w:t>200</w:t>
      </w:r>
      <w:r>
        <w:rPr>
          <w:rFonts w:hint="eastAsia" w:ascii="宋体" w:hAnsi="宋体" w:eastAsia="宋体" w:cs="宋体"/>
          <w:color w:val="auto"/>
          <w:sz w:val="24"/>
          <w:szCs w:val="24"/>
          <w:lang w:eastAsia="zh-CN"/>
        </w:rPr>
        <w:t>万元。</w:t>
      </w:r>
    </w:p>
    <w:p w14:paraId="69A636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专职安全生产管理人员每月驻工地时间不得少于</w:t>
      </w:r>
      <w:r>
        <w:rPr>
          <w:rFonts w:hint="eastAsia" w:ascii="宋体" w:hAnsi="宋体" w:eastAsia="宋体" w:cs="宋体"/>
          <w:color w:val="auto"/>
          <w:sz w:val="24"/>
          <w:szCs w:val="24"/>
          <w:u w:val="single"/>
          <w:lang w:eastAsia="zh-CN"/>
        </w:rPr>
        <w:t>22</w:t>
      </w:r>
      <w:r>
        <w:rPr>
          <w:rFonts w:hint="eastAsia" w:ascii="宋体" w:hAnsi="宋体" w:eastAsia="宋体" w:cs="宋体"/>
          <w:color w:val="auto"/>
          <w:sz w:val="24"/>
          <w:szCs w:val="24"/>
          <w:lang w:eastAsia="zh-CN"/>
        </w:rPr>
        <w:t>天（遇法定节假日可扣减），每人每少一天支付违约金</w:t>
      </w:r>
      <w:r>
        <w:rPr>
          <w:rFonts w:hint="eastAsia" w:ascii="宋体" w:hAnsi="宋体" w:eastAsia="宋体" w:cs="宋体"/>
          <w:color w:val="auto"/>
          <w:sz w:val="24"/>
          <w:szCs w:val="24"/>
          <w:u w:val="single"/>
          <w:lang w:eastAsia="zh-CN"/>
        </w:rPr>
        <w:t>2000</w:t>
      </w:r>
      <w:r>
        <w:rPr>
          <w:rFonts w:hint="eastAsia" w:ascii="宋体" w:hAnsi="宋体" w:eastAsia="宋体" w:cs="宋体"/>
          <w:color w:val="auto"/>
          <w:sz w:val="24"/>
          <w:szCs w:val="24"/>
          <w:lang w:eastAsia="zh-CN"/>
        </w:rPr>
        <w:t>元，但扣款最终的累计总金额不应超过</w:t>
      </w:r>
      <w:r>
        <w:rPr>
          <w:rFonts w:hint="eastAsia" w:ascii="宋体" w:hAnsi="宋体" w:eastAsia="宋体" w:cs="宋体"/>
          <w:color w:val="auto"/>
          <w:sz w:val="24"/>
          <w:szCs w:val="24"/>
          <w:u w:val="single"/>
          <w:lang w:eastAsia="zh-CN"/>
        </w:rPr>
        <w:t>80</w:t>
      </w:r>
      <w:r>
        <w:rPr>
          <w:rFonts w:hint="eastAsia" w:ascii="宋体" w:hAnsi="宋体" w:eastAsia="宋体" w:cs="宋体"/>
          <w:color w:val="auto"/>
          <w:sz w:val="24"/>
          <w:szCs w:val="24"/>
          <w:lang w:eastAsia="zh-CN"/>
        </w:rPr>
        <w:t>万元。</w:t>
      </w:r>
    </w:p>
    <w:p w14:paraId="2873709A">
      <w:pPr>
        <w:widowControl w:val="0"/>
        <w:kinsoku/>
        <w:topLinePunct/>
        <w:autoSpaceDE/>
        <w:autoSpaceDN/>
        <w:spacing w:line="520" w:lineRule="exact"/>
        <w:ind w:firstLine="468"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上述违约金需在当月工程进度款支付前，先由承包人交到发包人指定的专用账户。</w:t>
      </w:r>
      <w:r>
        <w:rPr>
          <w:rFonts w:hint="eastAsia" w:ascii="宋体" w:hAnsi="宋体" w:eastAsia="宋体" w:cs="宋体"/>
          <w:color w:val="auto"/>
          <w:sz w:val="24"/>
          <w:szCs w:val="24"/>
          <w:lang w:eastAsia="zh-CN"/>
        </w:rPr>
        <w:t>在工地工作天数按监理人实际考勤记录为准。</w:t>
      </w:r>
    </w:p>
    <w:p w14:paraId="6FB3976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20" w:name="bookmark328"/>
      <w:bookmarkEnd w:id="820"/>
      <w:r>
        <w:rPr>
          <w:rFonts w:hint="eastAsia" w:ascii="宋体" w:hAnsi="宋体" w:eastAsia="宋体" w:cs="宋体"/>
          <w:b/>
          <w:bCs/>
          <w:color w:val="auto"/>
          <w:sz w:val="24"/>
          <w:szCs w:val="24"/>
          <w:lang w:eastAsia="zh-CN"/>
        </w:rPr>
        <w:t>4.7　撤换承包人项目负责人和其他人员</w:t>
      </w:r>
    </w:p>
    <w:p w14:paraId="57C4A4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本款补充：</w:t>
      </w:r>
    </w:p>
    <w:p w14:paraId="2DEEAC0F">
      <w:pPr>
        <w:widowControl w:val="0"/>
        <w:kinsoku/>
        <w:topLinePunct/>
        <w:autoSpaceDE/>
        <w:autoSpaceDN/>
        <w:spacing w:line="520" w:lineRule="exact"/>
        <w:ind w:firstLine="480" w:firstLineChars="200"/>
        <w:jc w:val="both"/>
        <w:rPr>
          <w:rFonts w:hint="eastAsia" w:ascii="宋体" w:hAnsi="宋体" w:eastAsia="宋体" w:cs="宋体"/>
          <w:color w:val="auto"/>
          <w:sz w:val="25"/>
          <w:szCs w:val="25"/>
          <w:lang w:eastAsia="zh-CN"/>
        </w:rPr>
      </w:pPr>
      <w:r>
        <w:rPr>
          <w:rFonts w:hint="eastAsia" w:ascii="宋体" w:hAnsi="宋体" w:eastAsia="宋体" w:cs="宋体"/>
          <w:color w:val="auto"/>
          <w:sz w:val="24"/>
          <w:szCs w:val="24"/>
          <w:lang w:eastAsia="zh-CN"/>
        </w:rPr>
        <w:t>项目负责人、技术负责人</w:t>
      </w:r>
      <w:r>
        <w:rPr>
          <w:rFonts w:hint="eastAsia" w:ascii="宋体" w:hAnsi="宋体" w:eastAsia="宋体" w:cs="宋体"/>
          <w:strike/>
          <w:color w:val="auto"/>
          <w:sz w:val="24"/>
          <w:szCs w:val="24"/>
          <w:lang w:eastAsia="zh-CN"/>
        </w:rPr>
        <w:t>、副项目负责人（若有）</w:t>
      </w:r>
      <w:r>
        <w:rPr>
          <w:rFonts w:hint="eastAsia" w:ascii="宋体" w:hAnsi="宋体" w:eastAsia="宋体" w:cs="宋体"/>
          <w:color w:val="auto"/>
          <w:sz w:val="24"/>
          <w:szCs w:val="24"/>
          <w:lang w:eastAsia="zh-CN"/>
        </w:rPr>
        <w:t>不得擅自更换。若承包人擅自更换的，除每人次需支付</w:t>
      </w:r>
      <w:r>
        <w:rPr>
          <w:rFonts w:hint="eastAsia" w:ascii="宋体" w:hAnsi="宋体" w:eastAsia="宋体" w:cs="宋体"/>
          <w:b/>
          <w:bCs/>
          <w:color w:val="auto"/>
          <w:sz w:val="24"/>
          <w:szCs w:val="24"/>
          <w:u w:val="single"/>
          <w:lang w:eastAsia="zh-CN"/>
        </w:rPr>
        <w:t>50</w:t>
      </w:r>
      <w:r>
        <w:rPr>
          <w:rFonts w:hint="eastAsia" w:ascii="宋体" w:hAnsi="宋体" w:eastAsia="宋体" w:cs="宋体"/>
          <w:color w:val="auto"/>
          <w:sz w:val="24"/>
          <w:szCs w:val="24"/>
          <w:lang w:eastAsia="zh-CN"/>
        </w:rPr>
        <w:t>万元的违约金外，发包人有权将其作为不良行为记录上报水行政主管部门；情节特别严重的，发包人有权终止合同。在合同工程未通过完工验收或合同解除前，项目负责人、技术负责人</w:t>
      </w:r>
      <w:r>
        <w:rPr>
          <w:rFonts w:hint="eastAsia" w:ascii="宋体" w:hAnsi="宋体" w:eastAsia="宋体" w:cs="宋体"/>
          <w:strike/>
          <w:color w:val="auto"/>
          <w:sz w:val="24"/>
          <w:szCs w:val="24"/>
          <w:lang w:eastAsia="zh-CN"/>
        </w:rPr>
        <w:t>、副项目负责人</w:t>
      </w:r>
      <w:r>
        <w:rPr>
          <w:rFonts w:hint="eastAsia" w:ascii="宋体" w:hAnsi="宋体" w:eastAsia="宋体" w:cs="宋体"/>
          <w:color w:val="auto"/>
          <w:sz w:val="24"/>
          <w:szCs w:val="24"/>
          <w:lang w:eastAsia="zh-CN"/>
        </w:rPr>
        <w:t>确需更换的，应征得发包人同意，并经原项目负责人备案主管部门备案，且更换后的人员不得低于原投标承诺人员所具有的资格和业绩条件。</w:t>
      </w:r>
      <w:r>
        <w:rPr>
          <w:rFonts w:hint="eastAsia" w:ascii="宋体" w:hAnsi="宋体" w:eastAsia="宋体" w:cs="宋体"/>
          <w:i/>
          <w:iCs/>
          <w:color w:val="auto"/>
          <w:sz w:val="24"/>
          <w:szCs w:val="24"/>
          <w:lang w:eastAsia="zh-CN"/>
        </w:rPr>
        <w:t>（项目负责人违约金设置额度应高于其他岗位）</w:t>
      </w:r>
    </w:p>
    <w:p w14:paraId="384B97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承包人的专职安全生产管理人员等人员擅自调换每人次需支付违约金</w:t>
      </w:r>
      <w:r>
        <w:rPr>
          <w:rFonts w:hint="eastAsia" w:ascii="宋体" w:hAnsi="宋体" w:eastAsia="宋体" w:cs="宋体"/>
          <w:b/>
          <w:bCs/>
          <w:color w:val="auto"/>
          <w:sz w:val="24"/>
          <w:szCs w:val="24"/>
          <w:u w:val="single"/>
          <w:lang w:eastAsia="zh-CN"/>
        </w:rPr>
        <w:t>30</w:t>
      </w:r>
      <w:r>
        <w:rPr>
          <w:rFonts w:hint="eastAsia" w:ascii="宋体" w:hAnsi="宋体" w:eastAsia="宋体" w:cs="宋体"/>
          <w:color w:val="auto"/>
          <w:sz w:val="24"/>
          <w:szCs w:val="24"/>
          <w:lang w:eastAsia="zh-CN"/>
        </w:rPr>
        <w:t>万元。在合同工程未通过完工验收或合同解除前，专职安全生产管理人员等人员确需更换的，应征得发包人同意。</w:t>
      </w:r>
    </w:p>
    <w:p w14:paraId="46F2E65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21" w:name="bookmark329"/>
      <w:bookmarkEnd w:id="821"/>
      <w:r>
        <w:rPr>
          <w:rFonts w:hint="eastAsia" w:ascii="宋体" w:hAnsi="宋体" w:eastAsia="宋体" w:cs="宋体"/>
          <w:b/>
          <w:bCs/>
          <w:color w:val="auto"/>
          <w:sz w:val="24"/>
          <w:szCs w:val="24"/>
          <w:lang w:eastAsia="zh-CN"/>
        </w:rPr>
        <w:t>4.11　不利物质条件</w:t>
      </w:r>
    </w:p>
    <w:p w14:paraId="6F7ABD3D">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4.11.1　</w:t>
      </w:r>
      <w:r>
        <w:rPr>
          <w:rFonts w:hint="eastAsia" w:ascii="宋体" w:hAnsi="宋体" w:eastAsia="宋体" w:cs="宋体"/>
          <w:color w:val="auto"/>
          <w:sz w:val="24"/>
          <w:szCs w:val="24"/>
          <w:lang w:eastAsia="zh-CN"/>
        </w:rPr>
        <w:t>不利物质条件的范围：</w:t>
      </w:r>
      <w:r>
        <w:rPr>
          <w:rFonts w:hint="eastAsia" w:ascii="宋体" w:hAnsi="宋体" w:eastAsia="宋体" w:cs="宋体"/>
          <w:color w:val="auto"/>
          <w:sz w:val="24"/>
          <w:szCs w:val="24"/>
          <w:u w:val="single"/>
          <w:lang w:eastAsia="zh-CN"/>
        </w:rPr>
        <w:t>　施工中遇到文物或古迹　</w:t>
      </w:r>
      <w:r>
        <w:rPr>
          <w:rFonts w:hint="eastAsia" w:ascii="宋体" w:hAnsi="宋体" w:eastAsia="宋体" w:cs="宋体"/>
          <w:color w:val="auto"/>
          <w:sz w:val="24"/>
          <w:szCs w:val="24"/>
          <w:lang w:eastAsia="zh-CN"/>
        </w:rPr>
        <w:t>。</w:t>
      </w:r>
    </w:p>
    <w:p w14:paraId="52BACB1D">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22" w:name="bookmark331"/>
      <w:bookmarkEnd w:id="822"/>
      <w:bookmarkStart w:id="823" w:name="bookmark330"/>
      <w:bookmarkEnd w:id="823"/>
      <w:bookmarkStart w:id="824" w:name="_Toc16576"/>
      <w:bookmarkStart w:id="825" w:name="_Toc25173"/>
      <w:bookmarkStart w:id="826" w:name="_Toc15774"/>
      <w:bookmarkStart w:id="827" w:name="_Toc4700"/>
      <w:r>
        <w:rPr>
          <w:rFonts w:hint="eastAsia" w:ascii="宋体" w:hAnsi="宋体" w:eastAsia="宋体" w:cs="宋体"/>
          <w:b/>
          <w:bCs/>
          <w:color w:val="auto"/>
          <w:sz w:val="28"/>
          <w:szCs w:val="28"/>
          <w:lang w:eastAsia="zh-CN"/>
        </w:rPr>
        <w:t>5　材料和工程设备</w:t>
      </w:r>
      <w:bookmarkEnd w:id="824"/>
      <w:bookmarkEnd w:id="825"/>
      <w:bookmarkEnd w:id="826"/>
      <w:bookmarkEnd w:id="827"/>
    </w:p>
    <w:p w14:paraId="630EFE6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5.1　承包人提供的材料和工程设备</w:t>
      </w:r>
    </w:p>
    <w:p w14:paraId="5142EB0B">
      <w:pPr>
        <w:kinsoku/>
        <w:topLinePunct/>
        <w:autoSpaceDE/>
        <w:autoSpaceDN/>
        <w:spacing w:line="520" w:lineRule="exact"/>
        <w:ind w:firstLine="468" w:firstLineChars="200"/>
        <w:jc w:val="both"/>
        <w:rPr>
          <w:rFonts w:hint="eastAsia"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t>补充：</w:t>
      </w:r>
    </w:p>
    <w:p w14:paraId="0F3FEA3A">
      <w:pPr>
        <w:kinsoku/>
        <w:topLinePunct/>
        <w:autoSpaceDE/>
        <w:autoSpaceDN/>
        <w:spacing w:line="520" w:lineRule="exact"/>
        <w:ind w:firstLine="468" w:firstLineChars="200"/>
        <w:jc w:val="both"/>
        <w:rPr>
          <w:rFonts w:hint="eastAsia" w:ascii="宋体" w:hAnsi="宋体" w:eastAsia="宋体" w:cs="宋体"/>
          <w:b/>
          <w:bCs/>
          <w:color w:val="auto"/>
          <w:sz w:val="28"/>
          <w:szCs w:val="28"/>
          <w:lang w:eastAsia="zh-CN"/>
        </w:rPr>
      </w:pPr>
      <w:r>
        <w:rPr>
          <w:rFonts w:hint="eastAsia" w:ascii="宋体" w:hAnsi="宋体" w:eastAsia="宋体" w:cs="宋体"/>
          <w:color w:val="auto"/>
          <w:spacing w:val="-3"/>
          <w:sz w:val="24"/>
          <w:szCs w:val="24"/>
          <w:lang w:eastAsia="zh-CN"/>
        </w:rPr>
        <w:t>5.1.4　承包人待定材料、设备的品牌必须经发包人书面同意。承包人一旦选定品牌后，在工程施工过程中不得以产品品质无法达到设计要求、产品生产能力无法跟上工期进度、该品牌无此类产品等理由要求换品牌；当出现不得不更换产品品牌时，该品牌应在招标文件或投标文件规定的品牌、规格范围内，且发包人需对其进行考察确认，单价不应突破原材料投标报价。</w:t>
      </w:r>
    </w:p>
    <w:p w14:paraId="220975C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28" w:name="bookmark716"/>
      <w:bookmarkEnd w:id="828"/>
      <w:r>
        <w:rPr>
          <w:rFonts w:hint="eastAsia" w:ascii="宋体" w:hAnsi="宋体" w:eastAsia="宋体" w:cs="宋体"/>
          <w:b/>
          <w:bCs/>
          <w:color w:val="auto"/>
          <w:sz w:val="24"/>
          <w:szCs w:val="24"/>
          <w:lang w:eastAsia="zh-CN"/>
        </w:rPr>
        <w:t>5.2　发包人提供的材料和工程设备</w:t>
      </w:r>
    </w:p>
    <w:p w14:paraId="5FF760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5.2.1　发包人提供的材料和设备见下表。</w:t>
      </w:r>
    </w:p>
    <w:p w14:paraId="3035649A">
      <w:pPr>
        <w:kinsoku/>
        <w:topLinePunct/>
        <w:autoSpaceDE/>
        <w:autoSpaceDN/>
        <w:spacing w:line="520" w:lineRule="exact"/>
        <w:ind w:left="3042"/>
        <w:jc w:val="both"/>
        <w:rPr>
          <w:rFonts w:hint="eastAsia" w:ascii="宋体" w:hAnsi="宋体" w:eastAsia="宋体" w:cs="宋体"/>
          <w:color w:val="auto"/>
        </w:rPr>
      </w:pPr>
      <w:r>
        <w:rPr>
          <w:rFonts w:ascii="宋体" w:hAnsi="宋体" w:eastAsia="宋体" w:cs="宋体"/>
          <w:b/>
          <w:bCs/>
          <w:color w:val="auto"/>
        </w:rPr>
        <w:t>发包人提供的材料表</w:t>
      </w:r>
    </w:p>
    <w:p w14:paraId="0B613580">
      <w:pPr>
        <w:spacing w:line="128" w:lineRule="exact"/>
        <w:rPr>
          <w:color w:val="auto"/>
        </w:rPr>
      </w:pPr>
    </w:p>
    <w:tbl>
      <w:tblPr>
        <w:tblStyle w:val="20"/>
        <w:tblW w:w="89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9"/>
        <w:gridCol w:w="1596"/>
        <w:gridCol w:w="1229"/>
        <w:gridCol w:w="807"/>
        <w:gridCol w:w="1112"/>
        <w:gridCol w:w="1112"/>
        <w:gridCol w:w="1555"/>
        <w:gridCol w:w="675"/>
      </w:tblGrid>
      <w:tr w14:paraId="6E3EC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819" w:type="dxa"/>
            <w:tcBorders>
              <w:top w:val="single" w:color="000000" w:sz="6" w:space="0"/>
              <w:left w:val="single" w:color="000000" w:sz="6" w:space="0"/>
            </w:tcBorders>
          </w:tcPr>
          <w:p w14:paraId="2B4E22E7">
            <w:pPr>
              <w:pStyle w:val="21"/>
              <w:spacing w:before="125" w:line="222" w:lineRule="auto"/>
              <w:ind w:left="196"/>
              <w:rPr>
                <w:rFonts w:hint="eastAsia"/>
                <w:color w:val="auto"/>
                <w:sz w:val="21"/>
                <w:szCs w:val="21"/>
              </w:rPr>
            </w:pPr>
            <w:r>
              <w:rPr>
                <w:color w:val="auto"/>
                <w:sz w:val="21"/>
                <w:szCs w:val="21"/>
              </w:rPr>
              <w:t>序号</w:t>
            </w:r>
          </w:p>
        </w:tc>
        <w:tc>
          <w:tcPr>
            <w:tcW w:w="1596" w:type="dxa"/>
            <w:tcBorders>
              <w:top w:val="single" w:color="000000" w:sz="6" w:space="0"/>
            </w:tcBorders>
          </w:tcPr>
          <w:p w14:paraId="6F9DC29E">
            <w:pPr>
              <w:pStyle w:val="21"/>
              <w:spacing w:before="125" w:line="220" w:lineRule="auto"/>
              <w:ind w:left="376"/>
              <w:rPr>
                <w:rFonts w:hint="eastAsia"/>
                <w:color w:val="auto"/>
                <w:sz w:val="21"/>
                <w:szCs w:val="21"/>
              </w:rPr>
            </w:pPr>
            <w:r>
              <w:rPr>
                <w:color w:val="auto"/>
                <w:sz w:val="21"/>
                <w:szCs w:val="21"/>
              </w:rPr>
              <w:t>材料名称</w:t>
            </w:r>
          </w:p>
        </w:tc>
        <w:tc>
          <w:tcPr>
            <w:tcW w:w="1229" w:type="dxa"/>
            <w:tcBorders>
              <w:top w:val="single" w:color="000000" w:sz="6" w:space="0"/>
            </w:tcBorders>
          </w:tcPr>
          <w:p w14:paraId="12402B46">
            <w:pPr>
              <w:pStyle w:val="21"/>
              <w:spacing w:before="125" w:line="220" w:lineRule="auto"/>
              <w:ind w:left="196"/>
              <w:rPr>
                <w:rFonts w:hint="eastAsia"/>
                <w:color w:val="auto"/>
                <w:sz w:val="21"/>
                <w:szCs w:val="21"/>
              </w:rPr>
            </w:pPr>
            <w:r>
              <w:rPr>
                <w:color w:val="auto"/>
                <w:sz w:val="21"/>
                <w:szCs w:val="21"/>
              </w:rPr>
              <w:t>材料规格</w:t>
            </w:r>
          </w:p>
        </w:tc>
        <w:tc>
          <w:tcPr>
            <w:tcW w:w="807" w:type="dxa"/>
            <w:tcBorders>
              <w:top w:val="single" w:color="000000" w:sz="6" w:space="0"/>
            </w:tcBorders>
          </w:tcPr>
          <w:p w14:paraId="42C8EA48">
            <w:pPr>
              <w:pStyle w:val="21"/>
              <w:spacing w:before="124" w:line="221" w:lineRule="auto"/>
              <w:ind w:left="200"/>
              <w:rPr>
                <w:rFonts w:hint="eastAsia"/>
                <w:color w:val="auto"/>
                <w:sz w:val="21"/>
                <w:szCs w:val="21"/>
              </w:rPr>
            </w:pPr>
            <w:r>
              <w:rPr>
                <w:color w:val="auto"/>
                <w:sz w:val="21"/>
                <w:szCs w:val="21"/>
              </w:rPr>
              <w:t>数量</w:t>
            </w:r>
          </w:p>
        </w:tc>
        <w:tc>
          <w:tcPr>
            <w:tcW w:w="1112" w:type="dxa"/>
            <w:tcBorders>
              <w:top w:val="single" w:color="000000" w:sz="6" w:space="0"/>
            </w:tcBorders>
          </w:tcPr>
          <w:p w14:paraId="30D09B6E">
            <w:pPr>
              <w:pStyle w:val="21"/>
              <w:spacing w:before="125" w:line="220" w:lineRule="auto"/>
              <w:ind w:left="147"/>
              <w:rPr>
                <w:rFonts w:hint="eastAsia"/>
                <w:color w:val="auto"/>
                <w:sz w:val="21"/>
                <w:szCs w:val="21"/>
              </w:rPr>
            </w:pPr>
            <w:r>
              <w:rPr>
                <w:color w:val="auto"/>
                <w:sz w:val="21"/>
                <w:szCs w:val="21"/>
              </w:rPr>
              <w:t>交货地点</w:t>
            </w:r>
          </w:p>
        </w:tc>
        <w:tc>
          <w:tcPr>
            <w:tcW w:w="1112" w:type="dxa"/>
            <w:tcBorders>
              <w:top w:val="single" w:color="000000" w:sz="6" w:space="0"/>
            </w:tcBorders>
          </w:tcPr>
          <w:p w14:paraId="4DE7AB8B">
            <w:pPr>
              <w:pStyle w:val="21"/>
              <w:spacing w:before="125" w:line="220" w:lineRule="auto"/>
              <w:ind w:left="146"/>
              <w:rPr>
                <w:rFonts w:hint="eastAsia"/>
                <w:color w:val="auto"/>
                <w:sz w:val="21"/>
                <w:szCs w:val="21"/>
              </w:rPr>
            </w:pPr>
            <w:r>
              <w:rPr>
                <w:color w:val="auto"/>
                <w:sz w:val="21"/>
                <w:szCs w:val="21"/>
              </w:rPr>
              <w:t>交货方式</w:t>
            </w:r>
          </w:p>
        </w:tc>
        <w:tc>
          <w:tcPr>
            <w:tcW w:w="1555" w:type="dxa"/>
            <w:tcBorders>
              <w:top w:val="single" w:color="000000" w:sz="6" w:space="0"/>
            </w:tcBorders>
          </w:tcPr>
          <w:p w14:paraId="4BACD281">
            <w:pPr>
              <w:pStyle w:val="21"/>
              <w:spacing w:before="125" w:line="220" w:lineRule="auto"/>
              <w:ind w:left="155"/>
              <w:rPr>
                <w:rFonts w:hint="eastAsia"/>
                <w:color w:val="auto"/>
                <w:sz w:val="21"/>
                <w:szCs w:val="21"/>
              </w:rPr>
            </w:pPr>
            <w:r>
              <w:rPr>
                <w:color w:val="auto"/>
                <w:sz w:val="21"/>
                <w:szCs w:val="21"/>
              </w:rPr>
              <w:t>计划交货日期</w:t>
            </w:r>
          </w:p>
        </w:tc>
        <w:tc>
          <w:tcPr>
            <w:tcW w:w="675" w:type="dxa"/>
            <w:tcBorders>
              <w:top w:val="single" w:color="000000" w:sz="6" w:space="0"/>
              <w:right w:val="single" w:color="000000" w:sz="6" w:space="0"/>
            </w:tcBorders>
          </w:tcPr>
          <w:p w14:paraId="401484FE">
            <w:pPr>
              <w:pStyle w:val="21"/>
              <w:spacing w:before="125" w:line="222" w:lineRule="auto"/>
              <w:ind w:left="136"/>
              <w:rPr>
                <w:rFonts w:hint="eastAsia"/>
                <w:color w:val="auto"/>
                <w:sz w:val="21"/>
                <w:szCs w:val="21"/>
              </w:rPr>
            </w:pPr>
            <w:r>
              <w:rPr>
                <w:color w:val="auto"/>
                <w:sz w:val="21"/>
                <w:szCs w:val="21"/>
              </w:rPr>
              <w:t>备注</w:t>
            </w:r>
          </w:p>
        </w:tc>
      </w:tr>
      <w:tr w14:paraId="1E1F9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8905" w:type="dxa"/>
            <w:gridSpan w:val="8"/>
            <w:tcBorders>
              <w:left w:val="single" w:color="000000" w:sz="6" w:space="0"/>
              <w:bottom w:val="single" w:color="000000" w:sz="6" w:space="0"/>
              <w:right w:val="single" w:color="000000" w:sz="6" w:space="0"/>
            </w:tcBorders>
            <w:vAlign w:val="center"/>
          </w:tcPr>
          <w:p w14:paraId="7A6C0C44">
            <w:pPr>
              <w:jc w:val="center"/>
              <w:rPr>
                <w:color w:val="auto"/>
                <w:lang w:eastAsia="zh-CN"/>
              </w:rPr>
            </w:pPr>
            <w:r>
              <w:rPr>
                <w:rFonts w:hint="eastAsia"/>
                <w:b/>
                <w:bCs/>
                <w:color w:val="auto"/>
                <w:sz w:val="20"/>
                <w:lang w:eastAsia="zh-CN"/>
              </w:rPr>
              <w:t>发包人不提供任何材料。</w:t>
            </w:r>
          </w:p>
        </w:tc>
      </w:tr>
    </w:tbl>
    <w:p w14:paraId="3D281E1D">
      <w:pPr>
        <w:pStyle w:val="8"/>
        <w:spacing w:line="374" w:lineRule="auto"/>
        <w:rPr>
          <w:color w:val="auto"/>
          <w:lang w:eastAsia="zh-CN"/>
        </w:rPr>
      </w:pPr>
    </w:p>
    <w:p w14:paraId="47180A10">
      <w:pPr>
        <w:spacing w:before="68" w:line="220" w:lineRule="auto"/>
        <w:ind w:left="2831"/>
        <w:rPr>
          <w:rFonts w:hint="eastAsia" w:ascii="宋体" w:hAnsi="宋体" w:eastAsia="宋体" w:cs="宋体"/>
          <w:color w:val="auto"/>
          <w:lang w:eastAsia="zh-CN"/>
        </w:rPr>
      </w:pPr>
      <w:r>
        <w:rPr>
          <w:rFonts w:ascii="宋体" w:hAnsi="宋体" w:eastAsia="宋体" w:cs="宋体"/>
          <w:b/>
          <w:bCs/>
          <w:color w:val="auto"/>
          <w:lang w:eastAsia="zh-CN"/>
        </w:rPr>
        <w:t>发包人提供的工程设备表</w:t>
      </w:r>
    </w:p>
    <w:p w14:paraId="0046E541">
      <w:pPr>
        <w:spacing w:line="128" w:lineRule="exact"/>
        <w:rPr>
          <w:color w:val="auto"/>
          <w:lang w:eastAsia="zh-CN"/>
        </w:rPr>
      </w:pPr>
    </w:p>
    <w:tbl>
      <w:tblPr>
        <w:tblStyle w:val="20"/>
        <w:tblW w:w="89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7"/>
        <w:gridCol w:w="1778"/>
        <w:gridCol w:w="1229"/>
        <w:gridCol w:w="802"/>
        <w:gridCol w:w="1119"/>
        <w:gridCol w:w="1107"/>
        <w:gridCol w:w="1557"/>
        <w:gridCol w:w="676"/>
      </w:tblGrid>
      <w:tr w14:paraId="0DE91F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37" w:type="dxa"/>
            <w:tcBorders>
              <w:top w:val="single" w:color="000000" w:sz="6" w:space="0"/>
              <w:left w:val="single" w:color="000000" w:sz="6" w:space="0"/>
            </w:tcBorders>
          </w:tcPr>
          <w:p w14:paraId="3AD58F22">
            <w:pPr>
              <w:pStyle w:val="21"/>
              <w:spacing w:before="125" w:line="222" w:lineRule="auto"/>
              <w:ind w:left="105"/>
              <w:rPr>
                <w:rFonts w:hint="eastAsia"/>
                <w:color w:val="auto"/>
                <w:sz w:val="21"/>
                <w:szCs w:val="21"/>
              </w:rPr>
            </w:pPr>
            <w:r>
              <w:rPr>
                <w:color w:val="auto"/>
                <w:sz w:val="21"/>
                <w:szCs w:val="21"/>
              </w:rPr>
              <w:t>序号</w:t>
            </w:r>
          </w:p>
        </w:tc>
        <w:tc>
          <w:tcPr>
            <w:tcW w:w="1778" w:type="dxa"/>
            <w:tcBorders>
              <w:top w:val="single" w:color="000000" w:sz="6" w:space="0"/>
            </w:tcBorders>
          </w:tcPr>
          <w:p w14:paraId="2DE0DEC0">
            <w:pPr>
              <w:pStyle w:val="21"/>
              <w:spacing w:before="125" w:line="221" w:lineRule="auto"/>
              <w:ind w:left="261"/>
              <w:rPr>
                <w:rFonts w:hint="eastAsia"/>
                <w:color w:val="auto"/>
                <w:sz w:val="21"/>
                <w:szCs w:val="21"/>
              </w:rPr>
            </w:pPr>
            <w:r>
              <w:rPr>
                <w:color w:val="auto"/>
                <w:sz w:val="21"/>
                <w:szCs w:val="21"/>
              </w:rPr>
              <w:t>工程设备名称</w:t>
            </w:r>
          </w:p>
        </w:tc>
        <w:tc>
          <w:tcPr>
            <w:tcW w:w="1229" w:type="dxa"/>
            <w:tcBorders>
              <w:top w:val="single" w:color="000000" w:sz="6" w:space="0"/>
            </w:tcBorders>
          </w:tcPr>
          <w:p w14:paraId="26CE33FC">
            <w:pPr>
              <w:pStyle w:val="21"/>
              <w:spacing w:before="124" w:line="221" w:lineRule="auto"/>
              <w:ind w:left="97"/>
              <w:rPr>
                <w:rFonts w:hint="eastAsia"/>
                <w:color w:val="auto"/>
                <w:sz w:val="21"/>
                <w:szCs w:val="21"/>
              </w:rPr>
            </w:pPr>
            <w:r>
              <w:rPr>
                <w:color w:val="auto"/>
                <w:sz w:val="21"/>
                <w:szCs w:val="21"/>
              </w:rPr>
              <w:t>型号及规格</w:t>
            </w:r>
          </w:p>
        </w:tc>
        <w:tc>
          <w:tcPr>
            <w:tcW w:w="802" w:type="dxa"/>
            <w:tcBorders>
              <w:top w:val="single" w:color="000000" w:sz="6" w:space="0"/>
            </w:tcBorders>
          </w:tcPr>
          <w:p w14:paraId="4FAD01EB">
            <w:pPr>
              <w:pStyle w:val="21"/>
              <w:spacing w:before="124" w:line="221" w:lineRule="auto"/>
              <w:ind w:left="198"/>
              <w:rPr>
                <w:rFonts w:hint="eastAsia"/>
                <w:color w:val="auto"/>
                <w:sz w:val="21"/>
                <w:szCs w:val="21"/>
              </w:rPr>
            </w:pPr>
            <w:r>
              <w:rPr>
                <w:color w:val="auto"/>
                <w:sz w:val="21"/>
                <w:szCs w:val="21"/>
              </w:rPr>
              <w:t>数量</w:t>
            </w:r>
          </w:p>
        </w:tc>
        <w:tc>
          <w:tcPr>
            <w:tcW w:w="1119" w:type="dxa"/>
            <w:tcBorders>
              <w:top w:val="single" w:color="000000" w:sz="6" w:space="0"/>
            </w:tcBorders>
          </w:tcPr>
          <w:p w14:paraId="3B2F7721">
            <w:pPr>
              <w:pStyle w:val="21"/>
              <w:spacing w:before="125" w:line="220" w:lineRule="auto"/>
              <w:ind w:left="152"/>
              <w:rPr>
                <w:rFonts w:hint="eastAsia"/>
                <w:color w:val="auto"/>
                <w:sz w:val="21"/>
                <w:szCs w:val="21"/>
              </w:rPr>
            </w:pPr>
            <w:r>
              <w:rPr>
                <w:color w:val="auto"/>
                <w:sz w:val="21"/>
                <w:szCs w:val="21"/>
              </w:rPr>
              <w:t>交货地点</w:t>
            </w:r>
          </w:p>
        </w:tc>
        <w:tc>
          <w:tcPr>
            <w:tcW w:w="1107" w:type="dxa"/>
            <w:tcBorders>
              <w:top w:val="single" w:color="000000" w:sz="6" w:space="0"/>
            </w:tcBorders>
          </w:tcPr>
          <w:p w14:paraId="26F9EFE7">
            <w:pPr>
              <w:pStyle w:val="21"/>
              <w:spacing w:before="125" w:line="220" w:lineRule="auto"/>
              <w:ind w:left="147"/>
              <w:rPr>
                <w:rFonts w:hint="eastAsia"/>
                <w:color w:val="auto"/>
                <w:sz w:val="21"/>
                <w:szCs w:val="21"/>
              </w:rPr>
            </w:pPr>
            <w:r>
              <w:rPr>
                <w:color w:val="auto"/>
                <w:sz w:val="21"/>
                <w:szCs w:val="21"/>
              </w:rPr>
              <w:t>交货方式</w:t>
            </w:r>
          </w:p>
        </w:tc>
        <w:tc>
          <w:tcPr>
            <w:tcW w:w="1557" w:type="dxa"/>
            <w:tcBorders>
              <w:top w:val="single" w:color="000000" w:sz="6" w:space="0"/>
            </w:tcBorders>
          </w:tcPr>
          <w:p w14:paraId="5D752C42">
            <w:pPr>
              <w:pStyle w:val="21"/>
              <w:spacing w:before="125" w:line="220" w:lineRule="auto"/>
              <w:ind w:left="159"/>
              <w:rPr>
                <w:rFonts w:hint="eastAsia"/>
                <w:color w:val="auto"/>
                <w:sz w:val="21"/>
                <w:szCs w:val="21"/>
              </w:rPr>
            </w:pPr>
            <w:r>
              <w:rPr>
                <w:color w:val="auto"/>
                <w:sz w:val="21"/>
                <w:szCs w:val="21"/>
              </w:rPr>
              <w:t>计划交货日期</w:t>
            </w:r>
          </w:p>
        </w:tc>
        <w:tc>
          <w:tcPr>
            <w:tcW w:w="676" w:type="dxa"/>
            <w:tcBorders>
              <w:top w:val="single" w:color="000000" w:sz="6" w:space="0"/>
              <w:right w:val="single" w:color="000000" w:sz="6" w:space="0"/>
            </w:tcBorders>
          </w:tcPr>
          <w:p w14:paraId="732FDAC8">
            <w:pPr>
              <w:pStyle w:val="21"/>
              <w:spacing w:before="125" w:line="222" w:lineRule="auto"/>
              <w:ind w:left="138"/>
              <w:rPr>
                <w:rFonts w:hint="eastAsia"/>
                <w:color w:val="auto"/>
                <w:sz w:val="21"/>
                <w:szCs w:val="21"/>
              </w:rPr>
            </w:pPr>
            <w:r>
              <w:rPr>
                <w:color w:val="auto"/>
                <w:sz w:val="21"/>
                <w:szCs w:val="21"/>
              </w:rPr>
              <w:t>备注</w:t>
            </w:r>
          </w:p>
        </w:tc>
      </w:tr>
      <w:tr w14:paraId="606A16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2" w:hRule="atLeast"/>
        </w:trPr>
        <w:tc>
          <w:tcPr>
            <w:tcW w:w="8905" w:type="dxa"/>
            <w:gridSpan w:val="8"/>
            <w:tcBorders>
              <w:left w:val="single" w:color="000000" w:sz="6" w:space="0"/>
              <w:bottom w:val="single" w:color="000000" w:sz="6" w:space="0"/>
              <w:right w:val="single" w:color="000000" w:sz="6" w:space="0"/>
            </w:tcBorders>
          </w:tcPr>
          <w:p w14:paraId="4371BF03">
            <w:pPr>
              <w:ind w:left="105" w:leftChars="50" w:right="105" w:rightChars="50"/>
              <w:jc w:val="both"/>
              <w:rPr>
                <w:rFonts w:eastAsia="宋体"/>
                <w:color w:val="auto"/>
                <w:lang w:eastAsia="zh-CN"/>
              </w:rPr>
            </w:pPr>
            <w:r>
              <w:rPr>
                <w:rFonts w:hint="eastAsia" w:eastAsia="宋体"/>
                <w:color w:val="auto"/>
                <w:lang w:eastAsia="zh-CN"/>
              </w:rPr>
              <w:t>（1）发包人仅提供本工程的泵组设备，其他设备由承包人自行采购。</w:t>
            </w:r>
          </w:p>
          <w:p w14:paraId="7DB9BDA3">
            <w:pPr>
              <w:ind w:left="105" w:leftChars="50" w:right="105" w:rightChars="50"/>
              <w:jc w:val="both"/>
              <w:rPr>
                <w:color w:val="auto"/>
                <w:lang w:eastAsia="zh-CN"/>
              </w:rPr>
            </w:pPr>
            <w:r>
              <w:rPr>
                <w:rFonts w:hint="eastAsia" w:eastAsia="宋体"/>
                <w:color w:val="auto"/>
                <w:lang w:eastAsia="zh-CN"/>
              </w:rPr>
              <w:t>（2）</w:t>
            </w:r>
            <w:r>
              <w:rPr>
                <w:rFonts w:hint="eastAsia"/>
                <w:color w:val="auto"/>
                <w:lang w:eastAsia="zh-CN"/>
              </w:rPr>
              <w:t>承包人应负责接收发包人交付安装的</w:t>
            </w:r>
            <w:r>
              <w:rPr>
                <w:rFonts w:hint="eastAsia" w:eastAsia="宋体"/>
                <w:color w:val="auto"/>
                <w:lang w:eastAsia="zh-CN"/>
              </w:rPr>
              <w:t>泵组</w:t>
            </w:r>
            <w:r>
              <w:rPr>
                <w:rFonts w:hint="eastAsia"/>
                <w:color w:val="auto"/>
                <w:lang w:eastAsia="zh-CN"/>
              </w:rPr>
              <w:t>设备</w:t>
            </w:r>
            <w:r>
              <w:rPr>
                <w:rFonts w:hint="eastAsia" w:eastAsia="宋体"/>
                <w:color w:val="auto"/>
                <w:lang w:eastAsia="zh-CN"/>
              </w:rPr>
              <w:t>及</w:t>
            </w:r>
            <w:r>
              <w:rPr>
                <w:rFonts w:hint="eastAsia"/>
                <w:color w:val="auto"/>
                <w:lang w:eastAsia="zh-CN"/>
              </w:rPr>
              <w:t>备品备件、安装专用工器具以及用于安装的各项材料，在合同约定的交货地点进行机电设备的交货验收，并由发包人会同机电设备供货商与承包人正式办理设备交接手续。</w:t>
            </w:r>
          </w:p>
          <w:p w14:paraId="59AD1777">
            <w:pPr>
              <w:ind w:left="105" w:leftChars="50" w:right="105" w:rightChars="50"/>
              <w:jc w:val="both"/>
              <w:rPr>
                <w:color w:val="auto"/>
                <w:lang w:eastAsia="zh-CN"/>
              </w:rPr>
            </w:pPr>
            <w:r>
              <w:rPr>
                <w:rFonts w:hint="eastAsia" w:eastAsia="宋体"/>
                <w:color w:val="auto"/>
                <w:lang w:eastAsia="zh-CN"/>
              </w:rPr>
              <w:t>（3）</w:t>
            </w:r>
            <w:r>
              <w:rPr>
                <w:rFonts w:hint="eastAsia"/>
                <w:color w:val="auto"/>
                <w:lang w:eastAsia="zh-CN"/>
              </w:rPr>
              <w:t>承包人应负责上述机电设备和材料的接货卸车、清点交接、损伤签证、仓储管理、开箱检验，以及从交货地点至安装现场的运输工作。</w:t>
            </w:r>
          </w:p>
        </w:tc>
      </w:tr>
    </w:tbl>
    <w:p w14:paraId="60F9D039">
      <w:pPr>
        <w:pStyle w:val="8"/>
        <w:spacing w:line="520" w:lineRule="exact"/>
        <w:rPr>
          <w:color w:val="auto"/>
          <w:lang w:eastAsia="zh-CN"/>
        </w:rPr>
      </w:pPr>
    </w:p>
    <w:p w14:paraId="6AB6106B">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29" w:name="bookmark333"/>
      <w:bookmarkEnd w:id="829"/>
      <w:bookmarkStart w:id="830" w:name="bookmark332"/>
      <w:bookmarkEnd w:id="830"/>
      <w:bookmarkStart w:id="831" w:name="_Toc5824"/>
      <w:bookmarkStart w:id="832" w:name="_Toc32201"/>
      <w:bookmarkStart w:id="833" w:name="_Toc415"/>
      <w:bookmarkStart w:id="834" w:name="_Toc21774"/>
      <w:r>
        <w:rPr>
          <w:rFonts w:hint="eastAsia" w:ascii="宋体" w:hAnsi="宋体" w:eastAsia="宋体" w:cs="宋体"/>
          <w:b/>
          <w:bCs/>
          <w:color w:val="auto"/>
          <w:sz w:val="28"/>
          <w:szCs w:val="28"/>
          <w:lang w:eastAsia="zh-CN"/>
        </w:rPr>
        <w:t>6　施工设备和临时设施</w:t>
      </w:r>
      <w:bookmarkEnd w:id="831"/>
      <w:bookmarkEnd w:id="832"/>
      <w:bookmarkEnd w:id="833"/>
      <w:bookmarkEnd w:id="834"/>
    </w:p>
    <w:p w14:paraId="65A0C06C">
      <w:pPr>
        <w:widowControl w:val="0"/>
        <w:kinsoku/>
        <w:wordWrap w:val="0"/>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bookmarkStart w:id="835" w:name="bookmark717"/>
      <w:bookmarkEnd w:id="835"/>
      <w:r>
        <w:rPr>
          <w:rFonts w:ascii="Times New Roman" w:hAnsi="Times New Roman" w:eastAsia="Times New Roman" w:cs="Times New Roman"/>
          <w:b/>
          <w:bCs/>
          <w:color w:val="auto"/>
          <w:sz w:val="24"/>
          <w:szCs w:val="24"/>
          <w:lang w:eastAsia="zh-CN"/>
        </w:rPr>
        <w:t>6.2</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发包人提供的施工设备和临时设施</w:t>
      </w:r>
    </w:p>
    <w:p w14:paraId="6302CA1F">
      <w:pPr>
        <w:widowControl w:val="0"/>
        <w:kinsoku/>
        <w:wordWrap w:val="0"/>
        <w:topLinePunct/>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（1）发包人提供的施工设备见下表：</w:t>
      </w:r>
    </w:p>
    <w:p w14:paraId="7D10EDC3">
      <w:pPr>
        <w:spacing w:before="175" w:line="220" w:lineRule="auto"/>
        <w:ind w:left="2831"/>
        <w:rPr>
          <w:rFonts w:hint="eastAsia" w:ascii="宋体" w:hAnsi="宋体" w:eastAsia="宋体" w:cs="宋体"/>
          <w:color w:val="auto"/>
          <w:lang w:eastAsia="zh-CN"/>
        </w:rPr>
      </w:pPr>
      <w:r>
        <w:rPr>
          <w:rFonts w:ascii="宋体" w:hAnsi="宋体" w:eastAsia="宋体" w:cs="宋体"/>
          <w:b/>
          <w:bCs/>
          <w:color w:val="auto"/>
          <w:lang w:eastAsia="zh-CN"/>
        </w:rPr>
        <w:t>发包人提供的施工设备表</w:t>
      </w:r>
    </w:p>
    <w:p w14:paraId="0D7E3E44">
      <w:pPr>
        <w:spacing w:line="128" w:lineRule="exact"/>
        <w:rPr>
          <w:color w:val="auto"/>
          <w:lang w:eastAsia="zh-CN"/>
        </w:rPr>
      </w:pPr>
    </w:p>
    <w:tbl>
      <w:tblPr>
        <w:tblStyle w:val="20"/>
        <w:tblW w:w="89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3"/>
        <w:gridCol w:w="1536"/>
        <w:gridCol w:w="1325"/>
        <w:gridCol w:w="1215"/>
        <w:gridCol w:w="707"/>
        <w:gridCol w:w="1107"/>
        <w:gridCol w:w="1557"/>
        <w:gridCol w:w="675"/>
      </w:tblGrid>
      <w:tr w14:paraId="683A4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83" w:type="dxa"/>
            <w:tcBorders>
              <w:top w:val="single" w:color="000000" w:sz="6" w:space="0"/>
              <w:left w:val="single" w:color="000000" w:sz="6" w:space="0"/>
            </w:tcBorders>
          </w:tcPr>
          <w:p w14:paraId="3F2763E3">
            <w:pPr>
              <w:pStyle w:val="21"/>
              <w:spacing w:before="125" w:line="222" w:lineRule="auto"/>
              <w:ind w:left="179"/>
              <w:rPr>
                <w:rFonts w:hint="eastAsia"/>
                <w:color w:val="auto"/>
                <w:sz w:val="21"/>
                <w:szCs w:val="21"/>
              </w:rPr>
            </w:pPr>
            <w:r>
              <w:rPr>
                <w:color w:val="auto"/>
                <w:sz w:val="21"/>
                <w:szCs w:val="21"/>
              </w:rPr>
              <w:t>序号</w:t>
            </w:r>
          </w:p>
        </w:tc>
        <w:tc>
          <w:tcPr>
            <w:tcW w:w="1536" w:type="dxa"/>
            <w:tcBorders>
              <w:top w:val="single" w:color="000000" w:sz="6" w:space="0"/>
            </w:tcBorders>
          </w:tcPr>
          <w:p w14:paraId="652FC33F">
            <w:pPr>
              <w:pStyle w:val="21"/>
              <w:spacing w:before="125" w:line="222" w:lineRule="auto"/>
              <w:ind w:left="138"/>
              <w:rPr>
                <w:rFonts w:hint="eastAsia"/>
                <w:color w:val="auto"/>
                <w:sz w:val="21"/>
                <w:szCs w:val="21"/>
              </w:rPr>
            </w:pPr>
            <w:r>
              <w:rPr>
                <w:color w:val="auto"/>
                <w:sz w:val="21"/>
                <w:szCs w:val="21"/>
              </w:rPr>
              <w:t>施工设备名称</w:t>
            </w:r>
          </w:p>
        </w:tc>
        <w:tc>
          <w:tcPr>
            <w:tcW w:w="1325" w:type="dxa"/>
            <w:tcBorders>
              <w:top w:val="single" w:color="000000" w:sz="6" w:space="0"/>
            </w:tcBorders>
          </w:tcPr>
          <w:p w14:paraId="7462222C">
            <w:pPr>
              <w:pStyle w:val="21"/>
              <w:spacing w:before="124" w:line="221" w:lineRule="auto"/>
              <w:ind w:left="145"/>
              <w:rPr>
                <w:rFonts w:hint="eastAsia"/>
                <w:color w:val="auto"/>
                <w:sz w:val="21"/>
                <w:szCs w:val="21"/>
              </w:rPr>
            </w:pPr>
            <w:r>
              <w:rPr>
                <w:color w:val="auto"/>
                <w:sz w:val="21"/>
                <w:szCs w:val="21"/>
              </w:rPr>
              <w:t>型号及规格</w:t>
            </w:r>
          </w:p>
        </w:tc>
        <w:tc>
          <w:tcPr>
            <w:tcW w:w="1215" w:type="dxa"/>
            <w:tcBorders>
              <w:top w:val="single" w:color="000000" w:sz="6" w:space="0"/>
            </w:tcBorders>
          </w:tcPr>
          <w:p w14:paraId="73C5ED77">
            <w:pPr>
              <w:pStyle w:val="21"/>
              <w:spacing w:before="124" w:line="221" w:lineRule="auto"/>
              <w:ind w:left="195"/>
              <w:rPr>
                <w:rFonts w:hint="eastAsia"/>
                <w:color w:val="auto"/>
                <w:sz w:val="21"/>
                <w:szCs w:val="21"/>
              </w:rPr>
            </w:pPr>
            <w:r>
              <w:rPr>
                <w:color w:val="auto"/>
                <w:sz w:val="21"/>
                <w:szCs w:val="21"/>
              </w:rPr>
              <w:t>设备状况</w:t>
            </w:r>
          </w:p>
        </w:tc>
        <w:tc>
          <w:tcPr>
            <w:tcW w:w="707" w:type="dxa"/>
            <w:tcBorders>
              <w:top w:val="single" w:color="000000" w:sz="6" w:space="0"/>
            </w:tcBorders>
          </w:tcPr>
          <w:p w14:paraId="0B33D543">
            <w:pPr>
              <w:pStyle w:val="21"/>
              <w:spacing w:before="124" w:line="221" w:lineRule="auto"/>
              <w:ind w:left="152"/>
              <w:rPr>
                <w:rFonts w:hint="eastAsia"/>
                <w:color w:val="auto"/>
                <w:sz w:val="21"/>
                <w:szCs w:val="21"/>
              </w:rPr>
            </w:pPr>
            <w:r>
              <w:rPr>
                <w:color w:val="auto"/>
                <w:sz w:val="21"/>
                <w:szCs w:val="21"/>
              </w:rPr>
              <w:t>数量</w:t>
            </w:r>
          </w:p>
        </w:tc>
        <w:tc>
          <w:tcPr>
            <w:tcW w:w="1107" w:type="dxa"/>
            <w:tcBorders>
              <w:top w:val="single" w:color="000000" w:sz="6" w:space="0"/>
            </w:tcBorders>
          </w:tcPr>
          <w:p w14:paraId="5E891586">
            <w:pPr>
              <w:pStyle w:val="21"/>
              <w:spacing w:before="125" w:line="222" w:lineRule="auto"/>
              <w:ind w:left="142"/>
              <w:rPr>
                <w:rFonts w:hint="eastAsia"/>
                <w:color w:val="auto"/>
                <w:sz w:val="21"/>
                <w:szCs w:val="21"/>
              </w:rPr>
            </w:pPr>
            <w:r>
              <w:rPr>
                <w:color w:val="auto"/>
                <w:sz w:val="21"/>
                <w:szCs w:val="21"/>
              </w:rPr>
              <w:t>移交地点</w:t>
            </w:r>
          </w:p>
        </w:tc>
        <w:tc>
          <w:tcPr>
            <w:tcW w:w="1557" w:type="dxa"/>
            <w:tcBorders>
              <w:top w:val="single" w:color="000000" w:sz="6" w:space="0"/>
            </w:tcBorders>
          </w:tcPr>
          <w:p w14:paraId="4C0B99A2">
            <w:pPr>
              <w:pStyle w:val="21"/>
              <w:spacing w:before="125" w:line="221" w:lineRule="auto"/>
              <w:ind w:left="158"/>
              <w:rPr>
                <w:rFonts w:hint="eastAsia"/>
                <w:color w:val="auto"/>
                <w:sz w:val="21"/>
                <w:szCs w:val="21"/>
              </w:rPr>
            </w:pPr>
            <w:r>
              <w:rPr>
                <w:color w:val="auto"/>
                <w:sz w:val="21"/>
                <w:szCs w:val="21"/>
              </w:rPr>
              <w:t>计划移交日期</w:t>
            </w:r>
          </w:p>
        </w:tc>
        <w:tc>
          <w:tcPr>
            <w:tcW w:w="675" w:type="dxa"/>
            <w:tcBorders>
              <w:top w:val="single" w:color="000000" w:sz="6" w:space="0"/>
              <w:right w:val="single" w:color="000000" w:sz="6" w:space="0"/>
            </w:tcBorders>
          </w:tcPr>
          <w:p w14:paraId="7411C187">
            <w:pPr>
              <w:pStyle w:val="21"/>
              <w:spacing w:before="125" w:line="222" w:lineRule="auto"/>
              <w:ind w:left="137"/>
              <w:rPr>
                <w:rFonts w:hint="eastAsia"/>
                <w:color w:val="auto"/>
                <w:sz w:val="21"/>
                <w:szCs w:val="21"/>
              </w:rPr>
            </w:pPr>
            <w:r>
              <w:rPr>
                <w:color w:val="auto"/>
                <w:sz w:val="21"/>
                <w:szCs w:val="21"/>
              </w:rPr>
              <w:t>备注</w:t>
            </w:r>
          </w:p>
        </w:tc>
      </w:tr>
      <w:tr w14:paraId="06749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905" w:type="dxa"/>
            <w:gridSpan w:val="8"/>
            <w:tcBorders>
              <w:left w:val="single" w:color="000000" w:sz="6" w:space="0"/>
              <w:bottom w:val="single" w:color="000000" w:sz="6" w:space="0"/>
              <w:right w:val="single" w:color="000000" w:sz="6" w:space="0"/>
            </w:tcBorders>
            <w:vAlign w:val="center"/>
          </w:tcPr>
          <w:p w14:paraId="1E643C93">
            <w:pPr>
              <w:jc w:val="center"/>
              <w:rPr>
                <w:rFonts w:eastAsia="宋体"/>
                <w:color w:val="auto"/>
                <w:lang w:eastAsia="zh-CN"/>
              </w:rPr>
            </w:pPr>
            <w:r>
              <w:rPr>
                <w:rFonts w:hint="eastAsia"/>
                <w:b/>
                <w:bCs/>
                <w:color w:val="auto"/>
                <w:sz w:val="20"/>
                <w:lang w:eastAsia="zh-CN"/>
              </w:rPr>
              <w:t>发包人不提供任何</w:t>
            </w:r>
            <w:r>
              <w:rPr>
                <w:rFonts w:hint="eastAsia" w:eastAsia="宋体"/>
                <w:b/>
                <w:bCs/>
                <w:color w:val="auto"/>
                <w:sz w:val="20"/>
                <w:lang w:eastAsia="zh-CN"/>
              </w:rPr>
              <w:t>施工</w:t>
            </w:r>
            <w:r>
              <w:rPr>
                <w:rFonts w:hint="eastAsia"/>
                <w:b/>
                <w:bCs/>
                <w:color w:val="auto"/>
                <w:sz w:val="20"/>
                <w:lang w:eastAsia="zh-CN"/>
              </w:rPr>
              <w:t>设备</w:t>
            </w:r>
            <w:r>
              <w:rPr>
                <w:rFonts w:hint="eastAsia" w:eastAsia="宋体"/>
                <w:b/>
                <w:bCs/>
                <w:color w:val="auto"/>
                <w:sz w:val="20"/>
                <w:lang w:eastAsia="zh-CN"/>
              </w:rPr>
              <w:t>。</w:t>
            </w:r>
          </w:p>
        </w:tc>
      </w:tr>
    </w:tbl>
    <w:p w14:paraId="40C8C781">
      <w:pPr>
        <w:pStyle w:val="8"/>
        <w:widowControl w:val="0"/>
        <w:kinsoku/>
        <w:topLinePunct/>
        <w:autoSpaceDE/>
        <w:autoSpaceDN/>
        <w:spacing w:line="520" w:lineRule="exact"/>
        <w:ind w:firstLine="420" w:firstLineChars="200"/>
        <w:jc w:val="both"/>
        <w:rPr>
          <w:color w:val="auto"/>
          <w:lang w:eastAsia="zh-CN"/>
        </w:rPr>
      </w:pPr>
    </w:p>
    <w:p w14:paraId="719A71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）发包人提供的临时设施：</w:t>
      </w:r>
      <w:r>
        <w:rPr>
          <w:rFonts w:hint="eastAsia" w:ascii="宋体" w:hAnsi="宋体" w:eastAsia="宋体" w:cs="宋体"/>
          <w:color w:val="auto"/>
          <w:sz w:val="24"/>
          <w:szCs w:val="24"/>
          <w:u w:val="single"/>
          <w:lang w:eastAsia="zh-CN"/>
        </w:rPr>
        <w:t>发包人不提供任何临时设施，所有临时设施均由承包人自行承担</w:t>
      </w:r>
      <w:r>
        <w:rPr>
          <w:rFonts w:ascii="宋体" w:hAnsi="宋体" w:eastAsia="宋体" w:cs="宋体"/>
          <w:color w:val="auto"/>
          <w:sz w:val="24"/>
          <w:szCs w:val="24"/>
          <w:lang w:eastAsia="zh-CN"/>
        </w:rPr>
        <w:t>。</w:t>
      </w:r>
    </w:p>
    <w:p w14:paraId="4CF12EEF">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36" w:name="bookmark334"/>
      <w:bookmarkEnd w:id="836"/>
      <w:bookmarkStart w:id="837" w:name="bookmark335"/>
      <w:bookmarkEnd w:id="837"/>
      <w:bookmarkStart w:id="838" w:name="_Toc28509"/>
      <w:bookmarkStart w:id="839" w:name="_Toc18974"/>
      <w:bookmarkStart w:id="840" w:name="_Toc2902"/>
      <w:bookmarkStart w:id="841" w:name="_Toc22096"/>
      <w:r>
        <w:rPr>
          <w:rFonts w:hint="eastAsia" w:ascii="宋体" w:hAnsi="宋体" w:eastAsia="宋体" w:cs="宋体"/>
          <w:b/>
          <w:bCs/>
          <w:color w:val="auto"/>
          <w:sz w:val="28"/>
          <w:szCs w:val="28"/>
          <w:lang w:eastAsia="zh-CN"/>
        </w:rPr>
        <w:t>7　交通运输</w:t>
      </w:r>
      <w:bookmarkEnd w:id="838"/>
      <w:bookmarkEnd w:id="839"/>
      <w:bookmarkEnd w:id="840"/>
      <w:bookmarkEnd w:id="841"/>
    </w:p>
    <w:p w14:paraId="5BA26DD9">
      <w:pPr>
        <w:widowControl w:val="0"/>
        <w:kinsoku/>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bookmarkStart w:id="842" w:name="bookmark718"/>
      <w:bookmarkEnd w:id="842"/>
      <w:r>
        <w:rPr>
          <w:rFonts w:ascii="Times New Roman" w:hAnsi="Times New Roman" w:eastAsia="Times New Roman" w:cs="Times New Roman"/>
          <w:b/>
          <w:bCs/>
          <w:color w:val="auto"/>
          <w:sz w:val="24"/>
          <w:szCs w:val="24"/>
          <w:lang w:eastAsia="zh-CN"/>
        </w:rPr>
        <w:t>7.1</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道路通行权和场外设施</w:t>
      </w:r>
    </w:p>
    <w:p w14:paraId="015D14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道路通行权和场外设施的约定：</w:t>
      </w:r>
      <w:r>
        <w:rPr>
          <w:rFonts w:hint="eastAsia" w:ascii="宋体" w:hAnsi="宋体" w:eastAsia="宋体" w:cs="宋体"/>
          <w:color w:val="auto"/>
          <w:sz w:val="24"/>
          <w:szCs w:val="24"/>
          <w:u w:val="single"/>
          <w:lang w:eastAsia="zh-CN"/>
        </w:rPr>
        <w:t>（1）由承包人按照发包人要求，负责取得出入施工现场所需的批准手续和全部权利，</w:t>
      </w:r>
      <w:r>
        <w:rPr>
          <w:rFonts w:hint="eastAsia" w:ascii="宋体" w:hAnsi="宋体" w:eastAsia="宋体" w:cs="宋体"/>
          <w:color w:val="auto"/>
          <w:sz w:val="24"/>
          <w:szCs w:val="24"/>
          <w:lang w:eastAsia="zh-CN"/>
        </w:rPr>
        <w:t>同时</w:t>
      </w:r>
      <w:r>
        <w:rPr>
          <w:rFonts w:hint="eastAsia" w:ascii="宋体" w:hAnsi="宋体" w:eastAsia="宋体" w:cs="宋体"/>
          <w:color w:val="auto"/>
          <w:sz w:val="24"/>
          <w:szCs w:val="24"/>
          <w:u w:val="single"/>
          <w:lang w:eastAsia="zh-CN"/>
        </w:rPr>
        <w:t>取得因施工所需修建道路、桥梁以及其他基础设施的权利。相关手续费用和建设费用由承包人承担，发包人不再另行支付。（2）承包人负责场内过境车辆的协调和分流工作，相关费用由承包人承担，发包人不再另行支付</w:t>
      </w:r>
      <w:r>
        <w:rPr>
          <w:rFonts w:ascii="宋体" w:hAnsi="宋体" w:eastAsia="宋体" w:cs="宋体"/>
          <w:color w:val="auto"/>
          <w:sz w:val="24"/>
          <w:szCs w:val="24"/>
          <w:lang w:eastAsia="zh-CN"/>
        </w:rPr>
        <w:t>。</w:t>
      </w:r>
    </w:p>
    <w:p w14:paraId="6AEEC11B">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43" w:name="bookmark336"/>
      <w:bookmarkEnd w:id="843"/>
      <w:bookmarkStart w:id="844" w:name="bookmark337"/>
      <w:bookmarkEnd w:id="844"/>
      <w:bookmarkStart w:id="845" w:name="_Toc18474"/>
      <w:bookmarkStart w:id="846" w:name="_Toc30422"/>
      <w:bookmarkStart w:id="847" w:name="_Toc28603"/>
      <w:bookmarkStart w:id="848" w:name="_Toc17675"/>
      <w:r>
        <w:rPr>
          <w:rFonts w:hint="eastAsia" w:ascii="宋体" w:hAnsi="宋体" w:eastAsia="宋体" w:cs="宋体"/>
          <w:b/>
          <w:bCs/>
          <w:color w:val="auto"/>
          <w:sz w:val="28"/>
          <w:szCs w:val="28"/>
          <w:lang w:eastAsia="zh-CN"/>
        </w:rPr>
        <w:t>8　测量放线</w:t>
      </w:r>
      <w:bookmarkEnd w:id="845"/>
      <w:bookmarkEnd w:id="846"/>
      <w:bookmarkEnd w:id="847"/>
      <w:bookmarkEnd w:id="848"/>
    </w:p>
    <w:p w14:paraId="6473129B">
      <w:pPr>
        <w:widowControl w:val="0"/>
        <w:kinsoku/>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bookmarkStart w:id="849" w:name="bookmark719"/>
      <w:bookmarkEnd w:id="849"/>
      <w:r>
        <w:rPr>
          <w:rFonts w:ascii="Times New Roman" w:hAnsi="Times New Roman" w:eastAsia="Times New Roman" w:cs="Times New Roman"/>
          <w:b/>
          <w:bCs/>
          <w:color w:val="auto"/>
          <w:sz w:val="24"/>
          <w:szCs w:val="24"/>
          <w:lang w:eastAsia="zh-CN"/>
        </w:rPr>
        <w:t>8.1</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施工控制网</w:t>
      </w:r>
    </w:p>
    <w:p w14:paraId="2D9DBB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8.1.1</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施工控制网的约定：</w:t>
      </w:r>
      <w:r>
        <w:rPr>
          <w:rFonts w:hint="eastAsia" w:ascii="宋体" w:hAnsi="宋体" w:eastAsia="宋体" w:cs="宋体"/>
          <w:color w:val="auto"/>
          <w:sz w:val="24"/>
          <w:szCs w:val="24"/>
          <w:u w:val="single"/>
          <w:lang w:eastAsia="zh-CN"/>
        </w:rPr>
        <w:t>发包人应在开工日期前14天内，通过监理人向承包人提供测量基准点布置图、基准线和水准点及其书面资料。承包人在接到测量基准点布置图后14天内完成施工控制网布设，并将施工控制网资料报送监理人审批</w:t>
      </w:r>
      <w:r>
        <w:rPr>
          <w:rFonts w:ascii="宋体" w:hAnsi="宋体" w:eastAsia="宋体" w:cs="宋体"/>
          <w:color w:val="auto"/>
          <w:sz w:val="24"/>
          <w:szCs w:val="24"/>
          <w:lang w:eastAsia="zh-CN"/>
        </w:rPr>
        <w:t>。</w:t>
      </w:r>
    </w:p>
    <w:p w14:paraId="1740F602">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50" w:name="bookmark339"/>
      <w:bookmarkEnd w:id="850"/>
      <w:bookmarkStart w:id="851" w:name="bookmark338"/>
      <w:bookmarkEnd w:id="851"/>
      <w:bookmarkStart w:id="852" w:name="_Toc23129"/>
      <w:bookmarkStart w:id="853" w:name="_Toc31689"/>
      <w:bookmarkStart w:id="854" w:name="_Toc5036"/>
      <w:bookmarkStart w:id="855" w:name="_Toc12887"/>
      <w:r>
        <w:rPr>
          <w:rFonts w:hint="eastAsia" w:ascii="宋体" w:hAnsi="宋体" w:eastAsia="宋体" w:cs="宋体"/>
          <w:b/>
          <w:bCs/>
          <w:color w:val="auto"/>
          <w:sz w:val="28"/>
          <w:szCs w:val="28"/>
          <w:lang w:eastAsia="zh-CN"/>
        </w:rPr>
        <w:t>9　施工安全、治安保卫和环境保护</w:t>
      </w:r>
      <w:bookmarkEnd w:id="852"/>
      <w:bookmarkEnd w:id="853"/>
      <w:bookmarkEnd w:id="854"/>
      <w:bookmarkEnd w:id="855"/>
    </w:p>
    <w:p w14:paraId="322A6732">
      <w:pPr>
        <w:widowControl w:val="0"/>
        <w:kinsoku/>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bookmarkStart w:id="856" w:name="bookmark720"/>
      <w:bookmarkEnd w:id="856"/>
      <w:r>
        <w:rPr>
          <w:rFonts w:ascii="Times New Roman" w:hAnsi="Times New Roman" w:eastAsia="Times New Roman" w:cs="Times New Roman"/>
          <w:b/>
          <w:bCs/>
          <w:color w:val="auto"/>
          <w:sz w:val="24"/>
          <w:szCs w:val="24"/>
          <w:lang w:eastAsia="zh-CN"/>
        </w:rPr>
        <w:t>9.1</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发包人的施工安全责任</w:t>
      </w:r>
    </w:p>
    <w:p w14:paraId="1FC5B3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9.1.4</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发包人提供</w:t>
      </w:r>
      <w:r>
        <w:rPr>
          <w:rFonts w:hint="eastAsia" w:ascii="宋体" w:hAnsi="宋体" w:eastAsia="宋体" w:cs="宋体"/>
          <w:color w:val="auto"/>
          <w:sz w:val="24"/>
          <w:szCs w:val="24"/>
          <w:u w:val="single"/>
          <w:lang w:eastAsia="zh-CN"/>
        </w:rPr>
        <w:t>　</w:t>
      </w:r>
      <w:r>
        <w:rPr>
          <w:rFonts w:hint="eastAsia" w:ascii="宋体" w:hAnsi="宋体" w:eastAsia="宋体" w:cs="宋体"/>
          <w:color w:val="auto"/>
          <w:spacing w:val="-2"/>
          <w:sz w:val="24"/>
          <w:szCs w:val="24"/>
          <w:u w:val="single"/>
          <w:lang w:eastAsia="zh-CN"/>
        </w:rPr>
        <w:t>施工图</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资料，其余资料由承包人负责收集。</w:t>
      </w:r>
    </w:p>
    <w:p w14:paraId="7E728A94">
      <w:pPr>
        <w:widowControl w:val="0"/>
        <w:kinsoku/>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bookmarkStart w:id="857" w:name="bookmark340"/>
      <w:bookmarkEnd w:id="857"/>
      <w:r>
        <w:rPr>
          <w:rFonts w:ascii="Times New Roman" w:hAnsi="Times New Roman" w:eastAsia="Times New Roman" w:cs="Times New Roman"/>
          <w:b/>
          <w:bCs/>
          <w:color w:val="auto"/>
          <w:sz w:val="24"/>
          <w:szCs w:val="24"/>
          <w:lang w:eastAsia="zh-CN"/>
        </w:rPr>
        <w:t>9.2</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承包人的施工安全责任</w:t>
      </w:r>
    </w:p>
    <w:p w14:paraId="0B3B4AF4">
      <w:pPr>
        <w:widowControl w:val="0"/>
        <w:kinsoku/>
        <w:topLinePunct/>
        <w:autoSpaceDE/>
        <w:autoSpaceDN/>
        <w:spacing w:line="520" w:lineRule="exact"/>
        <w:ind w:firstLine="480" w:firstLineChars="200"/>
        <w:jc w:val="both"/>
        <w:rPr>
          <w:rFonts w:ascii="Times New Roman" w:hAnsi="Times New Roman" w:eastAsia="Times New Roman" w:cs="Times New Roman"/>
          <w:b/>
          <w:bCs/>
          <w:color w:val="auto"/>
          <w:sz w:val="24"/>
          <w:szCs w:val="24"/>
          <w:lang w:eastAsia="zh-CN"/>
        </w:rPr>
      </w:pPr>
      <w:r>
        <w:rPr>
          <w:rFonts w:ascii="Times New Roman" w:hAnsi="Times New Roman" w:eastAsia="Times New Roman" w:cs="Times New Roman"/>
          <w:b/>
          <w:bCs/>
          <w:color w:val="auto"/>
          <w:sz w:val="24"/>
          <w:szCs w:val="24"/>
          <w:lang w:eastAsia="zh-CN"/>
        </w:rPr>
        <w:t>9.2.12</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下列工程应编制专项施工方案：按规范执行。</w:t>
      </w:r>
    </w:p>
    <w:p w14:paraId="7CB717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补充以下条款：</w:t>
      </w:r>
    </w:p>
    <w:p w14:paraId="170AB7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9.2.13　承包人应对施工机械、设备、仪器等开展定期检查工作，排查并消除安全隐患，同时取得有关部门的检验许可证明。</w:t>
      </w:r>
    </w:p>
    <w:p w14:paraId="113E8E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9.2.14　承包人应针对施工现场的供电、消防、基坑开挖、不良工程地质等情况制定专项的措施及应急预案，并报监理人审查，待审查通过。但发包人或监理人的认可并不免除承包人所应承担的责任。</w:t>
      </w:r>
    </w:p>
    <w:p w14:paraId="27DAC2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9.2.15　承包人应确保地上、地下相关管线、建筑物及文物在施工过程中不受损坏，并承担相关费用。</w:t>
      </w:r>
    </w:p>
    <w:p w14:paraId="0E586EA7">
      <w:pPr>
        <w:widowControl w:val="0"/>
        <w:kinsoku/>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r>
        <w:rPr>
          <w:rFonts w:hint="eastAsia" w:ascii="Times New Roman" w:hAnsi="Times New Roman" w:eastAsia="Times New Roman" w:cs="Times New Roman"/>
          <w:b/>
          <w:bCs/>
          <w:color w:val="auto"/>
          <w:sz w:val="24"/>
          <w:szCs w:val="24"/>
          <w:lang w:eastAsia="zh-CN"/>
        </w:rPr>
        <w:t>9.4 环境保护</w:t>
      </w:r>
    </w:p>
    <w:p w14:paraId="7199AD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补充以下条款：</w:t>
      </w:r>
    </w:p>
    <w:p w14:paraId="2FA2B1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9.4.7　承包人须严格遵循国家有关水域环境生态保护的规定，合理选择施工船机和施工工艺，并采取切实有效的措施，以降低施工活动对对周边水域的不利影响。</w:t>
      </w:r>
    </w:p>
    <w:p w14:paraId="0F85B0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9.4.8　承包人应切实落实施工期的各项水质保护措施，各类污水需遵循分治外排的原则进行处理，严禁排入饮用水水源保护区。尤其要强化对废弃泥浆的处理举措，确保其排放符合相关标准。</w:t>
      </w:r>
    </w:p>
    <w:p w14:paraId="16DD7D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9.4.9　承包人应尽最大可能优化施工方案，严格界定施工活动范围，合理规划施工时段和施工方式。进一步完善工程取土、弃渣的处置方案，严禁在环境敏感区范围内设置工程取土场。在施工期注意收集表层土壤；施工结束后，应立即开展对临时占地的复植、复耕等生态修复工作。</w:t>
      </w:r>
    </w:p>
    <w:p w14:paraId="4A14F7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9.4.10　承包人应做好施工区附近、施工公路沿线以及居民点的噪声与扬尘污染防治工作。优先选用低噪声设备，并合理安排施工作业时间。建筑垃圾及施工人员生活垃圾须及时清运并妥善处理，禁止随意抛弃、排入水体。</w:t>
      </w:r>
    </w:p>
    <w:p w14:paraId="21765DBD">
      <w:pPr>
        <w:widowControl w:val="0"/>
        <w:kinsoku/>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r>
        <w:rPr>
          <w:rFonts w:hint="eastAsia" w:ascii="Times New Roman" w:hAnsi="Times New Roman" w:eastAsia="Times New Roman" w:cs="Times New Roman"/>
          <w:b/>
          <w:bCs/>
          <w:color w:val="auto"/>
          <w:sz w:val="24"/>
          <w:szCs w:val="24"/>
          <w:lang w:eastAsia="zh-CN"/>
        </w:rPr>
        <w:t>9.6</w:t>
      </w:r>
      <w:r>
        <w:rPr>
          <w:rFonts w:hint="eastAsia" w:ascii="Times New Roman" w:hAnsi="Times New Roman" w:eastAsia="宋体" w:cs="Times New Roman"/>
          <w:b/>
          <w:bCs/>
          <w:color w:val="auto"/>
          <w:sz w:val="24"/>
          <w:szCs w:val="24"/>
          <w:lang w:eastAsia="zh-CN"/>
        </w:rPr>
        <w:t>　</w:t>
      </w:r>
      <w:r>
        <w:rPr>
          <w:rFonts w:hint="eastAsia" w:ascii="Times New Roman" w:hAnsi="Times New Roman" w:eastAsia="Times New Roman" w:cs="Times New Roman"/>
          <w:b/>
          <w:bCs/>
          <w:color w:val="auto"/>
          <w:sz w:val="24"/>
          <w:szCs w:val="24"/>
          <w:lang w:eastAsia="zh-CN"/>
        </w:rPr>
        <w:t>水土保持</w:t>
      </w:r>
    </w:p>
    <w:p w14:paraId="54F6DD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增加以下条款：</w:t>
      </w:r>
    </w:p>
    <w:p w14:paraId="1DA8AA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9.6.4　承包人开展的各类施工活动，应严格限定在用地范围内，严禁随意占压、扰动及破坏地表植被。需做好表土的剥离、集中堆放、拦挡、排水、苫盖以及回覆等工作。施工过程中产生的弃土（渣），应及时清运至指定地点堆放，并采取防护措施，禁止随意倾倒或堆弃。施工结束后，应及时进行土地整治、复耕或植被恢复工作。要加强水土流失防治，落实相应的工程措施、植物措施和临时措施。强化施工组织管理，落实临时防护措施，合理安排施工时序，严格控制施工期间可能引发的水土流失。</w:t>
      </w:r>
    </w:p>
    <w:p w14:paraId="6A9018EC">
      <w:pPr>
        <w:widowControl w:val="0"/>
        <w:kinsoku/>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bookmarkStart w:id="858" w:name="bookmark341"/>
      <w:bookmarkEnd w:id="858"/>
      <w:r>
        <w:rPr>
          <w:rFonts w:ascii="Times New Roman" w:hAnsi="Times New Roman" w:eastAsia="Times New Roman" w:cs="Times New Roman"/>
          <w:b/>
          <w:bCs/>
          <w:color w:val="auto"/>
          <w:sz w:val="24"/>
          <w:szCs w:val="24"/>
          <w:lang w:eastAsia="zh-CN"/>
        </w:rPr>
        <w:t>9.7</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文明工地</w:t>
      </w:r>
    </w:p>
    <w:p w14:paraId="35190707">
      <w:pPr>
        <w:widowControl w:val="0"/>
        <w:kinsoku/>
        <w:topLinePunct/>
        <w:autoSpaceDE/>
        <w:autoSpaceDN/>
        <w:spacing w:line="520" w:lineRule="exact"/>
        <w:ind w:firstLine="480" w:firstLineChars="200"/>
        <w:jc w:val="both"/>
        <w:rPr>
          <w:color w:val="auto"/>
          <w:lang w:eastAsia="zh-CN"/>
        </w:rPr>
      </w:pPr>
      <w:r>
        <w:rPr>
          <w:rFonts w:ascii="宋体" w:hAnsi="宋体" w:eastAsia="宋体" w:cs="宋体"/>
          <w:color w:val="auto"/>
          <w:sz w:val="24"/>
          <w:szCs w:val="24"/>
          <w:lang w:eastAsia="zh-CN"/>
        </w:rPr>
        <w:t>本合同文明工地的约定：</w:t>
      </w:r>
      <w:r>
        <w:rPr>
          <w:rFonts w:hint="eastAsia" w:ascii="宋体" w:hAnsi="宋体" w:eastAsia="宋体" w:cs="宋体"/>
          <w:color w:val="auto"/>
          <w:sz w:val="24"/>
          <w:szCs w:val="24"/>
          <w:u w:val="single"/>
          <w:lang w:eastAsia="zh-CN"/>
        </w:rPr>
        <w:t>须依照浙江省水利建设工程文明标化工地的相关标准规定执行。</w:t>
      </w:r>
    </w:p>
    <w:p w14:paraId="1C2F6399">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59" w:name="bookmark343"/>
      <w:bookmarkEnd w:id="859"/>
      <w:bookmarkStart w:id="860" w:name="bookmark342"/>
      <w:bookmarkEnd w:id="860"/>
      <w:bookmarkStart w:id="861" w:name="_Toc4798"/>
      <w:bookmarkStart w:id="862" w:name="_Toc11739"/>
      <w:bookmarkStart w:id="863" w:name="_Toc12895"/>
      <w:bookmarkStart w:id="864" w:name="_Toc22175"/>
      <w:r>
        <w:rPr>
          <w:rFonts w:hint="eastAsia" w:ascii="宋体" w:hAnsi="宋体" w:eastAsia="宋体" w:cs="宋体"/>
          <w:b/>
          <w:bCs/>
          <w:color w:val="auto"/>
          <w:sz w:val="28"/>
          <w:szCs w:val="28"/>
          <w:lang w:eastAsia="zh-CN"/>
        </w:rPr>
        <w:t>11　开工和完工</w:t>
      </w:r>
      <w:bookmarkEnd w:id="861"/>
      <w:bookmarkEnd w:id="862"/>
      <w:bookmarkEnd w:id="863"/>
      <w:bookmarkEnd w:id="864"/>
    </w:p>
    <w:p w14:paraId="610CA611">
      <w:pPr>
        <w:widowControl w:val="0"/>
        <w:kinsoku/>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bookmarkStart w:id="865" w:name="bookmark721"/>
      <w:bookmarkEnd w:id="865"/>
      <w:r>
        <w:rPr>
          <w:rFonts w:ascii="Times New Roman" w:hAnsi="Times New Roman" w:eastAsia="Times New Roman" w:cs="Times New Roman"/>
          <w:b/>
          <w:bCs/>
          <w:color w:val="auto"/>
          <w:sz w:val="24"/>
          <w:szCs w:val="24"/>
          <w:lang w:eastAsia="zh-CN"/>
        </w:rPr>
        <w:t>11.4</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异常恶劣的气候条件</w:t>
      </w:r>
    </w:p>
    <w:p w14:paraId="3D4BD0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11.4.3</w:t>
      </w:r>
      <w:r>
        <w:rPr>
          <w:rFonts w:hint="eastAsia" w:ascii="Times New Roman" w:hAnsi="Times New Roman" w:eastAsia="宋体" w:cs="Times New Roman"/>
          <w:b/>
          <w:bCs/>
          <w:color w:val="auto"/>
          <w:sz w:val="24"/>
          <w:szCs w:val="24"/>
          <w:lang w:eastAsia="zh-CN"/>
        </w:rPr>
        <w:t>　</w:t>
      </w:r>
      <w:r>
        <w:rPr>
          <w:rFonts w:ascii="宋体" w:hAnsi="宋体" w:eastAsia="宋体" w:cs="宋体"/>
          <w:color w:val="auto"/>
          <w:sz w:val="24"/>
          <w:szCs w:val="24"/>
          <w:lang w:eastAsia="zh-CN"/>
        </w:rPr>
        <w:t>本合同工程界定异常恶劣的气候条件的范围为：</w:t>
      </w:r>
    </w:p>
    <w:p w14:paraId="209B5D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zh-CN" w:eastAsia="zh-CN"/>
        </w:rPr>
        <w:t>(1)日降雨量大于50mm的雨日连续超过10天或日降雨量大于150mm的雨日连续超过3天</w:t>
      </w:r>
      <w:r>
        <w:rPr>
          <w:rFonts w:hint="eastAsia" w:ascii="宋体" w:hAnsi="宋体" w:eastAsia="宋体" w:cs="宋体"/>
          <w:color w:val="auto"/>
          <w:sz w:val="24"/>
          <w:szCs w:val="24"/>
          <w:lang w:eastAsia="zh-CN"/>
        </w:rPr>
        <w:t>；</w:t>
      </w:r>
    </w:p>
    <w:p w14:paraId="035381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(2)发生9级及以上台风灾害；</w:t>
      </w:r>
    </w:p>
    <w:p w14:paraId="35A7CD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(3)连续出现日气温超过40℃的高温天气大于10天；</w:t>
      </w:r>
    </w:p>
    <w:p w14:paraId="01949E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(4)连续出现日气温低于-5℃的严寒天气大于10天；</w:t>
      </w:r>
    </w:p>
    <w:p w14:paraId="3D8D85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(5)造成工程损失的冰雹和大雪灾害：冰雹天气或日降雪量超过10mm以上的天气连续大于10天；</w:t>
      </w:r>
    </w:p>
    <w:p w14:paraId="794B10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zh-CN" w:eastAsia="zh-CN"/>
        </w:rPr>
        <w:t>(6)其它异常恶劣气候灾害。</w:t>
      </w:r>
    </w:p>
    <w:p w14:paraId="4FC6F1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注：1）异常恶劣气候的时间，监理人将根据承包人的申请和提交的证明予以评定。恶劣气候在每个月对工程进度影响的评定，应在整个合同期内予以累计。</w:t>
      </w:r>
    </w:p>
    <w:p w14:paraId="1E3CD3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2）若恶劣气候只是对局部工程有影响，承包人应采取合同措施予以弥补，而不能推迟工程的总工期。</w:t>
      </w:r>
    </w:p>
    <w:p w14:paraId="1E8B39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3）受本款所述的恶劣气候影响的分项工程，必须在工程施工进度网络计划的关键线路上，监理人方能考虑延长工程总工期。</w:t>
      </w:r>
    </w:p>
    <w:p w14:paraId="5E271F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4）以上气象条件指工程所在地气象防汛部门发布的气象条件。</w:t>
      </w:r>
    </w:p>
    <w:p w14:paraId="1E00C7AD">
      <w:pPr>
        <w:widowControl w:val="0"/>
        <w:kinsoku/>
        <w:topLinePunct/>
        <w:autoSpaceDE/>
        <w:autoSpaceDN/>
        <w:spacing w:line="520" w:lineRule="exact"/>
        <w:jc w:val="both"/>
        <w:outlineLvl w:val="3"/>
        <w:rPr>
          <w:rFonts w:ascii="Times New Roman" w:hAnsi="Times New Roman" w:eastAsia="Times New Roman" w:cs="Times New Roman"/>
          <w:b/>
          <w:bCs/>
          <w:color w:val="auto"/>
          <w:sz w:val="24"/>
          <w:szCs w:val="24"/>
          <w:lang w:eastAsia="zh-CN"/>
        </w:rPr>
      </w:pPr>
      <w:bookmarkStart w:id="866" w:name="bookmark344"/>
      <w:bookmarkEnd w:id="866"/>
      <w:r>
        <w:rPr>
          <w:rFonts w:ascii="Times New Roman" w:hAnsi="Times New Roman" w:eastAsia="Times New Roman" w:cs="Times New Roman"/>
          <w:b/>
          <w:bCs/>
          <w:color w:val="auto"/>
          <w:sz w:val="24"/>
          <w:szCs w:val="24"/>
          <w:lang w:eastAsia="zh-CN"/>
        </w:rPr>
        <w:t>11.5</w:t>
      </w:r>
      <w:r>
        <w:rPr>
          <w:rFonts w:hint="eastAsia" w:ascii="Times New Roman" w:hAnsi="Times New Roman" w:eastAsia="Times New Roman" w:cs="Times New Roman"/>
          <w:b/>
          <w:bCs/>
          <w:color w:val="auto"/>
          <w:sz w:val="24"/>
          <w:szCs w:val="24"/>
          <w:lang w:eastAsia="zh-CN"/>
        </w:rPr>
        <w:t>　</w:t>
      </w:r>
      <w:r>
        <w:rPr>
          <w:rFonts w:ascii="Times New Roman" w:hAnsi="Times New Roman" w:eastAsia="Times New Roman" w:cs="Times New Roman"/>
          <w:b/>
          <w:bCs/>
          <w:color w:val="auto"/>
          <w:sz w:val="24"/>
          <w:szCs w:val="24"/>
          <w:lang w:eastAsia="zh-CN"/>
        </w:rPr>
        <w:t>承包人的工期延误</w:t>
      </w:r>
    </w:p>
    <w:p w14:paraId="1EF906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）逾期完工违约金表。</w:t>
      </w:r>
    </w:p>
    <w:p w14:paraId="5267F2C9">
      <w:pPr>
        <w:spacing w:before="175" w:line="221" w:lineRule="auto"/>
        <w:ind w:left="3759"/>
        <w:rPr>
          <w:rFonts w:hint="eastAsia" w:ascii="宋体" w:hAnsi="宋体" w:eastAsia="宋体" w:cs="宋体"/>
          <w:color w:val="auto"/>
        </w:rPr>
      </w:pPr>
      <w:r>
        <w:rPr>
          <w:rFonts w:ascii="宋体" w:hAnsi="宋体" w:eastAsia="宋体" w:cs="宋体"/>
          <w:b/>
          <w:bCs/>
          <w:color w:val="auto"/>
        </w:rPr>
        <w:t>逾期完工违约金表</w:t>
      </w:r>
    </w:p>
    <w:p w14:paraId="78D9D91D">
      <w:pPr>
        <w:spacing w:line="128" w:lineRule="exact"/>
        <w:rPr>
          <w:color w:val="auto"/>
        </w:rPr>
      </w:pPr>
    </w:p>
    <w:tbl>
      <w:tblPr>
        <w:tblStyle w:val="20"/>
        <w:tblW w:w="8793"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6"/>
        <w:gridCol w:w="2664"/>
        <w:gridCol w:w="2475"/>
        <w:gridCol w:w="2688"/>
      </w:tblGrid>
      <w:tr w14:paraId="0B469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966" w:type="dxa"/>
            <w:tcBorders>
              <w:top w:val="single" w:color="000000" w:sz="6" w:space="0"/>
              <w:left w:val="single" w:color="000000" w:sz="6" w:space="0"/>
            </w:tcBorders>
          </w:tcPr>
          <w:p w14:paraId="586B3468">
            <w:pPr>
              <w:pStyle w:val="21"/>
              <w:spacing w:before="125" w:line="222" w:lineRule="auto"/>
              <w:ind w:left="268"/>
              <w:rPr>
                <w:rFonts w:hint="eastAsia"/>
                <w:color w:val="auto"/>
                <w:sz w:val="21"/>
                <w:szCs w:val="21"/>
              </w:rPr>
            </w:pPr>
            <w:r>
              <w:rPr>
                <w:color w:val="auto"/>
                <w:sz w:val="21"/>
                <w:szCs w:val="21"/>
              </w:rPr>
              <w:t>序号</w:t>
            </w:r>
          </w:p>
        </w:tc>
        <w:tc>
          <w:tcPr>
            <w:tcW w:w="2664" w:type="dxa"/>
            <w:tcBorders>
              <w:top w:val="single" w:color="000000" w:sz="6" w:space="0"/>
            </w:tcBorders>
          </w:tcPr>
          <w:p w14:paraId="23C651D3">
            <w:pPr>
              <w:pStyle w:val="21"/>
              <w:spacing w:before="124" w:line="221" w:lineRule="auto"/>
              <w:ind w:left="706"/>
              <w:rPr>
                <w:rFonts w:hint="eastAsia"/>
                <w:color w:val="auto"/>
                <w:sz w:val="21"/>
                <w:szCs w:val="21"/>
              </w:rPr>
            </w:pPr>
            <w:r>
              <w:rPr>
                <w:color w:val="auto"/>
                <w:sz w:val="21"/>
                <w:szCs w:val="21"/>
              </w:rPr>
              <w:t>项目及其说明</w:t>
            </w:r>
          </w:p>
        </w:tc>
        <w:tc>
          <w:tcPr>
            <w:tcW w:w="2475" w:type="dxa"/>
            <w:tcBorders>
              <w:top w:val="single" w:color="000000" w:sz="6" w:space="0"/>
            </w:tcBorders>
          </w:tcPr>
          <w:p w14:paraId="0A3DCF8A">
            <w:pPr>
              <w:pStyle w:val="21"/>
              <w:spacing w:before="124" w:line="221" w:lineRule="auto"/>
              <w:ind w:left="612"/>
              <w:rPr>
                <w:rFonts w:hint="eastAsia"/>
                <w:color w:val="auto"/>
                <w:sz w:val="21"/>
                <w:szCs w:val="21"/>
              </w:rPr>
            </w:pPr>
            <w:r>
              <w:rPr>
                <w:color w:val="auto"/>
                <w:sz w:val="21"/>
                <w:szCs w:val="21"/>
              </w:rPr>
              <w:t>要求完工日期</w:t>
            </w:r>
          </w:p>
        </w:tc>
        <w:tc>
          <w:tcPr>
            <w:tcW w:w="2688" w:type="dxa"/>
            <w:tcBorders>
              <w:top w:val="single" w:color="000000" w:sz="6" w:space="0"/>
              <w:right w:val="single" w:color="000000" w:sz="6" w:space="0"/>
            </w:tcBorders>
          </w:tcPr>
          <w:p w14:paraId="004FAA58">
            <w:pPr>
              <w:pStyle w:val="21"/>
              <w:spacing w:before="125" w:line="221" w:lineRule="auto"/>
              <w:ind w:left="584"/>
              <w:rPr>
                <w:rFonts w:hint="eastAsia"/>
                <w:color w:val="auto"/>
                <w:sz w:val="21"/>
                <w:szCs w:val="21"/>
              </w:rPr>
            </w:pPr>
            <w:r>
              <w:rPr>
                <w:color w:val="auto"/>
                <w:sz w:val="21"/>
                <w:szCs w:val="21"/>
              </w:rPr>
              <w:t>违约金（元</w:t>
            </w:r>
            <w:r>
              <w:rPr>
                <w:rFonts w:ascii="Times New Roman" w:hAnsi="Times New Roman" w:eastAsia="Times New Roman" w:cs="Times New Roman"/>
                <w:color w:val="auto"/>
                <w:sz w:val="21"/>
                <w:szCs w:val="21"/>
              </w:rPr>
              <w:t>/</w:t>
            </w:r>
            <w:r>
              <w:rPr>
                <w:color w:val="auto"/>
                <w:sz w:val="21"/>
                <w:szCs w:val="21"/>
              </w:rPr>
              <w:t>天）</w:t>
            </w:r>
          </w:p>
        </w:tc>
      </w:tr>
      <w:tr w14:paraId="05806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966" w:type="dxa"/>
            <w:tcBorders>
              <w:left w:val="single" w:color="000000" w:sz="6" w:space="0"/>
            </w:tcBorders>
            <w:vAlign w:val="center"/>
          </w:tcPr>
          <w:p w14:paraId="2D2F5BA7">
            <w:pPr>
              <w:jc w:val="center"/>
              <w:rPr>
                <w:rFonts w:eastAsia="宋体"/>
                <w:color w:val="auto"/>
                <w:lang w:eastAsia="zh-CN"/>
              </w:rPr>
            </w:pPr>
            <w:r>
              <w:rPr>
                <w:rFonts w:hint="eastAsia" w:eastAsia="宋体"/>
                <w:color w:val="auto"/>
                <w:lang w:eastAsia="zh-CN"/>
              </w:rPr>
              <w:t>1</w:t>
            </w:r>
          </w:p>
        </w:tc>
        <w:tc>
          <w:tcPr>
            <w:tcW w:w="2664" w:type="dxa"/>
            <w:vAlign w:val="center"/>
          </w:tcPr>
          <w:p w14:paraId="0CDBEBD4">
            <w:pPr>
              <w:jc w:val="center"/>
              <w:rPr>
                <w:color w:val="auto"/>
              </w:rPr>
            </w:pPr>
            <w:r>
              <w:rPr>
                <w:rFonts w:hint="eastAsia"/>
                <w:color w:val="auto"/>
                <w:sz w:val="20"/>
              </w:rPr>
              <w:t>全部工程</w:t>
            </w:r>
          </w:p>
        </w:tc>
        <w:tc>
          <w:tcPr>
            <w:tcW w:w="2475" w:type="dxa"/>
            <w:vAlign w:val="center"/>
          </w:tcPr>
          <w:p w14:paraId="6BF2EA42">
            <w:pPr>
              <w:jc w:val="center"/>
              <w:rPr>
                <w:rFonts w:eastAsia="宋体"/>
                <w:color w:val="auto"/>
                <w:lang w:eastAsia="zh-CN"/>
              </w:rPr>
            </w:pPr>
            <w:r>
              <w:rPr>
                <w:rFonts w:hint="eastAsia"/>
                <w:color w:val="auto"/>
                <w:sz w:val="20"/>
              </w:rPr>
              <w:t>开工令后</w:t>
            </w:r>
            <w:r>
              <w:rPr>
                <w:rFonts w:hint="eastAsia" w:eastAsia="宋体"/>
                <w:color w:val="auto"/>
                <w:sz w:val="20"/>
                <w:u w:val="single"/>
                <w:lang w:eastAsia="zh-CN"/>
              </w:rPr>
              <w:t>1005</w:t>
            </w:r>
            <w:r>
              <w:rPr>
                <w:rFonts w:hint="eastAsia" w:eastAsia="宋体"/>
                <w:color w:val="auto"/>
                <w:sz w:val="20"/>
                <w:lang w:eastAsia="zh-CN"/>
              </w:rPr>
              <w:t>日历天</w:t>
            </w:r>
          </w:p>
        </w:tc>
        <w:tc>
          <w:tcPr>
            <w:tcW w:w="2688" w:type="dxa"/>
            <w:tcBorders>
              <w:right w:val="single" w:color="000000" w:sz="6" w:space="0"/>
            </w:tcBorders>
            <w:vAlign w:val="center"/>
          </w:tcPr>
          <w:p w14:paraId="6111DE0C">
            <w:pPr>
              <w:jc w:val="center"/>
              <w:rPr>
                <w:rFonts w:eastAsia="宋体"/>
                <w:color w:val="auto"/>
                <w:lang w:eastAsia="zh-CN"/>
              </w:rPr>
            </w:pPr>
            <w:r>
              <w:rPr>
                <w:rFonts w:hint="eastAsia" w:eastAsia="宋体"/>
                <w:color w:val="auto"/>
                <w:lang w:eastAsia="zh-CN"/>
              </w:rPr>
              <w:t>5000</w:t>
            </w:r>
          </w:p>
        </w:tc>
      </w:tr>
      <w:tr w14:paraId="31CBD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966" w:type="dxa"/>
            <w:tcBorders>
              <w:left w:val="single" w:color="000000" w:sz="6" w:space="0"/>
            </w:tcBorders>
            <w:vAlign w:val="center"/>
          </w:tcPr>
          <w:p w14:paraId="2950ABA9">
            <w:pPr>
              <w:jc w:val="center"/>
              <w:rPr>
                <w:color w:val="auto"/>
              </w:rPr>
            </w:pPr>
          </w:p>
        </w:tc>
        <w:tc>
          <w:tcPr>
            <w:tcW w:w="2664" w:type="dxa"/>
            <w:vAlign w:val="center"/>
          </w:tcPr>
          <w:p w14:paraId="16D64B56">
            <w:pPr>
              <w:jc w:val="center"/>
              <w:rPr>
                <w:color w:val="auto"/>
              </w:rPr>
            </w:pPr>
          </w:p>
        </w:tc>
        <w:tc>
          <w:tcPr>
            <w:tcW w:w="2475" w:type="dxa"/>
            <w:vAlign w:val="center"/>
          </w:tcPr>
          <w:p w14:paraId="3614ED06">
            <w:pPr>
              <w:jc w:val="center"/>
              <w:rPr>
                <w:color w:val="auto"/>
              </w:rPr>
            </w:pPr>
          </w:p>
        </w:tc>
        <w:tc>
          <w:tcPr>
            <w:tcW w:w="2688" w:type="dxa"/>
            <w:tcBorders>
              <w:right w:val="single" w:color="000000" w:sz="6" w:space="0"/>
            </w:tcBorders>
            <w:vAlign w:val="center"/>
          </w:tcPr>
          <w:p w14:paraId="5BD5BD4B">
            <w:pPr>
              <w:jc w:val="center"/>
              <w:rPr>
                <w:color w:val="auto"/>
              </w:rPr>
            </w:pPr>
          </w:p>
        </w:tc>
      </w:tr>
      <w:tr w14:paraId="18316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966" w:type="dxa"/>
            <w:tcBorders>
              <w:left w:val="single" w:color="000000" w:sz="6" w:space="0"/>
              <w:bottom w:val="single" w:color="000000" w:sz="6" w:space="0"/>
            </w:tcBorders>
            <w:vAlign w:val="center"/>
          </w:tcPr>
          <w:p w14:paraId="73EA9740">
            <w:pPr>
              <w:jc w:val="center"/>
              <w:rPr>
                <w:color w:val="auto"/>
              </w:rPr>
            </w:pPr>
          </w:p>
        </w:tc>
        <w:tc>
          <w:tcPr>
            <w:tcW w:w="2664" w:type="dxa"/>
            <w:tcBorders>
              <w:bottom w:val="single" w:color="000000" w:sz="6" w:space="0"/>
            </w:tcBorders>
            <w:vAlign w:val="center"/>
          </w:tcPr>
          <w:p w14:paraId="09B975AE">
            <w:pPr>
              <w:jc w:val="center"/>
              <w:rPr>
                <w:color w:val="auto"/>
              </w:rPr>
            </w:pPr>
          </w:p>
        </w:tc>
        <w:tc>
          <w:tcPr>
            <w:tcW w:w="2475" w:type="dxa"/>
            <w:tcBorders>
              <w:bottom w:val="single" w:color="000000" w:sz="6" w:space="0"/>
            </w:tcBorders>
            <w:vAlign w:val="center"/>
          </w:tcPr>
          <w:p w14:paraId="2AE43867">
            <w:pPr>
              <w:jc w:val="center"/>
              <w:rPr>
                <w:color w:val="auto"/>
              </w:rPr>
            </w:pPr>
          </w:p>
        </w:tc>
        <w:tc>
          <w:tcPr>
            <w:tcW w:w="2688" w:type="dxa"/>
            <w:tcBorders>
              <w:bottom w:val="single" w:color="000000" w:sz="6" w:space="0"/>
              <w:right w:val="single" w:color="000000" w:sz="6" w:space="0"/>
            </w:tcBorders>
            <w:vAlign w:val="center"/>
          </w:tcPr>
          <w:p w14:paraId="105496FF">
            <w:pPr>
              <w:jc w:val="center"/>
              <w:rPr>
                <w:color w:val="auto"/>
              </w:rPr>
            </w:pPr>
          </w:p>
        </w:tc>
      </w:tr>
    </w:tbl>
    <w:p w14:paraId="39E438AD">
      <w:pPr>
        <w:pStyle w:val="8"/>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承包人须在保证施工质量、安全的前提下做好施工进度管理，确保在规定时间内完成经监理及发包人审批的工程进度节点。若承包人对过程进度管理不力，承包人需向发包人缴纳违约金5000～20000元/次。</w:t>
      </w:r>
    </w:p>
    <w:p w14:paraId="035F061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（2）全部逾期完工违约金的总限额不超过签约合同价的</w:t>
      </w:r>
      <w:r>
        <w:rPr>
          <w:rFonts w:hint="eastAsia" w:ascii="宋体" w:hAnsi="宋体" w:eastAsia="宋体" w:cs="宋体"/>
          <w:color w:val="auto"/>
          <w:sz w:val="24"/>
          <w:szCs w:val="24"/>
          <w:u w:val="single"/>
          <w:lang w:eastAsia="zh-CN"/>
        </w:rPr>
        <w:t>2</w:t>
      </w:r>
      <w:r>
        <w:rPr>
          <w:rFonts w:hint="eastAsia" w:ascii="宋体" w:hAnsi="宋体" w:eastAsia="宋体" w:cs="宋体"/>
          <w:color w:val="auto"/>
          <w:sz w:val="24"/>
          <w:szCs w:val="24"/>
          <w:lang w:eastAsia="zh-CN"/>
        </w:rPr>
        <w:t>%。</w:t>
      </w:r>
    </w:p>
    <w:p w14:paraId="6F7A420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67" w:name="bookmark345"/>
      <w:bookmarkEnd w:id="867"/>
      <w:r>
        <w:rPr>
          <w:rFonts w:hint="eastAsia" w:ascii="宋体" w:hAnsi="宋体" w:eastAsia="宋体" w:cs="宋体"/>
          <w:b/>
          <w:bCs/>
          <w:color w:val="auto"/>
          <w:sz w:val="24"/>
          <w:szCs w:val="24"/>
          <w:lang w:eastAsia="zh-CN"/>
        </w:rPr>
        <w:t>11.6　工期提前</w:t>
      </w:r>
    </w:p>
    <w:p w14:paraId="4043E8E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工期提前的奖金约定：</w:t>
      </w:r>
      <w:r>
        <w:rPr>
          <w:rFonts w:hint="eastAsia" w:ascii="宋体" w:hAnsi="宋体" w:eastAsia="宋体" w:cs="宋体"/>
          <w:color w:val="auto"/>
          <w:sz w:val="24"/>
          <w:szCs w:val="24"/>
          <w:u w:val="single"/>
          <w:lang w:eastAsia="zh-CN"/>
        </w:rPr>
        <w:t>不奖励</w:t>
      </w:r>
      <w:r>
        <w:rPr>
          <w:rFonts w:hint="eastAsia" w:ascii="宋体" w:hAnsi="宋体" w:eastAsia="宋体" w:cs="宋体"/>
          <w:color w:val="auto"/>
          <w:sz w:val="24"/>
          <w:szCs w:val="24"/>
          <w:lang w:eastAsia="zh-CN"/>
        </w:rPr>
        <w:t>。</w:t>
      </w:r>
    </w:p>
    <w:p w14:paraId="084B929C">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68" w:name="bookmark346"/>
      <w:bookmarkEnd w:id="868"/>
      <w:bookmarkStart w:id="869" w:name="bookmark347"/>
      <w:bookmarkEnd w:id="869"/>
      <w:bookmarkStart w:id="870" w:name="_Toc20977"/>
      <w:bookmarkStart w:id="871" w:name="_Toc19247"/>
      <w:bookmarkStart w:id="872" w:name="_Toc11756"/>
      <w:bookmarkStart w:id="873" w:name="_Toc18957"/>
      <w:r>
        <w:rPr>
          <w:rFonts w:hint="eastAsia" w:ascii="宋体" w:hAnsi="宋体" w:eastAsia="宋体" w:cs="宋体"/>
          <w:b/>
          <w:bCs/>
          <w:color w:val="auto"/>
          <w:sz w:val="28"/>
          <w:szCs w:val="28"/>
          <w:lang w:eastAsia="zh-CN"/>
        </w:rPr>
        <w:t>12　暂停施工</w:t>
      </w:r>
      <w:bookmarkEnd w:id="870"/>
      <w:bookmarkEnd w:id="871"/>
      <w:bookmarkEnd w:id="872"/>
      <w:bookmarkEnd w:id="873"/>
    </w:p>
    <w:p w14:paraId="56441B3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74" w:name="bookmark722"/>
      <w:bookmarkEnd w:id="874"/>
      <w:r>
        <w:rPr>
          <w:rFonts w:hint="eastAsia" w:ascii="宋体" w:hAnsi="宋体" w:eastAsia="宋体" w:cs="宋体"/>
          <w:b/>
          <w:bCs/>
          <w:color w:val="auto"/>
          <w:sz w:val="24"/>
          <w:szCs w:val="24"/>
          <w:lang w:eastAsia="zh-CN"/>
        </w:rPr>
        <w:t>12.1　承包人暂停施工的责任</w:t>
      </w:r>
    </w:p>
    <w:p w14:paraId="0DD54E86">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（5）承包人承担暂停施工责任的其他情形：</w:t>
      </w:r>
      <w:r>
        <w:rPr>
          <w:rFonts w:hint="eastAsia" w:ascii="宋体" w:hAnsi="宋体" w:eastAsia="宋体" w:cs="宋体"/>
          <w:color w:val="auto"/>
          <w:sz w:val="24"/>
          <w:szCs w:val="24"/>
          <w:u w:val="single"/>
          <w:lang w:eastAsia="zh-CN"/>
        </w:rPr>
        <w:t>　/　</w:t>
      </w:r>
      <w:r>
        <w:rPr>
          <w:rFonts w:hint="eastAsia" w:ascii="宋体" w:hAnsi="宋体" w:eastAsia="宋体" w:cs="宋体"/>
          <w:color w:val="auto"/>
          <w:sz w:val="24"/>
          <w:szCs w:val="24"/>
          <w:lang w:eastAsia="zh-CN"/>
        </w:rPr>
        <w:t>。</w:t>
      </w:r>
    </w:p>
    <w:p w14:paraId="4B3224F9">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重大会议或其它特殊情况，政府部门以任何形式发布相关停工通知的，所有项目必须无条件服从要求进行停工，承包人根据自己施工组织方案充分考虑措施增加费，人员、机械窝工及相关全部费用，在综合单价报价中充分考虑，自行报价；中标后不再调整费用，停工工期予以顺延。</w:t>
      </w:r>
    </w:p>
    <w:p w14:paraId="5DC14A6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75" w:name="bookmark348"/>
      <w:bookmarkEnd w:id="875"/>
      <w:r>
        <w:rPr>
          <w:rFonts w:hint="eastAsia" w:ascii="宋体" w:hAnsi="宋体" w:eastAsia="宋体" w:cs="宋体"/>
          <w:b/>
          <w:bCs/>
          <w:color w:val="auto"/>
          <w:sz w:val="24"/>
          <w:szCs w:val="24"/>
          <w:lang w:eastAsia="zh-CN"/>
        </w:rPr>
        <w:t>12.2　发包人暂停施工的责任</w:t>
      </w:r>
    </w:p>
    <w:p w14:paraId="5B516654">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（3）发包人承担暂停施工责任的其他情形：</w:t>
      </w:r>
      <w:r>
        <w:rPr>
          <w:rFonts w:hint="eastAsia" w:ascii="宋体" w:hAnsi="宋体" w:eastAsia="宋体" w:cs="宋体"/>
          <w:color w:val="auto"/>
          <w:sz w:val="24"/>
          <w:szCs w:val="24"/>
          <w:u w:val="single"/>
          <w:lang w:eastAsia="zh-CN"/>
        </w:rPr>
        <w:t>　/　</w:t>
      </w:r>
      <w:r>
        <w:rPr>
          <w:rFonts w:hint="eastAsia" w:ascii="宋体" w:hAnsi="宋体" w:eastAsia="宋体" w:cs="宋体"/>
          <w:color w:val="auto"/>
          <w:sz w:val="24"/>
          <w:szCs w:val="24"/>
          <w:lang w:eastAsia="zh-CN"/>
        </w:rPr>
        <w:t>。</w:t>
      </w:r>
    </w:p>
    <w:p w14:paraId="5CCF94D5">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76" w:name="bookmark349"/>
      <w:bookmarkEnd w:id="876"/>
      <w:bookmarkStart w:id="877" w:name="bookmark350"/>
      <w:bookmarkEnd w:id="877"/>
      <w:bookmarkStart w:id="878" w:name="_Toc31634"/>
      <w:bookmarkStart w:id="879" w:name="_Toc11676"/>
      <w:bookmarkStart w:id="880" w:name="_Toc6019"/>
      <w:bookmarkStart w:id="881" w:name="_Toc8141"/>
      <w:r>
        <w:rPr>
          <w:rFonts w:hint="eastAsia" w:ascii="宋体" w:hAnsi="宋体" w:eastAsia="宋体" w:cs="宋体"/>
          <w:b/>
          <w:bCs/>
          <w:color w:val="auto"/>
          <w:sz w:val="28"/>
          <w:szCs w:val="28"/>
          <w:lang w:eastAsia="zh-CN"/>
        </w:rPr>
        <w:t>13　工程质量</w:t>
      </w:r>
      <w:bookmarkEnd w:id="878"/>
      <w:bookmarkEnd w:id="879"/>
      <w:bookmarkEnd w:id="880"/>
      <w:bookmarkEnd w:id="881"/>
    </w:p>
    <w:p w14:paraId="228D93E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82" w:name="bookmark723"/>
      <w:bookmarkEnd w:id="882"/>
      <w:r>
        <w:rPr>
          <w:rFonts w:hint="eastAsia" w:ascii="宋体" w:hAnsi="宋体" w:eastAsia="宋体" w:cs="宋体"/>
          <w:b/>
          <w:bCs/>
          <w:color w:val="auto"/>
          <w:sz w:val="24"/>
          <w:szCs w:val="24"/>
          <w:lang w:eastAsia="zh-CN"/>
        </w:rPr>
        <w:t>13.7　质量评定</w:t>
      </w:r>
    </w:p>
    <w:p w14:paraId="2C710886">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13.7.7　</w:t>
      </w:r>
      <w:r>
        <w:rPr>
          <w:rFonts w:hint="eastAsia" w:ascii="宋体" w:hAnsi="宋体" w:eastAsia="宋体" w:cs="宋体"/>
          <w:color w:val="auto"/>
          <w:sz w:val="24"/>
          <w:szCs w:val="24"/>
          <w:lang w:eastAsia="zh-CN"/>
        </w:rPr>
        <w:t>工程质量等级标准为</w:t>
      </w:r>
      <w:r>
        <w:rPr>
          <w:rFonts w:hint="eastAsia" w:ascii="宋体" w:hAnsi="宋体" w:eastAsia="宋体" w:cs="宋体"/>
          <w:b/>
          <w:bCs/>
          <w:color w:val="auto"/>
          <w:sz w:val="24"/>
          <w:szCs w:val="24"/>
          <w:lang w:eastAsia="zh-CN"/>
        </w:rPr>
        <w:t>合格，并获评省(部）级及以上优质工程奖，有关费用在投标时自行考虑；若工程缺陷责任期满仍未获得省（部）级优质工程奖，发包人将从质量保证金中扣除100万元作为违约金。</w:t>
      </w:r>
    </w:p>
    <w:p w14:paraId="0760C836">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83" w:name="bookmark351"/>
      <w:bookmarkEnd w:id="883"/>
      <w:bookmarkStart w:id="884" w:name="bookmark352"/>
      <w:bookmarkEnd w:id="884"/>
      <w:bookmarkStart w:id="885" w:name="_Toc11350"/>
      <w:bookmarkStart w:id="886" w:name="_Toc16873"/>
      <w:bookmarkStart w:id="887" w:name="_Toc6687"/>
      <w:bookmarkStart w:id="888" w:name="_Toc28592"/>
      <w:r>
        <w:rPr>
          <w:rFonts w:hint="eastAsia" w:ascii="宋体" w:hAnsi="宋体" w:eastAsia="宋体" w:cs="宋体"/>
          <w:b/>
          <w:bCs/>
          <w:color w:val="auto"/>
          <w:sz w:val="28"/>
          <w:szCs w:val="28"/>
          <w:lang w:eastAsia="zh-CN"/>
        </w:rPr>
        <w:t>14　试验和检验</w:t>
      </w:r>
      <w:bookmarkEnd w:id="885"/>
      <w:bookmarkEnd w:id="886"/>
      <w:bookmarkEnd w:id="887"/>
      <w:bookmarkEnd w:id="888"/>
    </w:p>
    <w:p w14:paraId="26ED76B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89" w:name="bookmark724"/>
      <w:bookmarkEnd w:id="889"/>
      <w:r>
        <w:rPr>
          <w:rFonts w:hint="eastAsia" w:ascii="宋体" w:hAnsi="宋体" w:eastAsia="宋体" w:cs="宋体"/>
          <w:b/>
          <w:bCs/>
          <w:color w:val="auto"/>
          <w:sz w:val="24"/>
          <w:szCs w:val="24"/>
          <w:lang w:eastAsia="zh-CN"/>
        </w:rPr>
        <w:t>14.1　材料、工程设备和工程的试验和检验</w:t>
      </w:r>
    </w:p>
    <w:p w14:paraId="7EEF2B2E">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14.1.5　</w:t>
      </w:r>
      <w:r>
        <w:rPr>
          <w:rFonts w:hint="eastAsia" w:ascii="宋体" w:hAnsi="宋体" w:eastAsia="宋体" w:cs="宋体"/>
          <w:color w:val="auto"/>
          <w:sz w:val="24"/>
          <w:szCs w:val="24"/>
          <w:lang w:eastAsia="zh-CN"/>
        </w:rPr>
        <w:t>水工金属结构、启闭机及机电产品进场后的交货检查和验收中，承包人负责</w:t>
      </w:r>
      <w:r>
        <w:rPr>
          <w:rFonts w:hint="eastAsia" w:ascii="宋体" w:hAnsi="宋体" w:eastAsia="宋体" w:cs="宋体"/>
          <w:color w:val="auto"/>
          <w:sz w:val="24"/>
          <w:szCs w:val="24"/>
          <w:u w:val="single"/>
          <w:lang w:eastAsia="zh-CN"/>
        </w:rPr>
        <w:t>按通用条款执行</w:t>
      </w:r>
      <w:r>
        <w:rPr>
          <w:rFonts w:hint="eastAsia" w:ascii="宋体" w:hAnsi="宋体" w:eastAsia="宋体" w:cs="宋体"/>
          <w:color w:val="auto"/>
          <w:sz w:val="24"/>
          <w:szCs w:val="24"/>
          <w:lang w:eastAsia="zh-CN"/>
        </w:rPr>
        <w:t>。</w:t>
      </w:r>
    </w:p>
    <w:p w14:paraId="38587D78">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14.1.6　</w:t>
      </w:r>
      <w:r>
        <w:rPr>
          <w:rFonts w:hint="eastAsia" w:ascii="宋体" w:hAnsi="宋体" w:eastAsia="宋体" w:cs="宋体"/>
          <w:color w:val="auto"/>
          <w:sz w:val="24"/>
          <w:szCs w:val="24"/>
          <w:lang w:eastAsia="zh-CN"/>
        </w:rPr>
        <w:t>本工程实行见证取样的试块、试件及有关材料：</w:t>
      </w:r>
      <w:r>
        <w:rPr>
          <w:rFonts w:hint="eastAsia" w:ascii="宋体" w:hAnsi="宋体" w:eastAsia="宋体" w:cs="宋体"/>
          <w:color w:val="auto"/>
          <w:sz w:val="24"/>
          <w:szCs w:val="24"/>
          <w:u w:val="single"/>
          <w:lang w:eastAsia="zh-CN"/>
        </w:rPr>
        <w:t>砂、碎石、水泥、钢筋（材）、混凝土试块、土样、钢筋（管）焊接试件等，具体按监理人的指令和现行规范、省市相关要求</w:t>
      </w:r>
      <w:r>
        <w:rPr>
          <w:rFonts w:hint="eastAsia" w:ascii="宋体" w:hAnsi="宋体" w:eastAsia="宋体" w:cs="宋体"/>
          <w:color w:val="auto"/>
          <w:sz w:val="24"/>
          <w:szCs w:val="24"/>
          <w:lang w:eastAsia="zh-CN"/>
        </w:rPr>
        <w:t>。</w:t>
      </w:r>
    </w:p>
    <w:p w14:paraId="35D244E1">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890" w:name="bookmark354"/>
      <w:bookmarkEnd w:id="890"/>
      <w:bookmarkStart w:id="891" w:name="bookmark353"/>
      <w:bookmarkEnd w:id="891"/>
      <w:bookmarkStart w:id="892" w:name="_Toc2235"/>
      <w:bookmarkStart w:id="893" w:name="_Toc3136"/>
      <w:bookmarkStart w:id="894" w:name="_Toc30823"/>
      <w:bookmarkStart w:id="895" w:name="_Toc11330"/>
      <w:r>
        <w:rPr>
          <w:rFonts w:hint="eastAsia" w:ascii="宋体" w:hAnsi="宋体" w:eastAsia="宋体" w:cs="宋体"/>
          <w:b/>
          <w:bCs/>
          <w:color w:val="auto"/>
          <w:sz w:val="28"/>
          <w:szCs w:val="28"/>
          <w:lang w:eastAsia="zh-CN"/>
        </w:rPr>
        <w:t>15　变更</w:t>
      </w:r>
      <w:bookmarkEnd w:id="892"/>
      <w:bookmarkEnd w:id="893"/>
      <w:bookmarkEnd w:id="894"/>
      <w:bookmarkEnd w:id="895"/>
    </w:p>
    <w:p w14:paraId="5EA92ED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96" w:name="bookmark725"/>
      <w:bookmarkEnd w:id="896"/>
      <w:r>
        <w:rPr>
          <w:rFonts w:hint="eastAsia" w:ascii="宋体" w:hAnsi="宋体" w:eastAsia="宋体" w:cs="宋体"/>
          <w:b/>
          <w:bCs/>
          <w:color w:val="auto"/>
          <w:sz w:val="24"/>
          <w:szCs w:val="24"/>
          <w:lang w:eastAsia="zh-CN"/>
        </w:rPr>
        <w:t>15.1　变更的范围和内容</w:t>
      </w:r>
    </w:p>
    <w:p w14:paraId="1B7817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分类分项清单项目工程量增加的，凡合价金额占签约合同总价2%以上的分类分项清单项目其工程量增加超过本项目工程数量15%以上，或合价金额占签约合同总价不到2%的分类分项清单项目但其工程量增加超过本项目工程数量25%以上，超过上述15%或25%以外增加部分的工程量，由承包人按15.4.3款的原则提出合适的变更单价，并经监理人审核。变更单价与合同单价相比，上下浮动超过</w:t>
      </w:r>
      <w:r>
        <w:rPr>
          <w:rFonts w:hint="eastAsia" w:ascii="宋体" w:hAnsi="宋体" w:eastAsia="宋体" w:cs="宋体"/>
          <w:color w:val="auto"/>
          <w:sz w:val="24"/>
          <w:szCs w:val="24"/>
          <w:u w:val="single"/>
          <w:lang w:eastAsia="zh-CN"/>
        </w:rPr>
        <w:t>15</w:t>
      </w:r>
      <w:r>
        <w:rPr>
          <w:rFonts w:hint="eastAsia" w:ascii="宋体" w:hAnsi="宋体" w:eastAsia="宋体" w:cs="宋体"/>
          <w:color w:val="auto"/>
          <w:sz w:val="24"/>
          <w:szCs w:val="24"/>
          <w:lang w:eastAsia="zh-CN"/>
        </w:rPr>
        <w:t>%</w:t>
      </w:r>
      <w:r>
        <w:rPr>
          <w:rFonts w:hint="eastAsia" w:ascii="宋体" w:hAnsi="宋体" w:eastAsia="宋体" w:cs="宋体"/>
          <w:i/>
          <w:iCs/>
          <w:strike/>
          <w:color w:val="auto"/>
          <w:sz w:val="25"/>
          <w:szCs w:val="25"/>
          <w:lang w:eastAsia="zh-CN"/>
        </w:rPr>
        <w:t>（</w:t>
      </w:r>
      <w:r>
        <w:rPr>
          <w:rFonts w:hint="eastAsia" w:ascii="宋体" w:hAnsi="宋体" w:eastAsia="宋体" w:cs="宋体"/>
          <w:i/>
          <w:iCs/>
          <w:strike/>
          <w:color w:val="auto"/>
          <w:sz w:val="24"/>
          <w:szCs w:val="24"/>
          <w:lang w:eastAsia="zh-CN"/>
        </w:rPr>
        <w:t>10%～20%</w:t>
      </w:r>
      <w:r>
        <w:rPr>
          <w:rFonts w:hint="eastAsia" w:ascii="宋体" w:hAnsi="宋体" w:eastAsia="宋体" w:cs="宋体"/>
          <w:i/>
          <w:iCs/>
          <w:strike/>
          <w:color w:val="auto"/>
          <w:sz w:val="25"/>
          <w:szCs w:val="25"/>
          <w:lang w:eastAsia="zh-CN"/>
        </w:rPr>
        <w:t>）</w:t>
      </w:r>
      <w:r>
        <w:rPr>
          <w:rFonts w:hint="eastAsia" w:ascii="宋体" w:hAnsi="宋体" w:eastAsia="宋体" w:cs="宋体"/>
          <w:color w:val="auto"/>
          <w:sz w:val="24"/>
          <w:szCs w:val="24"/>
          <w:lang w:eastAsia="zh-CN"/>
        </w:rPr>
        <w:t>时，发包人同意后按变更单价进入工程结算；上述15%或25%以内增加部分的工程量，按合同单价结算。</w:t>
      </w:r>
    </w:p>
    <w:p w14:paraId="692F1D34">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因分类分项清单项目工程量减少的，采用以下第</w:t>
      </w:r>
      <w:r>
        <w:rPr>
          <w:rFonts w:hint="eastAsia" w:ascii="宋体" w:hAnsi="宋体" w:eastAsia="宋体" w:cs="宋体"/>
          <w:color w:val="auto"/>
          <w:sz w:val="24"/>
          <w:szCs w:val="24"/>
          <w:u w:val="single"/>
          <w:lang w:eastAsia="zh-CN"/>
        </w:rPr>
        <w:t>　2　</w:t>
      </w:r>
      <w:r>
        <w:rPr>
          <w:rFonts w:hint="eastAsia" w:ascii="宋体" w:hAnsi="宋体" w:eastAsia="宋体" w:cs="宋体"/>
          <w:color w:val="auto"/>
          <w:sz w:val="24"/>
          <w:szCs w:val="24"/>
          <w:lang w:eastAsia="zh-CN"/>
        </w:rPr>
        <w:t>种方式对合同价格进行调整：</w:t>
      </w:r>
    </w:p>
    <w:p w14:paraId="4F804A0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第1种方式：分类分项清单项目工程量减少的，合同单价不变。</w:t>
      </w:r>
    </w:p>
    <w:p w14:paraId="07A5BF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2种方式：分类分项清单项目工程量减少的，凡合价金额占签约合同总价2%以上的分类分项清单项目其工程量减少超过本项目工程数量15%以上，或合价金额占签约合同总价不到2%的分类分项清单项目但其工程量减少超过本项目工程数量25%以上，超过上述15%或25%以外的减少部分工程量，由承包人按15.4.3款的原则提出合适的变更单价，并经监理人审核。变更单价与合同单价相比，上下浮动超过</w:t>
      </w:r>
      <w:r>
        <w:rPr>
          <w:rFonts w:hint="eastAsia" w:ascii="宋体" w:hAnsi="宋体" w:eastAsia="宋体" w:cs="宋体"/>
          <w:color w:val="auto"/>
          <w:sz w:val="24"/>
          <w:szCs w:val="24"/>
          <w:u w:val="single"/>
          <w:lang w:eastAsia="zh-CN"/>
        </w:rPr>
        <w:t>20</w:t>
      </w:r>
      <w:r>
        <w:rPr>
          <w:rFonts w:hint="eastAsia" w:ascii="宋体" w:hAnsi="宋体" w:eastAsia="宋体" w:cs="宋体"/>
          <w:color w:val="auto"/>
          <w:sz w:val="24"/>
          <w:szCs w:val="24"/>
          <w:lang w:eastAsia="zh-CN"/>
        </w:rPr>
        <w:t>%</w:t>
      </w:r>
      <w:r>
        <w:rPr>
          <w:rFonts w:hint="eastAsia" w:ascii="宋体" w:hAnsi="宋体" w:eastAsia="宋体" w:cs="宋体"/>
          <w:i/>
          <w:iCs/>
          <w:strike/>
          <w:color w:val="auto"/>
          <w:sz w:val="25"/>
          <w:szCs w:val="25"/>
          <w:lang w:eastAsia="zh-CN"/>
        </w:rPr>
        <w:t>（</w:t>
      </w:r>
      <w:r>
        <w:rPr>
          <w:rFonts w:hint="eastAsia" w:ascii="宋体" w:hAnsi="宋体" w:eastAsia="宋体" w:cs="宋体"/>
          <w:i/>
          <w:iCs/>
          <w:strike/>
          <w:color w:val="auto"/>
          <w:sz w:val="24"/>
          <w:szCs w:val="24"/>
          <w:lang w:eastAsia="zh-CN"/>
        </w:rPr>
        <w:t>20%～30%</w:t>
      </w:r>
      <w:r>
        <w:rPr>
          <w:rFonts w:hint="eastAsia" w:ascii="宋体" w:hAnsi="宋体" w:eastAsia="宋体" w:cs="宋体"/>
          <w:i/>
          <w:iCs/>
          <w:strike/>
          <w:color w:val="auto"/>
          <w:sz w:val="25"/>
          <w:szCs w:val="25"/>
          <w:lang w:eastAsia="zh-CN"/>
        </w:rPr>
        <w:t>）</w:t>
      </w:r>
      <w:r>
        <w:rPr>
          <w:rFonts w:hint="eastAsia" w:ascii="宋体" w:hAnsi="宋体" w:eastAsia="宋体" w:cs="宋体"/>
          <w:color w:val="auto"/>
          <w:sz w:val="24"/>
          <w:szCs w:val="24"/>
          <w:lang w:eastAsia="zh-CN"/>
        </w:rPr>
        <w:t>时，发包人同意后按变更单价计算合价后，在该项目合价中扣除；工程量减少在15%或25%以内的减少部分工程量，按合同单价计算合价后，在该项目合价中扣除。</w:t>
      </w:r>
    </w:p>
    <w:p w14:paraId="7CB8DE5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97" w:name="bookmark355"/>
      <w:bookmarkEnd w:id="897"/>
      <w:r>
        <w:rPr>
          <w:rFonts w:hint="eastAsia" w:ascii="宋体" w:hAnsi="宋体" w:eastAsia="宋体" w:cs="宋体"/>
          <w:b/>
          <w:bCs/>
          <w:color w:val="auto"/>
          <w:sz w:val="24"/>
          <w:szCs w:val="24"/>
          <w:lang w:eastAsia="zh-CN"/>
        </w:rPr>
        <w:t>15.4　变更的估价原则</w:t>
      </w:r>
    </w:p>
    <w:p w14:paraId="5B37A4E6">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15.4.3　</w:t>
      </w:r>
      <w:r>
        <w:rPr>
          <w:rFonts w:hint="eastAsia" w:ascii="宋体" w:hAnsi="宋体" w:eastAsia="宋体" w:cs="宋体"/>
          <w:color w:val="auto"/>
          <w:sz w:val="24"/>
          <w:szCs w:val="24"/>
          <w:lang w:eastAsia="zh-CN"/>
        </w:rPr>
        <w:t>细化为：本合同在实施过程中，如遇到设计变更出现新增或变更项目时，则该新增或变更项目的单价由承包人按以下原则提出变更单价，监理人审核，发包人同意后进入工程结算，支付方式执行合同约定的支付条款。</w:t>
      </w:r>
    </w:p>
    <w:p w14:paraId="00BDE300">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（1）人工预算单价采用投标期浙江省现行水利行业人工预算单价。</w:t>
      </w:r>
    </w:p>
    <w:p w14:paraId="0FBA2981">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（2）材料预算价格采用投标期基价。投标期的基价是指</w:t>
      </w:r>
      <w:r>
        <w:rPr>
          <w:rFonts w:hint="eastAsia" w:ascii="宋体" w:hAnsi="宋体" w:eastAsia="宋体" w:cs="宋体"/>
          <w:color w:val="auto"/>
          <w:sz w:val="25"/>
          <w:szCs w:val="25"/>
          <w:u w:val="single"/>
          <w:lang w:eastAsia="zh-CN"/>
        </w:rPr>
        <w:t>绍兴市建设工程造价管理站</w:t>
      </w:r>
      <w:r>
        <w:rPr>
          <w:rFonts w:hint="eastAsia" w:ascii="宋体" w:hAnsi="宋体" w:eastAsia="宋体" w:cs="宋体"/>
          <w:color w:val="auto"/>
          <w:sz w:val="24"/>
          <w:szCs w:val="24"/>
          <w:lang w:eastAsia="zh-CN"/>
        </w:rPr>
        <w:t>发布的</w:t>
      </w:r>
      <w:r>
        <w:rPr>
          <w:rFonts w:hint="eastAsia" w:ascii="宋体" w:hAnsi="宋体" w:eastAsia="宋体" w:cs="宋体"/>
          <w:color w:val="auto"/>
          <w:sz w:val="25"/>
          <w:szCs w:val="25"/>
          <w:u w:val="single"/>
          <w:lang w:eastAsia="zh-CN"/>
        </w:rPr>
        <w:t>《绍兴市2026年4月建材市场信息价》</w:t>
      </w:r>
      <w:r>
        <w:rPr>
          <w:rFonts w:hint="eastAsia" w:ascii="宋体" w:hAnsi="宋体" w:eastAsia="宋体" w:cs="宋体"/>
          <w:color w:val="auto"/>
          <w:sz w:val="24"/>
          <w:szCs w:val="24"/>
          <w:lang w:eastAsia="zh-CN"/>
        </w:rPr>
        <w:t>中项目所在地信息价。如无信息价，则根据项目实施时的材料市场价由相关部门组织询价确定材料预算价格。</w:t>
      </w:r>
    </w:p>
    <w:p w14:paraId="73D6FDAC">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（3）机械台班单价按投标期浙江省现行水利水电工程施工机械台班定额和有关规定计算。</w:t>
      </w:r>
    </w:p>
    <w:p w14:paraId="19CEA397">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（4）定额采用投标期浙江省现行水利水电工程定额和有关规定，如浙江省水利工程定额不能满足计价，可采用部颁水利定额及其他相关行业定额的定额含量计价。</w:t>
      </w:r>
    </w:p>
    <w:p w14:paraId="27668989">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（5）取费费率采用投标期浙江省现行水利行业取费标准，按工程类别选取费率，对各项弹性区间费率取中间值。</w:t>
      </w:r>
    </w:p>
    <w:p w14:paraId="23B710A8">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（6）上述单价按以下计算的综合优惠率进行优惠。</w:t>
      </w:r>
    </w:p>
    <w:p w14:paraId="4106C63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综合优惠率＝[1－（投标人投标价－预留金－暂估价-安全生产措施费费）÷（本标段预算价-预留金－暂估价-安全生产措施费）]×100%。</w:t>
      </w:r>
    </w:p>
    <w:p w14:paraId="3BEFD765">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（7）按照上述仍无法组价的，根据市场招标或询价确定（不再计算综合优惠率优惠）。</w:t>
      </w:r>
    </w:p>
    <w:p w14:paraId="7B27113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98" w:name="bookmark356"/>
      <w:bookmarkEnd w:id="898"/>
      <w:r>
        <w:rPr>
          <w:rFonts w:hint="eastAsia" w:ascii="宋体" w:hAnsi="宋体" w:eastAsia="宋体" w:cs="宋体"/>
          <w:b/>
          <w:bCs/>
          <w:color w:val="auto"/>
          <w:sz w:val="24"/>
          <w:szCs w:val="24"/>
          <w:lang w:eastAsia="zh-CN"/>
        </w:rPr>
        <w:t>15.5　承包人的合理化建议</w:t>
      </w:r>
    </w:p>
    <w:p w14:paraId="24CD18F2">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15.5.2　</w:t>
      </w:r>
      <w:r>
        <w:rPr>
          <w:rFonts w:hint="eastAsia" w:ascii="宋体" w:hAnsi="宋体" w:eastAsia="宋体" w:cs="宋体"/>
          <w:color w:val="auto"/>
          <w:sz w:val="24"/>
          <w:szCs w:val="24"/>
          <w:lang w:eastAsia="zh-CN"/>
        </w:rPr>
        <w:t>承包人实现合理化建议的奖励金额为：</w:t>
      </w:r>
      <w:r>
        <w:rPr>
          <w:rFonts w:hint="eastAsia" w:ascii="宋体" w:hAnsi="宋体" w:eastAsia="宋体" w:cs="宋体"/>
          <w:color w:val="auto"/>
          <w:sz w:val="24"/>
          <w:szCs w:val="24"/>
          <w:u w:val="single"/>
          <w:lang w:eastAsia="zh-CN"/>
        </w:rPr>
        <w:t>　／　</w:t>
      </w:r>
      <w:r>
        <w:rPr>
          <w:rFonts w:hint="eastAsia" w:ascii="宋体" w:hAnsi="宋体" w:eastAsia="宋体" w:cs="宋体"/>
          <w:color w:val="auto"/>
          <w:sz w:val="24"/>
          <w:szCs w:val="24"/>
          <w:lang w:eastAsia="zh-CN"/>
        </w:rPr>
        <w:t>。</w:t>
      </w:r>
    </w:p>
    <w:p w14:paraId="6B42AFF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899" w:name="bookmark357"/>
      <w:bookmarkEnd w:id="899"/>
      <w:r>
        <w:rPr>
          <w:rFonts w:hint="eastAsia" w:ascii="宋体" w:hAnsi="宋体" w:eastAsia="宋体" w:cs="宋体"/>
          <w:b/>
          <w:bCs/>
          <w:color w:val="auto"/>
          <w:sz w:val="24"/>
          <w:szCs w:val="24"/>
          <w:lang w:eastAsia="zh-CN"/>
        </w:rPr>
        <w:t>15.8　暂估价</w:t>
      </w:r>
    </w:p>
    <w:p w14:paraId="78665FF6">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15.8.1</w:t>
      </w:r>
      <w:r>
        <w:rPr>
          <w:rFonts w:hint="eastAsia" w:ascii="宋体" w:hAnsi="宋体" w:eastAsia="宋体" w:cs="宋体"/>
          <w:color w:val="auto"/>
          <w:sz w:val="24"/>
          <w:szCs w:val="24"/>
          <w:lang w:eastAsia="zh-CN"/>
        </w:rPr>
        <w:t>（1）发包人和承包人组织招标的暂估价项目：</w:t>
      </w:r>
      <w:r>
        <w:rPr>
          <w:rFonts w:hint="eastAsia" w:ascii="宋体" w:hAnsi="宋体" w:eastAsia="宋体" w:cs="宋体"/>
          <w:color w:val="auto"/>
          <w:sz w:val="24"/>
          <w:szCs w:val="24"/>
          <w:u w:val="single"/>
          <w:lang w:eastAsia="zh-CN"/>
        </w:rPr>
        <w:t>（签约后填入）</w:t>
      </w:r>
      <w:r>
        <w:rPr>
          <w:rFonts w:hint="eastAsia" w:ascii="宋体" w:hAnsi="宋体" w:eastAsia="宋体" w:cs="宋体"/>
          <w:color w:val="auto"/>
          <w:sz w:val="24"/>
          <w:szCs w:val="24"/>
          <w:lang w:eastAsia="zh-CN"/>
        </w:rPr>
        <w:t>；发包人组织招标的暂估价项目：</w:t>
      </w:r>
      <w:r>
        <w:rPr>
          <w:rFonts w:hint="eastAsia" w:ascii="宋体" w:hAnsi="宋体" w:eastAsia="宋体" w:cs="宋体"/>
          <w:color w:val="auto"/>
          <w:sz w:val="24"/>
          <w:szCs w:val="24"/>
          <w:u w:val="single"/>
          <w:lang w:eastAsia="zh-CN"/>
        </w:rPr>
        <w:t>（签约后填入）</w:t>
      </w:r>
      <w:r>
        <w:rPr>
          <w:rFonts w:hint="eastAsia" w:ascii="宋体" w:hAnsi="宋体" w:eastAsia="宋体" w:cs="宋体"/>
          <w:color w:val="auto"/>
          <w:sz w:val="24"/>
          <w:szCs w:val="24"/>
          <w:lang w:eastAsia="zh-CN"/>
        </w:rPr>
        <w:t>。</w:t>
      </w:r>
    </w:p>
    <w:p w14:paraId="0A7C65AB">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（2）发包人和承包人以招标方式选择暂估价项目供应商或分包人时，双方的权利义务关系：</w:t>
      </w:r>
      <w:r>
        <w:rPr>
          <w:rFonts w:hint="eastAsia" w:ascii="宋体" w:hAnsi="宋体" w:eastAsia="宋体" w:cs="宋体"/>
          <w:color w:val="auto"/>
          <w:sz w:val="24"/>
          <w:szCs w:val="24"/>
          <w:u w:val="single"/>
          <w:lang w:eastAsia="zh-CN"/>
        </w:rPr>
        <w:t>承包人负责对</w:t>
      </w:r>
      <w:r>
        <w:rPr>
          <w:rFonts w:hint="eastAsia" w:ascii="宋体" w:hAnsi="宋体" w:eastAsia="宋体" w:cs="宋体"/>
          <w:color w:val="auto"/>
          <w:sz w:val="24"/>
          <w:szCs w:val="24"/>
          <w:lang w:eastAsia="zh-CN"/>
        </w:rPr>
        <w:t>暂估价项目的供应商或分包人实施管理，并承担连带责任。暂估价项目供应商或分包人的工程款应纳入承包人的工程款管理范畴，依照本合同的相关条款执行。发包人对于暂估价项目供应商或分包人完成工程所产生的款项，不另行支付总承包管理费。</w:t>
      </w:r>
    </w:p>
    <w:p w14:paraId="615509FD">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900" w:name="bookmark359"/>
      <w:bookmarkEnd w:id="900"/>
      <w:bookmarkStart w:id="901" w:name="bookmark358"/>
      <w:bookmarkEnd w:id="901"/>
      <w:bookmarkStart w:id="902" w:name="_Toc10634"/>
      <w:bookmarkStart w:id="903" w:name="_Toc11820"/>
      <w:bookmarkStart w:id="904" w:name="_Toc31712"/>
      <w:bookmarkStart w:id="905" w:name="_Toc11213"/>
      <w:r>
        <w:rPr>
          <w:rFonts w:hint="eastAsia" w:ascii="宋体" w:hAnsi="宋体" w:eastAsia="宋体" w:cs="宋体"/>
          <w:b/>
          <w:bCs/>
          <w:color w:val="auto"/>
          <w:sz w:val="28"/>
          <w:szCs w:val="28"/>
          <w:lang w:eastAsia="zh-CN"/>
        </w:rPr>
        <w:t>16　价格调整</w:t>
      </w:r>
      <w:bookmarkEnd w:id="902"/>
      <w:bookmarkEnd w:id="903"/>
      <w:bookmarkEnd w:id="904"/>
      <w:bookmarkEnd w:id="905"/>
    </w:p>
    <w:p w14:paraId="166D29F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06" w:name="bookmark726"/>
      <w:bookmarkEnd w:id="906"/>
      <w:r>
        <w:rPr>
          <w:rFonts w:hint="eastAsia" w:ascii="宋体" w:hAnsi="宋体" w:eastAsia="宋体" w:cs="宋体"/>
          <w:b/>
          <w:bCs/>
          <w:color w:val="auto"/>
          <w:sz w:val="24"/>
          <w:szCs w:val="24"/>
          <w:lang w:eastAsia="zh-CN"/>
        </w:rPr>
        <w:t>16.1　物价波动引起的价格调整</w:t>
      </w:r>
    </w:p>
    <w:p w14:paraId="74EEE621">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物价波动引起的价格调整方式：</w:t>
      </w:r>
      <w:r>
        <w:rPr>
          <w:rFonts w:hint="eastAsia" w:ascii="宋体" w:hAnsi="宋体" w:eastAsia="宋体" w:cs="宋体"/>
          <w:color w:val="auto"/>
          <w:sz w:val="24"/>
          <w:szCs w:val="24"/>
          <w:u w:val="single"/>
          <w:lang w:eastAsia="zh-CN"/>
        </w:rPr>
        <w:t>采用造价信息调整价格差额。</w:t>
      </w:r>
    </w:p>
    <w:p w14:paraId="0BFF6931">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16.1.2　</w:t>
      </w:r>
      <w:r>
        <w:rPr>
          <w:rFonts w:hint="eastAsia" w:ascii="宋体" w:hAnsi="宋体" w:eastAsia="宋体" w:cs="宋体"/>
          <w:color w:val="auto"/>
          <w:sz w:val="24"/>
          <w:szCs w:val="24"/>
          <w:lang w:eastAsia="zh-CN"/>
        </w:rPr>
        <w:t>约定为：合同执行期间，仅对合同工程的</w:t>
      </w:r>
      <w:r>
        <w:rPr>
          <w:rFonts w:hint="eastAsia" w:ascii="宋体" w:hAnsi="宋体" w:eastAsia="宋体" w:cs="宋体"/>
          <w:color w:val="auto"/>
          <w:sz w:val="24"/>
          <w:szCs w:val="24"/>
          <w:u w:val="single"/>
          <w:lang w:eastAsia="zh-CN"/>
        </w:rPr>
        <w:t>　单价承包部分　</w:t>
      </w:r>
      <w:r>
        <w:rPr>
          <w:rFonts w:hint="eastAsia" w:ascii="宋体" w:hAnsi="宋体" w:eastAsia="宋体" w:cs="宋体"/>
          <w:color w:val="auto"/>
          <w:sz w:val="24"/>
          <w:szCs w:val="24"/>
          <w:lang w:eastAsia="zh-CN"/>
        </w:rPr>
        <w:t>进行价格调差。</w:t>
      </w:r>
    </w:p>
    <w:p w14:paraId="6073312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（1）在合同执行期间，人工预算单价调整执行浙江省水利厅关于人工预算单价调整的相关文件。</w:t>
      </w:r>
    </w:p>
    <w:p w14:paraId="3E3263EA">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（2）在合同执行期间，主要材料</w:t>
      </w:r>
      <w:r>
        <w:rPr>
          <w:rFonts w:hint="eastAsia" w:ascii="宋体" w:hAnsi="宋体" w:eastAsia="宋体" w:cs="宋体"/>
          <w:color w:val="auto"/>
          <w:sz w:val="25"/>
          <w:szCs w:val="25"/>
          <w:u w:val="single"/>
          <w:lang w:eastAsia="zh-CN"/>
        </w:rPr>
        <w:t>　钢筋、商品砼、水泥（商品砼中的水泥除外）　</w:t>
      </w:r>
      <w:r>
        <w:rPr>
          <w:rFonts w:hint="eastAsia" w:ascii="宋体" w:hAnsi="宋体" w:eastAsia="宋体" w:cs="宋体"/>
          <w:color w:val="auto"/>
          <w:sz w:val="24"/>
          <w:szCs w:val="24"/>
          <w:lang w:eastAsia="zh-CN"/>
        </w:rPr>
        <w:t>上下浮动超过</w:t>
      </w:r>
      <w:r>
        <w:rPr>
          <w:rFonts w:hint="eastAsia" w:ascii="宋体" w:hAnsi="宋体" w:eastAsia="宋体" w:cs="宋体"/>
          <w:color w:val="auto"/>
          <w:sz w:val="24"/>
          <w:szCs w:val="24"/>
          <w:u w:val="single"/>
          <w:lang w:eastAsia="zh-CN"/>
        </w:rPr>
        <w:t>5</w:t>
      </w:r>
      <w:r>
        <w:rPr>
          <w:rFonts w:hint="eastAsia" w:ascii="宋体" w:hAnsi="宋体" w:eastAsia="宋体" w:cs="宋体"/>
          <w:color w:val="auto"/>
          <w:sz w:val="24"/>
          <w:szCs w:val="24"/>
          <w:lang w:eastAsia="zh-CN"/>
        </w:rPr>
        <w:t>%时应进行价格调整。价格调整按工程进度款结算周期进行，以投标期基价与施工期项目所在地造价管理部门发布的信息价对照计算，对其价格超过±</w:t>
      </w:r>
      <w:r>
        <w:rPr>
          <w:rFonts w:hint="eastAsia" w:ascii="宋体" w:hAnsi="宋体" w:eastAsia="宋体" w:cs="宋体"/>
          <w:color w:val="auto"/>
          <w:sz w:val="24"/>
          <w:szCs w:val="24"/>
          <w:u w:val="single"/>
          <w:lang w:eastAsia="zh-CN"/>
        </w:rPr>
        <w:t>5</w:t>
      </w:r>
      <w:r>
        <w:rPr>
          <w:rFonts w:hint="eastAsia" w:ascii="宋体" w:hAnsi="宋体" w:eastAsia="宋体" w:cs="宋体"/>
          <w:color w:val="auto"/>
          <w:sz w:val="24"/>
          <w:szCs w:val="24"/>
          <w:lang w:eastAsia="zh-CN"/>
        </w:rPr>
        <w:t>%部分进行调整（只计材料信息价差价及其税金）。</w:t>
      </w:r>
    </w:p>
    <w:p w14:paraId="2E2FD6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投标期的基价是指</w:t>
      </w:r>
      <w:r>
        <w:rPr>
          <w:rFonts w:hint="eastAsia" w:ascii="宋体" w:hAnsi="宋体" w:eastAsia="宋体" w:cs="宋体"/>
          <w:color w:val="auto"/>
          <w:sz w:val="25"/>
          <w:szCs w:val="25"/>
          <w:u w:val="single"/>
          <w:lang w:eastAsia="zh-CN"/>
        </w:rPr>
        <w:t>　</w:t>
      </w:r>
      <w:r>
        <w:rPr>
          <w:rFonts w:hint="eastAsia" w:ascii="宋体" w:hAnsi="宋体" w:eastAsia="宋体" w:cs="宋体"/>
          <w:i/>
          <w:iCs/>
          <w:color w:val="auto"/>
          <w:sz w:val="25"/>
          <w:szCs w:val="25"/>
          <w:u w:val="single"/>
          <w:lang w:eastAsia="zh-CN"/>
        </w:rPr>
        <w:t>绍兴市建设工程造价管理站</w:t>
      </w:r>
      <w:r>
        <w:rPr>
          <w:rFonts w:hint="eastAsia" w:ascii="宋体" w:hAnsi="宋体" w:eastAsia="宋体" w:cs="宋体"/>
          <w:color w:val="auto"/>
          <w:sz w:val="25"/>
          <w:szCs w:val="25"/>
          <w:u w:val="single"/>
          <w:lang w:eastAsia="zh-CN"/>
        </w:rPr>
        <w:t>　</w:t>
      </w:r>
      <w:r>
        <w:rPr>
          <w:rFonts w:hint="eastAsia" w:ascii="宋体" w:hAnsi="宋体" w:eastAsia="宋体" w:cs="宋体"/>
          <w:color w:val="auto"/>
          <w:sz w:val="24"/>
          <w:szCs w:val="24"/>
          <w:lang w:eastAsia="zh-CN"/>
        </w:rPr>
        <w:t>发布的</w:t>
      </w:r>
      <w:r>
        <w:rPr>
          <w:rFonts w:hint="eastAsia" w:ascii="宋体" w:hAnsi="宋体" w:eastAsia="宋体" w:cs="宋体"/>
          <w:color w:val="auto"/>
          <w:sz w:val="25"/>
          <w:szCs w:val="25"/>
          <w:u w:val="single"/>
          <w:lang w:eastAsia="zh-CN"/>
        </w:rPr>
        <w:t>　《绍兴市2026年4月建材市场信息价》　</w:t>
      </w:r>
      <w:r>
        <w:rPr>
          <w:rFonts w:hint="eastAsia" w:ascii="宋体" w:hAnsi="宋体" w:eastAsia="宋体" w:cs="宋体"/>
          <w:color w:val="auto"/>
          <w:sz w:val="24"/>
          <w:szCs w:val="24"/>
          <w:lang w:eastAsia="zh-CN"/>
        </w:rPr>
        <w:t>中项目所在地信息价。材料数量按当月实际完成的工程量及投标文件单价分析表中的材料含量计算，最终补差材料的数量（工程量清单增减部分除外）不应超过现行浙江省水利定额计算的总用量。</w:t>
      </w:r>
    </w:p>
    <w:p w14:paraId="7C3D676B">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（3）其他材料的价格按当前的市场价考虑风险系数进入单价，在合同执行期内不作调整，价格风险由承包人自负。</w:t>
      </w:r>
    </w:p>
    <w:p w14:paraId="5AB56217">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（4）因工期延误产生的人工、材料、施工机械台班等价格变化</w:t>
      </w:r>
    </w:p>
    <w:p w14:paraId="7B80EDAF">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1）因发包人原因或者非承发包双方原因造成工期延误的，延误期间价格上涨造成的价差由发包人承担，价差（正值）计入工程造价；反之，价格下降造成的价差则由承包人收益，价差（负值）不计入工程造价。</w:t>
      </w:r>
    </w:p>
    <w:p w14:paraId="1C2B50E8">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2）因承包人原因造成工期延误的，延误期间价格上涨造成的价差由承包人承担，价差（正值）不计入工程造价；反之，价格下降造成的价差则由发包人收益，价差（负值）计入工程造价。</w:t>
      </w:r>
    </w:p>
    <w:p w14:paraId="44CB9159">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907" w:name="bookmark360"/>
      <w:bookmarkEnd w:id="907"/>
      <w:bookmarkStart w:id="908" w:name="_Toc7796"/>
      <w:bookmarkStart w:id="909" w:name="_Toc22758"/>
      <w:bookmarkStart w:id="910" w:name="_Toc9953"/>
      <w:bookmarkStart w:id="911" w:name="_Toc20966"/>
      <w:r>
        <w:rPr>
          <w:rFonts w:hint="eastAsia" w:ascii="宋体" w:hAnsi="宋体" w:eastAsia="宋体" w:cs="宋体"/>
          <w:b/>
          <w:bCs/>
          <w:color w:val="auto"/>
          <w:sz w:val="28"/>
          <w:szCs w:val="28"/>
          <w:lang w:eastAsia="zh-CN"/>
        </w:rPr>
        <w:t>17　计量与支付</w:t>
      </w:r>
      <w:bookmarkEnd w:id="908"/>
      <w:bookmarkEnd w:id="909"/>
      <w:bookmarkEnd w:id="910"/>
      <w:bookmarkEnd w:id="911"/>
    </w:p>
    <w:p w14:paraId="5093DE9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12" w:name="bookmark361"/>
      <w:bookmarkEnd w:id="912"/>
      <w:r>
        <w:rPr>
          <w:rFonts w:hint="eastAsia" w:ascii="宋体" w:hAnsi="宋体" w:eastAsia="宋体" w:cs="宋体"/>
          <w:b/>
          <w:bCs/>
          <w:color w:val="auto"/>
          <w:sz w:val="24"/>
          <w:szCs w:val="24"/>
          <w:lang w:eastAsia="zh-CN"/>
        </w:rPr>
        <w:t>17.2　预付款</w:t>
      </w:r>
    </w:p>
    <w:p w14:paraId="53CF5033">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17.2.1　</w:t>
      </w:r>
      <w:r>
        <w:rPr>
          <w:rFonts w:hint="eastAsia" w:ascii="宋体" w:hAnsi="宋体" w:eastAsia="宋体" w:cs="宋体"/>
          <w:color w:val="auto"/>
          <w:sz w:val="24"/>
          <w:szCs w:val="24"/>
          <w:lang w:eastAsia="zh-CN"/>
        </w:rPr>
        <w:t>预付款</w:t>
      </w:r>
    </w:p>
    <w:p w14:paraId="53448C58">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付款的金额或比例为：工程预付款的总金额为签约合同价(扣除安全施工费、保险费)的20%。预付款支付期限：在发包人收到承包人提交的预付款保函(银行保函)后，由承包人提出书面申请，并经监理人出具付款证书报送发包人批准后28天内一次性予以支付。</w:t>
      </w:r>
    </w:p>
    <w:p w14:paraId="07C8E151">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（2）工程材料预付款的额度和预付办法约定为：</w:t>
      </w:r>
      <w:r>
        <w:rPr>
          <w:rFonts w:hint="eastAsia" w:ascii="宋体" w:hAnsi="宋体" w:eastAsia="宋体" w:cs="宋体"/>
          <w:color w:val="auto"/>
          <w:sz w:val="24"/>
          <w:szCs w:val="24"/>
          <w:u w:val="single"/>
          <w:lang w:eastAsia="zh-CN"/>
        </w:rPr>
        <w:t>　/　</w:t>
      </w:r>
      <w:r>
        <w:rPr>
          <w:rFonts w:hint="eastAsia" w:ascii="宋体" w:hAnsi="宋体" w:eastAsia="宋体" w:cs="宋体"/>
          <w:color w:val="auto"/>
          <w:sz w:val="24"/>
          <w:szCs w:val="24"/>
          <w:lang w:eastAsia="zh-CN"/>
        </w:rPr>
        <w:t>。</w:t>
      </w:r>
    </w:p>
    <w:p w14:paraId="40788FA2">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17.2.3　</w:t>
      </w:r>
      <w:r>
        <w:rPr>
          <w:rFonts w:hint="eastAsia" w:ascii="宋体" w:hAnsi="宋体" w:eastAsia="宋体" w:cs="宋体"/>
          <w:color w:val="auto"/>
          <w:sz w:val="24"/>
          <w:szCs w:val="24"/>
          <w:lang w:eastAsia="zh-CN"/>
        </w:rPr>
        <w:t>预付款的扣回与还清</w:t>
      </w:r>
    </w:p>
    <w:p w14:paraId="6C2AFDF6">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（1）预付款扣回方式：从第11期工程进度款起扣，按当期审定后的工程产值的40%扣回，直至预付款足额扣回。</w:t>
      </w:r>
    </w:p>
    <w:p w14:paraId="485DA47A">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（2）工程材料预付款的扣回与还清约定为：</w:t>
      </w:r>
      <w:r>
        <w:rPr>
          <w:rFonts w:hint="eastAsia" w:ascii="宋体" w:hAnsi="宋体" w:eastAsia="宋体" w:cs="宋体"/>
          <w:color w:val="auto"/>
          <w:sz w:val="24"/>
          <w:szCs w:val="24"/>
          <w:u w:val="single"/>
          <w:lang w:eastAsia="zh-CN"/>
        </w:rPr>
        <w:t>　/　</w:t>
      </w:r>
      <w:r>
        <w:rPr>
          <w:rFonts w:hint="eastAsia" w:ascii="宋体" w:hAnsi="宋体" w:eastAsia="宋体" w:cs="宋体"/>
          <w:color w:val="auto"/>
          <w:sz w:val="24"/>
          <w:szCs w:val="24"/>
          <w:lang w:eastAsia="zh-CN"/>
        </w:rPr>
        <w:t>。</w:t>
      </w:r>
    </w:p>
    <w:p w14:paraId="4B7BBB8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13" w:name="bookmark362"/>
      <w:bookmarkEnd w:id="913"/>
      <w:r>
        <w:rPr>
          <w:rFonts w:hint="eastAsia" w:ascii="宋体" w:hAnsi="宋体" w:eastAsia="宋体" w:cs="宋体"/>
          <w:b/>
          <w:bCs/>
          <w:color w:val="auto"/>
          <w:sz w:val="24"/>
          <w:szCs w:val="24"/>
          <w:lang w:eastAsia="zh-CN"/>
        </w:rPr>
        <w:t>17.3　工程进度付款</w:t>
      </w:r>
    </w:p>
    <w:p w14:paraId="64D70B41">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17.3.2　</w:t>
      </w:r>
      <w:r>
        <w:rPr>
          <w:rFonts w:hint="eastAsia" w:ascii="宋体" w:hAnsi="宋体" w:eastAsia="宋体" w:cs="宋体"/>
          <w:color w:val="auto"/>
          <w:sz w:val="24"/>
          <w:szCs w:val="24"/>
          <w:lang w:eastAsia="zh-CN"/>
        </w:rPr>
        <w:t>承包人在每个付款周期末向监理人提交进度付款申请单的份数：</w:t>
      </w:r>
      <w:r>
        <w:rPr>
          <w:rFonts w:hint="eastAsia" w:ascii="宋体" w:hAnsi="宋体" w:eastAsia="宋体" w:cs="宋体"/>
          <w:color w:val="auto"/>
          <w:sz w:val="24"/>
          <w:szCs w:val="24"/>
          <w:u w:val="single"/>
          <w:lang w:eastAsia="zh-CN"/>
        </w:rPr>
        <w:t>8</w:t>
      </w:r>
      <w:r>
        <w:rPr>
          <w:rFonts w:hint="eastAsia" w:ascii="宋体" w:hAnsi="宋体" w:eastAsia="宋体" w:cs="宋体"/>
          <w:color w:val="auto"/>
          <w:sz w:val="24"/>
          <w:szCs w:val="24"/>
          <w:lang w:eastAsia="zh-CN"/>
        </w:rPr>
        <w:t>份。</w:t>
      </w:r>
    </w:p>
    <w:p w14:paraId="28D7A032">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17.3.3　</w:t>
      </w:r>
      <w:r>
        <w:rPr>
          <w:rFonts w:hint="eastAsia" w:ascii="宋体" w:hAnsi="宋体" w:eastAsia="宋体" w:cs="宋体"/>
          <w:color w:val="auto"/>
          <w:sz w:val="24"/>
          <w:szCs w:val="24"/>
          <w:lang w:eastAsia="zh-CN"/>
        </w:rPr>
        <w:t>进度付款证书和支付时间</w:t>
      </w:r>
    </w:p>
    <w:p w14:paraId="732960FF">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（1）细化为：</w:t>
      </w:r>
    </w:p>
    <w:p w14:paraId="157B17BE">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安费部分工程进度款：工程进度款按建设单位和监理单位审定工程月进度款的85%进行支付，待工程完工验收合格，递交齐全的工程结算资料后支付至建设单位和监理单位审定工程款的90%；工程结算审价并移交全部工程档案资料后支付至全部工程结算价(以建设单位委托的第三方审核为准，下同)的98.5%(如承包人另以保函形式提交了工程质量保证金的，则此次支付至工程结算价的100%)；工程结算价的1.5%(不计息)作为工程质量保证金(工程完工结算时扣留或以保函形式提供)，在缺陷责任期结束后退还(不计息，多退少补)。</w:t>
      </w:r>
    </w:p>
    <w:p w14:paraId="2E4A864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设备费：工程设备采购合同签订的当月，支付该项工程设备总价的50%；工程设备按批次进场、安装调试并验收合格当月，支付至批次工程设备总价的90%；经工程结算审价后支付至工程设备结算价的98.5%(如承包人另以保函形式提交了工程质量保证金的，则此次支付至工程结算价的100%)；工程结算价的1.5%(不计息)作为工程质量保证金(工程完工结算时扣留或以保函形式提供)，在竣工验收后且缺陷责任期结束后退还(不计息，多退少补)。</w:t>
      </w:r>
    </w:p>
    <w:p w14:paraId="7C0F0D3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其他费用：</w:t>
      </w:r>
    </w:p>
    <w:p w14:paraId="687BD21F">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①安全生产措施费：工程开工后一个月内支付安全生产措施费的50%，其后支付的安全生产措施费按实支付，并在工程完工结算审核完成后一次性结清(对照投标金额少扣多不补)；</w:t>
      </w:r>
    </w:p>
    <w:p w14:paraId="7138DDEE">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②保险费在结算时实报实销。</w:t>
      </w:r>
    </w:p>
    <w:p w14:paraId="2DA6D82A">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农民工工资支付管理按照省市相关文件要求，施工单位在工程开工前须在工程所在区县范围内任一银行开设农民工工资专用账户，专门用于支付农民工工资，实行人工费与其他工程款分账管理。建设单位按月进度工程款中的建安工程费的15%作为民工工资款，于每月25日前打入该项目的农民工工资专用账户，此账户专项用于支付农民工工资，不得挪作他用。实行过程中人工费比例调整按相关文件执行。</w:t>
      </w:r>
    </w:p>
    <w:p w14:paraId="74BFA1E4">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进度付款款的发票按建设单位和监理单位审定工程款金额开具。</w:t>
      </w:r>
    </w:p>
    <w:p w14:paraId="76B29179">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（2）本款中规定的逾期付款违约金为按中国人民银行规定的同期贷款基准利率计算的逾期付款金额的利息。</w:t>
      </w:r>
    </w:p>
    <w:p w14:paraId="3B83D3A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14" w:name="bookmark363"/>
      <w:bookmarkEnd w:id="914"/>
      <w:r>
        <w:rPr>
          <w:rFonts w:hint="eastAsia" w:ascii="宋体" w:hAnsi="宋体" w:eastAsia="宋体" w:cs="宋体"/>
          <w:b/>
          <w:bCs/>
          <w:color w:val="auto"/>
          <w:sz w:val="24"/>
          <w:szCs w:val="24"/>
          <w:lang w:eastAsia="zh-CN"/>
        </w:rPr>
        <w:t>17.4　质量保证金</w:t>
      </w:r>
    </w:p>
    <w:p w14:paraId="4B5BA1E2">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17.4.1　</w:t>
      </w:r>
      <w:r>
        <w:rPr>
          <w:rFonts w:hint="eastAsia" w:ascii="宋体" w:hAnsi="宋体" w:eastAsia="宋体" w:cs="宋体"/>
          <w:color w:val="auto"/>
          <w:sz w:val="24"/>
          <w:szCs w:val="24"/>
          <w:lang w:eastAsia="zh-CN"/>
        </w:rPr>
        <w:t>质量保证金总额为完工结算价款总额的</w:t>
      </w:r>
      <w:r>
        <w:rPr>
          <w:rFonts w:hint="eastAsia" w:ascii="宋体" w:hAnsi="宋体" w:eastAsia="宋体" w:cs="宋体"/>
          <w:color w:val="auto"/>
          <w:sz w:val="24"/>
          <w:szCs w:val="24"/>
          <w:u w:val="single"/>
          <w:lang w:eastAsia="zh-CN"/>
        </w:rPr>
        <w:t>1.5</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lang w:eastAsia="zh-CN"/>
        </w:rPr>
        <w:t>（不得超过</w:t>
      </w:r>
      <w:r>
        <w:rPr>
          <w:rFonts w:hint="eastAsia" w:ascii="宋体" w:hAnsi="宋体" w:eastAsia="宋体" w:cs="宋体"/>
          <w:i/>
          <w:iCs/>
          <w:color w:val="auto"/>
          <w:sz w:val="24"/>
          <w:szCs w:val="24"/>
          <w:lang w:eastAsia="zh-CN"/>
        </w:rPr>
        <w:t>1.5%</w:t>
      </w:r>
      <w:r>
        <w:rPr>
          <w:rFonts w:hint="eastAsia" w:ascii="宋体" w:hAnsi="宋体" w:eastAsia="宋体" w:cs="宋体"/>
          <w:i/>
          <w:iCs/>
          <w:color w:val="auto"/>
          <w:sz w:val="25"/>
          <w:szCs w:val="25"/>
          <w:lang w:eastAsia="zh-CN"/>
        </w:rPr>
        <w:t>）</w:t>
      </w:r>
      <w:r>
        <w:rPr>
          <w:rFonts w:hint="eastAsia" w:ascii="宋体" w:hAnsi="宋体" w:eastAsia="宋体" w:cs="宋体"/>
          <w:color w:val="auto"/>
          <w:sz w:val="24"/>
          <w:szCs w:val="24"/>
          <w:lang w:eastAsia="zh-CN"/>
        </w:rPr>
        <w:t>。</w:t>
      </w:r>
    </w:p>
    <w:p w14:paraId="155E2A6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15" w:name="bookmark364"/>
      <w:bookmarkEnd w:id="915"/>
      <w:r>
        <w:rPr>
          <w:rFonts w:hint="eastAsia" w:ascii="宋体" w:hAnsi="宋体" w:eastAsia="宋体" w:cs="宋体"/>
          <w:b/>
          <w:bCs/>
          <w:color w:val="auto"/>
          <w:sz w:val="24"/>
          <w:szCs w:val="24"/>
          <w:lang w:eastAsia="zh-CN"/>
        </w:rPr>
        <w:t>17.5　完工结算</w:t>
      </w:r>
    </w:p>
    <w:p w14:paraId="588C8575">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17.5.1　</w:t>
      </w:r>
      <w:r>
        <w:rPr>
          <w:rFonts w:hint="eastAsia" w:ascii="宋体" w:hAnsi="宋体" w:eastAsia="宋体" w:cs="宋体"/>
          <w:color w:val="auto"/>
          <w:sz w:val="24"/>
          <w:szCs w:val="24"/>
          <w:lang w:eastAsia="zh-CN"/>
        </w:rPr>
        <w:t>完工付款申请单</w:t>
      </w:r>
    </w:p>
    <w:p w14:paraId="21E8B884">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（1）承包人应提交完工付款申请单一式</w:t>
      </w:r>
      <w:r>
        <w:rPr>
          <w:rFonts w:hint="eastAsia" w:ascii="宋体" w:hAnsi="宋体" w:eastAsia="宋体" w:cs="宋体"/>
          <w:color w:val="auto"/>
          <w:sz w:val="24"/>
          <w:szCs w:val="24"/>
          <w:u w:val="single"/>
          <w:lang w:eastAsia="zh-CN"/>
        </w:rPr>
        <w:t>8</w:t>
      </w:r>
      <w:r>
        <w:rPr>
          <w:rFonts w:hint="eastAsia" w:ascii="宋体" w:hAnsi="宋体" w:eastAsia="宋体" w:cs="宋体"/>
          <w:color w:val="auto"/>
          <w:sz w:val="24"/>
          <w:szCs w:val="24"/>
          <w:lang w:eastAsia="zh-CN"/>
        </w:rPr>
        <w:t>份。</w:t>
      </w:r>
    </w:p>
    <w:p w14:paraId="77FB5FB7">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17.5.2　</w:t>
      </w:r>
      <w:r>
        <w:rPr>
          <w:rFonts w:hint="eastAsia" w:ascii="宋体" w:hAnsi="宋体" w:eastAsia="宋体" w:cs="宋体"/>
          <w:color w:val="auto"/>
          <w:sz w:val="24"/>
          <w:szCs w:val="24"/>
          <w:lang w:eastAsia="zh-CN"/>
        </w:rPr>
        <w:t>完工付款证书及支付时间</w:t>
      </w:r>
    </w:p>
    <w:p w14:paraId="0193DF6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（2）自承包人提交真实、完整的结算送审资料至发包人起算，发包人出具结算审核报告周期不超过</w:t>
      </w:r>
      <w:r>
        <w:rPr>
          <w:rFonts w:hint="eastAsia" w:ascii="宋体" w:hAnsi="宋体" w:eastAsia="宋体" w:cs="宋体"/>
          <w:color w:val="auto"/>
          <w:sz w:val="24"/>
          <w:szCs w:val="24"/>
          <w:u w:val="single"/>
          <w:lang w:eastAsia="zh-CN"/>
        </w:rPr>
        <w:t>　6　</w:t>
      </w:r>
      <w:r>
        <w:rPr>
          <w:rFonts w:hint="eastAsia" w:ascii="宋体" w:hAnsi="宋体" w:eastAsia="宋体" w:cs="宋体"/>
          <w:color w:val="auto"/>
          <w:sz w:val="24"/>
          <w:szCs w:val="24"/>
          <w:lang w:eastAsia="zh-CN"/>
        </w:rPr>
        <w:t>个月</w:t>
      </w:r>
      <w:r>
        <w:rPr>
          <w:rFonts w:hint="eastAsia" w:ascii="宋体" w:hAnsi="宋体" w:eastAsia="宋体" w:cs="宋体"/>
          <w:i/>
          <w:iCs/>
          <w:color w:val="auto"/>
          <w:sz w:val="25"/>
          <w:szCs w:val="25"/>
          <w:lang w:eastAsia="zh-CN"/>
        </w:rPr>
        <w:t>（最长不超过</w:t>
      </w:r>
      <w:r>
        <w:rPr>
          <w:rFonts w:hint="eastAsia" w:ascii="宋体" w:hAnsi="宋体" w:eastAsia="宋体" w:cs="宋体"/>
          <w:i/>
          <w:iCs/>
          <w:color w:val="auto"/>
          <w:sz w:val="24"/>
          <w:szCs w:val="24"/>
          <w:lang w:eastAsia="zh-CN"/>
        </w:rPr>
        <w:t>6</w:t>
      </w:r>
      <w:r>
        <w:rPr>
          <w:rFonts w:hint="eastAsia" w:ascii="宋体" w:hAnsi="宋体" w:eastAsia="宋体" w:cs="宋体"/>
          <w:i/>
          <w:iCs/>
          <w:color w:val="auto"/>
          <w:sz w:val="25"/>
          <w:szCs w:val="25"/>
          <w:lang w:eastAsia="zh-CN"/>
        </w:rPr>
        <w:t>个月）</w:t>
      </w:r>
      <w:r>
        <w:rPr>
          <w:rFonts w:hint="eastAsia" w:ascii="宋体" w:hAnsi="宋体" w:eastAsia="宋体" w:cs="宋体"/>
          <w:color w:val="auto"/>
          <w:sz w:val="24"/>
          <w:szCs w:val="24"/>
          <w:lang w:eastAsia="zh-CN"/>
        </w:rPr>
        <w:t>。</w:t>
      </w:r>
    </w:p>
    <w:p w14:paraId="20EF1A7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16" w:name="bookmark365"/>
      <w:bookmarkEnd w:id="916"/>
      <w:r>
        <w:rPr>
          <w:rFonts w:hint="eastAsia" w:ascii="宋体" w:hAnsi="宋体" w:eastAsia="宋体" w:cs="宋体"/>
          <w:b/>
          <w:bCs/>
          <w:color w:val="auto"/>
          <w:sz w:val="24"/>
          <w:szCs w:val="24"/>
          <w:lang w:eastAsia="zh-CN"/>
        </w:rPr>
        <w:t>17.6　最终结清</w:t>
      </w:r>
    </w:p>
    <w:p w14:paraId="0FD6EDC0">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17.6.1　</w:t>
      </w:r>
      <w:r>
        <w:rPr>
          <w:rFonts w:hint="eastAsia" w:ascii="宋体" w:hAnsi="宋体" w:eastAsia="宋体" w:cs="宋体"/>
          <w:color w:val="auto"/>
          <w:sz w:val="24"/>
          <w:szCs w:val="24"/>
          <w:lang w:eastAsia="zh-CN"/>
        </w:rPr>
        <w:t>最终结清申请单</w:t>
      </w:r>
    </w:p>
    <w:p w14:paraId="436B854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（1）承包人应提交最终结清申请单一式</w:t>
      </w:r>
      <w:r>
        <w:rPr>
          <w:rFonts w:hint="eastAsia" w:ascii="宋体" w:hAnsi="宋体" w:eastAsia="宋体" w:cs="宋体"/>
          <w:color w:val="auto"/>
          <w:sz w:val="24"/>
          <w:szCs w:val="24"/>
          <w:u w:val="single"/>
          <w:lang w:eastAsia="zh-CN"/>
        </w:rPr>
        <w:t>8</w:t>
      </w:r>
      <w:r>
        <w:rPr>
          <w:rFonts w:hint="eastAsia" w:ascii="宋体" w:hAnsi="宋体" w:eastAsia="宋体" w:cs="宋体"/>
          <w:color w:val="auto"/>
          <w:sz w:val="24"/>
          <w:szCs w:val="24"/>
          <w:lang w:eastAsia="zh-CN"/>
        </w:rPr>
        <w:t>份。</w:t>
      </w:r>
    </w:p>
    <w:p w14:paraId="0EE5B30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17" w:name="bookmark366"/>
      <w:bookmarkEnd w:id="917"/>
      <w:r>
        <w:rPr>
          <w:rFonts w:hint="eastAsia" w:ascii="宋体" w:hAnsi="宋体" w:eastAsia="宋体" w:cs="宋体"/>
          <w:b/>
          <w:bCs/>
          <w:color w:val="auto"/>
          <w:sz w:val="24"/>
          <w:szCs w:val="24"/>
          <w:lang w:eastAsia="zh-CN"/>
        </w:rPr>
        <w:t>17.7　竣工财务决算</w:t>
      </w:r>
    </w:p>
    <w:p w14:paraId="1D12D43D">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承包人应为竣工财务决算编制提供的资料：</w:t>
      </w:r>
      <w:r>
        <w:rPr>
          <w:rFonts w:hint="eastAsia" w:ascii="宋体" w:hAnsi="宋体" w:eastAsia="宋体" w:cs="宋体"/>
          <w:color w:val="auto"/>
          <w:sz w:val="24"/>
          <w:szCs w:val="24"/>
          <w:u w:val="single"/>
          <w:lang w:eastAsia="zh-CN"/>
        </w:rPr>
        <w:t>财务决算所需的一切资料</w:t>
      </w:r>
      <w:r>
        <w:rPr>
          <w:rFonts w:hint="eastAsia" w:ascii="宋体" w:hAnsi="宋体" w:eastAsia="宋体" w:cs="宋体"/>
          <w:color w:val="auto"/>
          <w:sz w:val="24"/>
          <w:szCs w:val="24"/>
          <w:lang w:eastAsia="zh-CN"/>
        </w:rPr>
        <w:t>。</w:t>
      </w:r>
    </w:p>
    <w:p w14:paraId="7664EBD1">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918" w:name="bookmark367"/>
      <w:bookmarkEnd w:id="918"/>
      <w:bookmarkStart w:id="919" w:name="bookmark368"/>
      <w:bookmarkEnd w:id="919"/>
      <w:bookmarkStart w:id="920" w:name="_Toc30438"/>
      <w:bookmarkStart w:id="921" w:name="_Toc22494"/>
      <w:bookmarkStart w:id="922" w:name="_Toc12076"/>
      <w:bookmarkStart w:id="923" w:name="_Toc14498"/>
      <w:r>
        <w:rPr>
          <w:rFonts w:hint="eastAsia" w:ascii="宋体" w:hAnsi="宋体" w:eastAsia="宋体" w:cs="宋体"/>
          <w:b/>
          <w:bCs/>
          <w:color w:val="auto"/>
          <w:sz w:val="28"/>
          <w:szCs w:val="28"/>
          <w:lang w:eastAsia="zh-CN"/>
        </w:rPr>
        <w:t>18　工程验收</w:t>
      </w:r>
      <w:bookmarkEnd w:id="920"/>
      <w:bookmarkEnd w:id="921"/>
      <w:bookmarkEnd w:id="922"/>
      <w:bookmarkEnd w:id="923"/>
    </w:p>
    <w:p w14:paraId="18B7B1F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24" w:name="bookmark727"/>
      <w:bookmarkEnd w:id="924"/>
      <w:r>
        <w:rPr>
          <w:rFonts w:hint="eastAsia" w:ascii="宋体" w:hAnsi="宋体" w:eastAsia="宋体" w:cs="宋体"/>
          <w:b/>
          <w:bCs/>
          <w:color w:val="auto"/>
          <w:sz w:val="24"/>
          <w:szCs w:val="24"/>
          <w:lang w:eastAsia="zh-CN"/>
        </w:rPr>
        <w:t>18.1　验收工作分类</w:t>
      </w:r>
    </w:p>
    <w:p w14:paraId="5A32AF63">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删除通用合同条款本款全文，代之为：</w:t>
      </w:r>
    </w:p>
    <w:p w14:paraId="657F4952">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验收工作分为施工质量验收、合同工程验收、阶段验收、专项验收、专业验收及竣工验收等。验收主持单位可增设验收类别和具体要求，也可将相关验收类别的工作合并进行。单位工程和合同工程验收由发包人主持。承包人应完成本工程验收的配合工作，所需费用应含在已标价工程量清单中。验收条件为：</w:t>
      </w:r>
      <w:r>
        <w:rPr>
          <w:rFonts w:hint="eastAsia" w:ascii="宋体" w:hAnsi="宋体" w:eastAsia="宋体" w:cs="宋体"/>
          <w:color w:val="auto"/>
          <w:sz w:val="24"/>
          <w:szCs w:val="24"/>
          <w:u w:val="single"/>
          <w:lang w:eastAsia="zh-CN"/>
        </w:rPr>
        <w:t>满足《水利水电建设工程验收规程》（SL∕T 223-2025）</w:t>
      </w:r>
      <w:r>
        <w:rPr>
          <w:rFonts w:hint="eastAsia" w:ascii="宋体" w:hAnsi="宋体" w:eastAsia="宋体" w:cs="宋体"/>
          <w:color w:val="auto"/>
          <w:sz w:val="24"/>
          <w:szCs w:val="24"/>
          <w:lang w:eastAsia="zh-CN"/>
        </w:rPr>
        <w:t>，验收程序为：</w:t>
      </w:r>
      <w:r>
        <w:rPr>
          <w:rFonts w:hint="eastAsia" w:ascii="宋体" w:hAnsi="宋体" w:eastAsia="宋体" w:cs="宋体"/>
          <w:color w:val="auto"/>
          <w:sz w:val="24"/>
          <w:szCs w:val="24"/>
          <w:u w:val="single"/>
          <w:lang w:eastAsia="zh-CN"/>
        </w:rPr>
        <w:t>按照《水利水电建设工程验收规程》（SL∕T 223-2025）执行</w:t>
      </w:r>
      <w:r>
        <w:rPr>
          <w:rFonts w:hint="eastAsia" w:ascii="宋体" w:hAnsi="宋体" w:eastAsia="宋体" w:cs="宋体"/>
          <w:color w:val="auto"/>
          <w:sz w:val="24"/>
          <w:szCs w:val="24"/>
          <w:lang w:eastAsia="zh-CN"/>
        </w:rPr>
        <w:t>。</w:t>
      </w:r>
    </w:p>
    <w:p w14:paraId="5F2CBF4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25" w:name="bookmark369"/>
      <w:bookmarkEnd w:id="925"/>
      <w:r>
        <w:rPr>
          <w:rFonts w:hint="eastAsia" w:ascii="宋体" w:hAnsi="宋体" w:eastAsia="宋体" w:cs="宋体"/>
          <w:b/>
          <w:bCs/>
          <w:color w:val="auto"/>
          <w:sz w:val="24"/>
          <w:szCs w:val="24"/>
          <w:lang w:eastAsia="zh-CN"/>
        </w:rPr>
        <w:t>18.2　分部工程验收</w:t>
      </w:r>
    </w:p>
    <w:p w14:paraId="52B2131A">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删除通用合同条款本款全文，代之为：</w:t>
      </w:r>
    </w:p>
    <w:p w14:paraId="1493BB4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18.2.1　</w:t>
      </w:r>
      <w:r>
        <w:rPr>
          <w:rFonts w:hint="eastAsia" w:ascii="宋体" w:hAnsi="宋体" w:eastAsia="宋体" w:cs="宋体"/>
          <w:color w:val="auto"/>
          <w:sz w:val="24"/>
          <w:szCs w:val="24"/>
          <w:lang w:eastAsia="zh-CN"/>
        </w:rPr>
        <w:t>分部工程具备验收条件时，承包人应</w:t>
      </w:r>
      <w:r>
        <w:rPr>
          <w:rFonts w:hint="eastAsia" w:ascii="宋体" w:hAnsi="宋体" w:eastAsia="宋体" w:cs="宋体"/>
          <w:b/>
          <w:bCs/>
          <w:color w:val="auto"/>
          <w:spacing w:val="-3"/>
          <w:sz w:val="24"/>
          <w:szCs w:val="24"/>
          <w:lang w:eastAsia="zh-CN"/>
        </w:rPr>
        <w:t>通过监理单位向项目法人（</w:t>
      </w:r>
      <w:r>
        <w:rPr>
          <w:rFonts w:hint="eastAsia" w:ascii="宋体" w:hAnsi="宋体" w:eastAsia="宋体" w:cs="宋体"/>
          <w:color w:val="auto"/>
          <w:sz w:val="24"/>
          <w:szCs w:val="24"/>
          <w:lang w:eastAsia="zh-CN"/>
        </w:rPr>
        <w:t>发包人）提交验收申请报告，</w:t>
      </w:r>
      <w:r>
        <w:rPr>
          <w:rFonts w:hint="eastAsia" w:ascii="宋体" w:hAnsi="宋体" w:eastAsia="宋体" w:cs="宋体"/>
          <w:b/>
          <w:bCs/>
          <w:color w:val="auto"/>
          <w:spacing w:val="-3"/>
          <w:sz w:val="24"/>
          <w:szCs w:val="24"/>
          <w:lang w:eastAsia="zh-CN"/>
        </w:rPr>
        <w:t>项目法人</w:t>
      </w:r>
      <w:r>
        <w:rPr>
          <w:rFonts w:hint="eastAsia" w:ascii="宋体" w:hAnsi="宋体" w:eastAsia="宋体" w:cs="宋体"/>
          <w:color w:val="auto"/>
          <w:sz w:val="24"/>
          <w:szCs w:val="24"/>
          <w:lang w:eastAsia="zh-CN"/>
        </w:rPr>
        <w:t>应在收到验收申请报告之日起10个工作日内决定是否同意进行验收</w:t>
      </w:r>
      <w:r>
        <w:rPr>
          <w:rFonts w:hint="eastAsia" w:ascii="宋体" w:hAnsi="宋体" w:eastAsia="宋体" w:cs="宋体"/>
          <w:b/>
          <w:bCs/>
          <w:color w:val="auto"/>
          <w:spacing w:val="-3"/>
          <w:sz w:val="24"/>
          <w:szCs w:val="24"/>
          <w:lang w:eastAsia="zh-CN"/>
        </w:rPr>
        <w:t>，并通知相关单位和质量监督机构</w:t>
      </w:r>
      <w:r>
        <w:rPr>
          <w:rFonts w:hint="eastAsia" w:ascii="宋体" w:hAnsi="宋体" w:eastAsia="宋体" w:cs="宋体"/>
          <w:color w:val="auto"/>
          <w:sz w:val="24"/>
          <w:szCs w:val="24"/>
          <w:lang w:eastAsia="zh-CN"/>
        </w:rPr>
        <w:t>。</w:t>
      </w:r>
    </w:p>
    <w:p w14:paraId="0283EBF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18.2.2　</w:t>
      </w:r>
      <w:r>
        <w:rPr>
          <w:rFonts w:hint="eastAsia" w:ascii="宋体" w:hAnsi="宋体" w:eastAsia="宋体" w:cs="宋体"/>
          <w:color w:val="auto"/>
          <w:sz w:val="24"/>
          <w:szCs w:val="24"/>
          <w:lang w:eastAsia="zh-CN"/>
        </w:rPr>
        <w:t>除专用合同条款另有约定外，监理人主持分部工程验收，承包人应派符合条件的代表参加验收工作组。</w:t>
      </w:r>
    </w:p>
    <w:p w14:paraId="1A00D294">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18.2.3　</w:t>
      </w:r>
      <w:r>
        <w:rPr>
          <w:rFonts w:hint="eastAsia" w:ascii="宋体" w:hAnsi="宋体" w:eastAsia="宋体" w:cs="宋体"/>
          <w:b/>
          <w:bCs/>
          <w:color w:val="auto"/>
          <w:spacing w:val="-3"/>
          <w:sz w:val="24"/>
          <w:szCs w:val="24"/>
          <w:lang w:eastAsia="zh-CN"/>
        </w:rPr>
        <w:t>项目法人应自验收通过之日起30个工作日内将分部工程验收鉴定书印发承包人，并报验收监督管理部门。</w:t>
      </w:r>
      <w:r>
        <w:rPr>
          <w:rFonts w:hint="eastAsia" w:ascii="宋体" w:hAnsi="宋体" w:eastAsia="宋体" w:cs="宋体"/>
          <w:color w:val="auto"/>
          <w:sz w:val="24"/>
          <w:szCs w:val="24"/>
          <w:lang w:eastAsia="zh-CN"/>
        </w:rPr>
        <w:t>分部工程验收通过后，发包人向承包人发送分部工程验收鉴定书。承包人应及时完成分部工程验收鉴定书载明应由承包人处理的遗留问题。</w:t>
      </w:r>
    </w:p>
    <w:p w14:paraId="2C9B3BC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26" w:name="bookmark370"/>
      <w:bookmarkEnd w:id="926"/>
      <w:r>
        <w:rPr>
          <w:rFonts w:hint="eastAsia" w:ascii="宋体" w:hAnsi="宋体" w:eastAsia="宋体" w:cs="宋体"/>
          <w:b/>
          <w:bCs/>
          <w:color w:val="auto"/>
          <w:sz w:val="24"/>
          <w:szCs w:val="24"/>
          <w:lang w:eastAsia="zh-CN"/>
        </w:rPr>
        <w:t>18.3　单位工程验收</w:t>
      </w:r>
    </w:p>
    <w:p w14:paraId="5A52159E">
      <w:pPr>
        <w:widowControl w:val="0"/>
        <w:kinsoku/>
        <w:topLinePunct/>
        <w:autoSpaceDE/>
        <w:autoSpaceDN/>
        <w:spacing w:line="520" w:lineRule="exact"/>
        <w:ind w:firstLine="480" w:firstLineChars="200"/>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删除通用合同条款本款全文，代之为：</w:t>
      </w:r>
    </w:p>
    <w:p w14:paraId="1A1428B1">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18.3.1　</w:t>
      </w:r>
      <w:r>
        <w:rPr>
          <w:rFonts w:hint="eastAsia" w:ascii="宋体" w:hAnsi="宋体" w:eastAsia="宋体" w:cs="宋体"/>
          <w:color w:val="auto"/>
          <w:sz w:val="24"/>
          <w:szCs w:val="24"/>
          <w:lang w:eastAsia="zh-CN"/>
        </w:rPr>
        <w:t>单位工程具备验收条件时，承包人应向发包人提交验收申请报告，发包人应在收到验收申请报告之日起10个工作日内决定是否同意进行验收。</w:t>
      </w:r>
    </w:p>
    <w:p w14:paraId="1269BD0F">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18.3.2　</w:t>
      </w:r>
      <w:r>
        <w:rPr>
          <w:rFonts w:hint="eastAsia" w:ascii="宋体" w:hAnsi="宋体" w:eastAsia="宋体" w:cs="宋体"/>
          <w:color w:val="auto"/>
          <w:sz w:val="24"/>
          <w:szCs w:val="24"/>
          <w:lang w:eastAsia="zh-CN"/>
        </w:rPr>
        <w:t>项目法人（发包人）主持单位工程验收，承包人应派符合条件的代表参加验收工作组。单位工程验收前，项目法人应组织勘察、设计、监理、施工、运行管理(施工阶段已有时)等单位组成工程外观质量验收组，现场进行工程外观质量验收。参加工程外观质量验收的人员应具有中级及以上技术职称或相应执业资格。本工程外观质量必须符合省（部）级优质工程奖评奖要求。</w:t>
      </w:r>
    </w:p>
    <w:p w14:paraId="7D86A91C">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18.3.3　项目法人应自单位工程验收通过之日起10个工作日内，将单位工程施工质量验收结论报质量监督机构。项目法人应自验收通过之日起30个工作日内将单位工程验收鉴定书印发有关单位，并报验收监督管理部门。</w:t>
      </w:r>
    </w:p>
    <w:p w14:paraId="32128E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单位工程验收通过后，发包人向承包人发送单位工程验收鉴定书。承包人应及时完成单位工程验收鉴定书载明应由承包人处理的遗留问题。</w:t>
      </w:r>
    </w:p>
    <w:p w14:paraId="0CDEBFDE">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18.3.4　</w:t>
      </w:r>
      <w:r>
        <w:rPr>
          <w:rFonts w:hint="eastAsia" w:ascii="宋体" w:hAnsi="宋体" w:eastAsia="宋体" w:cs="宋体"/>
          <w:color w:val="auto"/>
          <w:sz w:val="24"/>
          <w:szCs w:val="24"/>
          <w:lang w:eastAsia="zh-CN"/>
        </w:rPr>
        <w:t>需提前投入使用的单位工程包括：</w:t>
      </w:r>
      <w:r>
        <w:rPr>
          <w:rFonts w:hint="eastAsia" w:ascii="宋体" w:hAnsi="宋体" w:eastAsia="宋体" w:cs="宋体"/>
          <w:color w:val="auto"/>
          <w:sz w:val="24"/>
          <w:szCs w:val="24"/>
          <w:u w:val="single"/>
          <w:lang w:eastAsia="zh-CN"/>
        </w:rPr>
        <w:t>　/　</w:t>
      </w:r>
      <w:r>
        <w:rPr>
          <w:rFonts w:hint="eastAsia" w:ascii="宋体" w:hAnsi="宋体" w:eastAsia="宋体" w:cs="宋体"/>
          <w:color w:val="auto"/>
          <w:sz w:val="24"/>
          <w:szCs w:val="24"/>
          <w:lang w:eastAsia="zh-CN"/>
        </w:rPr>
        <w:t>。</w:t>
      </w:r>
    </w:p>
    <w:p w14:paraId="587352A8">
      <w:pPr>
        <w:widowControl w:val="0"/>
        <w:kinsoku/>
        <w:topLinePunct/>
        <w:autoSpaceDE/>
        <w:autoSpaceDN/>
        <w:spacing w:line="520" w:lineRule="exact"/>
        <w:ind w:left="7"/>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18.4　合同工程完工验收</w:t>
      </w:r>
    </w:p>
    <w:p w14:paraId="5B36DAE9">
      <w:pPr>
        <w:widowControl w:val="0"/>
        <w:kinsoku/>
        <w:topLinePunct/>
        <w:autoSpaceDE/>
        <w:autoSpaceDN/>
        <w:spacing w:line="520" w:lineRule="exact"/>
        <w:ind w:firstLine="480" w:firstLineChars="200"/>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删除通用合同条款本款全文，代之为：</w:t>
      </w:r>
    </w:p>
    <w:p w14:paraId="6278FB5A">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18.4.1　</w:t>
      </w:r>
      <w:r>
        <w:rPr>
          <w:rFonts w:hint="eastAsia" w:ascii="宋体" w:hAnsi="宋体" w:eastAsia="宋体" w:cs="宋体"/>
          <w:color w:val="auto"/>
          <w:sz w:val="24"/>
          <w:szCs w:val="24"/>
          <w:lang w:eastAsia="zh-CN"/>
        </w:rPr>
        <w:t>合同工程具备验收条件时，承包人应通过监理单位向发包人提交验收申请报告，发包人应自收到验收申请报告之日起10个工作日内决定是否同意进行验收，并通知相关单位。</w:t>
      </w:r>
    </w:p>
    <w:p w14:paraId="564F9C5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18.4.2　项目法人</w:t>
      </w:r>
      <w:r>
        <w:rPr>
          <w:rFonts w:hint="eastAsia" w:ascii="宋体" w:hAnsi="宋体" w:eastAsia="宋体" w:cs="宋体"/>
          <w:color w:val="auto"/>
          <w:sz w:val="24"/>
          <w:szCs w:val="24"/>
          <w:lang w:eastAsia="zh-CN"/>
        </w:rPr>
        <w:t>主持合同工程完工验收，承包人应派代表参加验收工作组。</w:t>
      </w:r>
    </w:p>
    <w:p w14:paraId="472C832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18.4.3　项目法人应自验收通过之日起30个工作日内将合同工程验收鉴定书印发承包人，并报验收监督管理部门。</w:t>
      </w:r>
      <w:r>
        <w:rPr>
          <w:rFonts w:hint="eastAsia" w:ascii="宋体" w:hAnsi="宋体" w:eastAsia="宋体" w:cs="宋体"/>
          <w:color w:val="auto"/>
          <w:sz w:val="24"/>
          <w:szCs w:val="24"/>
          <w:lang w:eastAsia="zh-CN"/>
        </w:rPr>
        <w:t>承包人应及时完成合同工程完工验收鉴定书载明应由承包人处理的遗留问题。</w:t>
      </w:r>
    </w:p>
    <w:p w14:paraId="11AF4934">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18.4.4　</w:t>
      </w:r>
      <w:r>
        <w:rPr>
          <w:rFonts w:hint="eastAsia" w:ascii="宋体" w:hAnsi="宋体" w:eastAsia="宋体" w:cs="宋体"/>
          <w:color w:val="auto"/>
          <w:sz w:val="24"/>
          <w:szCs w:val="24"/>
          <w:lang w:eastAsia="zh-CN"/>
        </w:rPr>
        <w:t>合同工程完工验收通过后，发包人与承包人应在30个工作日内完成工程的交接工作，并形成交接记录。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0C981CE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27" w:name="bookmark371"/>
      <w:bookmarkEnd w:id="927"/>
      <w:r>
        <w:rPr>
          <w:rFonts w:hint="eastAsia" w:ascii="宋体" w:hAnsi="宋体" w:eastAsia="宋体" w:cs="宋体"/>
          <w:b/>
          <w:bCs/>
          <w:color w:val="auto"/>
          <w:sz w:val="24"/>
          <w:szCs w:val="24"/>
          <w:lang w:eastAsia="zh-CN"/>
        </w:rPr>
        <w:t>18.5　阶段验收</w:t>
      </w:r>
    </w:p>
    <w:p w14:paraId="429A32B8">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18.5.1　</w:t>
      </w:r>
      <w:r>
        <w:rPr>
          <w:rFonts w:hint="eastAsia" w:ascii="宋体" w:hAnsi="宋体" w:eastAsia="宋体" w:cs="宋体"/>
          <w:color w:val="auto"/>
          <w:spacing w:val="20"/>
          <w:sz w:val="24"/>
          <w:szCs w:val="24"/>
          <w:lang w:eastAsia="zh-CN"/>
        </w:rPr>
        <w:t>本合同工程阶段验收类别包括：</w:t>
      </w:r>
      <w:r>
        <w:rPr>
          <w:rFonts w:hint="eastAsia" w:ascii="宋体" w:hAnsi="宋体" w:eastAsia="宋体" w:cs="宋体"/>
          <w:color w:val="auto"/>
          <w:spacing w:val="20"/>
          <w:sz w:val="24"/>
          <w:szCs w:val="24"/>
          <w:u w:val="single"/>
          <w:lang w:eastAsia="zh-CN"/>
        </w:rPr>
        <w:t>按《水利水电建设工程验收规程》（SL/T　223—2025）执行</w:t>
      </w:r>
      <w:r>
        <w:rPr>
          <w:rFonts w:hint="eastAsia" w:ascii="宋体" w:hAnsi="宋体" w:eastAsia="宋体" w:cs="宋体"/>
          <w:color w:val="auto"/>
          <w:spacing w:val="20"/>
          <w:sz w:val="24"/>
          <w:szCs w:val="24"/>
          <w:lang w:eastAsia="zh-CN"/>
        </w:rPr>
        <w:t>。</w:t>
      </w:r>
    </w:p>
    <w:p w14:paraId="3098A465">
      <w:pPr>
        <w:widowControl w:val="0"/>
        <w:kinsoku/>
        <w:topLinePunct/>
        <w:autoSpaceDE/>
        <w:autoSpaceDN/>
        <w:spacing w:line="52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18.6　专项验收</w:t>
      </w:r>
    </w:p>
    <w:p w14:paraId="6AE79194">
      <w:pPr>
        <w:widowControl w:val="0"/>
        <w:kinsoku/>
        <w:topLinePunct/>
        <w:autoSpaceDE/>
        <w:autoSpaceDN/>
        <w:spacing w:line="520" w:lineRule="exact"/>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删除通用合同条款本款全文，代之为：</w:t>
      </w:r>
    </w:p>
    <w:p w14:paraId="50C8C144">
      <w:pPr>
        <w:widowControl w:val="0"/>
        <w:kinsoku/>
        <w:topLinePunct/>
        <w:autoSpaceDE/>
        <w:autoSpaceDN/>
        <w:spacing w:line="520" w:lineRule="exact"/>
        <w:ind w:left="7"/>
        <w:jc w:val="both"/>
        <w:outlineLvl w:val="3"/>
        <w:rPr>
          <w:rFonts w:hint="eastAsia" w:ascii="宋体" w:hAnsi="宋体" w:eastAsia="宋体" w:cs="宋体"/>
          <w:b/>
          <w:bCs/>
          <w:color w:val="auto"/>
          <w:sz w:val="24"/>
          <w:szCs w:val="24"/>
          <w:lang w:eastAsia="zh-CN"/>
        </w:rPr>
      </w:pPr>
      <w:bookmarkStart w:id="928" w:name="bookmark372"/>
      <w:bookmarkEnd w:id="928"/>
      <w:r>
        <w:rPr>
          <w:rFonts w:hint="eastAsia" w:ascii="宋体" w:hAnsi="宋体" w:eastAsia="宋体" w:cs="宋体"/>
          <w:b/>
          <w:bCs/>
          <w:color w:val="auto"/>
          <w:sz w:val="24"/>
          <w:szCs w:val="24"/>
          <w:lang w:eastAsia="zh-CN"/>
        </w:rPr>
        <w:t>18.6　专项验收与专业验收</w:t>
      </w:r>
    </w:p>
    <w:p w14:paraId="40AB3A20">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18.6.1　</w:t>
      </w:r>
      <w:r>
        <w:rPr>
          <w:rFonts w:hint="eastAsia" w:ascii="宋体" w:hAnsi="宋体" w:eastAsia="宋体" w:cs="宋体"/>
          <w:color w:val="auto"/>
          <w:sz w:val="24"/>
          <w:szCs w:val="24"/>
          <w:lang w:eastAsia="zh-CN"/>
        </w:rPr>
        <w:t>发包人负责提出专项验收申请报告。承包人应按专项验收的相关规定参</w:t>
      </w:r>
      <w:r>
        <w:rPr>
          <w:rFonts w:hint="eastAsia" w:ascii="宋体" w:hAnsi="宋体" w:eastAsia="宋体" w:cs="宋体"/>
          <w:color w:val="auto"/>
          <w:spacing w:val="20"/>
          <w:sz w:val="24"/>
          <w:szCs w:val="24"/>
          <w:lang w:eastAsia="zh-CN"/>
        </w:rPr>
        <w:t>加专项验收。本合同工程专项验收类别包括：</w:t>
      </w:r>
      <w:r>
        <w:rPr>
          <w:rFonts w:hint="eastAsia" w:ascii="宋体" w:hAnsi="宋体" w:eastAsia="宋体" w:cs="宋体"/>
          <w:color w:val="auto"/>
          <w:spacing w:val="20"/>
          <w:sz w:val="24"/>
          <w:szCs w:val="24"/>
          <w:u w:val="single"/>
          <w:lang w:eastAsia="zh-CN"/>
        </w:rPr>
        <w:t>按《水利水电建设工程验收规程》（SL/T　223—2025）或现行的有效的文件执行</w:t>
      </w:r>
      <w:r>
        <w:rPr>
          <w:rFonts w:hint="eastAsia" w:ascii="宋体" w:hAnsi="宋体" w:eastAsia="宋体" w:cs="宋体"/>
          <w:color w:val="auto"/>
          <w:spacing w:val="20"/>
          <w:sz w:val="24"/>
          <w:szCs w:val="24"/>
          <w:lang w:eastAsia="zh-CN"/>
        </w:rPr>
        <w:t>。</w:t>
      </w:r>
    </w:p>
    <w:p w14:paraId="03E1B119">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18.6.2　</w:t>
      </w:r>
      <w:r>
        <w:rPr>
          <w:rFonts w:hint="eastAsia" w:ascii="宋体" w:hAnsi="宋体" w:eastAsia="宋体" w:cs="宋体"/>
          <w:color w:val="auto"/>
          <w:sz w:val="24"/>
          <w:szCs w:val="24"/>
          <w:lang w:eastAsia="zh-CN"/>
        </w:rPr>
        <w:t>承包人应及时完成专项验收成果性文件载明应由承包人处理的遗留问题。</w:t>
      </w:r>
    </w:p>
    <w:p w14:paraId="0453CCE6">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18.6.3　专业验收</w:t>
      </w:r>
    </w:p>
    <w:p w14:paraId="1DE84B9A">
      <w:pPr>
        <w:widowControl w:val="0"/>
        <w:kinsoku/>
        <w:topLinePunct/>
        <w:autoSpaceDE/>
        <w:autoSpaceDN/>
        <w:spacing w:line="520" w:lineRule="exact"/>
        <w:ind w:firstLine="480" w:firstLineChars="200"/>
        <w:jc w:val="both"/>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本工程中的交通、电力、建筑、市政及信息化(数字孪生)等专业工程按相关标准进行的验收。</w:t>
      </w:r>
    </w:p>
    <w:p w14:paraId="73A927B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29" w:name="bookmark373"/>
      <w:bookmarkEnd w:id="929"/>
      <w:r>
        <w:rPr>
          <w:rFonts w:hint="eastAsia" w:ascii="宋体" w:hAnsi="宋体" w:eastAsia="宋体" w:cs="宋体"/>
          <w:b/>
          <w:bCs/>
          <w:color w:val="auto"/>
          <w:sz w:val="24"/>
          <w:szCs w:val="24"/>
          <w:lang w:eastAsia="zh-CN"/>
        </w:rPr>
        <w:t>18.7　竣工验收</w:t>
      </w:r>
    </w:p>
    <w:p w14:paraId="3B64757C">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18.7.3　</w:t>
      </w:r>
      <w:r>
        <w:rPr>
          <w:rFonts w:hint="eastAsia" w:ascii="宋体" w:hAnsi="宋体" w:eastAsia="宋体" w:cs="宋体"/>
          <w:color w:val="auto"/>
          <w:sz w:val="24"/>
          <w:szCs w:val="24"/>
          <w:lang w:eastAsia="zh-CN"/>
        </w:rPr>
        <w:t>本工程</w:t>
      </w:r>
      <w:r>
        <w:rPr>
          <w:rFonts w:hint="eastAsia" w:ascii="宋体" w:hAnsi="宋体" w:eastAsia="宋体" w:cs="宋体"/>
          <w:color w:val="auto"/>
          <w:sz w:val="24"/>
          <w:szCs w:val="24"/>
          <w:u w:val="single"/>
          <w:lang w:eastAsia="zh-CN"/>
        </w:rPr>
        <w:t>需要</w:t>
      </w:r>
      <w:r>
        <w:rPr>
          <w:rFonts w:hint="eastAsia" w:ascii="宋体" w:hAnsi="宋体" w:eastAsia="宋体" w:cs="宋体"/>
          <w:color w:val="auto"/>
          <w:sz w:val="24"/>
          <w:szCs w:val="24"/>
          <w:lang w:eastAsia="zh-CN"/>
        </w:rPr>
        <w:t>（</w:t>
      </w:r>
      <w:r>
        <w:rPr>
          <w:rFonts w:hint="eastAsia" w:ascii="宋体" w:hAnsi="宋体" w:eastAsia="宋体" w:cs="宋体"/>
          <w:i/>
          <w:iCs/>
          <w:color w:val="auto"/>
          <w:sz w:val="24"/>
          <w:szCs w:val="24"/>
          <w:lang w:eastAsia="zh-CN"/>
        </w:rPr>
        <w:t>需要、不需要</w:t>
      </w:r>
      <w:r>
        <w:rPr>
          <w:rFonts w:hint="eastAsia" w:ascii="宋体" w:hAnsi="宋体" w:eastAsia="宋体" w:cs="宋体"/>
          <w:color w:val="auto"/>
          <w:sz w:val="24"/>
          <w:szCs w:val="24"/>
          <w:lang w:eastAsia="zh-CN"/>
        </w:rPr>
        <w:t>）竣工验收技术鉴定（蓄水安全鉴定）。</w:t>
      </w:r>
    </w:p>
    <w:p w14:paraId="17FBFB4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30" w:name="bookmark374"/>
      <w:bookmarkEnd w:id="930"/>
      <w:r>
        <w:rPr>
          <w:rFonts w:hint="eastAsia" w:ascii="宋体" w:hAnsi="宋体" w:eastAsia="宋体" w:cs="宋体"/>
          <w:b/>
          <w:bCs/>
          <w:color w:val="auto"/>
          <w:sz w:val="24"/>
          <w:szCs w:val="24"/>
          <w:lang w:eastAsia="zh-CN"/>
        </w:rPr>
        <w:t>18.8　施工期运行</w:t>
      </w:r>
    </w:p>
    <w:p w14:paraId="38E3957B">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18.8.1　</w:t>
      </w:r>
      <w:r>
        <w:rPr>
          <w:rFonts w:hint="eastAsia" w:ascii="宋体" w:hAnsi="宋体" w:eastAsia="宋体" w:cs="宋体"/>
          <w:color w:val="auto"/>
          <w:sz w:val="24"/>
          <w:szCs w:val="24"/>
          <w:lang w:eastAsia="zh-CN"/>
        </w:rPr>
        <w:t>需要在施工期运行的单位工程或工程设备为：</w:t>
      </w:r>
      <w:r>
        <w:rPr>
          <w:rFonts w:hint="eastAsia" w:ascii="宋体" w:hAnsi="宋体" w:eastAsia="宋体" w:cs="宋体"/>
          <w:color w:val="auto"/>
          <w:sz w:val="24"/>
          <w:szCs w:val="24"/>
          <w:u w:val="single"/>
          <w:lang w:eastAsia="zh-CN"/>
        </w:rPr>
        <w:t>　/　</w:t>
      </w:r>
      <w:r>
        <w:rPr>
          <w:rFonts w:hint="eastAsia" w:ascii="宋体" w:hAnsi="宋体" w:eastAsia="宋体" w:cs="宋体"/>
          <w:color w:val="auto"/>
          <w:sz w:val="24"/>
          <w:szCs w:val="24"/>
          <w:lang w:eastAsia="zh-CN"/>
        </w:rPr>
        <w:t>。</w:t>
      </w:r>
    </w:p>
    <w:p w14:paraId="0DEA5C7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31" w:name="bookmark375"/>
      <w:bookmarkEnd w:id="931"/>
      <w:r>
        <w:rPr>
          <w:rFonts w:hint="eastAsia" w:ascii="宋体" w:hAnsi="宋体" w:eastAsia="宋体" w:cs="宋体"/>
          <w:b/>
          <w:bCs/>
          <w:color w:val="auto"/>
          <w:sz w:val="24"/>
          <w:szCs w:val="24"/>
          <w:lang w:eastAsia="zh-CN"/>
        </w:rPr>
        <w:t>18.9　试运行</w:t>
      </w:r>
    </w:p>
    <w:p w14:paraId="72EAE1DA">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18.9.1　</w:t>
      </w:r>
      <w:r>
        <w:rPr>
          <w:rFonts w:hint="eastAsia" w:ascii="宋体" w:hAnsi="宋体" w:eastAsia="宋体" w:cs="宋体"/>
          <w:color w:val="auto"/>
          <w:sz w:val="24"/>
          <w:szCs w:val="24"/>
          <w:lang w:eastAsia="zh-CN"/>
        </w:rPr>
        <w:t>试运行的组织：</w:t>
      </w:r>
      <w:r>
        <w:rPr>
          <w:rFonts w:hint="eastAsia" w:ascii="宋体" w:hAnsi="宋体" w:eastAsia="宋体" w:cs="宋体"/>
          <w:color w:val="auto"/>
          <w:sz w:val="24"/>
          <w:szCs w:val="24"/>
          <w:u w:val="single"/>
          <w:lang w:eastAsia="zh-CN"/>
        </w:rPr>
        <w:t>　承包人　</w:t>
      </w:r>
      <w:r>
        <w:rPr>
          <w:rFonts w:hint="eastAsia" w:ascii="宋体" w:hAnsi="宋体" w:eastAsia="宋体" w:cs="宋体"/>
          <w:color w:val="auto"/>
          <w:sz w:val="24"/>
          <w:szCs w:val="24"/>
          <w:lang w:eastAsia="zh-CN"/>
        </w:rPr>
        <w:t>；费用承担：</w:t>
      </w:r>
      <w:r>
        <w:rPr>
          <w:rFonts w:hint="eastAsia" w:ascii="宋体" w:hAnsi="宋体" w:eastAsia="宋体" w:cs="宋体"/>
          <w:color w:val="auto"/>
          <w:sz w:val="24"/>
          <w:szCs w:val="24"/>
          <w:u w:val="single"/>
          <w:lang w:eastAsia="zh-CN"/>
        </w:rPr>
        <w:t>　承包人　</w:t>
      </w:r>
      <w:r>
        <w:rPr>
          <w:rFonts w:hint="eastAsia" w:ascii="宋体" w:hAnsi="宋体" w:eastAsia="宋体" w:cs="宋体"/>
          <w:color w:val="auto"/>
          <w:sz w:val="24"/>
          <w:szCs w:val="24"/>
          <w:lang w:eastAsia="zh-CN"/>
        </w:rPr>
        <w:t>。</w:t>
      </w:r>
    </w:p>
    <w:p w14:paraId="37E75C1C">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932" w:name="bookmark377"/>
      <w:bookmarkEnd w:id="932"/>
      <w:bookmarkStart w:id="933" w:name="bookmark376"/>
      <w:bookmarkEnd w:id="933"/>
      <w:bookmarkStart w:id="934" w:name="_Toc32733"/>
      <w:bookmarkStart w:id="935" w:name="_Toc16088"/>
      <w:bookmarkStart w:id="936" w:name="_Toc25519"/>
      <w:bookmarkStart w:id="937" w:name="_Toc18593"/>
      <w:r>
        <w:rPr>
          <w:rFonts w:hint="eastAsia" w:ascii="宋体" w:hAnsi="宋体" w:eastAsia="宋体" w:cs="宋体"/>
          <w:b/>
          <w:bCs/>
          <w:color w:val="auto"/>
          <w:sz w:val="28"/>
          <w:szCs w:val="28"/>
          <w:lang w:eastAsia="zh-CN"/>
        </w:rPr>
        <w:t>19　缺陷责任与保修责任</w:t>
      </w:r>
      <w:bookmarkEnd w:id="934"/>
      <w:bookmarkEnd w:id="935"/>
      <w:bookmarkEnd w:id="936"/>
      <w:bookmarkEnd w:id="937"/>
    </w:p>
    <w:p w14:paraId="41C5780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38" w:name="bookmark728"/>
      <w:bookmarkEnd w:id="938"/>
      <w:r>
        <w:rPr>
          <w:rFonts w:hint="eastAsia" w:ascii="宋体" w:hAnsi="宋体" w:eastAsia="宋体" w:cs="宋体"/>
          <w:b/>
          <w:bCs/>
          <w:color w:val="auto"/>
          <w:sz w:val="24"/>
          <w:szCs w:val="24"/>
          <w:lang w:eastAsia="zh-CN"/>
        </w:rPr>
        <w:t>19.1　缺陷责任期（工程质量保修期）的起算时间</w:t>
      </w:r>
    </w:p>
    <w:p w14:paraId="4F99DCC3">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本工程缺陷责任期（工程质量保修期）为</w:t>
      </w:r>
      <w:r>
        <w:rPr>
          <w:rFonts w:hint="eastAsia" w:ascii="宋体" w:hAnsi="宋体" w:eastAsia="宋体" w:cs="宋体"/>
          <w:color w:val="auto"/>
          <w:sz w:val="24"/>
          <w:szCs w:val="24"/>
          <w:u w:val="single"/>
          <w:lang w:eastAsia="zh-CN"/>
        </w:rPr>
        <w:t>　2　</w:t>
      </w:r>
      <w:r>
        <w:rPr>
          <w:rFonts w:hint="eastAsia" w:ascii="宋体" w:hAnsi="宋体" w:eastAsia="宋体" w:cs="宋体"/>
          <w:color w:val="auto"/>
          <w:sz w:val="24"/>
          <w:szCs w:val="24"/>
          <w:lang w:eastAsia="zh-CN"/>
        </w:rPr>
        <w:t>年。</w:t>
      </w:r>
    </w:p>
    <w:p w14:paraId="5CB6FE3A">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939" w:name="bookmark378"/>
      <w:bookmarkEnd w:id="939"/>
      <w:bookmarkStart w:id="940" w:name="bookmark379"/>
      <w:bookmarkEnd w:id="940"/>
      <w:bookmarkStart w:id="941" w:name="_Toc24071"/>
      <w:bookmarkStart w:id="942" w:name="_Toc17301"/>
      <w:bookmarkStart w:id="943" w:name="_Toc5836"/>
      <w:bookmarkStart w:id="944" w:name="_Toc6972"/>
      <w:r>
        <w:rPr>
          <w:rFonts w:hint="eastAsia" w:ascii="宋体" w:hAnsi="宋体" w:eastAsia="宋体" w:cs="宋体"/>
          <w:b/>
          <w:bCs/>
          <w:color w:val="auto"/>
          <w:sz w:val="28"/>
          <w:szCs w:val="28"/>
          <w:lang w:eastAsia="zh-CN"/>
        </w:rPr>
        <w:t>20　保险</w:t>
      </w:r>
      <w:bookmarkEnd w:id="941"/>
      <w:bookmarkEnd w:id="942"/>
      <w:bookmarkEnd w:id="943"/>
      <w:bookmarkEnd w:id="944"/>
    </w:p>
    <w:p w14:paraId="7343EBA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45" w:name="bookmark729"/>
      <w:bookmarkEnd w:id="945"/>
      <w:r>
        <w:rPr>
          <w:rFonts w:hint="eastAsia" w:ascii="宋体" w:hAnsi="宋体" w:eastAsia="宋体" w:cs="宋体"/>
          <w:b/>
          <w:bCs/>
          <w:color w:val="auto"/>
          <w:sz w:val="24"/>
          <w:szCs w:val="24"/>
          <w:lang w:eastAsia="zh-CN"/>
        </w:rPr>
        <w:t>20.1　建筑安装工程保险</w:t>
      </w:r>
    </w:p>
    <w:p w14:paraId="0FB47E26">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建筑工程一切险和（或）安装工程一切险投保人：</w:t>
      </w:r>
      <w:r>
        <w:rPr>
          <w:rFonts w:hint="eastAsia" w:ascii="宋体" w:hAnsi="宋体" w:eastAsia="宋体" w:cs="宋体"/>
          <w:color w:val="auto"/>
          <w:sz w:val="24"/>
          <w:szCs w:val="24"/>
          <w:u w:val="single"/>
          <w:lang w:eastAsia="zh-CN"/>
        </w:rPr>
        <w:t>承包人应以发包人和承包人的共同名义向双方同意的保险人投保建筑工程一切险、安装工程一切险</w:t>
      </w:r>
      <w:r>
        <w:rPr>
          <w:rFonts w:hint="eastAsia" w:ascii="宋体" w:hAnsi="宋体" w:eastAsia="宋体" w:cs="宋体"/>
          <w:color w:val="auto"/>
          <w:sz w:val="24"/>
          <w:szCs w:val="24"/>
          <w:lang w:eastAsia="zh-CN"/>
        </w:rPr>
        <w:t>。</w:t>
      </w:r>
    </w:p>
    <w:p w14:paraId="1A5843DC">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投保内容：</w:t>
      </w:r>
      <w:r>
        <w:rPr>
          <w:rFonts w:hint="eastAsia" w:ascii="宋体" w:hAnsi="宋体" w:eastAsia="宋体" w:cs="宋体"/>
          <w:color w:val="auto"/>
          <w:sz w:val="24"/>
          <w:szCs w:val="24"/>
          <w:u w:val="single"/>
          <w:lang w:eastAsia="zh-CN"/>
        </w:rPr>
        <w:t>为本合同工程的永久工程、临时工程和设备及已运至施工工地用于永久工程的材料和设备</w:t>
      </w:r>
      <w:r>
        <w:rPr>
          <w:rFonts w:hint="eastAsia" w:ascii="宋体" w:hAnsi="宋体" w:eastAsia="宋体" w:cs="宋体"/>
          <w:color w:val="auto"/>
          <w:sz w:val="24"/>
          <w:szCs w:val="24"/>
          <w:lang w:eastAsia="zh-CN"/>
        </w:rPr>
        <w:t>。</w:t>
      </w:r>
    </w:p>
    <w:p w14:paraId="47301069">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保险金额、保险费率和保险期限：</w:t>
      </w:r>
      <w:r>
        <w:rPr>
          <w:rFonts w:hint="eastAsia" w:ascii="宋体" w:hAnsi="宋体" w:eastAsia="宋体" w:cs="宋体"/>
          <w:color w:val="auto"/>
          <w:sz w:val="24"/>
          <w:szCs w:val="24"/>
          <w:u w:val="single"/>
          <w:lang w:eastAsia="zh-CN"/>
        </w:rPr>
        <w:t>保险金额及保险费率自行考虑报价，保险期限为开工日起直至本合同工程验收合格止</w:t>
      </w:r>
      <w:r>
        <w:rPr>
          <w:rFonts w:hint="eastAsia" w:ascii="宋体" w:hAnsi="宋体" w:eastAsia="宋体" w:cs="宋体"/>
          <w:color w:val="auto"/>
          <w:sz w:val="24"/>
          <w:szCs w:val="24"/>
          <w:lang w:eastAsia="zh-CN"/>
        </w:rPr>
        <w:t>。</w:t>
      </w:r>
    </w:p>
    <w:p w14:paraId="19F25C8C">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946" w:name="bookmark380"/>
      <w:bookmarkEnd w:id="946"/>
      <w:r>
        <w:rPr>
          <w:rFonts w:hint="eastAsia" w:ascii="宋体" w:hAnsi="宋体" w:eastAsia="宋体" w:cs="宋体"/>
          <w:b/>
          <w:bCs/>
          <w:color w:val="auto"/>
          <w:sz w:val="24"/>
          <w:szCs w:val="24"/>
          <w:lang w:eastAsia="zh-CN"/>
        </w:rPr>
        <w:t>20.4　安全生产责任保险</w:t>
      </w:r>
    </w:p>
    <w:p w14:paraId="01D51685">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安全生产责任保险投保人：</w:t>
      </w:r>
      <w:r>
        <w:rPr>
          <w:rFonts w:hint="eastAsia" w:ascii="宋体" w:hAnsi="宋体" w:eastAsia="宋体" w:cs="宋体"/>
          <w:color w:val="auto"/>
          <w:sz w:val="24"/>
          <w:szCs w:val="24"/>
          <w:u w:val="single"/>
          <w:lang w:eastAsia="zh-CN"/>
        </w:rPr>
        <w:t>承包人</w:t>
      </w:r>
      <w:r>
        <w:rPr>
          <w:rFonts w:hint="eastAsia" w:ascii="宋体" w:hAnsi="宋体" w:eastAsia="宋体" w:cs="宋体"/>
          <w:color w:val="auto"/>
          <w:sz w:val="24"/>
          <w:szCs w:val="24"/>
          <w:lang w:eastAsia="zh-CN"/>
        </w:rPr>
        <w:t>。</w:t>
      </w:r>
    </w:p>
    <w:p w14:paraId="66CD8D82">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投保内容：</w:t>
      </w:r>
      <w:r>
        <w:rPr>
          <w:rFonts w:hint="eastAsia" w:ascii="宋体" w:hAnsi="宋体" w:eastAsia="宋体" w:cs="宋体"/>
          <w:color w:val="auto"/>
          <w:sz w:val="24"/>
          <w:szCs w:val="24"/>
          <w:u w:val="single"/>
          <w:lang w:eastAsia="zh-CN"/>
        </w:rPr>
        <w:t>从业人员人身伤亡赔偿，第三者人身伤亡和财产损失赔偿，事故抢险救援、医疗救护、事故鉴定、法律诉讼等</w:t>
      </w:r>
      <w:r>
        <w:rPr>
          <w:rFonts w:hint="eastAsia" w:ascii="宋体" w:hAnsi="宋体" w:eastAsia="宋体" w:cs="宋体"/>
          <w:color w:val="auto"/>
          <w:sz w:val="24"/>
          <w:szCs w:val="24"/>
          <w:lang w:eastAsia="zh-CN"/>
        </w:rPr>
        <w:t>。</w:t>
      </w:r>
    </w:p>
    <w:p w14:paraId="76BA9FF9">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保险金额、保险费率和保险期限：</w:t>
      </w:r>
      <w:r>
        <w:rPr>
          <w:rFonts w:hint="eastAsia" w:ascii="宋体" w:hAnsi="宋体" w:eastAsia="宋体" w:cs="宋体"/>
          <w:color w:val="auto"/>
          <w:sz w:val="24"/>
          <w:szCs w:val="24"/>
          <w:u w:val="single"/>
          <w:lang w:eastAsia="zh-CN"/>
        </w:rPr>
        <w:t>保险金额及保险费率自行考虑报价，保险期限为开工日起直至本合同工程完工验收合格止</w:t>
      </w:r>
      <w:r>
        <w:rPr>
          <w:rFonts w:hint="eastAsia" w:ascii="宋体" w:hAnsi="宋体" w:eastAsia="宋体" w:cs="宋体"/>
          <w:color w:val="auto"/>
          <w:sz w:val="24"/>
          <w:szCs w:val="24"/>
          <w:lang w:eastAsia="zh-CN"/>
        </w:rPr>
        <w:t>。</w:t>
      </w:r>
    </w:p>
    <w:p w14:paraId="70980BF0">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第三者责任险保险金额：</w:t>
      </w:r>
      <w:r>
        <w:rPr>
          <w:rFonts w:hint="eastAsia" w:ascii="宋体" w:hAnsi="宋体" w:eastAsia="宋体" w:cs="宋体"/>
          <w:color w:val="auto"/>
          <w:sz w:val="24"/>
          <w:szCs w:val="24"/>
          <w:u w:val="single"/>
          <w:lang w:eastAsia="zh-CN"/>
        </w:rPr>
        <w:t>最低投保额1000万元/年，事故次数不限（不计免赔额）</w:t>
      </w:r>
      <w:r>
        <w:rPr>
          <w:rFonts w:hint="eastAsia" w:ascii="宋体" w:hAnsi="宋体" w:eastAsia="宋体" w:cs="宋体"/>
          <w:color w:val="auto"/>
          <w:sz w:val="24"/>
          <w:szCs w:val="24"/>
          <w:lang w:eastAsia="zh-CN"/>
        </w:rPr>
        <w:t>。</w:t>
      </w:r>
    </w:p>
    <w:p w14:paraId="140EF964">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947" w:name="bookmark381"/>
      <w:bookmarkEnd w:id="947"/>
      <w:r>
        <w:rPr>
          <w:rFonts w:hint="eastAsia" w:ascii="宋体" w:hAnsi="宋体" w:eastAsia="宋体" w:cs="宋体"/>
          <w:b/>
          <w:bCs/>
          <w:color w:val="auto"/>
          <w:sz w:val="24"/>
          <w:szCs w:val="24"/>
          <w:lang w:eastAsia="zh-CN"/>
        </w:rPr>
        <w:t>20.5　其他保险</w:t>
      </w:r>
    </w:p>
    <w:p w14:paraId="1D8226E7">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需要投保的其他内容：</w:t>
      </w:r>
      <w:r>
        <w:rPr>
          <w:rFonts w:hint="eastAsia" w:ascii="宋体" w:hAnsi="宋体" w:eastAsia="宋体" w:cs="宋体"/>
          <w:color w:val="auto"/>
          <w:sz w:val="24"/>
          <w:szCs w:val="24"/>
          <w:u w:val="single"/>
          <w:lang w:eastAsia="zh-CN"/>
        </w:rPr>
        <w:t>农民工工伤保险和意外伤害险等应由承包人投保的保险，并将投保证明材料及时报发包人（监理人）</w:t>
      </w:r>
      <w:r>
        <w:rPr>
          <w:rFonts w:hint="eastAsia" w:ascii="宋体" w:hAnsi="宋体" w:eastAsia="宋体" w:cs="宋体"/>
          <w:color w:val="auto"/>
          <w:sz w:val="24"/>
          <w:szCs w:val="24"/>
          <w:lang w:eastAsia="zh-CN"/>
        </w:rPr>
        <w:t>。</w:t>
      </w:r>
    </w:p>
    <w:p w14:paraId="251B40E3">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保险金额、保险费率和保险期限：</w:t>
      </w:r>
      <w:r>
        <w:rPr>
          <w:rFonts w:hint="eastAsia" w:ascii="宋体" w:hAnsi="宋体" w:eastAsia="宋体" w:cs="宋体"/>
          <w:color w:val="auto"/>
          <w:sz w:val="24"/>
          <w:szCs w:val="24"/>
          <w:u w:val="single"/>
          <w:lang w:eastAsia="zh-CN"/>
        </w:rPr>
        <w:t>保险金额按投保内容自行考虑报价，该费用计算在投标报价内，不再另行支付，保险期限：开工日起直至本合同工程验收通过日止</w:t>
      </w:r>
      <w:r>
        <w:rPr>
          <w:rFonts w:hint="eastAsia" w:ascii="宋体" w:hAnsi="宋体" w:eastAsia="宋体" w:cs="宋体"/>
          <w:color w:val="auto"/>
          <w:sz w:val="24"/>
          <w:szCs w:val="24"/>
          <w:lang w:eastAsia="zh-CN"/>
        </w:rPr>
        <w:t>。</w:t>
      </w:r>
    </w:p>
    <w:p w14:paraId="21951D8F">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948" w:name="bookmark382"/>
      <w:bookmarkEnd w:id="948"/>
      <w:r>
        <w:rPr>
          <w:rFonts w:hint="eastAsia" w:ascii="宋体" w:hAnsi="宋体" w:eastAsia="宋体" w:cs="宋体"/>
          <w:b/>
          <w:bCs/>
          <w:color w:val="auto"/>
          <w:sz w:val="24"/>
          <w:szCs w:val="24"/>
          <w:lang w:eastAsia="zh-CN"/>
        </w:rPr>
        <w:t>20.6　对各项保险的一般要求</w:t>
      </w:r>
    </w:p>
    <w:p w14:paraId="709BA94C">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20.6.1　</w:t>
      </w:r>
      <w:r>
        <w:rPr>
          <w:rFonts w:hint="eastAsia" w:ascii="宋体" w:hAnsi="宋体" w:eastAsia="宋体" w:cs="宋体"/>
          <w:color w:val="auto"/>
          <w:sz w:val="24"/>
          <w:szCs w:val="24"/>
          <w:lang w:eastAsia="zh-CN"/>
        </w:rPr>
        <w:t>保险凭证</w:t>
      </w:r>
    </w:p>
    <w:p w14:paraId="1EBACB36">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承包人提交保险凭证的期限：保险手续办理完毕后</w:t>
      </w:r>
      <w:r>
        <w:rPr>
          <w:rFonts w:hint="eastAsia" w:ascii="宋体" w:hAnsi="宋体" w:eastAsia="宋体" w:cs="宋体"/>
          <w:color w:val="auto"/>
          <w:sz w:val="24"/>
          <w:szCs w:val="24"/>
          <w:u w:val="single"/>
          <w:lang w:eastAsia="zh-CN"/>
        </w:rPr>
        <w:t>7</w:t>
      </w:r>
      <w:r>
        <w:rPr>
          <w:rFonts w:hint="eastAsia" w:ascii="宋体" w:hAnsi="宋体" w:eastAsia="宋体" w:cs="宋体"/>
          <w:color w:val="auto"/>
          <w:sz w:val="24"/>
          <w:szCs w:val="24"/>
          <w:lang w:eastAsia="zh-CN"/>
        </w:rPr>
        <w:t>天内提交。</w:t>
      </w:r>
    </w:p>
    <w:p w14:paraId="7F12A12B">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保险条件：</w:t>
      </w:r>
      <w:r>
        <w:rPr>
          <w:rFonts w:hint="eastAsia" w:ascii="宋体" w:hAnsi="宋体" w:eastAsia="宋体" w:cs="宋体"/>
          <w:color w:val="auto"/>
          <w:spacing w:val="-1"/>
          <w:sz w:val="24"/>
          <w:szCs w:val="24"/>
          <w:u w:val="single"/>
          <w:lang w:eastAsia="zh-CN"/>
        </w:rPr>
        <w:t>满足合同条款的规定</w:t>
      </w:r>
      <w:r>
        <w:rPr>
          <w:rFonts w:hint="eastAsia" w:ascii="宋体" w:hAnsi="宋体" w:eastAsia="宋体" w:cs="宋体"/>
          <w:color w:val="auto"/>
          <w:sz w:val="24"/>
          <w:szCs w:val="24"/>
          <w:lang w:eastAsia="zh-CN"/>
        </w:rPr>
        <w:t>。</w:t>
      </w:r>
    </w:p>
    <w:p w14:paraId="08BDE490">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20.6.4　</w:t>
      </w:r>
      <w:r>
        <w:rPr>
          <w:rFonts w:hint="eastAsia" w:ascii="宋体" w:hAnsi="宋体" w:eastAsia="宋体" w:cs="宋体"/>
          <w:color w:val="auto"/>
          <w:sz w:val="24"/>
          <w:szCs w:val="24"/>
          <w:lang w:eastAsia="zh-CN"/>
        </w:rPr>
        <w:t>保险金不足的补偿</w:t>
      </w:r>
    </w:p>
    <w:p w14:paraId="77F61830">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承包人负责补偿的范围与金额：</w:t>
      </w:r>
      <w:r>
        <w:rPr>
          <w:rFonts w:hint="eastAsia" w:ascii="宋体" w:hAnsi="宋体" w:eastAsia="宋体" w:cs="宋体"/>
          <w:color w:val="auto"/>
          <w:sz w:val="24"/>
          <w:szCs w:val="24"/>
          <w:u w:val="single"/>
          <w:lang w:eastAsia="zh-CN"/>
        </w:rPr>
        <w:t>未按合同约定办理保险或未能使保险持续有效的，所需费用由承包人承担；导致未能得到足额赔偿的，由承包人负责补足</w:t>
      </w:r>
      <w:r>
        <w:rPr>
          <w:rFonts w:hint="eastAsia" w:ascii="宋体" w:hAnsi="宋体" w:eastAsia="宋体" w:cs="宋体"/>
          <w:color w:val="auto"/>
          <w:sz w:val="24"/>
          <w:szCs w:val="24"/>
          <w:lang w:eastAsia="zh-CN"/>
        </w:rPr>
        <w:t>。</w:t>
      </w:r>
    </w:p>
    <w:p w14:paraId="370AEC43">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发包人负责补偿的范围与金额：</w:t>
      </w:r>
      <w:r>
        <w:rPr>
          <w:rFonts w:hint="eastAsia" w:ascii="宋体" w:hAnsi="宋体" w:eastAsia="宋体" w:cs="宋体"/>
          <w:color w:val="auto"/>
          <w:sz w:val="24"/>
          <w:szCs w:val="24"/>
          <w:u w:val="single"/>
          <w:lang w:eastAsia="zh-CN"/>
        </w:rPr>
        <w:t>除合同约定外，其他按法律法规规定或者发包人认为需要应当投保其他险种的，所需费用由发包人承担；导致未能得到足额赔偿的，由发包人负责补足</w:t>
      </w:r>
      <w:r>
        <w:rPr>
          <w:rFonts w:hint="eastAsia" w:ascii="宋体" w:hAnsi="宋体" w:eastAsia="宋体" w:cs="宋体"/>
          <w:color w:val="auto"/>
          <w:sz w:val="24"/>
          <w:szCs w:val="24"/>
          <w:lang w:eastAsia="zh-CN"/>
        </w:rPr>
        <w:t>。</w:t>
      </w:r>
    </w:p>
    <w:p w14:paraId="3916A5E0">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949" w:name="_Toc21053"/>
      <w:bookmarkStart w:id="950" w:name="_Toc27316"/>
      <w:bookmarkStart w:id="951" w:name="_Toc14307"/>
      <w:bookmarkStart w:id="952" w:name="_Toc28301"/>
      <w:bookmarkStart w:id="953" w:name="_Toc8691"/>
      <w:bookmarkStart w:id="954" w:name="_Toc10556"/>
      <w:bookmarkStart w:id="955" w:name="_Toc10510"/>
      <w:bookmarkStart w:id="956" w:name="_Toc423"/>
      <w:bookmarkStart w:id="957" w:name="_Toc23190"/>
      <w:bookmarkStart w:id="958" w:name="_Toc15969"/>
      <w:bookmarkStart w:id="959" w:name="_Toc16264"/>
      <w:bookmarkStart w:id="960" w:name="_Toc25526"/>
      <w:bookmarkStart w:id="961" w:name="_Toc30989"/>
      <w:bookmarkStart w:id="962" w:name="_Toc24010"/>
      <w:bookmarkStart w:id="963" w:name="_Toc10416"/>
      <w:bookmarkStart w:id="964" w:name="_Toc22713"/>
      <w:bookmarkStart w:id="965" w:name="_Toc5645"/>
      <w:bookmarkStart w:id="966" w:name="_Toc16957"/>
      <w:bookmarkStart w:id="967" w:name="_Toc32438"/>
      <w:r>
        <w:rPr>
          <w:rFonts w:hint="eastAsia" w:ascii="宋体" w:hAnsi="宋体" w:eastAsia="宋体" w:cs="宋体"/>
          <w:b/>
          <w:bCs/>
          <w:color w:val="auto"/>
          <w:sz w:val="28"/>
          <w:szCs w:val="28"/>
          <w:lang w:eastAsia="zh-CN"/>
        </w:rPr>
        <w:t>22　违约</w:t>
      </w:r>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p>
    <w:p w14:paraId="34E64C8E">
      <w:pPr>
        <w:widowControl w:val="0"/>
        <w:kinsoku/>
        <w:topLinePunct/>
        <w:autoSpaceDE/>
        <w:autoSpaceDN/>
        <w:spacing w:line="520" w:lineRule="exact"/>
        <w:ind w:firstLine="421" w:firstLineChars="176"/>
        <w:jc w:val="both"/>
        <w:rPr>
          <w:rFonts w:hint="eastAsia" w:ascii="宋体" w:hAnsi="宋体" w:eastAsia="宋体" w:cs="宋体"/>
          <w:color w:val="auto"/>
          <w:spacing w:val="-1"/>
          <w:sz w:val="24"/>
          <w:szCs w:val="24"/>
          <w:lang w:eastAsia="zh-CN"/>
        </w:rPr>
      </w:pPr>
      <w:r>
        <w:rPr>
          <w:rFonts w:hint="eastAsia" w:ascii="宋体" w:hAnsi="宋体" w:eastAsia="宋体" w:cs="宋体"/>
          <w:b/>
          <w:bCs/>
          <w:color w:val="auto"/>
          <w:spacing w:val="-1"/>
          <w:sz w:val="24"/>
          <w:szCs w:val="24"/>
          <w:lang w:eastAsia="zh-CN"/>
        </w:rPr>
        <w:t>22.1</w:t>
      </w:r>
      <w:r>
        <w:rPr>
          <w:rFonts w:hint="eastAsia" w:ascii="宋体" w:hAnsi="宋体" w:eastAsia="宋体" w:cs="宋体"/>
          <w:color w:val="auto"/>
          <w:spacing w:val="-1"/>
          <w:sz w:val="24"/>
          <w:szCs w:val="24"/>
          <w:lang w:eastAsia="zh-CN"/>
        </w:rPr>
        <w:t>承包人违约</w:t>
      </w:r>
    </w:p>
    <w:p w14:paraId="0213B6AF">
      <w:pPr>
        <w:widowControl w:val="0"/>
        <w:kinsoku/>
        <w:topLinePunct/>
        <w:autoSpaceDE/>
        <w:autoSpaceDN/>
        <w:spacing w:line="520" w:lineRule="exact"/>
        <w:ind w:firstLine="421" w:firstLineChars="176"/>
        <w:jc w:val="both"/>
        <w:rPr>
          <w:rFonts w:hint="eastAsia" w:ascii="宋体" w:hAnsi="宋体" w:eastAsia="宋体" w:cs="宋体"/>
          <w:color w:val="auto"/>
          <w:spacing w:val="-1"/>
          <w:sz w:val="24"/>
          <w:szCs w:val="24"/>
          <w:lang w:eastAsia="zh-CN"/>
        </w:rPr>
      </w:pPr>
      <w:r>
        <w:rPr>
          <w:rFonts w:hint="eastAsia" w:ascii="宋体" w:hAnsi="宋体" w:eastAsia="宋体" w:cs="宋体"/>
          <w:b/>
          <w:bCs/>
          <w:color w:val="auto"/>
          <w:spacing w:val="-1"/>
          <w:sz w:val="24"/>
          <w:szCs w:val="24"/>
          <w:lang w:eastAsia="zh-CN"/>
        </w:rPr>
        <w:t>22.1.1</w:t>
      </w:r>
      <w:r>
        <w:rPr>
          <w:rFonts w:hint="eastAsia" w:ascii="宋体" w:hAnsi="宋体" w:eastAsia="宋体" w:cs="宋体"/>
          <w:color w:val="auto"/>
          <w:spacing w:val="-1"/>
          <w:sz w:val="24"/>
          <w:szCs w:val="24"/>
          <w:lang w:eastAsia="zh-CN"/>
        </w:rPr>
        <w:t>承包人违约的情形</w:t>
      </w:r>
    </w:p>
    <w:p w14:paraId="49541BE9">
      <w:pPr>
        <w:kinsoku/>
        <w:topLinePunct/>
        <w:autoSpaceDE/>
        <w:autoSpaceDN/>
        <w:spacing w:line="520" w:lineRule="exact"/>
        <w:ind w:firstLine="420" w:firstLineChars="175"/>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本项增加：　</w:t>
      </w:r>
    </w:p>
    <w:p w14:paraId="3ABF864D">
      <w:pPr>
        <w:kinsoku/>
        <w:topLinePunct/>
        <w:autoSpaceDE/>
        <w:autoSpaceDN/>
        <w:spacing w:line="520" w:lineRule="exact"/>
        <w:ind w:firstLine="420" w:firstLineChars="175"/>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（8）承包人未按招标文件的要求进行安全、文明施工。</w:t>
      </w:r>
    </w:p>
    <w:p w14:paraId="608FFB7B">
      <w:pPr>
        <w:kinsoku/>
        <w:topLinePunct/>
        <w:autoSpaceDE/>
        <w:autoSpaceDN/>
        <w:spacing w:line="520" w:lineRule="exact"/>
        <w:ind w:firstLine="420" w:firstLineChars="175"/>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（9）承包人未按合同约定时间及时在规定期限内上交竣工资料。</w:t>
      </w:r>
    </w:p>
    <w:p w14:paraId="0EAF90C7">
      <w:pPr>
        <w:kinsoku/>
        <w:topLinePunct/>
        <w:autoSpaceDE/>
        <w:autoSpaceDN/>
        <w:spacing w:line="520" w:lineRule="exact"/>
        <w:ind w:firstLine="420" w:firstLineChars="175"/>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（10）连续三个月未完成监理人批准的施工月度计划。</w:t>
      </w:r>
    </w:p>
    <w:p w14:paraId="0051D5C6">
      <w:pPr>
        <w:kinsoku/>
        <w:topLinePunct/>
        <w:autoSpaceDE/>
        <w:autoSpaceDN/>
        <w:spacing w:line="520" w:lineRule="exact"/>
        <w:ind w:firstLine="420" w:firstLineChars="175"/>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（11）项目经理和技术负责人连续三个月未按要求到岗的。</w:t>
      </w:r>
    </w:p>
    <w:p w14:paraId="5E82B83D">
      <w:pPr>
        <w:widowControl w:val="0"/>
        <w:kinsoku/>
        <w:topLinePunct/>
        <w:autoSpaceDE/>
        <w:autoSpaceDN/>
        <w:spacing w:line="520" w:lineRule="exact"/>
        <w:ind w:firstLine="421" w:firstLineChars="176"/>
        <w:jc w:val="both"/>
        <w:rPr>
          <w:rFonts w:hint="eastAsia" w:ascii="宋体" w:hAnsi="宋体" w:eastAsia="宋体" w:cs="宋体"/>
          <w:color w:val="auto"/>
          <w:spacing w:val="-1"/>
          <w:sz w:val="24"/>
          <w:szCs w:val="24"/>
          <w:lang w:eastAsia="zh-CN"/>
        </w:rPr>
      </w:pPr>
      <w:r>
        <w:rPr>
          <w:rFonts w:hint="eastAsia" w:ascii="宋体" w:hAnsi="宋体" w:eastAsia="宋体" w:cs="宋体"/>
          <w:b/>
          <w:bCs/>
          <w:color w:val="auto"/>
          <w:spacing w:val="-1"/>
          <w:sz w:val="24"/>
          <w:szCs w:val="24"/>
          <w:lang w:eastAsia="zh-CN"/>
        </w:rPr>
        <w:t>22.1.2</w:t>
      </w:r>
      <w:r>
        <w:rPr>
          <w:rFonts w:hint="eastAsia" w:ascii="宋体" w:hAnsi="宋体" w:eastAsia="宋体" w:cs="宋体"/>
          <w:color w:val="auto"/>
          <w:spacing w:val="-1"/>
          <w:sz w:val="24"/>
          <w:szCs w:val="24"/>
          <w:lang w:eastAsia="zh-CN"/>
        </w:rPr>
        <w:t>对承包人违约的处理</w:t>
      </w:r>
    </w:p>
    <w:p w14:paraId="57E2D58D">
      <w:pPr>
        <w:kinsoku/>
        <w:topLinePunct/>
        <w:autoSpaceDE/>
        <w:autoSpaceDN/>
        <w:spacing w:line="520" w:lineRule="exact"/>
        <w:ind w:firstLine="420" w:firstLineChars="175"/>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本项增加：</w:t>
      </w:r>
    </w:p>
    <w:p w14:paraId="34275ED6">
      <w:pPr>
        <w:kinsoku/>
        <w:topLinePunct/>
        <w:autoSpaceDE/>
        <w:autoSpaceDN/>
        <w:spacing w:line="520" w:lineRule="exact"/>
        <w:ind w:firstLine="420" w:firstLineChars="175"/>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w:t>
      </w:r>
      <w:r>
        <w:rPr>
          <w:rFonts w:hint="eastAsia" w:ascii="宋体" w:hAnsi="宋体" w:eastAsia="宋体" w:cs="宋体"/>
          <w:bCs/>
          <w:color w:val="auto"/>
          <w:sz w:val="24"/>
          <w:szCs w:val="24"/>
          <w:lang w:eastAsia="zh-CN"/>
        </w:rPr>
        <w:t>4</w:t>
      </w:r>
      <w:r>
        <w:rPr>
          <w:rFonts w:hint="eastAsia" w:ascii="宋体" w:hAnsi="宋体" w:eastAsia="宋体" w:cs="宋体"/>
          <w:bCs/>
          <w:color w:val="auto"/>
          <w:sz w:val="24"/>
          <w:szCs w:val="24"/>
          <w:lang w:val="zh-CN" w:eastAsia="zh-CN"/>
        </w:rPr>
        <w:t>）承包人发生第22.1.1(8)目约定的违约情形时，被第一次发现，且情节较轻，</w:t>
      </w:r>
      <w:r>
        <w:rPr>
          <w:rFonts w:hint="eastAsia" w:ascii="宋体" w:hAnsi="宋体" w:eastAsia="宋体" w:cs="宋体"/>
          <w:bCs/>
          <w:color w:val="auto"/>
          <w:spacing w:val="-20"/>
          <w:sz w:val="24"/>
          <w:szCs w:val="24"/>
          <w:lang w:val="zh-CN" w:eastAsia="zh-CN"/>
        </w:rPr>
        <w:t>发包人予以警告，并限期整改；情节较重的，</w:t>
      </w:r>
      <w:r>
        <w:rPr>
          <w:rFonts w:hint="eastAsia" w:ascii="宋体" w:hAnsi="宋体" w:eastAsia="宋体" w:cs="宋体"/>
          <w:bCs/>
          <w:color w:val="auto"/>
          <w:spacing w:val="-20"/>
          <w:sz w:val="24"/>
          <w:szCs w:val="24"/>
          <w:lang w:eastAsia="zh-CN"/>
        </w:rPr>
        <w:t>处以</w:t>
      </w:r>
      <w:r>
        <w:rPr>
          <w:rFonts w:hint="eastAsia" w:ascii="宋体" w:hAnsi="宋体" w:eastAsia="宋体" w:cs="宋体"/>
          <w:bCs/>
          <w:color w:val="auto"/>
          <w:spacing w:val="-20"/>
          <w:sz w:val="24"/>
          <w:szCs w:val="24"/>
          <w:lang w:val="zh-CN" w:eastAsia="zh-CN"/>
        </w:rPr>
        <w:t>2500至5000元</w:t>
      </w:r>
      <w:r>
        <w:rPr>
          <w:rFonts w:hint="eastAsia" w:ascii="宋体" w:hAnsi="宋体" w:eastAsia="宋体" w:cs="宋体"/>
          <w:bCs/>
          <w:color w:val="auto"/>
          <w:spacing w:val="-20"/>
          <w:sz w:val="24"/>
          <w:szCs w:val="24"/>
          <w:lang w:eastAsia="zh-CN"/>
        </w:rPr>
        <w:t>违约金</w:t>
      </w:r>
      <w:r>
        <w:rPr>
          <w:rFonts w:hint="eastAsia" w:ascii="宋体" w:hAnsi="宋体" w:eastAsia="宋体" w:cs="宋体"/>
          <w:bCs/>
          <w:color w:val="auto"/>
          <w:sz w:val="24"/>
          <w:szCs w:val="24"/>
          <w:lang w:val="zh-CN" w:eastAsia="zh-CN"/>
        </w:rPr>
        <w:t>（具体按发包人制定的相关制度执行）；</w:t>
      </w:r>
      <w:r>
        <w:rPr>
          <w:rFonts w:hint="eastAsia" w:ascii="宋体" w:hAnsi="宋体" w:eastAsia="宋体" w:cs="宋体"/>
          <w:snapToGrid/>
          <w:color w:val="auto"/>
          <w:kern w:val="2"/>
          <w:sz w:val="24"/>
          <w:szCs w:val="22"/>
          <w:lang w:val="zh-CN" w:eastAsia="zh-CN"/>
        </w:rPr>
        <w:t>被</w:t>
      </w:r>
      <w:r>
        <w:rPr>
          <w:rFonts w:hint="eastAsia" w:ascii="宋体" w:hAnsi="宋体" w:eastAsia="宋体" w:cs="宋体"/>
          <w:snapToGrid/>
          <w:color w:val="auto"/>
          <w:kern w:val="2"/>
          <w:sz w:val="24"/>
          <w:szCs w:val="22"/>
          <w:lang w:eastAsia="zh-CN"/>
        </w:rPr>
        <w:t>再</w:t>
      </w:r>
      <w:r>
        <w:rPr>
          <w:rFonts w:hint="eastAsia" w:ascii="宋体" w:hAnsi="宋体" w:eastAsia="宋体" w:cs="宋体"/>
          <w:snapToGrid/>
          <w:color w:val="auto"/>
          <w:kern w:val="2"/>
          <w:sz w:val="24"/>
          <w:szCs w:val="22"/>
          <w:lang w:val="zh-CN" w:eastAsia="zh-CN"/>
        </w:rPr>
        <w:t>次发现同类问题，</w:t>
      </w:r>
      <w:r>
        <w:rPr>
          <w:rFonts w:hint="eastAsia" w:ascii="宋体" w:hAnsi="宋体" w:eastAsia="宋体" w:cs="宋体"/>
          <w:bCs/>
          <w:color w:val="auto"/>
          <w:spacing w:val="-20"/>
          <w:sz w:val="24"/>
          <w:szCs w:val="24"/>
          <w:lang w:eastAsia="zh-CN"/>
        </w:rPr>
        <w:t>处以</w:t>
      </w:r>
      <w:r>
        <w:rPr>
          <w:rFonts w:hint="eastAsia" w:ascii="宋体" w:hAnsi="宋体" w:eastAsia="宋体" w:cs="宋体"/>
          <w:snapToGrid/>
          <w:color w:val="auto"/>
          <w:kern w:val="2"/>
          <w:sz w:val="24"/>
          <w:szCs w:val="22"/>
          <w:lang w:val="zh-CN" w:eastAsia="zh-CN"/>
        </w:rPr>
        <w:t>5000元</w:t>
      </w:r>
      <w:r>
        <w:rPr>
          <w:rFonts w:hint="eastAsia" w:ascii="宋体" w:hAnsi="宋体" w:eastAsia="宋体" w:cs="宋体"/>
          <w:snapToGrid/>
          <w:color w:val="auto"/>
          <w:kern w:val="2"/>
          <w:sz w:val="24"/>
          <w:szCs w:val="22"/>
          <w:lang w:eastAsia="zh-CN"/>
        </w:rPr>
        <w:t>违约金</w:t>
      </w:r>
      <w:r>
        <w:rPr>
          <w:rFonts w:hint="eastAsia" w:ascii="宋体" w:hAnsi="宋体" w:eastAsia="宋体" w:cs="宋体"/>
          <w:snapToGrid/>
          <w:color w:val="auto"/>
          <w:kern w:val="2"/>
          <w:sz w:val="24"/>
          <w:szCs w:val="22"/>
          <w:lang w:val="zh-CN" w:eastAsia="zh-CN"/>
        </w:rPr>
        <w:t>。若屡教不改，发包人视情进行加倍扣款并有权终止合同。若由于施工不文明、不安全、市场行为不规范等被媒体曝光或被有关管理部门检查通报，每发生一次</w:t>
      </w:r>
      <w:r>
        <w:rPr>
          <w:rFonts w:hint="eastAsia" w:ascii="宋体" w:hAnsi="宋体" w:eastAsia="宋体" w:cs="宋体"/>
          <w:bCs/>
          <w:color w:val="auto"/>
          <w:spacing w:val="-20"/>
          <w:sz w:val="24"/>
          <w:szCs w:val="24"/>
          <w:lang w:eastAsia="zh-CN"/>
        </w:rPr>
        <w:t>处以</w:t>
      </w:r>
      <w:r>
        <w:rPr>
          <w:rFonts w:hint="eastAsia" w:ascii="宋体" w:hAnsi="宋体" w:eastAsia="宋体" w:cs="宋体"/>
          <w:snapToGrid/>
          <w:color w:val="auto"/>
          <w:kern w:val="2"/>
          <w:sz w:val="24"/>
          <w:szCs w:val="22"/>
          <w:lang w:eastAsia="zh-CN"/>
        </w:rPr>
        <w:t>2</w:t>
      </w:r>
      <w:r>
        <w:rPr>
          <w:rFonts w:hint="eastAsia" w:ascii="宋体" w:hAnsi="宋体" w:eastAsia="宋体" w:cs="宋体"/>
          <w:snapToGrid/>
          <w:color w:val="auto"/>
          <w:kern w:val="2"/>
          <w:sz w:val="24"/>
          <w:szCs w:val="22"/>
          <w:lang w:val="zh-CN" w:eastAsia="zh-CN"/>
        </w:rPr>
        <w:t>0000元</w:t>
      </w:r>
      <w:r>
        <w:rPr>
          <w:rFonts w:hint="eastAsia" w:ascii="宋体" w:hAnsi="宋体" w:eastAsia="宋体" w:cs="宋体"/>
          <w:snapToGrid/>
          <w:color w:val="auto"/>
          <w:kern w:val="2"/>
          <w:sz w:val="24"/>
          <w:szCs w:val="22"/>
          <w:lang w:eastAsia="zh-CN"/>
        </w:rPr>
        <w:t>违约金</w:t>
      </w:r>
      <w:r>
        <w:rPr>
          <w:rFonts w:hint="eastAsia" w:ascii="宋体" w:hAnsi="宋体" w:eastAsia="宋体" w:cs="宋体"/>
          <w:bCs/>
          <w:color w:val="auto"/>
          <w:sz w:val="24"/>
          <w:szCs w:val="24"/>
          <w:lang w:val="zh-CN" w:eastAsia="zh-CN"/>
        </w:rPr>
        <w:t>。</w:t>
      </w:r>
    </w:p>
    <w:p w14:paraId="656DFEB3">
      <w:pPr>
        <w:kinsoku/>
        <w:topLinePunct/>
        <w:autoSpaceDE/>
        <w:autoSpaceDN/>
        <w:spacing w:line="520" w:lineRule="exact"/>
        <w:ind w:firstLine="480" w:firstLineChars="200"/>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（5）</w:t>
      </w:r>
      <w:r>
        <w:rPr>
          <w:rFonts w:hint="eastAsia" w:ascii="宋体" w:hAnsi="宋体" w:eastAsia="宋体" w:cs="宋体"/>
          <w:color w:val="auto"/>
          <w:sz w:val="24"/>
          <w:szCs w:val="24"/>
          <w:lang w:eastAsia="zh-CN"/>
        </w:rPr>
        <w:t>承包人接到行政主管部门或发包人书面整改通知书（质量、安全、进度、环保和水保等）未在规定时限内按要求整改到位的，每次</w:t>
      </w:r>
      <w:r>
        <w:rPr>
          <w:rFonts w:hint="eastAsia" w:ascii="宋体" w:hAnsi="宋体" w:eastAsia="宋体" w:cs="宋体"/>
          <w:bCs/>
          <w:color w:val="auto"/>
          <w:spacing w:val="-20"/>
          <w:sz w:val="24"/>
          <w:szCs w:val="24"/>
          <w:lang w:eastAsia="zh-CN"/>
        </w:rPr>
        <w:t>处以</w:t>
      </w:r>
      <w:r>
        <w:rPr>
          <w:rFonts w:hint="eastAsia" w:ascii="宋体" w:hAnsi="宋体" w:eastAsia="宋体" w:cs="宋体"/>
          <w:color w:val="auto"/>
          <w:sz w:val="24"/>
          <w:szCs w:val="24"/>
          <w:lang w:eastAsia="zh-CN"/>
        </w:rPr>
        <w:t>20000元的违约金</w:t>
      </w:r>
      <w:r>
        <w:rPr>
          <w:rFonts w:hint="eastAsia" w:ascii="宋体" w:hAnsi="宋体" w:eastAsia="宋体" w:cs="宋体"/>
          <w:bCs/>
          <w:color w:val="auto"/>
          <w:sz w:val="24"/>
          <w:szCs w:val="24"/>
          <w:lang w:val="zh-CN" w:eastAsia="zh-CN"/>
        </w:rPr>
        <w:t>。</w:t>
      </w:r>
    </w:p>
    <w:p w14:paraId="47D0F364">
      <w:pPr>
        <w:kinsoku/>
        <w:topLinePunct/>
        <w:autoSpaceDE/>
        <w:autoSpaceDN/>
        <w:spacing w:line="520" w:lineRule="exact"/>
        <w:ind w:firstLine="480" w:firstLineChars="200"/>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w:t>
      </w:r>
      <w:r>
        <w:rPr>
          <w:rFonts w:hint="eastAsia" w:ascii="宋体" w:hAnsi="宋体" w:eastAsia="宋体" w:cs="宋体"/>
          <w:bCs/>
          <w:color w:val="auto"/>
          <w:sz w:val="24"/>
          <w:szCs w:val="24"/>
          <w:lang w:eastAsia="zh-CN"/>
        </w:rPr>
        <w:t>6</w:t>
      </w:r>
      <w:r>
        <w:rPr>
          <w:rFonts w:hint="eastAsia" w:ascii="宋体" w:hAnsi="宋体" w:eastAsia="宋体" w:cs="宋体"/>
          <w:bCs/>
          <w:color w:val="auto"/>
          <w:sz w:val="24"/>
          <w:szCs w:val="24"/>
          <w:lang w:val="zh-CN" w:eastAsia="zh-CN"/>
        </w:rPr>
        <w:t>）承包人接到监理人或发包人书面整改通知书（质量、安全、进度、环保和水保等）未按规定时间进行整改的，每次</w:t>
      </w:r>
      <w:r>
        <w:rPr>
          <w:rFonts w:hint="eastAsia" w:ascii="宋体" w:hAnsi="宋体" w:eastAsia="宋体" w:cs="宋体"/>
          <w:bCs/>
          <w:color w:val="auto"/>
          <w:spacing w:val="-20"/>
          <w:sz w:val="24"/>
          <w:szCs w:val="24"/>
          <w:lang w:eastAsia="zh-CN"/>
        </w:rPr>
        <w:t>处以</w:t>
      </w:r>
      <w:r>
        <w:rPr>
          <w:rFonts w:hint="eastAsia" w:ascii="宋体" w:hAnsi="宋体" w:eastAsia="宋体" w:cs="宋体"/>
          <w:bCs/>
          <w:color w:val="auto"/>
          <w:sz w:val="24"/>
          <w:szCs w:val="24"/>
          <w:lang w:val="zh-CN" w:eastAsia="zh-CN"/>
        </w:rPr>
        <w:t>10000元的</w:t>
      </w:r>
      <w:r>
        <w:rPr>
          <w:rFonts w:hint="eastAsia" w:ascii="宋体" w:hAnsi="宋体" w:eastAsia="宋体" w:cs="宋体"/>
          <w:color w:val="auto"/>
          <w:sz w:val="24"/>
          <w:szCs w:val="24"/>
          <w:lang w:eastAsia="zh-CN"/>
        </w:rPr>
        <w:t>违约金</w:t>
      </w:r>
      <w:r>
        <w:rPr>
          <w:rFonts w:hint="eastAsia" w:ascii="宋体" w:hAnsi="宋体" w:eastAsia="宋体" w:cs="宋体"/>
          <w:bCs/>
          <w:color w:val="auto"/>
          <w:sz w:val="24"/>
          <w:szCs w:val="24"/>
          <w:lang w:val="zh-CN" w:eastAsia="zh-CN"/>
        </w:rPr>
        <w:t>。</w:t>
      </w:r>
    </w:p>
    <w:p w14:paraId="36161F6A">
      <w:pPr>
        <w:kinsoku/>
        <w:topLinePunct/>
        <w:autoSpaceDE/>
        <w:autoSpaceDN/>
        <w:spacing w:line="520" w:lineRule="exact"/>
        <w:ind w:firstLine="480" w:firstLineChars="200"/>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w:t>
      </w:r>
      <w:r>
        <w:rPr>
          <w:rFonts w:hint="eastAsia" w:ascii="宋体" w:hAnsi="宋体" w:eastAsia="宋体" w:cs="宋体"/>
          <w:bCs/>
          <w:color w:val="auto"/>
          <w:sz w:val="24"/>
          <w:szCs w:val="24"/>
          <w:lang w:eastAsia="zh-CN"/>
        </w:rPr>
        <w:t>7</w:t>
      </w:r>
      <w:r>
        <w:rPr>
          <w:rFonts w:hint="eastAsia" w:ascii="宋体" w:hAnsi="宋体" w:eastAsia="宋体" w:cs="宋体"/>
          <w:bCs/>
          <w:color w:val="auto"/>
          <w:sz w:val="24"/>
          <w:szCs w:val="24"/>
          <w:lang w:val="zh-CN" w:eastAsia="zh-CN"/>
        </w:rPr>
        <w:t>）承包</w:t>
      </w:r>
      <w:r>
        <w:rPr>
          <w:rFonts w:hint="eastAsia" w:ascii="宋体" w:hAnsi="宋体" w:eastAsia="宋体" w:cs="宋体"/>
          <w:color w:val="auto"/>
          <w:sz w:val="24"/>
          <w:szCs w:val="24"/>
          <w:lang w:val="zh-CN" w:eastAsia="zh-CN"/>
        </w:rPr>
        <w:t>人发生第22.</w:t>
      </w:r>
      <w:r>
        <w:rPr>
          <w:rFonts w:hint="eastAsia" w:ascii="宋体" w:hAnsi="宋体" w:eastAsia="宋体" w:cs="宋体"/>
          <w:bCs/>
          <w:color w:val="auto"/>
          <w:sz w:val="24"/>
          <w:szCs w:val="24"/>
          <w:lang w:val="zh-CN" w:eastAsia="zh-CN"/>
        </w:rPr>
        <w:t>1.1（</w:t>
      </w:r>
      <w:r>
        <w:rPr>
          <w:rFonts w:hint="eastAsia" w:ascii="宋体" w:hAnsi="宋体" w:eastAsia="宋体" w:cs="宋体"/>
          <w:bCs/>
          <w:color w:val="auto"/>
          <w:sz w:val="24"/>
          <w:szCs w:val="24"/>
          <w:lang w:eastAsia="zh-CN"/>
        </w:rPr>
        <w:t>9</w:t>
      </w:r>
      <w:r>
        <w:rPr>
          <w:rFonts w:hint="eastAsia" w:ascii="宋体" w:hAnsi="宋体" w:eastAsia="宋体" w:cs="宋体"/>
          <w:bCs/>
          <w:color w:val="auto"/>
          <w:sz w:val="24"/>
          <w:szCs w:val="24"/>
          <w:lang w:val="zh-CN" w:eastAsia="zh-CN"/>
        </w:rPr>
        <w:t>）目约定的违约情形时，上交竣工资料每延迟一天，</w:t>
      </w:r>
      <w:r>
        <w:rPr>
          <w:rFonts w:hint="eastAsia" w:ascii="宋体" w:hAnsi="宋体" w:eastAsia="宋体" w:cs="宋体"/>
          <w:bCs/>
          <w:color w:val="auto"/>
          <w:spacing w:val="-20"/>
          <w:sz w:val="24"/>
          <w:szCs w:val="24"/>
          <w:lang w:eastAsia="zh-CN"/>
        </w:rPr>
        <w:t>处以</w:t>
      </w:r>
      <w:r>
        <w:rPr>
          <w:rFonts w:hint="eastAsia" w:ascii="宋体" w:hAnsi="宋体" w:eastAsia="宋体" w:cs="宋体"/>
          <w:bCs/>
          <w:color w:val="auto"/>
          <w:sz w:val="24"/>
          <w:szCs w:val="24"/>
          <w:lang w:val="zh-CN" w:eastAsia="zh-CN"/>
        </w:rPr>
        <w:t>1000元</w:t>
      </w:r>
      <w:r>
        <w:rPr>
          <w:rFonts w:hint="eastAsia" w:ascii="宋体" w:hAnsi="宋体" w:eastAsia="宋体" w:cs="宋体"/>
          <w:bCs/>
          <w:color w:val="auto"/>
          <w:sz w:val="24"/>
          <w:szCs w:val="24"/>
          <w:lang w:eastAsia="zh-CN"/>
        </w:rPr>
        <w:t>违约金</w:t>
      </w:r>
      <w:r>
        <w:rPr>
          <w:rFonts w:hint="eastAsia" w:ascii="宋体" w:hAnsi="宋体" w:eastAsia="宋体" w:cs="宋体"/>
          <w:bCs/>
          <w:color w:val="auto"/>
          <w:sz w:val="24"/>
          <w:szCs w:val="24"/>
          <w:lang w:val="zh-CN" w:eastAsia="zh-CN"/>
        </w:rPr>
        <w:t>，累计不超过50000元。</w:t>
      </w:r>
    </w:p>
    <w:p w14:paraId="09C0086B">
      <w:pPr>
        <w:kinsoku/>
        <w:topLinePunct/>
        <w:autoSpaceDE/>
        <w:autoSpaceDN/>
        <w:spacing w:line="520" w:lineRule="exact"/>
        <w:ind w:firstLine="480" w:firstLineChars="200"/>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w:t>
      </w:r>
      <w:r>
        <w:rPr>
          <w:rFonts w:hint="eastAsia" w:ascii="宋体" w:hAnsi="宋体" w:eastAsia="宋体" w:cs="宋体"/>
          <w:bCs/>
          <w:color w:val="auto"/>
          <w:sz w:val="24"/>
          <w:szCs w:val="24"/>
          <w:lang w:eastAsia="zh-CN"/>
        </w:rPr>
        <w:t>8</w:t>
      </w:r>
      <w:r>
        <w:rPr>
          <w:rFonts w:hint="eastAsia" w:ascii="宋体" w:hAnsi="宋体" w:eastAsia="宋体" w:cs="宋体"/>
          <w:bCs/>
          <w:color w:val="auto"/>
          <w:sz w:val="24"/>
          <w:szCs w:val="24"/>
          <w:lang w:val="zh-CN" w:eastAsia="zh-CN"/>
        </w:rPr>
        <w:t>）承包人发生第22.1.1（10）、（11）目约定的情形时，发包人按照不良行为记录上报省</w:t>
      </w:r>
      <w:r>
        <w:rPr>
          <w:rFonts w:hint="eastAsia" w:ascii="宋体" w:hAnsi="宋体" w:eastAsia="宋体" w:cs="宋体"/>
          <w:bCs/>
          <w:color w:val="auto"/>
          <w:sz w:val="24"/>
          <w:szCs w:val="24"/>
          <w:lang w:eastAsia="zh-CN"/>
        </w:rPr>
        <w:t>级相关部门</w:t>
      </w:r>
      <w:r>
        <w:rPr>
          <w:rFonts w:hint="eastAsia" w:ascii="宋体" w:hAnsi="宋体" w:eastAsia="宋体" w:cs="宋体"/>
          <w:bCs/>
          <w:color w:val="auto"/>
          <w:sz w:val="24"/>
          <w:szCs w:val="24"/>
          <w:lang w:val="zh-CN" w:eastAsia="zh-CN"/>
        </w:rPr>
        <w:t>。</w:t>
      </w:r>
    </w:p>
    <w:p w14:paraId="270F9B5B">
      <w:pPr>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为做好本工程项目的监督管理，承包人应严格按照《柯桥区水利工程建设项目施工现场管理制度》（绍柯农〔2019〕101号）、《柯桥区水利工程项目建设管理办法》（绍柯农〔2019〕102号）《柯桥区水利建设工程施工监理不良行为处理暂行办法》（绍柯农〔2019〕107号）等文件精神执行。承包人在施工过程中如有下列情形，</w:t>
      </w:r>
      <w:r>
        <w:rPr>
          <w:rFonts w:hint="eastAsia" w:ascii="宋体" w:hAnsi="宋体" w:eastAsia="宋体" w:cs="宋体"/>
          <w:bCs/>
          <w:color w:val="auto"/>
          <w:sz w:val="24"/>
          <w:szCs w:val="24"/>
          <w:lang w:val="zh-CN" w:eastAsia="zh-CN"/>
        </w:rPr>
        <w:t>每次</w:t>
      </w:r>
      <w:r>
        <w:rPr>
          <w:rFonts w:hint="eastAsia" w:ascii="宋体" w:hAnsi="宋体" w:eastAsia="宋体" w:cs="宋体"/>
          <w:bCs/>
          <w:color w:val="auto"/>
          <w:spacing w:val="-20"/>
          <w:sz w:val="24"/>
          <w:szCs w:val="24"/>
          <w:lang w:eastAsia="zh-CN"/>
        </w:rPr>
        <w:t>处以</w:t>
      </w:r>
      <w:r>
        <w:rPr>
          <w:rFonts w:hint="eastAsia" w:ascii="宋体" w:hAnsi="宋体" w:eastAsia="宋体" w:cs="宋体"/>
          <w:bCs/>
          <w:color w:val="auto"/>
          <w:sz w:val="24"/>
          <w:szCs w:val="24"/>
          <w:lang w:val="zh-CN" w:eastAsia="zh-CN"/>
        </w:rPr>
        <w:t>2500至</w:t>
      </w:r>
      <w:r>
        <w:rPr>
          <w:rFonts w:hint="eastAsia" w:ascii="宋体" w:hAnsi="宋体" w:eastAsia="宋体" w:cs="宋体"/>
          <w:color w:val="auto"/>
          <w:sz w:val="24"/>
          <w:szCs w:val="24"/>
          <w:lang w:eastAsia="zh-CN"/>
        </w:rPr>
        <w:t>10000的违约金，具体处罚标准执行招标发包人制定的现场管理办法规定：</w:t>
      </w:r>
    </w:p>
    <w:p w14:paraId="1CC7CB87">
      <w:pPr>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①不安全施工行为发生；②不文明施工行为发生；③不符合施工质量要求行为发生；④对安全隐患未及时发现或整改不力；⑤进度计划执行不到位。</w:t>
      </w:r>
    </w:p>
    <w:p w14:paraId="37D7A8E0">
      <w:pPr>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（10）承包人在施工过程中，应当切实做好环境保护与文明施工工作，有效防止噪声产生，严格禁止污染环境，同时负责妥善处理因弃土场地问题引发的各类投诉。</w:t>
      </w:r>
    </w:p>
    <w:p w14:paraId="67766101">
      <w:pPr>
        <w:widowControl w:val="0"/>
        <w:kinsoku/>
        <w:topLinePunct/>
        <w:autoSpaceDE/>
        <w:autoSpaceDN/>
        <w:spacing w:line="520" w:lineRule="exact"/>
        <w:ind w:firstLine="420" w:firstLineChars="175"/>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eastAsia="宋体" w:cs="宋体"/>
          <w:color w:val="auto"/>
          <w:spacing w:val="-1"/>
          <w:sz w:val="24"/>
          <w:szCs w:val="24"/>
          <w:lang w:eastAsia="zh-CN"/>
        </w:rPr>
        <w:t>本合同中涉及的违约金由承包人直接支付至发包人银行基本账户(账户名：</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pacing w:val="-1"/>
          <w:sz w:val="24"/>
          <w:szCs w:val="24"/>
          <w:lang w:eastAsia="zh-CN"/>
        </w:rPr>
        <w:t>,账号：</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pacing w:val="-1"/>
          <w:sz w:val="24"/>
          <w:szCs w:val="24"/>
          <w:lang w:eastAsia="zh-CN"/>
        </w:rPr>
        <w:t>　,开户行：</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pacing w:val="-1"/>
          <w:sz w:val="24"/>
          <w:szCs w:val="24"/>
          <w:lang w:eastAsia="zh-CN"/>
        </w:rPr>
        <w:t>)。当月涉及违约金时，发包人应在收到承包人违约金后再支付工程进度款。</w:t>
      </w:r>
    </w:p>
    <w:p w14:paraId="43745614">
      <w:pPr>
        <w:widowControl w:val="0"/>
        <w:kinsoku/>
        <w:topLinePunct/>
        <w:autoSpaceDE/>
        <w:autoSpaceDN/>
        <w:spacing w:line="520" w:lineRule="exact"/>
        <w:jc w:val="both"/>
        <w:outlineLvl w:val="2"/>
        <w:rPr>
          <w:rFonts w:hint="eastAsia" w:ascii="宋体" w:hAnsi="宋体" w:eastAsia="宋体" w:cs="宋体"/>
          <w:b/>
          <w:bCs/>
          <w:color w:val="auto"/>
          <w:sz w:val="28"/>
          <w:szCs w:val="28"/>
          <w:lang w:eastAsia="zh-CN"/>
        </w:rPr>
      </w:pPr>
      <w:bookmarkStart w:id="968" w:name="bookmark384"/>
      <w:bookmarkEnd w:id="968"/>
      <w:bookmarkStart w:id="969" w:name="bookmark383"/>
      <w:bookmarkEnd w:id="969"/>
      <w:bookmarkStart w:id="970" w:name="_Toc3465"/>
      <w:bookmarkStart w:id="971" w:name="_Toc10653"/>
      <w:bookmarkStart w:id="972" w:name="_Toc4672"/>
      <w:bookmarkStart w:id="973" w:name="_Toc18253"/>
      <w:r>
        <w:rPr>
          <w:rFonts w:hint="eastAsia" w:ascii="宋体" w:hAnsi="宋体" w:eastAsia="宋体" w:cs="宋体"/>
          <w:b/>
          <w:bCs/>
          <w:color w:val="auto"/>
          <w:sz w:val="28"/>
          <w:szCs w:val="28"/>
          <w:lang w:eastAsia="zh-CN"/>
        </w:rPr>
        <w:t>24　争议的解决</w:t>
      </w:r>
      <w:bookmarkEnd w:id="970"/>
      <w:bookmarkEnd w:id="971"/>
      <w:bookmarkEnd w:id="972"/>
      <w:bookmarkEnd w:id="973"/>
    </w:p>
    <w:p w14:paraId="61171AA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74" w:name="bookmark730"/>
      <w:bookmarkEnd w:id="974"/>
      <w:r>
        <w:rPr>
          <w:rFonts w:hint="eastAsia" w:ascii="宋体" w:hAnsi="宋体" w:eastAsia="宋体" w:cs="宋体"/>
          <w:b/>
          <w:bCs/>
          <w:color w:val="auto"/>
          <w:sz w:val="24"/>
          <w:szCs w:val="24"/>
          <w:lang w:eastAsia="zh-CN"/>
        </w:rPr>
        <w:t>24.1　争议的解决方式</w:t>
      </w:r>
    </w:p>
    <w:p w14:paraId="4E655267">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合同当事人友好协商解决不成、不愿提请争议评审或不接受争议评审组意见的，约定的合同争议解决方式：</w:t>
      </w:r>
      <w:r>
        <w:rPr>
          <w:rFonts w:hint="eastAsia" w:ascii="宋体" w:hAnsi="宋体" w:eastAsia="宋体" w:cs="宋体"/>
          <w:color w:val="auto"/>
          <w:sz w:val="24"/>
          <w:szCs w:val="24"/>
          <w:u w:val="single"/>
          <w:lang w:eastAsia="zh-CN"/>
        </w:rPr>
        <w:t>向工程所在地人民法院起诉</w:t>
      </w:r>
      <w:r>
        <w:rPr>
          <w:rFonts w:hint="eastAsia" w:ascii="宋体" w:hAnsi="宋体" w:eastAsia="宋体" w:cs="宋体"/>
          <w:color w:val="auto"/>
          <w:sz w:val="24"/>
          <w:szCs w:val="24"/>
          <w:lang w:eastAsia="zh-CN"/>
        </w:rPr>
        <w:t>。</w:t>
      </w:r>
    </w:p>
    <w:p w14:paraId="201710F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975" w:name="bookmark385"/>
      <w:bookmarkEnd w:id="975"/>
      <w:r>
        <w:rPr>
          <w:rFonts w:hint="eastAsia" w:ascii="宋体" w:hAnsi="宋体" w:eastAsia="宋体" w:cs="宋体"/>
          <w:b/>
          <w:bCs/>
          <w:color w:val="auto"/>
          <w:sz w:val="24"/>
          <w:szCs w:val="24"/>
          <w:lang w:eastAsia="zh-CN"/>
        </w:rPr>
        <w:t>24.2　友好解决</w:t>
      </w:r>
    </w:p>
    <w:p w14:paraId="2FF180A9">
      <w:pPr>
        <w:widowControl w:val="0"/>
        <w:kinsoku/>
        <w:topLinePunct/>
        <w:autoSpaceDE/>
        <w:autoSpaceDN/>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补充：合同当事人可以就争议请第三方进行调解，调解达成协议的，经双方签字并盖章后作为合同补充文件，双方均应遵照执行。</w:t>
      </w:r>
    </w:p>
    <w:p w14:paraId="5EE19315">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bookmarkStart w:id="976" w:name="bookmark386"/>
      <w:bookmarkEnd w:id="976"/>
      <w:r>
        <w:rPr>
          <w:rFonts w:hint="eastAsia" w:ascii="宋体" w:hAnsi="宋体" w:eastAsia="宋体" w:cs="宋体"/>
          <w:b/>
          <w:bCs/>
          <w:color w:val="auto"/>
          <w:sz w:val="24"/>
          <w:szCs w:val="24"/>
          <w:lang w:eastAsia="zh-CN"/>
        </w:rPr>
        <w:t>24.3　争议评审</w:t>
      </w:r>
    </w:p>
    <w:p w14:paraId="0ED4759B">
      <w:pPr>
        <w:widowControl w:val="0"/>
        <w:kinsoku/>
        <w:topLinePunct/>
        <w:autoSpaceDE/>
        <w:autoSpaceDN/>
        <w:spacing w:line="52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24.3.7　</w:t>
      </w:r>
      <w:r>
        <w:rPr>
          <w:rFonts w:hint="eastAsia" w:ascii="宋体" w:hAnsi="宋体" w:eastAsia="宋体" w:cs="宋体"/>
          <w:color w:val="auto"/>
          <w:sz w:val="24"/>
          <w:szCs w:val="24"/>
          <w:lang w:eastAsia="zh-CN"/>
        </w:rPr>
        <w:t>补充：发包人或承包人不接受评审意见，可请省水行政主管部门进行调解。</w:t>
      </w:r>
    </w:p>
    <w:p w14:paraId="07B08125">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19572702">
      <w:pPr>
        <w:kinsoku/>
        <w:wordWrap w:val="0"/>
        <w:spacing w:line="360" w:lineRule="auto"/>
        <w:jc w:val="center"/>
        <w:outlineLvl w:val="1"/>
        <w:rPr>
          <w:rFonts w:hint="eastAsia" w:ascii="宋体" w:hAnsi="宋体" w:eastAsia="宋体" w:cs="宋体"/>
          <w:color w:val="auto"/>
          <w:sz w:val="31"/>
          <w:szCs w:val="31"/>
          <w:lang w:eastAsia="zh-CN"/>
        </w:rPr>
      </w:pPr>
      <w:bookmarkStart w:id="977" w:name="bookmark387"/>
      <w:bookmarkEnd w:id="977"/>
      <w:bookmarkStart w:id="978" w:name="_Toc11049"/>
      <w:bookmarkStart w:id="979" w:name="_Toc22627"/>
      <w:bookmarkStart w:id="980" w:name="_Toc18645"/>
      <w:bookmarkStart w:id="981" w:name="_Toc22101"/>
      <w:r>
        <w:rPr>
          <w:rFonts w:ascii="宋体" w:hAnsi="宋体" w:eastAsia="宋体" w:cs="宋体"/>
          <w:b/>
          <w:bCs/>
          <w:color w:val="auto"/>
          <w:sz w:val="31"/>
          <w:szCs w:val="31"/>
          <w:lang w:eastAsia="zh-CN"/>
        </w:rPr>
        <w:t>第三节</w:t>
      </w:r>
      <w:r>
        <w:rPr>
          <w:rFonts w:hint="eastAsia" w:ascii="宋体" w:hAnsi="宋体" w:eastAsia="宋体" w:cs="宋体"/>
          <w:color w:val="auto"/>
          <w:sz w:val="31"/>
          <w:szCs w:val="31"/>
          <w:lang w:eastAsia="zh-CN"/>
        </w:rPr>
        <w:t>　</w:t>
      </w:r>
      <w:r>
        <w:rPr>
          <w:rFonts w:ascii="宋体" w:hAnsi="宋体" w:eastAsia="宋体" w:cs="宋体"/>
          <w:b/>
          <w:bCs/>
          <w:color w:val="auto"/>
          <w:sz w:val="31"/>
          <w:szCs w:val="31"/>
          <w:lang w:eastAsia="zh-CN"/>
        </w:rPr>
        <w:t>合同附件格式</w:t>
      </w:r>
      <w:bookmarkEnd w:id="978"/>
      <w:bookmarkEnd w:id="979"/>
      <w:bookmarkEnd w:id="980"/>
      <w:bookmarkEnd w:id="981"/>
    </w:p>
    <w:p w14:paraId="3F8044E7">
      <w:pPr>
        <w:rPr>
          <w:rFonts w:hint="eastAsia" w:ascii="宋体" w:hAnsi="宋体" w:eastAsia="宋体" w:cs="宋体"/>
          <w:color w:val="auto"/>
          <w:sz w:val="31"/>
          <w:szCs w:val="31"/>
          <w:lang w:eastAsia="zh-CN"/>
        </w:rPr>
      </w:pPr>
      <w:r>
        <w:rPr>
          <w:rFonts w:ascii="宋体" w:hAnsi="宋体" w:eastAsia="宋体" w:cs="宋体"/>
          <w:color w:val="auto"/>
          <w:sz w:val="31"/>
          <w:szCs w:val="31"/>
          <w:lang w:eastAsia="zh-CN"/>
        </w:rPr>
        <w:br w:type="page"/>
      </w:r>
    </w:p>
    <w:p w14:paraId="36E02F34">
      <w:pPr>
        <w:spacing w:before="56" w:line="219" w:lineRule="auto"/>
        <w:ind w:left="21"/>
        <w:outlineLvl w:val="2"/>
        <w:rPr>
          <w:rFonts w:hint="eastAsia" w:ascii="宋体" w:hAnsi="宋体" w:eastAsia="宋体" w:cs="宋体"/>
          <w:color w:val="auto"/>
          <w:sz w:val="28"/>
          <w:szCs w:val="28"/>
          <w:lang w:eastAsia="zh-CN"/>
        </w:rPr>
      </w:pPr>
      <w:bookmarkStart w:id="982" w:name="bookmark388"/>
      <w:bookmarkEnd w:id="982"/>
      <w:bookmarkStart w:id="983" w:name="_Toc10736"/>
      <w:bookmarkStart w:id="984" w:name="_Toc24879"/>
      <w:bookmarkStart w:id="985" w:name="_Toc21832"/>
      <w:bookmarkStart w:id="986" w:name="_Toc12185"/>
      <w:r>
        <w:rPr>
          <w:rFonts w:ascii="宋体" w:hAnsi="宋体" w:eastAsia="宋体" w:cs="宋体"/>
          <w:b/>
          <w:bCs/>
          <w:color w:val="auto"/>
          <w:sz w:val="28"/>
          <w:szCs w:val="28"/>
          <w:lang w:eastAsia="zh-CN"/>
        </w:rPr>
        <w:t>附件一</w:t>
      </w:r>
      <w:r>
        <w:rPr>
          <w:rFonts w:hint="eastAsia" w:ascii="宋体" w:hAnsi="宋体" w:eastAsia="宋体" w:cs="宋体"/>
          <w:color w:val="auto"/>
          <w:sz w:val="28"/>
          <w:szCs w:val="28"/>
          <w:lang w:eastAsia="zh-CN"/>
        </w:rPr>
        <w:t>　</w:t>
      </w:r>
      <w:r>
        <w:rPr>
          <w:rFonts w:ascii="宋体" w:hAnsi="宋体" w:eastAsia="宋体" w:cs="宋体"/>
          <w:b/>
          <w:bCs/>
          <w:color w:val="auto"/>
          <w:sz w:val="28"/>
          <w:szCs w:val="28"/>
          <w:lang w:eastAsia="zh-CN"/>
        </w:rPr>
        <w:t>合同协议书</w:t>
      </w:r>
      <w:bookmarkEnd w:id="983"/>
      <w:bookmarkEnd w:id="984"/>
      <w:bookmarkEnd w:id="985"/>
      <w:bookmarkEnd w:id="986"/>
    </w:p>
    <w:p w14:paraId="517FBD33">
      <w:pPr>
        <w:pStyle w:val="8"/>
        <w:widowControl w:val="0"/>
        <w:kinsoku/>
        <w:wordWrap w:val="0"/>
        <w:topLinePunct/>
        <w:autoSpaceDE/>
        <w:spacing w:line="360" w:lineRule="auto"/>
        <w:ind w:firstLine="420" w:firstLineChars="200"/>
        <w:jc w:val="both"/>
        <w:rPr>
          <w:color w:val="auto"/>
          <w:lang w:eastAsia="zh-CN"/>
        </w:rPr>
      </w:pPr>
    </w:p>
    <w:p w14:paraId="2C8A292B">
      <w:pPr>
        <w:widowControl w:val="0"/>
        <w:kinsoku/>
        <w:wordWrap w:val="0"/>
        <w:topLinePunct/>
        <w:autoSpaceDE/>
        <w:spacing w:line="360" w:lineRule="auto"/>
        <w:jc w:val="center"/>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合同协议书</w:t>
      </w:r>
    </w:p>
    <w:p w14:paraId="4B5A0FB7">
      <w:pPr>
        <w:widowControl w:val="0"/>
        <w:tabs>
          <w:tab w:val="left" w:pos="1788"/>
        </w:tabs>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（发包人名称，以下简称“发包人”）为实施</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），已接受</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（承包人名称，以下简称“承包人”）对</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标段名称</w:t>
      </w:r>
      <w:r>
        <w:rPr>
          <w:rFonts w:ascii="宋体" w:hAnsi="宋体" w:eastAsia="宋体" w:cs="宋体"/>
          <w:color w:val="auto"/>
          <w:sz w:val="24"/>
          <w:szCs w:val="24"/>
          <w:lang w:eastAsia="zh-CN"/>
        </w:rPr>
        <w:t>）的投标。发包人和承包人共同达成如下协议。</w:t>
      </w:r>
    </w:p>
    <w:p w14:paraId="5919C90E">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．本协议书与下列文件一起构成合同文件：</w:t>
      </w:r>
    </w:p>
    <w:p w14:paraId="4D42F54D">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）中标通知书。</w:t>
      </w:r>
    </w:p>
    <w:p w14:paraId="1CC9754C">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）投标函及投标函附录。</w:t>
      </w:r>
    </w:p>
    <w:p w14:paraId="77A5B4C8">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）专用合同条款。</w:t>
      </w:r>
    </w:p>
    <w:p w14:paraId="2B154422">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）通用合同条款。</w:t>
      </w:r>
    </w:p>
    <w:p w14:paraId="69E3A058">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）技术标准和要求（合同技术条款）。</w:t>
      </w:r>
    </w:p>
    <w:p w14:paraId="5C8B418F">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）图纸。</w:t>
      </w:r>
    </w:p>
    <w:p w14:paraId="655EF2DF">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）已标价工程量清单。</w:t>
      </w:r>
    </w:p>
    <w:p w14:paraId="069852BF">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）其他合同文件。</w:t>
      </w:r>
    </w:p>
    <w:p w14:paraId="1CAB14EC">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．上述文件互相补充和解释，如有不明确或不一致之处，以合同约定次序在先者为准。</w:t>
      </w:r>
    </w:p>
    <w:p w14:paraId="6A4E69AA">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．签约合同价：人民币（大写）</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元(￥</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p>
    <w:p w14:paraId="5D3886FB">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．承包人项目负责人：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，项目技术负责人：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strike/>
          <w:color w:val="auto"/>
          <w:sz w:val="24"/>
          <w:szCs w:val="24"/>
          <w:lang w:eastAsia="zh-CN"/>
        </w:rPr>
        <w:t>副项目负责人：</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w:t>
      </w:r>
    </w:p>
    <w:p w14:paraId="5C9F3E6C">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．工程质量符合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标准。</w:t>
      </w:r>
    </w:p>
    <w:p w14:paraId="642A9D02">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．承包人承诺按合同约定承担工程的实施、完成及缺陷修复。</w:t>
      </w:r>
    </w:p>
    <w:p w14:paraId="51D64585">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．发包人承诺按合同约定的条件、时间和方式向承包人支付合同价款。</w:t>
      </w:r>
    </w:p>
    <w:p w14:paraId="2435D975">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．承包人承诺执行监理人开工通知，计划工期为</w:t>
      </w:r>
      <w:r>
        <w:rPr>
          <w:rFonts w:hint="eastAsia" w:ascii="宋体" w:hAnsi="宋体" w:eastAsia="宋体" w:cs="宋体"/>
          <w:color w:val="auto"/>
          <w:sz w:val="24"/>
          <w:szCs w:val="24"/>
          <w:u w:val="single"/>
          <w:lang w:eastAsia="zh-CN"/>
        </w:rPr>
        <w:t>33</w:t>
      </w:r>
      <w:r>
        <w:rPr>
          <w:rFonts w:ascii="宋体" w:hAnsi="宋体" w:eastAsia="宋体" w:cs="宋体"/>
          <w:color w:val="auto"/>
          <w:sz w:val="24"/>
          <w:szCs w:val="24"/>
          <w:lang w:eastAsia="zh-CN"/>
        </w:rPr>
        <w:t>个月。</w:t>
      </w:r>
    </w:p>
    <w:p w14:paraId="40E424B0">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．本协议书正本一式</w:t>
      </w:r>
      <w:r>
        <w:rPr>
          <w:rFonts w:ascii="宋体" w:hAnsi="宋体" w:eastAsia="宋体" w:cs="宋体"/>
          <w:color w:val="auto"/>
          <w:sz w:val="24"/>
          <w:szCs w:val="24"/>
          <w:u w:val="single"/>
          <w:lang w:eastAsia="zh-CN"/>
        </w:rPr>
        <w:t>贰</w:t>
      </w:r>
      <w:r>
        <w:rPr>
          <w:rFonts w:ascii="宋体" w:hAnsi="宋体" w:eastAsia="宋体" w:cs="宋体"/>
          <w:color w:val="auto"/>
          <w:sz w:val="24"/>
          <w:szCs w:val="24"/>
          <w:lang w:eastAsia="zh-CN"/>
        </w:rPr>
        <w:t>份，合同双方各执</w:t>
      </w:r>
      <w:r>
        <w:rPr>
          <w:rFonts w:ascii="宋体" w:hAnsi="宋体" w:eastAsia="宋体" w:cs="宋体"/>
          <w:color w:val="auto"/>
          <w:sz w:val="24"/>
          <w:szCs w:val="24"/>
          <w:u w:val="single"/>
          <w:lang w:eastAsia="zh-CN"/>
        </w:rPr>
        <w:t>壹</w:t>
      </w:r>
      <w:r>
        <w:rPr>
          <w:rFonts w:ascii="宋体" w:hAnsi="宋体" w:eastAsia="宋体" w:cs="宋体"/>
          <w:color w:val="auto"/>
          <w:sz w:val="24"/>
          <w:szCs w:val="24"/>
          <w:lang w:eastAsia="zh-CN"/>
        </w:rPr>
        <w:t>份，副本</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份，双方各执</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份。</w:t>
      </w:r>
    </w:p>
    <w:p w14:paraId="0B603CD9">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．合同未尽事宜，双方另行签订补充协议。补充协议是合同的组成部分。</w:t>
      </w:r>
    </w:p>
    <w:p w14:paraId="060AFA32">
      <w:pPr>
        <w:pStyle w:val="8"/>
        <w:widowControl w:val="0"/>
        <w:kinsoku/>
        <w:wordWrap w:val="0"/>
        <w:topLinePunct/>
        <w:autoSpaceDE/>
        <w:autoSpaceDN/>
        <w:spacing w:line="360" w:lineRule="auto"/>
        <w:ind w:firstLine="420" w:firstLineChars="200"/>
        <w:jc w:val="both"/>
        <w:rPr>
          <w:color w:val="auto"/>
          <w:lang w:eastAsia="zh-CN"/>
        </w:rPr>
      </w:pPr>
    </w:p>
    <w:p w14:paraId="6E2D0DD4">
      <w:pPr>
        <w:spacing w:before="79" w:line="219" w:lineRule="auto"/>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发包人：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u w:val="single"/>
          <w:lang w:eastAsia="zh-CN"/>
        </w:rPr>
        <w:t>（盖单位章）</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承</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包</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u w:val="single"/>
          <w:lang w:eastAsia="zh-CN"/>
        </w:rPr>
        <w:t>（盖单位章）</w:t>
      </w:r>
      <w:r>
        <w:rPr>
          <w:rFonts w:hint="eastAsia" w:ascii="宋体" w:hAnsi="宋体" w:eastAsia="宋体" w:cs="宋体"/>
          <w:color w:val="auto"/>
          <w:sz w:val="24"/>
          <w:szCs w:val="24"/>
          <w:u w:val="single"/>
          <w:lang w:eastAsia="zh-CN"/>
        </w:rPr>
        <w:t>　　</w:t>
      </w:r>
    </w:p>
    <w:p w14:paraId="51786AA9">
      <w:pPr>
        <w:spacing w:before="183" w:line="220" w:lineRule="auto"/>
        <w:ind w:right="13"/>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法定代表人或其委托代理人：</w:t>
      </w:r>
      <w:r>
        <w:rPr>
          <w:rFonts w:ascii="宋体" w:hAnsi="宋体" w:eastAsia="宋体" w:cs="宋体"/>
          <w:color w:val="auto"/>
          <w:sz w:val="24"/>
          <w:szCs w:val="24"/>
          <w:u w:val="single"/>
          <w:lang w:eastAsia="zh-CN"/>
        </w:rPr>
        <w:t>（签字）</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法定代表人或其委托代理人：</w:t>
      </w:r>
      <w:r>
        <w:rPr>
          <w:rFonts w:ascii="宋体" w:hAnsi="宋体" w:eastAsia="宋体" w:cs="宋体"/>
          <w:color w:val="auto"/>
          <w:sz w:val="24"/>
          <w:szCs w:val="24"/>
          <w:u w:val="single"/>
          <w:lang w:eastAsia="zh-CN"/>
        </w:rPr>
        <w:t>（签字）</w:t>
      </w:r>
    </w:p>
    <w:p w14:paraId="13A0BDEC">
      <w:pPr>
        <w:tabs>
          <w:tab w:val="left" w:pos="1428"/>
        </w:tabs>
        <w:spacing w:before="180" w:line="220" w:lineRule="auto"/>
        <w:ind w:left="708"/>
        <w:rPr>
          <w:rFonts w:hint="eastAsia" w:ascii="宋体" w:hAnsi="宋体" w:eastAsia="宋体" w:cs="宋体"/>
          <w:color w:val="auto"/>
          <w:sz w:val="24"/>
          <w:szCs w:val="24"/>
        </w:rPr>
      </w:pPr>
      <w:r>
        <w:rPr>
          <w:rFonts w:ascii="宋体" w:hAnsi="宋体" w:eastAsia="宋体" w:cs="宋体"/>
          <w:color w:val="auto"/>
          <w:sz w:val="24"/>
          <w:szCs w:val="24"/>
          <w:u w:val="single"/>
          <w:lang w:eastAsia="zh-CN"/>
        </w:rPr>
        <w:tab/>
      </w:r>
      <w:r>
        <w:rPr>
          <w:rFonts w:ascii="宋体" w:hAnsi="宋体" w:eastAsia="宋体" w:cs="宋体"/>
          <w:color w:val="auto"/>
          <w:sz w:val="24"/>
          <w:szCs w:val="24"/>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rPr>
        <w:t>日</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rPr>
        <w:t>日</w:t>
      </w:r>
    </w:p>
    <w:p w14:paraId="18A2C920">
      <w:pPr>
        <w:rPr>
          <w:rFonts w:hint="eastAsia" w:ascii="宋体" w:hAnsi="宋体" w:eastAsia="宋体" w:cs="宋体"/>
          <w:color w:val="auto"/>
          <w:sz w:val="24"/>
          <w:szCs w:val="24"/>
        </w:rPr>
      </w:pPr>
      <w:r>
        <w:rPr>
          <w:rFonts w:ascii="宋体" w:hAnsi="宋体" w:eastAsia="宋体" w:cs="宋体"/>
          <w:color w:val="auto"/>
          <w:sz w:val="24"/>
          <w:szCs w:val="24"/>
        </w:rPr>
        <w:br w:type="page"/>
      </w:r>
    </w:p>
    <w:p w14:paraId="380A818E">
      <w:pPr>
        <w:spacing w:before="56" w:line="219" w:lineRule="auto"/>
        <w:ind w:left="32"/>
        <w:outlineLvl w:val="2"/>
        <w:rPr>
          <w:rFonts w:hint="eastAsia" w:ascii="宋体" w:hAnsi="宋体" w:eastAsia="宋体" w:cs="宋体"/>
          <w:color w:val="auto"/>
          <w:sz w:val="28"/>
          <w:szCs w:val="28"/>
          <w:lang w:eastAsia="zh-CN"/>
        </w:rPr>
      </w:pPr>
      <w:bookmarkStart w:id="987" w:name="bookmark389"/>
      <w:bookmarkEnd w:id="987"/>
      <w:bookmarkStart w:id="988" w:name="_Toc29500"/>
      <w:bookmarkStart w:id="989" w:name="_Toc27881"/>
      <w:bookmarkStart w:id="990" w:name="_Toc2764"/>
      <w:bookmarkStart w:id="991" w:name="_Toc16986"/>
      <w:r>
        <w:rPr>
          <w:rFonts w:ascii="宋体" w:hAnsi="宋体" w:eastAsia="宋体" w:cs="宋体"/>
          <w:b/>
          <w:bCs/>
          <w:color w:val="auto"/>
          <w:sz w:val="28"/>
          <w:szCs w:val="28"/>
          <w:lang w:eastAsia="zh-CN"/>
        </w:rPr>
        <w:t>附件二</w:t>
      </w:r>
      <w:r>
        <w:rPr>
          <w:rFonts w:hint="eastAsia" w:ascii="宋体" w:hAnsi="宋体" w:eastAsia="宋体" w:cs="宋体"/>
          <w:color w:val="auto"/>
          <w:sz w:val="28"/>
          <w:szCs w:val="28"/>
          <w:lang w:eastAsia="zh-CN"/>
        </w:rPr>
        <w:t>　</w:t>
      </w:r>
      <w:r>
        <w:rPr>
          <w:rFonts w:ascii="宋体" w:hAnsi="宋体" w:eastAsia="宋体" w:cs="宋体"/>
          <w:b/>
          <w:bCs/>
          <w:color w:val="auto"/>
          <w:sz w:val="28"/>
          <w:szCs w:val="28"/>
          <w:lang w:eastAsia="zh-CN"/>
        </w:rPr>
        <w:t>履约担保（格式）</w:t>
      </w:r>
      <w:bookmarkEnd w:id="988"/>
      <w:bookmarkEnd w:id="989"/>
      <w:bookmarkEnd w:id="990"/>
      <w:bookmarkEnd w:id="991"/>
    </w:p>
    <w:p w14:paraId="0618EF85">
      <w:pPr>
        <w:pStyle w:val="8"/>
        <w:spacing w:line="247" w:lineRule="auto"/>
        <w:rPr>
          <w:color w:val="auto"/>
          <w:lang w:eastAsia="zh-CN"/>
        </w:rPr>
      </w:pPr>
    </w:p>
    <w:p w14:paraId="05A96702">
      <w:pPr>
        <w:spacing w:before="78" w:line="220" w:lineRule="auto"/>
        <w:ind w:left="3925"/>
        <w:rPr>
          <w:rFonts w:hint="eastAsia" w:ascii="宋体" w:hAnsi="宋体" w:eastAsia="宋体" w:cs="宋体"/>
          <w:b/>
          <w:bCs/>
          <w:color w:val="auto"/>
          <w:sz w:val="28"/>
          <w:szCs w:val="28"/>
          <w:lang w:eastAsia="zh-CN"/>
        </w:rPr>
      </w:pPr>
      <w:r>
        <w:rPr>
          <w:rFonts w:ascii="宋体" w:hAnsi="宋体" w:eastAsia="宋体" w:cs="宋体"/>
          <w:b/>
          <w:bCs/>
          <w:color w:val="auto"/>
          <w:sz w:val="28"/>
          <w:szCs w:val="28"/>
          <w:lang w:eastAsia="zh-CN"/>
        </w:rPr>
        <w:t>履约担保</w:t>
      </w:r>
    </w:p>
    <w:p w14:paraId="4EE17937">
      <w:pPr>
        <w:pStyle w:val="8"/>
        <w:spacing w:line="254" w:lineRule="auto"/>
        <w:rPr>
          <w:color w:val="auto"/>
          <w:lang w:eastAsia="zh-CN"/>
        </w:rPr>
      </w:pPr>
    </w:p>
    <w:p w14:paraId="3AF40361">
      <w:pPr>
        <w:pStyle w:val="8"/>
        <w:spacing w:line="255" w:lineRule="auto"/>
        <w:rPr>
          <w:color w:val="auto"/>
          <w:lang w:eastAsia="zh-CN"/>
        </w:rPr>
      </w:pPr>
    </w:p>
    <w:p w14:paraId="3E327642">
      <w:pPr>
        <w:widowControl w:val="0"/>
        <w:tabs>
          <w:tab w:val="left" w:pos="2520"/>
        </w:tabs>
        <w:kinsoku/>
        <w:wordWrap w:val="0"/>
        <w:topLinePunct/>
        <w:autoSpaceDE/>
        <w:autoSpaceDN/>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发包人名称</w:t>
      </w:r>
      <w:r>
        <w:rPr>
          <w:rFonts w:ascii="宋体" w:hAnsi="宋体" w:eastAsia="宋体" w:cs="宋体"/>
          <w:color w:val="auto"/>
          <w:sz w:val="24"/>
          <w:szCs w:val="24"/>
          <w:lang w:eastAsia="zh-CN"/>
        </w:rPr>
        <w:t>）：</w:t>
      </w:r>
    </w:p>
    <w:p w14:paraId="30EF8989">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鉴于</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发包人名称，以下简称“发包人”</w:t>
      </w:r>
      <w:r>
        <w:rPr>
          <w:rFonts w:ascii="宋体" w:hAnsi="宋体" w:eastAsia="宋体" w:cs="宋体"/>
          <w:color w:val="auto"/>
          <w:sz w:val="24"/>
          <w:szCs w:val="24"/>
          <w:lang w:eastAsia="zh-CN"/>
        </w:rPr>
        <w:t>）接受</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（承</w:t>
      </w:r>
      <w:r>
        <w:rPr>
          <w:rFonts w:ascii="宋体" w:hAnsi="宋体" w:eastAsia="宋体" w:cs="宋体"/>
          <w:i/>
          <w:iCs/>
          <w:color w:val="auto"/>
          <w:sz w:val="25"/>
          <w:szCs w:val="25"/>
          <w:lang w:eastAsia="zh-CN"/>
        </w:rPr>
        <w:t>包人名称，以下称“承包人”</w:t>
      </w:r>
      <w:r>
        <w:rPr>
          <w:rFonts w:ascii="宋体" w:hAnsi="宋体" w:eastAsia="宋体" w:cs="宋体"/>
          <w:color w:val="auto"/>
          <w:sz w:val="24"/>
          <w:szCs w:val="24"/>
          <w:lang w:eastAsia="zh-CN"/>
        </w:rPr>
        <w:t>）于</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日递交的</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标段名称</w:t>
      </w:r>
      <w:r>
        <w:rPr>
          <w:rFonts w:ascii="宋体" w:hAnsi="宋体" w:eastAsia="宋体" w:cs="宋体"/>
          <w:color w:val="auto"/>
          <w:sz w:val="24"/>
          <w:szCs w:val="24"/>
          <w:lang w:eastAsia="zh-CN"/>
        </w:rPr>
        <w:t>）的投标文件。我方愿意无条件地、不可撤销地就承包人履行与你方订立的合同，向你方提供担保。</w:t>
      </w:r>
    </w:p>
    <w:p w14:paraId="707C1227">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．担保金额人民币（大写）</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元(￥</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p>
    <w:p w14:paraId="62D143A6">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．担保有效期自发包人与承包人签订的合同生效之日起至发包人签发合同工程完工证书之日止。</w:t>
      </w:r>
    </w:p>
    <w:p w14:paraId="111D1D49">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．在本担保有效期内，因承包人违反合同约定的义务给你方造成经济损失时，我方在收到你方以书面形式提出的在担保金额内的赔偿要求后，无条件地在</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天内予以支付。</w:t>
      </w:r>
    </w:p>
    <w:p w14:paraId="24F9352A">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．发包人和承包人按《通用合同条款》第</w:t>
      </w:r>
      <w:r>
        <w:rPr>
          <w:rFonts w:ascii="Times New Roman" w:hAnsi="Times New Roman" w:eastAsia="Times New Roman" w:cs="Times New Roman"/>
          <w:color w:val="auto"/>
          <w:sz w:val="24"/>
          <w:szCs w:val="24"/>
          <w:lang w:eastAsia="zh-CN"/>
        </w:rPr>
        <w:t>15</w:t>
      </w:r>
      <w:r>
        <w:rPr>
          <w:rFonts w:ascii="宋体" w:hAnsi="宋体" w:eastAsia="宋体" w:cs="宋体"/>
          <w:color w:val="auto"/>
          <w:sz w:val="24"/>
          <w:szCs w:val="24"/>
          <w:lang w:eastAsia="zh-CN"/>
        </w:rPr>
        <w:t>条变更合同时，我方承担本担保规定的义务不变。</w:t>
      </w:r>
    </w:p>
    <w:p w14:paraId="07795637">
      <w:pPr>
        <w:pStyle w:val="8"/>
        <w:widowControl w:val="0"/>
        <w:kinsoku/>
        <w:wordWrap w:val="0"/>
        <w:topLinePunct/>
        <w:autoSpaceDE/>
        <w:autoSpaceDN/>
        <w:spacing w:line="360" w:lineRule="auto"/>
        <w:ind w:firstLine="420" w:firstLineChars="200"/>
        <w:jc w:val="both"/>
        <w:rPr>
          <w:color w:val="auto"/>
          <w:lang w:eastAsia="zh-CN"/>
        </w:rPr>
      </w:pPr>
    </w:p>
    <w:p w14:paraId="54ED3A2C">
      <w:pPr>
        <w:pStyle w:val="8"/>
        <w:widowControl w:val="0"/>
        <w:kinsoku/>
        <w:wordWrap w:val="0"/>
        <w:topLinePunct/>
        <w:autoSpaceDE/>
        <w:autoSpaceDN/>
        <w:spacing w:line="360" w:lineRule="auto"/>
        <w:ind w:firstLine="420" w:firstLineChars="200"/>
        <w:jc w:val="both"/>
        <w:rPr>
          <w:color w:val="auto"/>
          <w:lang w:eastAsia="zh-CN"/>
        </w:rPr>
      </w:pPr>
    </w:p>
    <w:p w14:paraId="2BDD7AAF">
      <w:pPr>
        <w:pStyle w:val="8"/>
        <w:widowControl w:val="0"/>
        <w:kinsoku/>
        <w:wordWrap w:val="0"/>
        <w:topLinePunct/>
        <w:autoSpaceDE/>
        <w:autoSpaceDN/>
        <w:spacing w:line="360" w:lineRule="auto"/>
        <w:ind w:firstLine="420" w:firstLineChars="200"/>
        <w:jc w:val="both"/>
        <w:rPr>
          <w:color w:val="auto"/>
          <w:lang w:eastAsia="zh-CN"/>
        </w:rPr>
      </w:pPr>
    </w:p>
    <w:p w14:paraId="6AB8571A">
      <w:pPr>
        <w:spacing w:before="79" w:line="219" w:lineRule="auto"/>
        <w:ind w:left="349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担保人：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（盖单位章）</w:t>
      </w:r>
    </w:p>
    <w:p w14:paraId="3CF25DE2">
      <w:pPr>
        <w:pStyle w:val="8"/>
        <w:spacing w:line="257" w:lineRule="auto"/>
        <w:rPr>
          <w:color w:val="auto"/>
          <w:lang w:eastAsia="zh-CN"/>
        </w:rPr>
      </w:pPr>
    </w:p>
    <w:p w14:paraId="39086DFC">
      <w:pPr>
        <w:pStyle w:val="8"/>
        <w:spacing w:line="257" w:lineRule="auto"/>
        <w:rPr>
          <w:color w:val="auto"/>
          <w:lang w:eastAsia="zh-CN"/>
        </w:rPr>
      </w:pPr>
    </w:p>
    <w:p w14:paraId="13702FF2">
      <w:pPr>
        <w:spacing w:before="78" w:line="220" w:lineRule="auto"/>
        <w:ind w:left="3327"/>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法定代表人或其委托代理人：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（签字）</w:t>
      </w:r>
    </w:p>
    <w:p w14:paraId="51EC10C2">
      <w:pPr>
        <w:pStyle w:val="8"/>
        <w:spacing w:line="257" w:lineRule="auto"/>
        <w:rPr>
          <w:color w:val="auto"/>
          <w:lang w:eastAsia="zh-CN"/>
        </w:rPr>
      </w:pPr>
    </w:p>
    <w:p w14:paraId="684BC501">
      <w:pPr>
        <w:pStyle w:val="8"/>
        <w:spacing w:line="257" w:lineRule="auto"/>
        <w:rPr>
          <w:color w:val="auto"/>
          <w:lang w:eastAsia="zh-CN"/>
        </w:rPr>
      </w:pPr>
    </w:p>
    <w:p w14:paraId="3DD1B219">
      <w:pPr>
        <w:spacing w:before="79" w:line="229" w:lineRule="auto"/>
        <w:ind w:left="3489"/>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地</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址：</w:t>
      </w:r>
      <w:r>
        <w:rPr>
          <w:rFonts w:hint="eastAsia" w:ascii="宋体" w:hAnsi="宋体" w:eastAsia="宋体" w:cs="宋体"/>
          <w:color w:val="auto"/>
          <w:sz w:val="24"/>
          <w:szCs w:val="24"/>
          <w:u w:val="single"/>
          <w:lang w:eastAsia="zh-CN"/>
        </w:rPr>
        <w:t>　　　　　　　　　　</w:t>
      </w:r>
    </w:p>
    <w:p w14:paraId="30AA30CA">
      <w:pPr>
        <w:spacing w:before="167" w:line="220" w:lineRule="auto"/>
        <w:ind w:left="3507"/>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邮政编码：</w:t>
      </w:r>
      <w:r>
        <w:rPr>
          <w:rFonts w:hint="eastAsia" w:ascii="宋体" w:hAnsi="宋体" w:eastAsia="宋体" w:cs="宋体"/>
          <w:color w:val="auto"/>
          <w:sz w:val="24"/>
          <w:szCs w:val="24"/>
          <w:u w:val="single"/>
          <w:lang w:eastAsia="zh-CN"/>
        </w:rPr>
        <w:t>　　　　　　　　　　</w:t>
      </w:r>
    </w:p>
    <w:p w14:paraId="0C1E88B5">
      <w:pPr>
        <w:spacing w:before="182" w:line="222" w:lineRule="auto"/>
        <w:ind w:left="3517"/>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电</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话：</w:t>
      </w:r>
      <w:r>
        <w:rPr>
          <w:rFonts w:hint="eastAsia" w:ascii="宋体" w:hAnsi="宋体" w:eastAsia="宋体" w:cs="宋体"/>
          <w:color w:val="auto"/>
          <w:sz w:val="24"/>
          <w:szCs w:val="24"/>
          <w:u w:val="single"/>
          <w:lang w:eastAsia="zh-CN"/>
        </w:rPr>
        <w:t>　　　　　　　　　　</w:t>
      </w:r>
    </w:p>
    <w:p w14:paraId="0A6F3AA2">
      <w:pPr>
        <w:spacing w:before="177" w:line="219" w:lineRule="auto"/>
        <w:ind w:left="3487"/>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传</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真：</w:t>
      </w:r>
      <w:r>
        <w:rPr>
          <w:rFonts w:hint="eastAsia" w:ascii="宋体" w:hAnsi="宋体" w:eastAsia="宋体" w:cs="宋体"/>
          <w:color w:val="auto"/>
          <w:sz w:val="24"/>
          <w:szCs w:val="24"/>
          <w:u w:val="single"/>
          <w:lang w:eastAsia="zh-CN"/>
        </w:rPr>
        <w:t>　　　　　　　　　　</w:t>
      </w:r>
    </w:p>
    <w:p w14:paraId="68291923">
      <w:pPr>
        <w:pStyle w:val="8"/>
        <w:spacing w:line="257" w:lineRule="auto"/>
        <w:rPr>
          <w:color w:val="auto"/>
          <w:lang w:eastAsia="zh-CN"/>
        </w:rPr>
      </w:pPr>
    </w:p>
    <w:p w14:paraId="0BB64E14">
      <w:pPr>
        <w:pStyle w:val="8"/>
        <w:spacing w:line="257" w:lineRule="auto"/>
        <w:rPr>
          <w:color w:val="auto"/>
          <w:lang w:eastAsia="zh-CN"/>
        </w:rPr>
      </w:pPr>
    </w:p>
    <w:p w14:paraId="6BDDFA21">
      <w:pPr>
        <w:tabs>
          <w:tab w:val="left" w:pos="5412"/>
        </w:tabs>
        <w:spacing w:before="79" w:line="220" w:lineRule="auto"/>
        <w:ind w:left="4692"/>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p>
    <w:p w14:paraId="3DD1ABEA">
      <w:pPr>
        <w:spacing w:before="176" w:line="220" w:lineRule="auto"/>
        <w:ind w:left="8"/>
        <w:rPr>
          <w:rFonts w:hint="eastAsia" w:ascii="宋体" w:hAnsi="宋体" w:eastAsia="宋体" w:cs="宋体"/>
          <w:color w:val="auto"/>
          <w:lang w:eastAsia="zh-CN"/>
        </w:rPr>
      </w:pPr>
      <w:r>
        <w:rPr>
          <w:rFonts w:ascii="宋体" w:hAnsi="宋体" w:eastAsia="宋体" w:cs="宋体"/>
          <w:color w:val="auto"/>
          <w:lang w:eastAsia="zh-CN"/>
        </w:rPr>
        <w:t>注：委托代理人应附授权委托书。</w:t>
      </w:r>
    </w:p>
    <w:p w14:paraId="2FBD0773">
      <w:pPr>
        <w:rPr>
          <w:rFonts w:hint="eastAsia" w:ascii="宋体" w:hAnsi="宋体" w:eastAsia="宋体" w:cs="宋体"/>
          <w:color w:val="auto"/>
          <w:lang w:eastAsia="zh-CN"/>
        </w:rPr>
      </w:pPr>
      <w:r>
        <w:rPr>
          <w:rFonts w:ascii="宋体" w:hAnsi="宋体" w:eastAsia="宋体" w:cs="宋体"/>
          <w:color w:val="auto"/>
          <w:lang w:eastAsia="zh-CN"/>
        </w:rPr>
        <w:br w:type="page"/>
      </w:r>
    </w:p>
    <w:p w14:paraId="01D39FA5">
      <w:pPr>
        <w:spacing w:before="56" w:line="219" w:lineRule="auto"/>
        <w:ind w:left="23"/>
        <w:outlineLvl w:val="2"/>
        <w:rPr>
          <w:rFonts w:hint="eastAsia" w:ascii="宋体" w:hAnsi="宋体" w:eastAsia="宋体" w:cs="宋体"/>
          <w:color w:val="auto"/>
          <w:sz w:val="28"/>
          <w:szCs w:val="28"/>
          <w:lang w:eastAsia="zh-CN"/>
        </w:rPr>
      </w:pPr>
      <w:bookmarkStart w:id="992" w:name="bookmark390"/>
      <w:bookmarkEnd w:id="992"/>
      <w:bookmarkStart w:id="993" w:name="_Toc21327"/>
      <w:bookmarkStart w:id="994" w:name="_Toc16491"/>
      <w:bookmarkStart w:id="995" w:name="_Toc11298"/>
      <w:bookmarkStart w:id="996" w:name="_Toc30681"/>
      <w:r>
        <w:rPr>
          <w:rFonts w:ascii="宋体" w:hAnsi="宋体" w:eastAsia="宋体" w:cs="宋体"/>
          <w:b/>
          <w:bCs/>
          <w:color w:val="auto"/>
          <w:sz w:val="28"/>
          <w:szCs w:val="28"/>
          <w:lang w:eastAsia="zh-CN"/>
        </w:rPr>
        <w:t>附件三</w:t>
      </w:r>
      <w:r>
        <w:rPr>
          <w:rFonts w:hint="eastAsia" w:ascii="宋体" w:hAnsi="宋体" w:eastAsia="宋体" w:cs="宋体"/>
          <w:color w:val="auto"/>
          <w:sz w:val="28"/>
          <w:szCs w:val="28"/>
          <w:lang w:eastAsia="zh-CN"/>
        </w:rPr>
        <w:t>　</w:t>
      </w:r>
      <w:r>
        <w:rPr>
          <w:rFonts w:ascii="宋体" w:hAnsi="宋体" w:eastAsia="宋体" w:cs="宋体"/>
          <w:b/>
          <w:bCs/>
          <w:color w:val="auto"/>
          <w:sz w:val="28"/>
          <w:szCs w:val="28"/>
          <w:lang w:eastAsia="zh-CN"/>
        </w:rPr>
        <w:t>工程廉政责任书（格式）</w:t>
      </w:r>
      <w:bookmarkEnd w:id="993"/>
      <w:bookmarkEnd w:id="994"/>
      <w:bookmarkEnd w:id="995"/>
      <w:bookmarkEnd w:id="996"/>
    </w:p>
    <w:p w14:paraId="2EA040C1">
      <w:pPr>
        <w:pStyle w:val="8"/>
        <w:spacing w:line="246" w:lineRule="auto"/>
        <w:rPr>
          <w:color w:val="auto"/>
          <w:lang w:eastAsia="zh-CN"/>
        </w:rPr>
      </w:pPr>
    </w:p>
    <w:p w14:paraId="54E0EE5A">
      <w:pPr>
        <w:spacing w:line="360" w:lineRule="auto"/>
        <w:jc w:val="center"/>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工程廉政责任书</w:t>
      </w:r>
    </w:p>
    <w:p w14:paraId="5424D30D">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为加强工程建设中的廉政建设，保证工程建设高效优质完成，保证建设资金的安全和有效使用，</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）的发包人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（以下称甲方）与承包人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（以下称乙方），特订立如下责任书。</w:t>
      </w:r>
    </w:p>
    <w:p w14:paraId="23C18A31">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第一条</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甲乙双方的权利和义务</w:t>
      </w:r>
    </w:p>
    <w:p w14:paraId="52DF45ED">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（一）严格遵守党和国家工程建设的有关法律法规及水利部门的有关规定。</w:t>
      </w:r>
    </w:p>
    <w:p w14:paraId="5A8A83EA">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（二）严格执行</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的合同文件，自觉按合同办事。</w:t>
      </w:r>
    </w:p>
    <w:p w14:paraId="0EF39AA7">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（三）双方的业务活动坚持公开、公平、公正、诚信、透明的原则（除法律认定的商业秘密和合同文件另有规定之外），不得损害国家和集体利益，违反工程建设管理规定。</w:t>
      </w:r>
    </w:p>
    <w:p w14:paraId="3280A8B3">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（四）建立健全廉政制度、监督制度和处罚制度，开展廉政教育，设立廉政告示牌，公布举报电话。</w:t>
      </w:r>
    </w:p>
    <w:p w14:paraId="0CD49F11">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（五）发现对方在业务活动中有违反廉政规定的行为，有及时提醒对方纠正的权利和义务。</w:t>
      </w:r>
    </w:p>
    <w:p w14:paraId="53E6FFF4">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（六）发现对方严重违反本责任书义务条款的行为，有向其上级有关部门举报、建议给予处理并要求告知处理结果的权利。</w:t>
      </w:r>
    </w:p>
    <w:p w14:paraId="5FF616FE">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第二条</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甲方的义务</w:t>
      </w:r>
    </w:p>
    <w:p w14:paraId="7EDD08ED">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（一）甲方及其工作人员不得索要或接受乙方的礼金、礼券、有价证券和物品，不得到乙方报销任何由甲方或个人支付的费用等。</w:t>
      </w:r>
    </w:p>
    <w:p w14:paraId="00AC7991">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（二）甲方不得有意刁难、拖延承包商工程款，不得违反规定批拨工程建设费用等。</w:t>
      </w:r>
    </w:p>
    <w:p w14:paraId="73C060C0">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（三）甲方工作人员不得参加乙方安排的宴请和娱乐活动；不得接受乙方提供的通讯工具、交通工具和高档办公用品等。</w:t>
      </w:r>
    </w:p>
    <w:p w14:paraId="364CA4FB">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（四）甲方及其工作人员不得要求或者接受乙方为其住房装修、操办婚丧嫁娶、安排配偶子女的工作以及出国出境、旅游等。</w:t>
      </w:r>
    </w:p>
    <w:p w14:paraId="35620089">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（五）甲方工作人员的配偶、子女及下属单位不得从事与甲方工程有关的材料设备供应、工程分包、劳务等经济活动。</w:t>
      </w:r>
    </w:p>
    <w:p w14:paraId="0BBB48F6">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（六）甲方及其工作人员不得以任何理由向乙方推荐分包单位，不得要求乙方购买合同规定外的材料和设备。</w:t>
      </w:r>
    </w:p>
    <w:p w14:paraId="2AEAB9E5">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第三条</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乙方义务</w:t>
      </w:r>
    </w:p>
    <w:p w14:paraId="09EA4655">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（一）乙方不得以任何理由向甲方及其工作人员行贿或馈赠礼金、礼券、有价证券、礼品。</w:t>
      </w:r>
    </w:p>
    <w:p w14:paraId="7B98F0EF">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（二）乙方不得以任何名义为甲方及其工作人员报销应由甲方单位或个人支付的任何费用。</w:t>
      </w:r>
    </w:p>
    <w:p w14:paraId="355FFAA9">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（三）乙方不得要求甲方违反规定，批拨、追加工程建设费用等。</w:t>
      </w:r>
    </w:p>
    <w:p w14:paraId="3E1FE65C">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（四）乙方不得以任何理由安排甲方工作人员参加宴请及娱乐活动。</w:t>
      </w:r>
    </w:p>
    <w:p w14:paraId="68D51D67">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（五）乙方不得为甲方单位和个人购置或提供通讯工具、交通工具和高档办公室用品等。</w:t>
      </w:r>
    </w:p>
    <w:p w14:paraId="52D5EB48">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第四条</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违约责任</w:t>
      </w:r>
    </w:p>
    <w:p w14:paraId="73B01473">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（一）甲方及其工作人员违反本责任书第一、二条，按管理权限，依据有关规定给予党纪、政纪或组织处理；涉嫌犯罪的，移送司法机关追究刑事责任；给乙方单位造成经济损失的，应予以赔偿。</w:t>
      </w:r>
    </w:p>
    <w:p w14:paraId="450D842D">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二）乙方及其工作人员违反本责任书第一、三条，按管理权限，依据有关规定，给予党纪、政纪、组织处理或停止承接业务处理；给甲方单位造成经济损失的，应予以赔偿；情节严重的，甲方建议有关工程建设主管部门给予乙方</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年内不得参与工程建设项目投标的处罚。</w:t>
      </w:r>
    </w:p>
    <w:p w14:paraId="32948AB0">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第五条</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双方约定</w:t>
      </w:r>
    </w:p>
    <w:p w14:paraId="079961B3">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本责任书由纪检监察机关负责监督执行。纪检监察机关对本责任书执行情况进行抽查。提出属于本责任书规定范围的处理意见。</w:t>
      </w:r>
    </w:p>
    <w:p w14:paraId="2245C8C0">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第六条</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本责任书有效期同甲乙双方签署之日起至该工程项目工程款支付完结时止。</w:t>
      </w:r>
    </w:p>
    <w:p w14:paraId="6A33347B">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第七条</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本责任书作为本工程施工承包合同的附件，与工程施工合同具有同等的法律效力，经甲、乙双方签署后生效。</w:t>
      </w:r>
    </w:p>
    <w:p w14:paraId="49713E81">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第八条</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本责任书甲、乙双方各执一份，送交监督单位一份。</w:t>
      </w:r>
    </w:p>
    <w:p w14:paraId="1877C351">
      <w:pPr>
        <w:spacing w:before="181" w:line="219" w:lineRule="auto"/>
        <w:ind w:right="42"/>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甲方：</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（盖章）</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乙方：</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（盖章）</w:t>
      </w:r>
    </w:p>
    <w:p w14:paraId="458CB5D8">
      <w:pPr>
        <w:spacing w:before="183" w:line="220" w:lineRule="auto"/>
        <w:rPr>
          <w:rFonts w:hint="eastAsia" w:ascii="宋体" w:hAnsi="宋体" w:eastAsia="宋体" w:cs="宋体"/>
          <w:color w:val="auto"/>
          <w:sz w:val="24"/>
          <w:szCs w:val="24"/>
        </w:rPr>
      </w:pPr>
      <w:r>
        <w:rPr>
          <w:rFonts w:ascii="宋体" w:hAnsi="宋体" w:eastAsia="宋体" w:cs="宋体"/>
          <w:color w:val="auto"/>
          <w:sz w:val="24"/>
          <w:szCs w:val="24"/>
        </w:rPr>
        <w:t>法定代表人：</w:t>
      </w:r>
      <w:r>
        <w:rPr>
          <w:rFonts w:hint="eastAsia" w:ascii="宋体" w:hAnsi="宋体" w:eastAsia="宋体" w:cs="宋体"/>
          <w:color w:val="auto"/>
          <w:sz w:val="24"/>
          <w:szCs w:val="24"/>
          <w:lang w:eastAsia="zh-CN"/>
        </w:rPr>
        <w:t>　　　　　　　　　　　　　　</w:t>
      </w:r>
      <w:r>
        <w:rPr>
          <w:rFonts w:ascii="宋体" w:hAnsi="宋体" w:eastAsia="宋体" w:cs="宋体"/>
          <w:color w:val="auto"/>
          <w:sz w:val="24"/>
          <w:szCs w:val="24"/>
        </w:rPr>
        <w:t>法定代表人：</w:t>
      </w:r>
    </w:p>
    <w:p w14:paraId="4228FAE2">
      <w:pPr>
        <w:spacing w:before="180" w:line="229" w:lineRule="auto"/>
        <w:rPr>
          <w:rFonts w:hint="eastAsia" w:ascii="宋体" w:hAnsi="宋体" w:eastAsia="宋体" w:cs="宋体"/>
          <w:color w:val="auto"/>
          <w:sz w:val="24"/>
          <w:szCs w:val="24"/>
        </w:rPr>
      </w:pPr>
      <w:r>
        <w:rPr>
          <w:rFonts w:ascii="宋体" w:hAnsi="宋体" w:eastAsia="宋体" w:cs="宋体"/>
          <w:color w:val="auto"/>
          <w:sz w:val="24"/>
          <w:szCs w:val="24"/>
        </w:rPr>
        <w:t>地址：</w:t>
      </w:r>
      <w:r>
        <w:rPr>
          <w:rFonts w:hint="eastAsia" w:ascii="宋体" w:hAnsi="宋体" w:eastAsia="宋体" w:cs="宋体"/>
          <w:color w:val="auto"/>
          <w:sz w:val="24"/>
          <w:szCs w:val="24"/>
          <w:lang w:eastAsia="zh-CN"/>
        </w:rPr>
        <w:t>　　　　　　　　　　　　　　　　　</w:t>
      </w:r>
      <w:r>
        <w:rPr>
          <w:rFonts w:ascii="宋体" w:hAnsi="宋体" w:eastAsia="宋体" w:cs="宋体"/>
          <w:color w:val="auto"/>
          <w:sz w:val="24"/>
          <w:szCs w:val="24"/>
        </w:rPr>
        <w:t>地址：</w:t>
      </w:r>
    </w:p>
    <w:p w14:paraId="392D7AA8">
      <w:pPr>
        <w:spacing w:before="170" w:line="222" w:lineRule="auto"/>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电话：</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电话：</w:t>
      </w:r>
    </w:p>
    <w:p w14:paraId="20C74E9B">
      <w:pPr>
        <w:spacing w:before="177" w:line="22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2026</w:t>
      </w:r>
      <w:r>
        <w:rPr>
          <w:rFonts w:ascii="宋体" w:hAnsi="宋体" w:eastAsia="宋体" w:cs="宋体"/>
          <w:color w:val="auto"/>
          <w:sz w:val="24"/>
          <w:szCs w:val="24"/>
        </w:rPr>
        <w:t>年</w:t>
      </w:r>
      <w:r>
        <w:rPr>
          <w:rFonts w:hint="eastAsia" w:ascii="宋体" w:hAnsi="宋体" w:eastAsia="宋体" w:cs="宋体"/>
          <w:color w:val="auto"/>
          <w:sz w:val="24"/>
          <w:szCs w:val="24"/>
          <w:lang w:eastAsia="zh-CN"/>
        </w:rPr>
        <w:t>　　</w:t>
      </w:r>
      <w:r>
        <w:rPr>
          <w:rFonts w:ascii="宋体" w:hAnsi="宋体" w:eastAsia="宋体" w:cs="宋体"/>
          <w:color w:val="auto"/>
          <w:sz w:val="24"/>
          <w:szCs w:val="24"/>
        </w:rPr>
        <w:t>月</w:t>
      </w:r>
      <w:r>
        <w:rPr>
          <w:rFonts w:hint="eastAsia" w:ascii="宋体" w:hAnsi="宋体" w:eastAsia="宋体" w:cs="宋体"/>
          <w:color w:val="auto"/>
          <w:sz w:val="24"/>
          <w:szCs w:val="24"/>
          <w:lang w:eastAsia="zh-CN"/>
        </w:rPr>
        <w:t>　　</w:t>
      </w:r>
      <w:r>
        <w:rPr>
          <w:rFonts w:ascii="宋体" w:hAnsi="宋体" w:eastAsia="宋体" w:cs="宋体"/>
          <w:color w:val="auto"/>
          <w:sz w:val="24"/>
          <w:szCs w:val="24"/>
        </w:rPr>
        <w:t>日</w:t>
      </w:r>
      <w:r>
        <w:rPr>
          <w:rFonts w:hint="eastAsia" w:ascii="宋体" w:hAnsi="宋体" w:eastAsia="宋体" w:cs="宋体"/>
          <w:color w:val="auto"/>
          <w:sz w:val="24"/>
          <w:szCs w:val="24"/>
          <w:lang w:eastAsia="zh-CN"/>
        </w:rPr>
        <w:t>　　　　　　　　　　　2026</w:t>
      </w:r>
      <w:r>
        <w:rPr>
          <w:rFonts w:ascii="宋体" w:hAnsi="宋体" w:eastAsia="宋体" w:cs="宋体"/>
          <w:color w:val="auto"/>
          <w:sz w:val="24"/>
          <w:szCs w:val="24"/>
        </w:rPr>
        <w:t>年</w:t>
      </w:r>
      <w:r>
        <w:rPr>
          <w:rFonts w:hint="eastAsia" w:ascii="宋体" w:hAnsi="宋体" w:eastAsia="宋体" w:cs="宋体"/>
          <w:color w:val="auto"/>
          <w:sz w:val="24"/>
          <w:szCs w:val="24"/>
          <w:lang w:eastAsia="zh-CN"/>
        </w:rPr>
        <w:t>　　</w:t>
      </w:r>
      <w:r>
        <w:rPr>
          <w:rFonts w:ascii="宋体" w:hAnsi="宋体" w:eastAsia="宋体" w:cs="宋体"/>
          <w:color w:val="auto"/>
          <w:sz w:val="24"/>
          <w:szCs w:val="24"/>
        </w:rPr>
        <w:t>月</w:t>
      </w:r>
      <w:r>
        <w:rPr>
          <w:rFonts w:hint="eastAsia" w:ascii="宋体" w:hAnsi="宋体" w:eastAsia="宋体" w:cs="宋体"/>
          <w:color w:val="auto"/>
          <w:sz w:val="24"/>
          <w:szCs w:val="24"/>
          <w:lang w:eastAsia="zh-CN"/>
        </w:rPr>
        <w:t>　　</w:t>
      </w:r>
      <w:r>
        <w:rPr>
          <w:rFonts w:ascii="宋体" w:hAnsi="宋体" w:eastAsia="宋体" w:cs="宋体"/>
          <w:color w:val="auto"/>
          <w:sz w:val="24"/>
          <w:szCs w:val="24"/>
        </w:rPr>
        <w:t>日</w:t>
      </w:r>
    </w:p>
    <w:p w14:paraId="191F6667">
      <w:pPr>
        <w:spacing w:line="220" w:lineRule="auto"/>
        <w:rPr>
          <w:rFonts w:hint="eastAsia" w:ascii="宋体" w:hAnsi="宋体" w:eastAsia="宋体" w:cs="宋体"/>
          <w:color w:val="auto"/>
          <w:sz w:val="24"/>
          <w:szCs w:val="24"/>
        </w:rPr>
        <w:sectPr>
          <w:footerReference r:id="rId6" w:type="default"/>
          <w:pgSz w:w="11907" w:h="16841"/>
          <w:pgMar w:top="1247" w:right="1474" w:bottom="1247" w:left="1587" w:header="0" w:footer="1094" w:gutter="0"/>
          <w:pgNumType w:fmt="numberInDash"/>
          <w:cols w:space="0" w:num="1"/>
        </w:sectPr>
      </w:pPr>
    </w:p>
    <w:p w14:paraId="64A84BF1">
      <w:pPr>
        <w:spacing w:before="56" w:line="219" w:lineRule="auto"/>
        <w:ind w:left="24"/>
        <w:outlineLvl w:val="2"/>
        <w:rPr>
          <w:rFonts w:hint="eastAsia" w:ascii="宋体" w:hAnsi="宋体" w:eastAsia="宋体" w:cs="宋体"/>
          <w:color w:val="auto"/>
          <w:sz w:val="28"/>
          <w:szCs w:val="28"/>
          <w:lang w:eastAsia="zh-CN"/>
        </w:rPr>
      </w:pPr>
      <w:bookmarkStart w:id="997" w:name="bookmark391"/>
      <w:bookmarkEnd w:id="997"/>
      <w:bookmarkStart w:id="998" w:name="_Toc20380"/>
      <w:bookmarkStart w:id="999" w:name="_Toc29467"/>
      <w:bookmarkStart w:id="1000" w:name="_Toc19509"/>
      <w:bookmarkStart w:id="1001" w:name="_Toc5994"/>
      <w:r>
        <w:rPr>
          <w:rFonts w:ascii="宋体" w:hAnsi="宋体" w:eastAsia="宋体" w:cs="宋体"/>
          <w:b/>
          <w:bCs/>
          <w:color w:val="auto"/>
          <w:sz w:val="28"/>
          <w:szCs w:val="28"/>
          <w:lang w:eastAsia="zh-CN"/>
        </w:rPr>
        <w:t>附件四</w:t>
      </w:r>
      <w:r>
        <w:rPr>
          <w:rFonts w:hint="eastAsia" w:ascii="宋体" w:hAnsi="宋体" w:eastAsia="宋体" w:cs="宋体"/>
          <w:color w:val="auto"/>
          <w:sz w:val="28"/>
          <w:szCs w:val="28"/>
          <w:lang w:eastAsia="zh-CN"/>
        </w:rPr>
        <w:t>　</w:t>
      </w:r>
      <w:r>
        <w:rPr>
          <w:rFonts w:ascii="宋体" w:hAnsi="宋体" w:eastAsia="宋体" w:cs="宋体"/>
          <w:b/>
          <w:bCs/>
          <w:color w:val="auto"/>
          <w:sz w:val="28"/>
          <w:szCs w:val="28"/>
          <w:lang w:eastAsia="zh-CN"/>
        </w:rPr>
        <w:t>安全生产协议书（格式）</w:t>
      </w:r>
      <w:bookmarkEnd w:id="998"/>
      <w:bookmarkEnd w:id="999"/>
      <w:bookmarkEnd w:id="1000"/>
      <w:bookmarkEnd w:id="1001"/>
    </w:p>
    <w:p w14:paraId="2776442E">
      <w:pPr>
        <w:pStyle w:val="8"/>
        <w:spacing w:line="246" w:lineRule="auto"/>
        <w:rPr>
          <w:color w:val="auto"/>
          <w:lang w:eastAsia="zh-CN"/>
        </w:rPr>
      </w:pPr>
    </w:p>
    <w:p w14:paraId="7F225433">
      <w:pPr>
        <w:spacing w:before="78" w:line="219" w:lineRule="auto"/>
        <w:ind w:left="3555"/>
        <w:rPr>
          <w:rFonts w:hint="eastAsia" w:ascii="宋体" w:hAnsi="宋体" w:eastAsia="宋体" w:cs="宋体"/>
          <w:b/>
          <w:bCs/>
          <w:color w:val="auto"/>
          <w:sz w:val="28"/>
          <w:szCs w:val="28"/>
          <w:lang w:eastAsia="zh-CN"/>
        </w:rPr>
      </w:pPr>
      <w:r>
        <w:rPr>
          <w:rFonts w:ascii="宋体" w:hAnsi="宋体" w:eastAsia="宋体" w:cs="宋体"/>
          <w:b/>
          <w:bCs/>
          <w:color w:val="auto"/>
          <w:sz w:val="28"/>
          <w:szCs w:val="28"/>
          <w:lang w:eastAsia="zh-CN"/>
        </w:rPr>
        <w:t>安全生产协议书</w:t>
      </w:r>
    </w:p>
    <w:p w14:paraId="63053145">
      <w:pPr>
        <w:spacing w:before="78" w:line="219" w:lineRule="auto"/>
        <w:ind w:left="3555"/>
        <w:rPr>
          <w:rFonts w:hint="eastAsia" w:ascii="宋体" w:hAnsi="宋体" w:eastAsia="宋体" w:cs="宋体"/>
          <w:b/>
          <w:bCs/>
          <w:color w:val="auto"/>
          <w:sz w:val="28"/>
          <w:szCs w:val="28"/>
          <w:lang w:eastAsia="zh-CN"/>
        </w:rPr>
      </w:pPr>
    </w:p>
    <w:p w14:paraId="594010F0">
      <w:pPr>
        <w:widowControl w:val="0"/>
        <w:kinsoku/>
        <w:wordWrap w:val="0"/>
        <w:topLinePunct/>
        <w:autoSpaceDE/>
        <w:autoSpaceDN/>
        <w:spacing w:line="360" w:lineRule="auto"/>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发包人：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（以下简称“甲方”）</w:t>
      </w:r>
    </w:p>
    <w:p w14:paraId="09D69E1C">
      <w:pPr>
        <w:pStyle w:val="8"/>
        <w:widowControl w:val="0"/>
        <w:kinsoku/>
        <w:wordWrap w:val="0"/>
        <w:topLinePunct/>
        <w:autoSpaceDE/>
        <w:autoSpaceDN/>
        <w:spacing w:line="360" w:lineRule="auto"/>
        <w:ind w:firstLine="420" w:firstLineChars="200"/>
        <w:jc w:val="both"/>
        <w:rPr>
          <w:color w:val="auto"/>
          <w:lang w:eastAsia="zh-CN"/>
        </w:rPr>
      </w:pPr>
    </w:p>
    <w:p w14:paraId="097C4043">
      <w:pPr>
        <w:widowControl w:val="0"/>
        <w:kinsoku/>
        <w:wordWrap w:val="0"/>
        <w:topLinePunct/>
        <w:autoSpaceDE/>
        <w:autoSpaceDN/>
        <w:spacing w:line="360" w:lineRule="auto"/>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（以下简称“乙方”）</w:t>
      </w:r>
    </w:p>
    <w:p w14:paraId="7EBA04A1">
      <w:pPr>
        <w:pStyle w:val="8"/>
        <w:widowControl w:val="0"/>
        <w:kinsoku/>
        <w:wordWrap w:val="0"/>
        <w:topLinePunct/>
        <w:autoSpaceDE/>
        <w:autoSpaceDN/>
        <w:spacing w:line="360" w:lineRule="auto"/>
        <w:ind w:firstLine="420" w:firstLineChars="200"/>
        <w:jc w:val="both"/>
        <w:rPr>
          <w:color w:val="auto"/>
          <w:lang w:eastAsia="zh-CN"/>
        </w:rPr>
      </w:pPr>
    </w:p>
    <w:p w14:paraId="4150A0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为认真贯彻落实“安全第一、预防为主、综合治理”的安全生产方针，切实做好</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项目名称</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标段名称</w:t>
      </w:r>
      <w:r>
        <w:rPr>
          <w:rFonts w:ascii="宋体" w:hAnsi="宋体" w:eastAsia="宋体" w:cs="宋体"/>
          <w:color w:val="auto"/>
          <w:sz w:val="24"/>
          <w:szCs w:val="24"/>
          <w:lang w:eastAsia="zh-CN"/>
        </w:rPr>
        <w:t>）施工合同实施期间的安全管理工作，确保不发生安全生产事故，特此签订安全生产协议书。</w:t>
      </w:r>
    </w:p>
    <w:p w14:paraId="4D36C719">
      <w:pPr>
        <w:widowControl w:val="0"/>
        <w:kinsoku/>
        <w:topLinePunct/>
        <w:autoSpaceDE/>
        <w:autoSpaceDN/>
        <w:spacing w:line="520" w:lineRule="exact"/>
        <w:ind w:firstLine="480" w:firstLineChars="200"/>
        <w:jc w:val="both"/>
        <w:rPr>
          <w:rFonts w:hint="eastAsia"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一、甲方职责</w:t>
      </w:r>
    </w:p>
    <w:p w14:paraId="4980DB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严格遵守安全生产法律法规，认真执行工程承包合同中的有关安全要求。</w:t>
      </w:r>
    </w:p>
    <w:p w14:paraId="6F5E95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项目开工前成立安全生产领导小组，设置安全生产管理机构，配备专职安全生产管理人员。明确领导小组、管理机构及专职安全生产管理人员职责。</w:t>
      </w:r>
    </w:p>
    <w:p w14:paraId="1AA584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坚持“管生产必须管安全”的原则进行安全生产管理，做到生产与安全工作同时计划、布置、检查、总结和评比。</w:t>
      </w:r>
    </w:p>
    <w:p w14:paraId="5ACCC7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重要的安全设施必须坚持与主体工程“三同时”的原则，即：同时设计、审批，同时施工，同时验收、投入使用。</w:t>
      </w:r>
    </w:p>
    <w:p w14:paraId="7D03F9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及时传达上级有关安全生产精神和要求，定期听取乙方的意见和要求，加强安全生产的指导和协调。</w:t>
      </w:r>
    </w:p>
    <w:p w14:paraId="1C7C00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组织制订各项安全生产管理制度和编制保证安全生产的措施方案，并对管理制度和措施方案实行动态管理。</w:t>
      </w:r>
    </w:p>
    <w:p w14:paraId="5C2858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组织风险源辨识和评价，每月至少组织</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次对乙方施工现场安全生产检查，监督乙方及时整改发现的各种安全隐患。</w:t>
      </w:r>
    </w:p>
    <w:p w14:paraId="12D3E0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制订安全生产培训教育计划，按计划对乙方人员开展培训教育。</w:t>
      </w:r>
    </w:p>
    <w:p w14:paraId="655959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及时向乙方支付安全生产措施费，监督乙方合理使用安全生产措施费。</w:t>
      </w:r>
    </w:p>
    <w:p w14:paraId="2FCF82D9">
      <w:pPr>
        <w:widowControl w:val="0"/>
        <w:kinsoku/>
        <w:topLinePunct/>
        <w:autoSpaceDE/>
        <w:autoSpaceDN/>
        <w:spacing w:line="520" w:lineRule="exact"/>
        <w:ind w:firstLine="480" w:firstLineChars="200"/>
        <w:jc w:val="both"/>
        <w:rPr>
          <w:rFonts w:hint="eastAsia"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二、乙方职责</w:t>
      </w:r>
    </w:p>
    <w:p w14:paraId="46DB9C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严格遵守安全生产法律法规、技术规程有关安全生产规定，认真执行工程承包合同中的有关安全要求。</w:t>
      </w:r>
    </w:p>
    <w:p w14:paraId="72010A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项目开工前成立安全生产领导小组，设置安全生产管理机构，按《建筑施工企业安全生产管理机构设置及专职安全生产管理人员配备办法》规定配备专职安全生产管理人员，并报甲方备案。</w:t>
      </w:r>
    </w:p>
    <w:p w14:paraId="2CF16E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建立健全全员安全生产责任制，明确所有项目实施人员（包括劳务派遣人员、临时雇请的民工等）的安全生产工作职责、考核标准等内容，并公示。</w:t>
      </w:r>
    </w:p>
    <w:p w14:paraId="453800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建立健全安全风险分级管控、安全隐患排查治理、安全生产教育培训、值班值守等制度并严格执行。</w:t>
      </w:r>
    </w:p>
    <w:p w14:paraId="1072B9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生产与安全工作同时计划、布置、检查、总结和评比。</w:t>
      </w:r>
    </w:p>
    <w:p w14:paraId="1C550B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项目开工前开展危险源辨识和评估，建立重大危险源清单，制订管控措施。根据施工进展，对危险源实施动态管理。在危险性较大的单项工程施工前，至少组织</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次危险源辨识。危险源辨识和管控情况报甲方和监理单位备案。</w:t>
      </w:r>
    </w:p>
    <w:p w14:paraId="05B388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乙方负责安全管理的部门每月至少对施工现场开展</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次安全生产检查，对发现的隐患建档，按计划或甲方要求完成整改，并向甲方报告隐患排查整改情况。</w:t>
      </w:r>
    </w:p>
    <w:p w14:paraId="5382B1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乙方专职安全生产管理人员每天至少</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次对施工现场开展安全巡查，每次检查时间不少于</w:t>
      </w:r>
      <w:r>
        <w:rPr>
          <w:rFonts w:ascii="Times New Roman" w:hAnsi="Times New Roman" w:eastAsia="Times New Roman" w:cs="Times New Roman"/>
          <w:color w:val="auto"/>
          <w:sz w:val="24"/>
          <w:szCs w:val="24"/>
          <w:lang w:eastAsia="zh-CN"/>
        </w:rPr>
        <w:t>45</w:t>
      </w:r>
      <w:r>
        <w:rPr>
          <w:rFonts w:ascii="宋体" w:hAnsi="宋体" w:eastAsia="宋体" w:cs="宋体"/>
          <w:color w:val="auto"/>
          <w:sz w:val="24"/>
          <w:szCs w:val="24"/>
          <w:lang w:eastAsia="zh-CN"/>
        </w:rPr>
        <w:t>分钟，范围应覆盖所有重大危险源、风险点，检查内容为危险源管控措施落实情况、隐患整改情况，制止和纠正违章指挥、违章作业和违反劳动纪律。</w:t>
      </w:r>
    </w:p>
    <w:p w14:paraId="57DA76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强化安全生产教育培训，对新进场的工人，须进行三级安全教育培训，经考核合格后才能上岗；特种作业人员须持证上岗。</w:t>
      </w:r>
    </w:p>
    <w:p w14:paraId="72F57E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认真做好岗前培训教育，施工负责人或专职安全员在每日上岗前对前一日安全生产情况进行回顾，并对当日施工需注意的安全要点进行宣教。</w:t>
      </w:r>
    </w:p>
    <w:p w14:paraId="4F09D8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操作人员上岗，必须按规定穿戴防护用品。施工负责人和安全检查员应随时检查劳动防护用品的穿戴情况，不按规定穿戴防护用品的人员不得上岗。所有施工机具设备和高空作业的设备均应定期检查，并有安全员的签字记录，保证其经常处于完好状态；不合格的机具、设备和劳动保护用品严禁使用。</w:t>
      </w:r>
    </w:p>
    <w:p w14:paraId="47C6EA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在项目开工前投保安全生产责任保险，所需经费在安全生产措施费中列支。</w:t>
      </w:r>
    </w:p>
    <w:p w14:paraId="3522F6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按照本项目特点，组织制定生产安全事故应急救援预案；如发生生产安全事故，及时处置、报告。</w:t>
      </w:r>
    </w:p>
    <w:p w14:paraId="194FD871">
      <w:pPr>
        <w:widowControl w:val="0"/>
        <w:kinsoku/>
        <w:topLinePunct/>
        <w:autoSpaceDE/>
        <w:autoSpaceDN/>
        <w:spacing w:line="520" w:lineRule="exact"/>
        <w:ind w:firstLine="480" w:firstLineChars="200"/>
        <w:jc w:val="both"/>
        <w:rPr>
          <w:rFonts w:hint="eastAsia"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三、违约责任</w:t>
      </w:r>
    </w:p>
    <w:p w14:paraId="272F33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若一方违约，违约方需承担相应的经济赔偿责任；若造成生产安全事故，将依法追究责任，并视事故轻重承担相应的经济赔偿责任。</w:t>
      </w:r>
    </w:p>
    <w:p w14:paraId="58CB34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本合同正本一式二份，副本八份，合同双方各执正本一份，副本四份。由双方法定代表人或其授权的代理人签署与加盖公章后生效，全部工程竣工验收后失效。</w:t>
      </w:r>
    </w:p>
    <w:p w14:paraId="069D21E7">
      <w:pPr>
        <w:pStyle w:val="8"/>
        <w:widowControl w:val="0"/>
        <w:kinsoku/>
        <w:topLinePunct/>
        <w:autoSpaceDE/>
        <w:autoSpaceDN/>
        <w:spacing w:line="520" w:lineRule="exact"/>
        <w:ind w:firstLine="420" w:firstLineChars="200"/>
        <w:jc w:val="both"/>
        <w:rPr>
          <w:color w:val="auto"/>
          <w:lang w:eastAsia="zh-CN"/>
        </w:rPr>
      </w:pPr>
    </w:p>
    <w:p w14:paraId="552A4AF2">
      <w:pPr>
        <w:spacing w:line="480" w:lineRule="auto"/>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甲方：</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u w:val="single"/>
          <w:lang w:eastAsia="zh-CN"/>
        </w:rPr>
        <w:t>（盖单位章）</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乙方：</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u w:val="single"/>
          <w:lang w:eastAsia="zh-CN"/>
        </w:rPr>
        <w:t>（盖单位章）</w:t>
      </w:r>
      <w:r>
        <w:rPr>
          <w:rFonts w:hint="eastAsia" w:ascii="宋体" w:hAnsi="宋体" w:eastAsia="宋体" w:cs="宋体"/>
          <w:color w:val="auto"/>
          <w:sz w:val="24"/>
          <w:szCs w:val="24"/>
          <w:u w:val="single"/>
          <w:lang w:eastAsia="zh-CN"/>
        </w:rPr>
        <w:t>　　　</w:t>
      </w:r>
    </w:p>
    <w:p w14:paraId="528A1050">
      <w:pPr>
        <w:spacing w:line="480" w:lineRule="auto"/>
        <w:ind w:right="3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法定代表人或其委托代理人：</w:t>
      </w:r>
      <w:r>
        <w:rPr>
          <w:rFonts w:ascii="宋体" w:hAnsi="宋体" w:eastAsia="宋体" w:cs="宋体"/>
          <w:color w:val="auto"/>
          <w:sz w:val="24"/>
          <w:szCs w:val="24"/>
          <w:u w:val="single"/>
          <w:lang w:eastAsia="zh-CN"/>
        </w:rPr>
        <w:t>（签字）</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法定代表人或其委托代理人：</w:t>
      </w:r>
      <w:r>
        <w:rPr>
          <w:rFonts w:ascii="宋体" w:hAnsi="宋体" w:eastAsia="宋体" w:cs="宋体"/>
          <w:color w:val="auto"/>
          <w:sz w:val="24"/>
          <w:szCs w:val="24"/>
          <w:u w:val="single"/>
          <w:lang w:eastAsia="zh-CN"/>
        </w:rPr>
        <w:t>（签字）</w:t>
      </w:r>
    </w:p>
    <w:p w14:paraId="15A0A435">
      <w:pPr>
        <w:tabs>
          <w:tab w:val="left" w:pos="2720"/>
        </w:tabs>
        <w:spacing w:line="48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p>
    <w:p w14:paraId="4EC8423F">
      <w:pPr>
        <w:spacing w:line="480" w:lineRule="auto"/>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73A23F2E">
      <w:pPr>
        <w:spacing w:before="71" w:line="219" w:lineRule="auto"/>
        <w:ind w:left="2675"/>
        <w:outlineLvl w:val="0"/>
        <w:rPr>
          <w:rFonts w:hint="eastAsia" w:ascii="宋体" w:hAnsi="宋体" w:eastAsia="宋体" w:cs="宋体"/>
          <w:color w:val="auto"/>
          <w:sz w:val="36"/>
          <w:szCs w:val="36"/>
          <w:lang w:eastAsia="zh-CN"/>
        </w:rPr>
      </w:pPr>
      <w:bookmarkStart w:id="1002" w:name="bookmark392"/>
      <w:bookmarkEnd w:id="1002"/>
      <w:bookmarkStart w:id="1003" w:name="_Toc12555"/>
      <w:bookmarkStart w:id="1004" w:name="_Toc2912"/>
      <w:bookmarkStart w:id="1005" w:name="_Toc2247"/>
      <w:bookmarkStart w:id="1006" w:name="_Toc21481"/>
      <w:r>
        <w:rPr>
          <w:rFonts w:ascii="宋体" w:hAnsi="宋体" w:eastAsia="宋体" w:cs="宋体"/>
          <w:b/>
          <w:bCs/>
          <w:color w:val="auto"/>
          <w:sz w:val="36"/>
          <w:szCs w:val="36"/>
          <w:lang w:eastAsia="zh-CN"/>
        </w:rPr>
        <w:t>第五章</w:t>
      </w:r>
      <w:r>
        <w:rPr>
          <w:rFonts w:hint="eastAsia" w:ascii="宋体" w:hAnsi="宋体" w:eastAsia="宋体" w:cs="宋体"/>
          <w:b/>
          <w:bCs/>
          <w:color w:val="auto"/>
          <w:sz w:val="36"/>
          <w:szCs w:val="36"/>
          <w:lang w:eastAsia="zh-CN"/>
        </w:rPr>
        <w:t>　</w:t>
      </w:r>
      <w:r>
        <w:rPr>
          <w:rFonts w:ascii="宋体" w:hAnsi="宋体" w:eastAsia="宋体" w:cs="宋体"/>
          <w:b/>
          <w:bCs/>
          <w:color w:val="auto"/>
          <w:sz w:val="36"/>
          <w:szCs w:val="36"/>
          <w:lang w:eastAsia="zh-CN"/>
        </w:rPr>
        <w:t>工程量清单</w:t>
      </w:r>
      <w:bookmarkEnd w:id="1003"/>
      <w:bookmarkEnd w:id="1004"/>
      <w:bookmarkEnd w:id="1005"/>
      <w:bookmarkEnd w:id="1006"/>
    </w:p>
    <w:p w14:paraId="325EAED0">
      <w:pPr>
        <w:rPr>
          <w:rFonts w:hint="eastAsia" w:ascii="宋体" w:hAnsi="宋体" w:eastAsia="宋体" w:cs="宋体"/>
          <w:color w:val="auto"/>
          <w:sz w:val="36"/>
          <w:szCs w:val="36"/>
          <w:lang w:eastAsia="zh-CN"/>
        </w:rPr>
      </w:pPr>
      <w:r>
        <w:rPr>
          <w:rFonts w:ascii="宋体" w:hAnsi="宋体" w:eastAsia="宋体" w:cs="宋体"/>
          <w:color w:val="auto"/>
          <w:sz w:val="36"/>
          <w:szCs w:val="36"/>
          <w:lang w:eastAsia="zh-CN"/>
        </w:rPr>
        <w:br w:type="page"/>
      </w:r>
    </w:p>
    <w:p w14:paraId="75653900">
      <w:pPr>
        <w:pStyle w:val="8"/>
        <w:spacing w:line="263" w:lineRule="auto"/>
        <w:rPr>
          <w:color w:val="auto"/>
          <w:lang w:eastAsia="zh-CN"/>
        </w:rPr>
      </w:pPr>
    </w:p>
    <w:p w14:paraId="4748B43A">
      <w:pPr>
        <w:pStyle w:val="8"/>
        <w:spacing w:line="263" w:lineRule="auto"/>
        <w:rPr>
          <w:color w:val="auto"/>
          <w:lang w:eastAsia="zh-CN"/>
        </w:rPr>
      </w:pPr>
    </w:p>
    <w:p w14:paraId="4B36FF65">
      <w:pPr>
        <w:pStyle w:val="8"/>
        <w:spacing w:line="264" w:lineRule="auto"/>
        <w:rPr>
          <w:color w:val="auto"/>
          <w:lang w:eastAsia="zh-CN"/>
        </w:rPr>
      </w:pPr>
    </w:p>
    <w:p w14:paraId="17F095DE">
      <w:pPr>
        <w:tabs>
          <w:tab w:val="left" w:pos="3557"/>
        </w:tabs>
        <w:spacing w:before="78" w:line="5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u w:val="single"/>
          <w:lang w:eastAsia="zh-CN"/>
        </w:rPr>
        <w:t>（项目名称及标段名称）</w:t>
      </w:r>
      <w:r>
        <w:rPr>
          <w:rFonts w:hint="eastAsia" w:ascii="宋体" w:hAnsi="宋体" w:eastAsia="宋体" w:cs="宋体"/>
          <w:color w:val="auto"/>
          <w:sz w:val="24"/>
          <w:szCs w:val="24"/>
          <w:u w:val="single"/>
          <w:lang w:eastAsia="zh-CN"/>
        </w:rPr>
        <w:t>　　　　</w:t>
      </w:r>
    </w:p>
    <w:p w14:paraId="03B226C4">
      <w:pPr>
        <w:pStyle w:val="8"/>
        <w:spacing w:line="260" w:lineRule="auto"/>
        <w:rPr>
          <w:color w:val="auto"/>
          <w:lang w:eastAsia="zh-CN"/>
        </w:rPr>
      </w:pPr>
    </w:p>
    <w:p w14:paraId="6485DAC2">
      <w:pPr>
        <w:pStyle w:val="8"/>
        <w:spacing w:line="261" w:lineRule="auto"/>
        <w:rPr>
          <w:color w:val="auto"/>
          <w:lang w:eastAsia="zh-CN"/>
        </w:rPr>
      </w:pPr>
    </w:p>
    <w:p w14:paraId="7E262F19">
      <w:pPr>
        <w:pStyle w:val="8"/>
        <w:spacing w:line="261" w:lineRule="auto"/>
        <w:rPr>
          <w:color w:val="auto"/>
          <w:lang w:eastAsia="zh-CN"/>
        </w:rPr>
      </w:pPr>
    </w:p>
    <w:p w14:paraId="19E9BE22">
      <w:pPr>
        <w:pStyle w:val="8"/>
        <w:spacing w:line="261" w:lineRule="auto"/>
        <w:rPr>
          <w:color w:val="auto"/>
          <w:lang w:eastAsia="zh-CN"/>
        </w:rPr>
      </w:pPr>
    </w:p>
    <w:p w14:paraId="372FCF21">
      <w:pPr>
        <w:pStyle w:val="8"/>
        <w:spacing w:line="261" w:lineRule="auto"/>
        <w:rPr>
          <w:color w:val="auto"/>
          <w:lang w:eastAsia="zh-CN"/>
        </w:rPr>
      </w:pPr>
    </w:p>
    <w:p w14:paraId="402A0858">
      <w:pPr>
        <w:spacing w:before="139" w:line="520" w:lineRule="exact"/>
        <w:jc w:val="center"/>
        <w:rPr>
          <w:rFonts w:hint="eastAsia" w:ascii="黑体" w:hAnsi="黑体" w:eastAsia="黑体" w:cs="黑体"/>
          <w:color w:val="auto"/>
          <w:sz w:val="43"/>
          <w:szCs w:val="43"/>
          <w:lang w:eastAsia="zh-CN"/>
        </w:rPr>
      </w:pPr>
      <w:r>
        <w:rPr>
          <w:rFonts w:ascii="黑体" w:hAnsi="黑体" w:eastAsia="黑体" w:cs="黑体"/>
          <w:color w:val="auto"/>
          <w:sz w:val="43"/>
          <w:szCs w:val="43"/>
          <w:lang w:eastAsia="zh-CN"/>
        </w:rPr>
        <w:t>工程量清单</w:t>
      </w:r>
    </w:p>
    <w:p w14:paraId="278EEC44">
      <w:pPr>
        <w:pStyle w:val="8"/>
        <w:spacing w:line="249" w:lineRule="auto"/>
        <w:rPr>
          <w:color w:val="auto"/>
          <w:lang w:eastAsia="zh-CN"/>
        </w:rPr>
      </w:pPr>
    </w:p>
    <w:p w14:paraId="310AAD71">
      <w:pPr>
        <w:pStyle w:val="8"/>
        <w:spacing w:line="249" w:lineRule="auto"/>
        <w:rPr>
          <w:color w:val="auto"/>
          <w:lang w:eastAsia="zh-CN"/>
        </w:rPr>
      </w:pPr>
    </w:p>
    <w:p w14:paraId="01AC9F7F">
      <w:pPr>
        <w:pStyle w:val="8"/>
        <w:spacing w:line="249" w:lineRule="auto"/>
        <w:rPr>
          <w:color w:val="auto"/>
          <w:lang w:eastAsia="zh-CN"/>
        </w:rPr>
      </w:pPr>
    </w:p>
    <w:p w14:paraId="566F7DA3">
      <w:pPr>
        <w:pStyle w:val="8"/>
        <w:spacing w:line="249" w:lineRule="auto"/>
        <w:rPr>
          <w:color w:val="auto"/>
          <w:lang w:eastAsia="zh-CN"/>
        </w:rPr>
      </w:pPr>
    </w:p>
    <w:p w14:paraId="0E33C065">
      <w:pPr>
        <w:pStyle w:val="8"/>
        <w:spacing w:line="249" w:lineRule="auto"/>
        <w:rPr>
          <w:color w:val="auto"/>
          <w:lang w:eastAsia="zh-CN"/>
        </w:rPr>
      </w:pPr>
    </w:p>
    <w:p w14:paraId="72689591">
      <w:pPr>
        <w:pStyle w:val="8"/>
        <w:spacing w:line="249" w:lineRule="auto"/>
        <w:rPr>
          <w:color w:val="auto"/>
          <w:lang w:eastAsia="zh-CN"/>
        </w:rPr>
      </w:pPr>
    </w:p>
    <w:p w14:paraId="313EC254">
      <w:pPr>
        <w:pStyle w:val="8"/>
        <w:spacing w:line="249" w:lineRule="auto"/>
        <w:rPr>
          <w:color w:val="auto"/>
          <w:lang w:eastAsia="zh-CN"/>
        </w:rPr>
      </w:pPr>
    </w:p>
    <w:p w14:paraId="4FB1E4A9">
      <w:pPr>
        <w:pStyle w:val="8"/>
        <w:spacing w:line="249" w:lineRule="auto"/>
        <w:rPr>
          <w:color w:val="auto"/>
          <w:lang w:eastAsia="zh-CN"/>
        </w:rPr>
      </w:pPr>
    </w:p>
    <w:p w14:paraId="769E008E">
      <w:pPr>
        <w:pStyle w:val="8"/>
        <w:spacing w:line="249" w:lineRule="auto"/>
        <w:rPr>
          <w:color w:val="auto"/>
          <w:lang w:eastAsia="zh-CN"/>
        </w:rPr>
      </w:pPr>
    </w:p>
    <w:p w14:paraId="26884DA2">
      <w:pPr>
        <w:pStyle w:val="8"/>
        <w:spacing w:line="249" w:lineRule="auto"/>
        <w:rPr>
          <w:color w:val="auto"/>
          <w:lang w:eastAsia="zh-CN"/>
        </w:rPr>
      </w:pPr>
    </w:p>
    <w:p w14:paraId="5617180B">
      <w:pPr>
        <w:pStyle w:val="8"/>
        <w:spacing w:line="249" w:lineRule="auto"/>
        <w:rPr>
          <w:color w:val="auto"/>
          <w:lang w:eastAsia="zh-CN"/>
        </w:rPr>
      </w:pPr>
    </w:p>
    <w:p w14:paraId="4F022FD1">
      <w:pPr>
        <w:pStyle w:val="8"/>
        <w:spacing w:line="249" w:lineRule="auto"/>
        <w:rPr>
          <w:color w:val="auto"/>
          <w:lang w:eastAsia="zh-CN"/>
        </w:rPr>
      </w:pPr>
    </w:p>
    <w:p w14:paraId="21F14C41">
      <w:pPr>
        <w:pStyle w:val="8"/>
        <w:spacing w:line="249" w:lineRule="auto"/>
        <w:rPr>
          <w:color w:val="auto"/>
          <w:lang w:eastAsia="zh-CN"/>
        </w:rPr>
      </w:pPr>
    </w:p>
    <w:p w14:paraId="41071F99">
      <w:pPr>
        <w:pStyle w:val="8"/>
        <w:spacing w:line="249" w:lineRule="auto"/>
        <w:rPr>
          <w:color w:val="auto"/>
          <w:lang w:eastAsia="zh-CN"/>
        </w:rPr>
      </w:pPr>
    </w:p>
    <w:p w14:paraId="4953FD15">
      <w:pPr>
        <w:pStyle w:val="8"/>
        <w:spacing w:line="250" w:lineRule="auto"/>
        <w:rPr>
          <w:color w:val="auto"/>
          <w:lang w:eastAsia="zh-CN"/>
        </w:rPr>
      </w:pPr>
    </w:p>
    <w:p w14:paraId="3620F9ED">
      <w:pPr>
        <w:pStyle w:val="8"/>
        <w:spacing w:line="250" w:lineRule="auto"/>
        <w:rPr>
          <w:color w:val="auto"/>
          <w:lang w:eastAsia="zh-CN"/>
        </w:rPr>
      </w:pPr>
    </w:p>
    <w:p w14:paraId="2A20D722">
      <w:pPr>
        <w:pStyle w:val="8"/>
        <w:spacing w:line="250" w:lineRule="auto"/>
        <w:rPr>
          <w:color w:val="auto"/>
          <w:lang w:eastAsia="zh-CN"/>
        </w:rPr>
      </w:pPr>
    </w:p>
    <w:p w14:paraId="48EA0B9E">
      <w:pPr>
        <w:pStyle w:val="8"/>
        <w:spacing w:line="250" w:lineRule="auto"/>
        <w:rPr>
          <w:color w:val="auto"/>
          <w:lang w:eastAsia="zh-CN"/>
        </w:rPr>
      </w:pPr>
    </w:p>
    <w:p w14:paraId="55CC8530">
      <w:pPr>
        <w:pStyle w:val="8"/>
        <w:spacing w:line="250" w:lineRule="auto"/>
        <w:rPr>
          <w:color w:val="auto"/>
          <w:lang w:eastAsia="zh-CN"/>
        </w:rPr>
      </w:pPr>
    </w:p>
    <w:p w14:paraId="221E65A5">
      <w:pPr>
        <w:spacing w:before="91" w:line="213" w:lineRule="auto"/>
        <w:rPr>
          <w:rFonts w:ascii="Times New Roman" w:hAnsi="Times New Roman" w:eastAsia="Times New Roman" w:cs="Times New Roman"/>
          <w:color w:val="auto"/>
          <w:sz w:val="28"/>
          <w:szCs w:val="28"/>
          <w:lang w:eastAsia="zh-CN"/>
        </w:rPr>
      </w:pPr>
      <w:r>
        <w:rPr>
          <w:rFonts w:ascii="宋体" w:hAnsi="宋体" w:eastAsia="宋体" w:cs="宋体"/>
          <w:color w:val="auto"/>
          <w:sz w:val="28"/>
          <w:szCs w:val="28"/>
          <w:lang w:eastAsia="zh-CN"/>
        </w:rPr>
        <w:t>招</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标</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人：</w:t>
      </w:r>
      <w:r>
        <w:rPr>
          <w:rFonts w:hint="eastAsia" w:ascii="宋体" w:hAnsi="宋体" w:eastAsia="宋体" w:cs="宋体"/>
          <w:color w:val="auto"/>
          <w:sz w:val="28"/>
          <w:szCs w:val="28"/>
          <w:u w:val="single"/>
          <w:lang w:eastAsia="zh-CN"/>
        </w:rPr>
        <w:t>　　　</w:t>
      </w:r>
      <w:r>
        <w:rPr>
          <w:rFonts w:ascii="宋体" w:hAnsi="宋体" w:eastAsia="宋体" w:cs="宋体"/>
          <w:color w:val="auto"/>
          <w:sz w:val="28"/>
          <w:szCs w:val="28"/>
          <w:u w:val="single"/>
          <w:lang w:eastAsia="zh-CN"/>
        </w:rPr>
        <w:t>（全称）</w:t>
      </w:r>
      <w:r>
        <w:rPr>
          <w:rFonts w:hint="eastAsia" w:ascii="宋体" w:hAnsi="宋体" w:eastAsia="宋体" w:cs="宋体"/>
          <w:color w:val="auto"/>
          <w:sz w:val="28"/>
          <w:szCs w:val="28"/>
          <w:u w:val="single"/>
          <w:lang w:eastAsia="zh-CN"/>
        </w:rPr>
        <w:t>　　　　</w:t>
      </w:r>
      <w:r>
        <w:rPr>
          <w:rFonts w:ascii="Times New Roman" w:hAnsi="Times New Roman" w:eastAsia="Times New Roman" w:cs="Times New Roman"/>
          <w:color w:val="auto"/>
          <w:sz w:val="28"/>
          <w:szCs w:val="28"/>
          <w:lang w:eastAsia="zh-CN"/>
        </w:rPr>
        <w:t>(</w:t>
      </w:r>
      <w:r>
        <w:rPr>
          <w:rFonts w:ascii="宋体" w:hAnsi="宋体" w:eastAsia="宋体" w:cs="宋体"/>
          <w:color w:val="auto"/>
          <w:sz w:val="28"/>
          <w:szCs w:val="28"/>
          <w:lang w:eastAsia="zh-CN"/>
        </w:rPr>
        <w:t>单位盖章</w:t>
      </w:r>
      <w:r>
        <w:rPr>
          <w:rFonts w:ascii="Times New Roman" w:hAnsi="Times New Roman" w:eastAsia="Times New Roman" w:cs="Times New Roman"/>
          <w:color w:val="auto"/>
          <w:sz w:val="28"/>
          <w:szCs w:val="28"/>
          <w:lang w:eastAsia="zh-CN"/>
        </w:rPr>
        <w:t>)</w:t>
      </w:r>
    </w:p>
    <w:p w14:paraId="032E314E">
      <w:pPr>
        <w:pStyle w:val="8"/>
        <w:spacing w:line="295" w:lineRule="auto"/>
        <w:rPr>
          <w:color w:val="auto"/>
          <w:lang w:eastAsia="zh-CN"/>
        </w:rPr>
      </w:pPr>
    </w:p>
    <w:p w14:paraId="1E261FF5">
      <w:pPr>
        <w:pStyle w:val="8"/>
        <w:spacing w:line="295" w:lineRule="auto"/>
        <w:rPr>
          <w:color w:val="auto"/>
          <w:lang w:eastAsia="zh-CN"/>
        </w:rPr>
      </w:pPr>
    </w:p>
    <w:p w14:paraId="37A4AA56">
      <w:pPr>
        <w:spacing w:before="91" w:line="213" w:lineRule="auto"/>
        <w:ind w:left="1"/>
        <w:rPr>
          <w:rFonts w:ascii="Times New Roman" w:hAnsi="Times New Roman" w:eastAsia="Times New Roman" w:cs="Times New Roman"/>
          <w:color w:val="auto"/>
          <w:sz w:val="28"/>
          <w:szCs w:val="28"/>
          <w:lang w:eastAsia="zh-CN"/>
        </w:rPr>
      </w:pPr>
      <w:r>
        <w:rPr>
          <w:rFonts w:ascii="宋体" w:hAnsi="宋体" w:eastAsia="宋体" w:cs="宋体"/>
          <w:color w:val="auto"/>
          <w:sz w:val="28"/>
          <w:szCs w:val="28"/>
          <w:lang w:eastAsia="zh-CN"/>
        </w:rPr>
        <w:t>编</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制</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单</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位：</w:t>
      </w:r>
      <w:r>
        <w:rPr>
          <w:rFonts w:hint="eastAsia" w:ascii="宋体" w:hAnsi="宋体" w:eastAsia="宋体" w:cs="宋体"/>
          <w:color w:val="auto"/>
          <w:sz w:val="28"/>
          <w:szCs w:val="28"/>
          <w:u w:val="single"/>
          <w:lang w:eastAsia="zh-CN"/>
        </w:rPr>
        <w:t>　　　</w:t>
      </w:r>
      <w:r>
        <w:rPr>
          <w:rFonts w:ascii="宋体" w:hAnsi="宋体" w:eastAsia="宋体" w:cs="宋体"/>
          <w:color w:val="auto"/>
          <w:sz w:val="28"/>
          <w:szCs w:val="28"/>
          <w:u w:val="single"/>
          <w:lang w:eastAsia="zh-CN"/>
        </w:rPr>
        <w:t>（全称）</w:t>
      </w:r>
      <w:r>
        <w:rPr>
          <w:rFonts w:hint="eastAsia" w:ascii="宋体" w:hAnsi="宋体" w:eastAsia="宋体" w:cs="宋体"/>
          <w:color w:val="auto"/>
          <w:sz w:val="28"/>
          <w:szCs w:val="28"/>
          <w:u w:val="single"/>
          <w:lang w:eastAsia="zh-CN"/>
        </w:rPr>
        <w:t>　　　　</w:t>
      </w:r>
      <w:r>
        <w:rPr>
          <w:rFonts w:ascii="Times New Roman" w:hAnsi="Times New Roman" w:eastAsia="Times New Roman" w:cs="Times New Roman"/>
          <w:color w:val="auto"/>
          <w:sz w:val="28"/>
          <w:szCs w:val="28"/>
          <w:lang w:eastAsia="zh-CN"/>
        </w:rPr>
        <w:t>(</w:t>
      </w:r>
      <w:r>
        <w:rPr>
          <w:rFonts w:ascii="宋体" w:hAnsi="宋体" w:eastAsia="宋体" w:cs="宋体"/>
          <w:color w:val="auto"/>
          <w:sz w:val="28"/>
          <w:szCs w:val="28"/>
          <w:lang w:eastAsia="zh-CN"/>
        </w:rPr>
        <w:t>单位盖章</w:t>
      </w:r>
      <w:r>
        <w:rPr>
          <w:rFonts w:ascii="Times New Roman" w:hAnsi="Times New Roman" w:eastAsia="Times New Roman" w:cs="Times New Roman"/>
          <w:color w:val="auto"/>
          <w:sz w:val="28"/>
          <w:szCs w:val="28"/>
          <w:lang w:eastAsia="zh-CN"/>
        </w:rPr>
        <w:t>)</w:t>
      </w:r>
    </w:p>
    <w:p w14:paraId="432775CA">
      <w:pPr>
        <w:pStyle w:val="8"/>
        <w:spacing w:line="294" w:lineRule="auto"/>
        <w:rPr>
          <w:color w:val="auto"/>
          <w:lang w:eastAsia="zh-CN"/>
        </w:rPr>
      </w:pPr>
    </w:p>
    <w:p w14:paraId="5BDEAA56">
      <w:pPr>
        <w:pStyle w:val="8"/>
        <w:spacing w:line="295" w:lineRule="auto"/>
        <w:rPr>
          <w:color w:val="auto"/>
          <w:lang w:eastAsia="zh-CN"/>
        </w:rPr>
      </w:pPr>
    </w:p>
    <w:p w14:paraId="08398AEC">
      <w:pPr>
        <w:spacing w:before="91" w:line="219" w:lineRule="auto"/>
        <w:ind w:left="13"/>
        <w:rPr>
          <w:rFonts w:hint="eastAsia" w:ascii="宋体" w:hAnsi="宋体" w:eastAsia="宋体" w:cs="宋体"/>
          <w:color w:val="auto"/>
          <w:sz w:val="28"/>
          <w:szCs w:val="28"/>
          <w:lang w:eastAsia="zh-CN"/>
        </w:rPr>
      </w:pPr>
      <w:r>
        <w:rPr>
          <w:rFonts w:ascii="宋体" w:hAnsi="宋体" w:eastAsia="宋体" w:cs="宋体"/>
          <w:color w:val="auto"/>
          <w:sz w:val="28"/>
          <w:szCs w:val="28"/>
          <w:lang w:eastAsia="zh-CN"/>
        </w:rPr>
        <w:t>审</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定</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人：</w:t>
      </w:r>
      <w:r>
        <w:rPr>
          <w:rFonts w:hint="eastAsia" w:ascii="宋体" w:hAnsi="宋体" w:eastAsia="宋体" w:cs="宋体"/>
          <w:color w:val="auto"/>
          <w:sz w:val="28"/>
          <w:szCs w:val="28"/>
          <w:u w:val="single"/>
          <w:lang w:eastAsia="zh-CN"/>
        </w:rPr>
        <w:t>　　　　　　　　　　</w:t>
      </w:r>
      <w:r>
        <w:rPr>
          <w:rFonts w:ascii="宋体" w:hAnsi="宋体" w:eastAsia="宋体" w:cs="宋体"/>
          <w:color w:val="auto"/>
          <w:sz w:val="28"/>
          <w:szCs w:val="28"/>
          <w:lang w:eastAsia="zh-CN"/>
        </w:rPr>
        <w:t>（签字并盖执业专用章）</w:t>
      </w:r>
    </w:p>
    <w:p w14:paraId="229345DF">
      <w:pPr>
        <w:pStyle w:val="8"/>
        <w:spacing w:line="261" w:lineRule="auto"/>
        <w:rPr>
          <w:color w:val="auto"/>
          <w:lang w:eastAsia="zh-CN"/>
        </w:rPr>
      </w:pPr>
    </w:p>
    <w:p w14:paraId="06EC3017">
      <w:pPr>
        <w:spacing w:before="91" w:line="219" w:lineRule="auto"/>
        <w:ind w:left="13"/>
        <w:rPr>
          <w:rFonts w:hint="eastAsia" w:ascii="宋体" w:hAnsi="宋体" w:eastAsia="宋体" w:cs="宋体"/>
          <w:color w:val="auto"/>
          <w:sz w:val="28"/>
          <w:szCs w:val="28"/>
          <w:lang w:eastAsia="zh-CN"/>
        </w:rPr>
      </w:pPr>
      <w:r>
        <w:rPr>
          <w:rFonts w:ascii="宋体" w:hAnsi="宋体" w:eastAsia="宋体" w:cs="宋体"/>
          <w:color w:val="auto"/>
          <w:sz w:val="28"/>
          <w:szCs w:val="28"/>
          <w:lang w:eastAsia="zh-CN"/>
        </w:rPr>
        <w:t>审</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核</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人：</w:t>
      </w:r>
      <w:r>
        <w:rPr>
          <w:rFonts w:hint="eastAsia" w:ascii="宋体" w:hAnsi="宋体" w:eastAsia="宋体" w:cs="宋体"/>
          <w:color w:val="auto"/>
          <w:sz w:val="28"/>
          <w:szCs w:val="28"/>
          <w:u w:val="single"/>
          <w:lang w:eastAsia="zh-CN"/>
        </w:rPr>
        <w:t>　　　　　　　　　　</w:t>
      </w:r>
      <w:r>
        <w:rPr>
          <w:rFonts w:ascii="宋体" w:hAnsi="宋体" w:eastAsia="宋体" w:cs="宋体"/>
          <w:color w:val="auto"/>
          <w:sz w:val="28"/>
          <w:szCs w:val="28"/>
          <w:lang w:eastAsia="zh-CN"/>
        </w:rPr>
        <w:t>（签字并盖执业专用章）</w:t>
      </w:r>
    </w:p>
    <w:p w14:paraId="2DFD9F0C">
      <w:pPr>
        <w:pStyle w:val="8"/>
        <w:spacing w:line="259" w:lineRule="auto"/>
        <w:rPr>
          <w:color w:val="auto"/>
          <w:lang w:eastAsia="zh-CN"/>
        </w:rPr>
      </w:pPr>
    </w:p>
    <w:p w14:paraId="75CB6E24">
      <w:pPr>
        <w:spacing w:before="91" w:line="219" w:lineRule="auto"/>
        <w:ind w:left="1"/>
        <w:rPr>
          <w:rFonts w:hint="eastAsia" w:ascii="宋体" w:hAnsi="宋体" w:eastAsia="宋体" w:cs="宋体"/>
          <w:color w:val="auto"/>
          <w:sz w:val="28"/>
          <w:szCs w:val="28"/>
          <w:lang w:eastAsia="zh-CN"/>
        </w:rPr>
      </w:pPr>
      <w:r>
        <w:rPr>
          <w:rFonts w:ascii="宋体" w:hAnsi="宋体" w:eastAsia="宋体" w:cs="宋体"/>
          <w:color w:val="auto"/>
          <w:sz w:val="28"/>
          <w:szCs w:val="28"/>
          <w:lang w:eastAsia="zh-CN"/>
        </w:rPr>
        <w:t>编</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制</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人：</w:t>
      </w:r>
      <w:r>
        <w:rPr>
          <w:rFonts w:hint="eastAsia" w:ascii="宋体" w:hAnsi="宋体" w:eastAsia="宋体" w:cs="宋体"/>
          <w:color w:val="auto"/>
          <w:sz w:val="28"/>
          <w:szCs w:val="28"/>
          <w:u w:val="single"/>
          <w:lang w:eastAsia="zh-CN"/>
        </w:rPr>
        <w:t>　　　　　　　　　　</w:t>
      </w:r>
      <w:r>
        <w:rPr>
          <w:rFonts w:ascii="宋体" w:hAnsi="宋体" w:eastAsia="宋体" w:cs="宋体"/>
          <w:color w:val="auto"/>
          <w:sz w:val="28"/>
          <w:szCs w:val="28"/>
          <w:lang w:eastAsia="zh-CN"/>
        </w:rPr>
        <w:t>（签字并盖执业专用章）</w:t>
      </w:r>
    </w:p>
    <w:p w14:paraId="184D52AB">
      <w:pPr>
        <w:pStyle w:val="8"/>
        <w:spacing w:line="290" w:lineRule="auto"/>
        <w:rPr>
          <w:color w:val="auto"/>
          <w:lang w:eastAsia="zh-CN"/>
        </w:rPr>
      </w:pPr>
    </w:p>
    <w:p w14:paraId="696919B3">
      <w:pPr>
        <w:pStyle w:val="8"/>
        <w:spacing w:line="290" w:lineRule="auto"/>
        <w:rPr>
          <w:color w:val="auto"/>
          <w:lang w:eastAsia="zh-CN"/>
        </w:rPr>
      </w:pPr>
    </w:p>
    <w:p w14:paraId="000BCEFC">
      <w:pPr>
        <w:spacing w:before="92" w:line="220" w:lineRule="auto"/>
        <w:ind w:left="1"/>
        <w:rPr>
          <w:rFonts w:hint="eastAsia" w:ascii="宋体" w:hAnsi="宋体" w:eastAsia="宋体" w:cs="宋体"/>
          <w:color w:val="auto"/>
          <w:sz w:val="28"/>
          <w:szCs w:val="28"/>
          <w:lang w:eastAsia="zh-CN"/>
        </w:rPr>
      </w:pPr>
      <w:r>
        <w:rPr>
          <w:rFonts w:ascii="宋体" w:hAnsi="宋体" w:eastAsia="宋体" w:cs="宋体"/>
          <w:color w:val="auto"/>
          <w:sz w:val="28"/>
          <w:szCs w:val="28"/>
          <w:lang w:eastAsia="zh-CN"/>
        </w:rPr>
        <w:t>编</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制</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时</w:t>
      </w:r>
      <w:r>
        <w:rPr>
          <w:rFonts w:hint="eastAsia" w:ascii="宋体" w:hAnsi="宋体" w:eastAsia="宋体" w:cs="宋体"/>
          <w:color w:val="auto"/>
          <w:sz w:val="28"/>
          <w:szCs w:val="28"/>
          <w:lang w:eastAsia="zh-CN"/>
        </w:rPr>
        <w:t>　</w:t>
      </w:r>
      <w:r>
        <w:rPr>
          <w:rFonts w:ascii="宋体" w:hAnsi="宋体" w:eastAsia="宋体" w:cs="宋体"/>
          <w:color w:val="auto"/>
          <w:sz w:val="28"/>
          <w:szCs w:val="28"/>
          <w:lang w:eastAsia="zh-CN"/>
        </w:rPr>
        <w:t>间：</w:t>
      </w:r>
      <w:r>
        <w:rPr>
          <w:rFonts w:hint="eastAsia" w:ascii="宋体" w:hAnsi="宋体" w:eastAsia="宋体" w:cs="宋体"/>
          <w:color w:val="auto"/>
          <w:sz w:val="28"/>
          <w:szCs w:val="28"/>
          <w:u w:val="single"/>
          <w:lang w:eastAsia="zh-CN"/>
        </w:rPr>
        <w:t>　　　　　　　　　　　</w:t>
      </w:r>
    </w:p>
    <w:p w14:paraId="60103CB0">
      <w:pPr>
        <w:rPr>
          <w:rFonts w:hint="eastAsia" w:ascii="宋体" w:hAnsi="宋体" w:eastAsia="宋体" w:cs="宋体"/>
          <w:color w:val="auto"/>
          <w:sz w:val="28"/>
          <w:szCs w:val="28"/>
          <w:lang w:eastAsia="zh-CN"/>
        </w:rPr>
      </w:pPr>
      <w:r>
        <w:rPr>
          <w:rFonts w:ascii="宋体" w:hAnsi="宋体" w:eastAsia="宋体" w:cs="宋体"/>
          <w:color w:val="auto"/>
          <w:sz w:val="28"/>
          <w:szCs w:val="28"/>
          <w:lang w:eastAsia="zh-CN"/>
        </w:rPr>
        <w:br w:type="page"/>
      </w:r>
    </w:p>
    <w:p w14:paraId="69F50D0B">
      <w:pPr>
        <w:spacing w:before="55" w:line="221" w:lineRule="auto"/>
        <w:ind w:left="3623"/>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填表须知</w:t>
      </w:r>
    </w:p>
    <w:p w14:paraId="7902560E">
      <w:pPr>
        <w:pStyle w:val="8"/>
        <w:spacing w:line="268" w:lineRule="auto"/>
        <w:rPr>
          <w:color w:val="auto"/>
          <w:lang w:eastAsia="zh-CN"/>
        </w:rPr>
      </w:pPr>
    </w:p>
    <w:p w14:paraId="69AC48FA">
      <w:pPr>
        <w:pStyle w:val="8"/>
        <w:spacing w:line="520" w:lineRule="exact"/>
        <w:ind w:firstLine="420" w:firstLineChars="200"/>
        <w:jc w:val="both"/>
        <w:rPr>
          <w:rFonts w:hint="eastAsia" w:ascii="宋体" w:hAnsi="宋体" w:eastAsia="宋体" w:cs="宋体"/>
          <w:color w:val="auto"/>
          <w:lang w:eastAsia="zh-CN"/>
        </w:rPr>
      </w:pPr>
    </w:p>
    <w:p w14:paraId="11787C42">
      <w:pPr>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1.工程量清单及其计价格式中所有要求盖章、签字的地方，必须由规定的单位和人员盖章、签字。</w:t>
      </w:r>
    </w:p>
    <w:p w14:paraId="5643B6DC">
      <w:pPr>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2.除另有规定外，工程量清单及其计价格式中的任何内容不得随意删除或涂改。</w:t>
      </w:r>
    </w:p>
    <w:p w14:paraId="7ECAE950">
      <w:pPr>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3.工程量清单计价格式中列明的所有需要填报的单价和合价，投标人均应填报。未填报的单价和合价，视为此项费用已包含在工程量清单的其它单价和合价中。</w:t>
      </w:r>
    </w:p>
    <w:p w14:paraId="4965A8A2">
      <w:pPr>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4.投标金额（价格）均应以人民币表示。</w:t>
      </w:r>
    </w:p>
    <w:p w14:paraId="5C033162">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018A50FA">
      <w:pPr>
        <w:widowControl w:val="0"/>
        <w:kinsoku/>
        <w:wordWrap w:val="0"/>
        <w:topLinePunct/>
        <w:autoSpaceDE/>
        <w:autoSpaceDN/>
        <w:spacing w:line="360" w:lineRule="auto"/>
        <w:jc w:val="center"/>
        <w:rPr>
          <w:rFonts w:hint="eastAsia" w:ascii="宋体" w:hAnsi="宋体" w:eastAsia="宋体" w:cs="宋体"/>
          <w:color w:val="auto"/>
          <w:sz w:val="28"/>
          <w:szCs w:val="28"/>
          <w:lang w:eastAsia="zh-CN"/>
        </w:rPr>
      </w:pPr>
      <w:r>
        <w:rPr>
          <w:rFonts w:ascii="宋体" w:hAnsi="宋体" w:eastAsia="宋体" w:cs="宋体"/>
          <w:b/>
          <w:bCs/>
          <w:color w:val="auto"/>
          <w:sz w:val="28"/>
          <w:szCs w:val="28"/>
          <w:lang w:eastAsia="zh-CN"/>
        </w:rPr>
        <w:t>总</w:t>
      </w:r>
      <w:r>
        <w:rPr>
          <w:rFonts w:hint="eastAsia" w:ascii="宋体" w:hAnsi="宋体" w:eastAsia="宋体" w:cs="宋体"/>
          <w:color w:val="auto"/>
          <w:sz w:val="28"/>
          <w:szCs w:val="28"/>
          <w:lang w:eastAsia="zh-CN"/>
        </w:rPr>
        <w:t>　</w:t>
      </w:r>
      <w:r>
        <w:rPr>
          <w:rFonts w:ascii="宋体" w:hAnsi="宋体" w:eastAsia="宋体" w:cs="宋体"/>
          <w:b/>
          <w:bCs/>
          <w:color w:val="auto"/>
          <w:sz w:val="28"/>
          <w:szCs w:val="28"/>
          <w:lang w:eastAsia="zh-CN"/>
        </w:rPr>
        <w:t>说</w:t>
      </w:r>
      <w:r>
        <w:rPr>
          <w:rFonts w:hint="eastAsia" w:ascii="宋体" w:hAnsi="宋体" w:eastAsia="宋体" w:cs="宋体"/>
          <w:color w:val="auto"/>
          <w:sz w:val="28"/>
          <w:szCs w:val="28"/>
          <w:lang w:eastAsia="zh-CN"/>
        </w:rPr>
        <w:t>　</w:t>
      </w:r>
      <w:r>
        <w:rPr>
          <w:rFonts w:ascii="宋体" w:hAnsi="宋体" w:eastAsia="宋体" w:cs="宋体"/>
          <w:b/>
          <w:bCs/>
          <w:color w:val="auto"/>
          <w:sz w:val="28"/>
          <w:szCs w:val="28"/>
          <w:lang w:eastAsia="zh-CN"/>
        </w:rPr>
        <w:t>明</w:t>
      </w:r>
    </w:p>
    <w:p w14:paraId="3251282A">
      <w:pPr>
        <w:spacing w:before="198" w:line="221" w:lineRule="auto"/>
        <w:ind w:left="114"/>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p w14:paraId="6E7EA694">
      <w:pPr>
        <w:spacing w:line="127" w:lineRule="exact"/>
        <w:rPr>
          <w:color w:val="auto"/>
          <w:lang w:eastAsia="zh-CN"/>
        </w:rPr>
      </w:pPr>
    </w:p>
    <w:tbl>
      <w:tblPr>
        <w:tblStyle w:val="20"/>
        <w:tblW w:w="887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879"/>
      </w:tblGrid>
      <w:tr w14:paraId="33C9955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971" w:hRule="atLeast"/>
        </w:trPr>
        <w:tc>
          <w:tcPr>
            <w:tcW w:w="8879" w:type="dxa"/>
          </w:tcPr>
          <w:p w14:paraId="0BC96083">
            <w:pPr>
              <w:widowControl w:val="0"/>
              <w:kinsoku/>
              <w:wordWrap w:val="0"/>
              <w:topLinePunct/>
              <w:autoSpaceDE/>
              <w:autoSpaceDN/>
              <w:spacing w:line="520" w:lineRule="exact"/>
              <w:ind w:left="210" w:leftChars="100" w:right="210" w:rightChars="100" w:firstLine="422" w:firstLineChars="200"/>
              <w:rPr>
                <w:rFonts w:hint="eastAsia" w:ascii="宋体" w:hAnsi="宋体" w:eastAsia="宋体" w:cs="宋体"/>
                <w:color w:val="auto"/>
                <w:lang w:eastAsia="zh-CN"/>
              </w:rPr>
            </w:pPr>
            <w:r>
              <w:rPr>
                <w:rFonts w:hint="eastAsia" w:ascii="宋体" w:hAnsi="宋体" w:eastAsia="宋体" w:cs="宋体"/>
                <w:b/>
                <w:bCs/>
                <w:color w:val="auto"/>
                <w:lang w:eastAsia="zh-CN"/>
              </w:rPr>
              <w:t>1　工程概况</w:t>
            </w:r>
          </w:p>
          <w:p w14:paraId="47882A47">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（主要叙述招标工程概况。包括工程位置，距离市县城的距离，对外交通情况，供水、供电以及通讯等基础设施情况，地材的来源及供应情况，工程的规模、主要建设内容等。）</w:t>
            </w:r>
          </w:p>
          <w:p w14:paraId="4DCAB178">
            <w:pPr>
              <w:widowControl w:val="0"/>
              <w:kinsoku/>
              <w:wordWrap w:val="0"/>
              <w:topLinePunct/>
              <w:autoSpaceDE/>
              <w:autoSpaceDN/>
              <w:spacing w:line="520" w:lineRule="exact"/>
              <w:ind w:left="210" w:leftChars="100" w:right="210" w:rightChars="100" w:firstLine="422" w:firstLineChars="200"/>
              <w:jc w:val="both"/>
              <w:rPr>
                <w:rFonts w:hint="eastAsia" w:ascii="宋体" w:hAnsi="宋体" w:eastAsia="宋体" w:cs="宋体"/>
                <w:color w:val="auto"/>
                <w:lang w:eastAsia="zh-CN"/>
              </w:rPr>
            </w:pPr>
            <w:r>
              <w:rPr>
                <w:rFonts w:hint="eastAsia" w:ascii="宋体" w:hAnsi="宋体" w:eastAsia="宋体" w:cs="宋体"/>
                <w:b/>
                <w:bCs/>
                <w:color w:val="auto"/>
                <w:lang w:eastAsia="zh-CN"/>
              </w:rPr>
              <w:t>2　工程招标范围</w:t>
            </w:r>
          </w:p>
          <w:p w14:paraId="740733F7">
            <w:pPr>
              <w:widowControl w:val="0"/>
              <w:kinsoku/>
              <w:wordWrap w:val="0"/>
              <w:topLinePunct/>
              <w:autoSpaceDE/>
              <w:autoSpaceDN/>
              <w:spacing w:line="520" w:lineRule="exact"/>
              <w:ind w:left="210" w:leftChars="100" w:right="210" w:rightChars="100" w:firstLine="420" w:firstLineChars="200"/>
              <w:jc w:val="both"/>
              <w:rPr>
                <w:rFonts w:hint="eastAsia" w:ascii="宋体" w:hAnsi="宋体" w:eastAsia="宋体" w:cs="宋体"/>
                <w:color w:val="auto"/>
                <w:lang w:eastAsia="zh-CN"/>
              </w:rPr>
            </w:pPr>
          </w:p>
          <w:p w14:paraId="53616FBC">
            <w:pPr>
              <w:widowControl w:val="0"/>
              <w:kinsoku/>
              <w:wordWrap w:val="0"/>
              <w:topLinePunct/>
              <w:autoSpaceDE/>
              <w:autoSpaceDN/>
              <w:spacing w:line="520" w:lineRule="exact"/>
              <w:ind w:left="210" w:leftChars="100" w:right="210" w:rightChars="100" w:firstLine="422" w:firstLineChars="200"/>
              <w:jc w:val="both"/>
              <w:rPr>
                <w:rFonts w:hint="eastAsia" w:ascii="宋体" w:hAnsi="宋体" w:eastAsia="宋体" w:cs="宋体"/>
                <w:color w:val="auto"/>
                <w:lang w:eastAsia="zh-CN"/>
              </w:rPr>
            </w:pPr>
            <w:r>
              <w:rPr>
                <w:rFonts w:hint="eastAsia" w:ascii="宋体" w:hAnsi="宋体" w:eastAsia="宋体" w:cs="宋体"/>
                <w:b/>
                <w:bCs/>
                <w:color w:val="auto"/>
                <w:lang w:eastAsia="zh-CN"/>
              </w:rPr>
              <w:t>3　招标人供应的材料、提供的施工设施</w:t>
            </w:r>
          </w:p>
          <w:p w14:paraId="5C085371">
            <w:pPr>
              <w:widowControl w:val="0"/>
              <w:kinsoku/>
              <w:wordWrap w:val="0"/>
              <w:topLinePunct/>
              <w:autoSpaceDE/>
              <w:autoSpaceDN/>
              <w:spacing w:line="520" w:lineRule="exact"/>
              <w:ind w:left="210" w:leftChars="100" w:right="210" w:rightChars="100" w:firstLine="420" w:firstLineChars="200"/>
              <w:jc w:val="both"/>
              <w:rPr>
                <w:rFonts w:hint="eastAsia" w:ascii="宋体" w:hAnsi="宋体" w:eastAsia="宋体" w:cs="宋体"/>
                <w:color w:val="auto"/>
                <w:lang w:eastAsia="zh-CN"/>
              </w:rPr>
            </w:pPr>
          </w:p>
          <w:p w14:paraId="4675EF37">
            <w:pPr>
              <w:widowControl w:val="0"/>
              <w:kinsoku/>
              <w:wordWrap w:val="0"/>
              <w:topLinePunct/>
              <w:autoSpaceDE/>
              <w:autoSpaceDN/>
              <w:spacing w:line="520" w:lineRule="exact"/>
              <w:ind w:left="210" w:leftChars="100" w:right="210" w:rightChars="100" w:firstLine="422" w:firstLineChars="200"/>
              <w:jc w:val="both"/>
              <w:rPr>
                <w:rFonts w:hint="eastAsia" w:ascii="宋体" w:hAnsi="宋体" w:eastAsia="宋体" w:cs="宋体"/>
                <w:color w:val="auto"/>
                <w:lang w:eastAsia="zh-CN"/>
              </w:rPr>
            </w:pPr>
            <w:r>
              <w:rPr>
                <w:rFonts w:hint="eastAsia" w:ascii="宋体" w:hAnsi="宋体" w:eastAsia="宋体" w:cs="宋体"/>
                <w:b/>
                <w:bCs/>
                <w:color w:val="auto"/>
                <w:lang w:eastAsia="zh-CN"/>
              </w:rPr>
              <w:t>4　工程量清单计价说明</w:t>
            </w:r>
          </w:p>
          <w:p w14:paraId="3566F0AA">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4.1　工程量清单应与招标文件中的投标人须知、通用合同条款、专用合同条款、技术标准和要求（合同技术条款）、图纸及《浙江省水利水电工程工程量清单计价办法》等一起阅读和理解。</w:t>
            </w:r>
          </w:p>
          <w:p w14:paraId="492B81E0">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4.2　工程量清单标明的工程量仅是投标人投标报价的共同基础。除另有约定外，工程量清单中的工程量是根据招标设计图纸按《浙江省水利水电工程工程量清单计价办法》计算规则计算的用于投标报价的估算工程量，不作为最终结算工程量。最终结算的工程量是承包人实际完成并符合技术标准和要求（合同技术条款）和《浙江省水利水电工程工程量清单计价办法》计算规则等规定、按合同约定予以计量的有效工程量。</w:t>
            </w:r>
          </w:p>
          <w:p w14:paraId="2522393B">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4.3　工程量清单中各项目的工作内容和要求应符合相关技术标准和要求（合同技术条款）以及《浙江省水利水电工程工程量清单计价办法》的规定。</w:t>
            </w:r>
          </w:p>
          <w:p w14:paraId="2CFA5185">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4.4　工程量清单计价应包括按招标文件规定完成工程量清单所列项目的全部费用，包括分类分项工程费、施工临时工程费和其他项目费。</w:t>
            </w:r>
          </w:p>
          <w:p w14:paraId="1A1620ED">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4.5　除另有规定外，分类分项工程量清单计价应采用工程单价计价。</w:t>
            </w:r>
          </w:p>
          <w:p w14:paraId="5DF9F41F">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4.6　工程量清单中的综合单价是完成工程量清单中一个质量合格的规定计量单位项目所需的直接费（包括人工费、材料费、施工机械使用费、措施费）、间接费、利润、补差和税金等，并考虑一定范围内的风险费用。</w:t>
            </w:r>
          </w:p>
          <w:p w14:paraId="591722CD">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4.7　施工临时工程分类分项工程量清单的金额，应根据招标文件的要求以及工程的施工方案，按清单中所列项目计量单位计价。</w:t>
            </w:r>
          </w:p>
          <w:p w14:paraId="679EEEA2">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4.8　安全生产措施费不得低于人民币</w:t>
            </w:r>
            <w:r>
              <w:rPr>
                <w:rFonts w:hint="eastAsia"/>
                <w:color w:val="auto"/>
                <w:sz w:val="21"/>
                <w:szCs w:val="21"/>
                <w:u w:val="single"/>
                <w:lang w:eastAsia="zh-CN"/>
              </w:rPr>
              <w:t>　　　　</w:t>
            </w:r>
            <w:r>
              <w:rPr>
                <w:rFonts w:hint="eastAsia"/>
                <w:color w:val="auto"/>
                <w:sz w:val="21"/>
                <w:szCs w:val="21"/>
                <w:lang w:eastAsia="zh-CN"/>
              </w:rPr>
              <w:t>元，安全生产措施费不得作为竞争性费用，且实行标外管理。安全生产措施费的使用管理应严格按国家和省有关规定执行，具体由承包人按照《安全生产措施费使用范围表》的内容以及《水利水电工程施工安全管理导则》（SL　721）等相关规范提出方案和预算，经监理审核，由建设单位组织专家对可行性、经济性论证后批准实施。建设单位应按工程进度付款周期，逐期审核安全生产措施费的使用情况及支出。工程完工结算时结余的安全生产措施费，不得支付，应当退回建设单位。</w:t>
            </w:r>
          </w:p>
          <w:p w14:paraId="5735A6B9">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lang w:eastAsia="zh-CN"/>
              </w:rPr>
            </w:pPr>
            <w:r>
              <w:rPr>
                <w:rFonts w:hint="eastAsia"/>
                <w:color w:val="auto"/>
                <w:sz w:val="21"/>
                <w:szCs w:val="21"/>
                <w:lang w:eastAsia="zh-CN"/>
              </w:rPr>
              <w:t>4.9　投标报价参考依据：</w:t>
            </w:r>
          </w:p>
          <w:p w14:paraId="4049FA4C">
            <w:pPr>
              <w:widowControl w:val="0"/>
              <w:kinsoku/>
              <w:wordWrap w:val="0"/>
              <w:topLinePunct/>
              <w:autoSpaceDE/>
              <w:autoSpaceDN/>
              <w:spacing w:line="520" w:lineRule="exact"/>
              <w:ind w:left="210" w:leftChars="100" w:right="210" w:rightChars="100" w:firstLine="420" w:firstLineChars="200"/>
              <w:jc w:val="both"/>
              <w:rPr>
                <w:rFonts w:hint="eastAsia" w:ascii="宋体" w:hAnsi="宋体" w:eastAsia="宋体" w:cs="宋体"/>
                <w:color w:val="auto"/>
                <w:lang w:eastAsia="zh-CN"/>
              </w:rPr>
            </w:pPr>
          </w:p>
          <w:p w14:paraId="71140F72">
            <w:pPr>
              <w:widowControl w:val="0"/>
              <w:kinsoku/>
              <w:wordWrap w:val="0"/>
              <w:topLinePunct/>
              <w:autoSpaceDE/>
              <w:autoSpaceDN/>
              <w:spacing w:line="520" w:lineRule="exact"/>
              <w:ind w:left="210" w:leftChars="100" w:right="210" w:rightChars="100" w:firstLine="422" w:firstLineChars="200"/>
              <w:jc w:val="both"/>
              <w:rPr>
                <w:rFonts w:hint="eastAsia" w:ascii="宋体" w:hAnsi="宋体" w:eastAsia="宋体" w:cs="宋体"/>
                <w:color w:val="auto"/>
                <w:lang w:eastAsia="zh-CN"/>
              </w:rPr>
            </w:pPr>
            <w:r>
              <w:rPr>
                <w:rFonts w:hint="eastAsia" w:ascii="宋体" w:hAnsi="宋体" w:eastAsia="宋体" w:cs="宋体"/>
                <w:b/>
                <w:bCs/>
                <w:color w:val="auto"/>
                <w:lang w:eastAsia="zh-CN"/>
              </w:rPr>
              <w:t>5　其他</w:t>
            </w:r>
          </w:p>
          <w:p w14:paraId="29A18073">
            <w:pPr>
              <w:pStyle w:val="21"/>
              <w:widowControl w:val="0"/>
              <w:kinsoku/>
              <w:wordWrap w:val="0"/>
              <w:topLinePunct/>
              <w:autoSpaceDE/>
              <w:autoSpaceDN/>
              <w:spacing w:line="520" w:lineRule="exact"/>
              <w:ind w:left="210" w:leftChars="100" w:right="210" w:rightChars="100" w:firstLine="420" w:firstLineChars="200"/>
              <w:jc w:val="both"/>
              <w:rPr>
                <w:rFonts w:hint="eastAsia"/>
                <w:color w:val="auto"/>
                <w:sz w:val="21"/>
                <w:szCs w:val="21"/>
              </w:rPr>
            </w:pPr>
            <w:r>
              <w:rPr>
                <w:rFonts w:hint="eastAsia"/>
                <w:color w:val="auto"/>
                <w:sz w:val="21"/>
                <w:szCs w:val="21"/>
                <w:lang w:eastAsia="zh-CN"/>
              </w:rPr>
              <w:t>（主要叙述除以上四点以外，还需要说明的问题。</w:t>
            </w:r>
            <w:r>
              <w:rPr>
                <w:rFonts w:hint="eastAsia"/>
                <w:color w:val="auto"/>
                <w:sz w:val="21"/>
                <w:szCs w:val="21"/>
              </w:rPr>
              <w:t>）</w:t>
            </w:r>
          </w:p>
        </w:tc>
      </w:tr>
    </w:tbl>
    <w:p w14:paraId="57722096">
      <w:pPr>
        <w:pStyle w:val="8"/>
        <w:spacing w:line="201" w:lineRule="exact"/>
        <w:rPr>
          <w:color w:val="auto"/>
          <w:sz w:val="17"/>
        </w:rPr>
      </w:pPr>
    </w:p>
    <w:p w14:paraId="5059045D">
      <w:pPr>
        <w:rPr>
          <w:color w:val="auto"/>
          <w:sz w:val="17"/>
          <w:szCs w:val="17"/>
        </w:rPr>
      </w:pPr>
      <w:r>
        <w:rPr>
          <w:color w:val="auto"/>
          <w:sz w:val="17"/>
          <w:szCs w:val="17"/>
        </w:rPr>
        <w:br w:type="page"/>
      </w:r>
    </w:p>
    <w:p w14:paraId="020956E1">
      <w:pPr>
        <w:spacing w:line="360" w:lineRule="auto"/>
        <w:jc w:val="center"/>
        <w:rPr>
          <w:rFonts w:hint="eastAsia" w:ascii="宋体" w:hAnsi="宋体" w:eastAsia="宋体" w:cs="宋体"/>
          <w:color w:val="auto"/>
          <w:sz w:val="24"/>
          <w:szCs w:val="24"/>
          <w:lang w:eastAsia="zh-CN"/>
        </w:rPr>
      </w:pPr>
      <w:r>
        <w:rPr>
          <w:rFonts w:ascii="宋体" w:hAnsi="宋体" w:eastAsia="宋体" w:cs="宋体"/>
          <w:b/>
          <w:bCs/>
          <w:color w:val="auto"/>
          <w:sz w:val="24"/>
          <w:szCs w:val="24"/>
          <w:lang w:eastAsia="zh-CN"/>
        </w:rPr>
        <w:t>工程量清单汇总表</w:t>
      </w:r>
    </w:p>
    <w:p w14:paraId="3B56A937">
      <w:pPr>
        <w:widowControl w:val="0"/>
        <w:kinsoku/>
        <w:wordWrap w:val="0"/>
        <w:topLinePunct/>
        <w:autoSpaceDE/>
        <w:autoSpaceDN/>
        <w:spacing w:line="360" w:lineRule="auto"/>
        <w:jc w:val="both"/>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tbl>
      <w:tblPr>
        <w:tblStyle w:val="20"/>
        <w:tblW w:w="8807" w:type="dxa"/>
        <w:tblInd w:w="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8"/>
        <w:gridCol w:w="5506"/>
        <w:gridCol w:w="2273"/>
      </w:tblGrid>
      <w:tr w14:paraId="18FA9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028" w:type="dxa"/>
            <w:tcBorders>
              <w:top w:val="single" w:color="000000" w:sz="6" w:space="0"/>
              <w:left w:val="single" w:color="000000" w:sz="6" w:space="0"/>
            </w:tcBorders>
            <w:vAlign w:val="center"/>
          </w:tcPr>
          <w:p w14:paraId="06A674A9">
            <w:pPr>
              <w:pStyle w:val="21"/>
              <w:widowControl w:val="0"/>
              <w:kinsoku/>
              <w:wordWrap w:val="0"/>
              <w:topLinePunct/>
              <w:autoSpaceDE/>
              <w:autoSpaceDN/>
              <w:jc w:val="center"/>
              <w:rPr>
                <w:rFonts w:hint="eastAsia"/>
                <w:color w:val="auto"/>
                <w:sz w:val="21"/>
                <w:szCs w:val="21"/>
              </w:rPr>
            </w:pPr>
            <w:r>
              <w:rPr>
                <w:color w:val="auto"/>
                <w:sz w:val="21"/>
                <w:szCs w:val="21"/>
              </w:rPr>
              <w:t>序号</w:t>
            </w:r>
          </w:p>
        </w:tc>
        <w:tc>
          <w:tcPr>
            <w:tcW w:w="5506" w:type="dxa"/>
            <w:tcBorders>
              <w:top w:val="single" w:color="000000" w:sz="6" w:space="0"/>
            </w:tcBorders>
            <w:vAlign w:val="center"/>
          </w:tcPr>
          <w:p w14:paraId="3AD61B10">
            <w:pPr>
              <w:pStyle w:val="21"/>
              <w:widowControl w:val="0"/>
              <w:kinsoku/>
              <w:wordWrap w:val="0"/>
              <w:topLinePunct/>
              <w:autoSpaceDE/>
              <w:autoSpaceDN/>
              <w:jc w:val="center"/>
              <w:rPr>
                <w:rFonts w:hint="eastAsia"/>
                <w:color w:val="auto"/>
                <w:sz w:val="21"/>
                <w:szCs w:val="21"/>
              </w:rPr>
            </w:pPr>
            <w:r>
              <w:rPr>
                <w:color w:val="auto"/>
                <w:sz w:val="21"/>
                <w:szCs w:val="21"/>
              </w:rPr>
              <w:t>工程项目名称</w:t>
            </w:r>
          </w:p>
        </w:tc>
        <w:tc>
          <w:tcPr>
            <w:tcW w:w="2273" w:type="dxa"/>
            <w:tcBorders>
              <w:top w:val="single" w:color="000000" w:sz="6" w:space="0"/>
              <w:right w:val="single" w:color="000000" w:sz="6" w:space="0"/>
            </w:tcBorders>
            <w:vAlign w:val="center"/>
          </w:tcPr>
          <w:p w14:paraId="42D8F9F9">
            <w:pPr>
              <w:pStyle w:val="21"/>
              <w:widowControl w:val="0"/>
              <w:kinsoku/>
              <w:wordWrap w:val="0"/>
              <w:topLinePunct/>
              <w:autoSpaceDE/>
              <w:autoSpaceDN/>
              <w:jc w:val="center"/>
              <w:rPr>
                <w:rFonts w:hint="eastAsia"/>
                <w:color w:val="auto"/>
                <w:sz w:val="21"/>
                <w:szCs w:val="21"/>
              </w:rPr>
            </w:pPr>
            <w:r>
              <w:rPr>
                <w:color w:val="auto"/>
                <w:sz w:val="21"/>
                <w:szCs w:val="21"/>
              </w:rPr>
              <w:t>金额（元）</w:t>
            </w:r>
          </w:p>
        </w:tc>
      </w:tr>
      <w:tr w14:paraId="75530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028" w:type="dxa"/>
            <w:tcBorders>
              <w:left w:val="single" w:color="000000" w:sz="6" w:space="0"/>
            </w:tcBorders>
            <w:vAlign w:val="center"/>
          </w:tcPr>
          <w:p w14:paraId="5FC12F2C">
            <w:pPr>
              <w:widowControl w:val="0"/>
              <w:kinsoku/>
              <w:wordWrap w:val="0"/>
              <w:topLinePunct/>
              <w:autoSpaceDE/>
              <w:autoSpaceDN/>
              <w:jc w:val="center"/>
              <w:rPr>
                <w:color w:val="auto"/>
              </w:rPr>
            </w:pPr>
          </w:p>
        </w:tc>
        <w:tc>
          <w:tcPr>
            <w:tcW w:w="5506" w:type="dxa"/>
            <w:vAlign w:val="center"/>
          </w:tcPr>
          <w:p w14:paraId="113B84E7">
            <w:pPr>
              <w:widowControl w:val="0"/>
              <w:kinsoku/>
              <w:wordWrap w:val="0"/>
              <w:topLinePunct/>
              <w:autoSpaceDE/>
              <w:autoSpaceDN/>
              <w:jc w:val="center"/>
              <w:rPr>
                <w:color w:val="auto"/>
              </w:rPr>
            </w:pPr>
          </w:p>
        </w:tc>
        <w:tc>
          <w:tcPr>
            <w:tcW w:w="2273" w:type="dxa"/>
            <w:tcBorders>
              <w:right w:val="single" w:color="000000" w:sz="6" w:space="0"/>
            </w:tcBorders>
            <w:vAlign w:val="center"/>
          </w:tcPr>
          <w:p w14:paraId="33664432">
            <w:pPr>
              <w:widowControl w:val="0"/>
              <w:kinsoku/>
              <w:wordWrap w:val="0"/>
              <w:topLinePunct/>
              <w:autoSpaceDE/>
              <w:autoSpaceDN/>
              <w:jc w:val="center"/>
              <w:rPr>
                <w:color w:val="auto"/>
              </w:rPr>
            </w:pPr>
          </w:p>
        </w:tc>
      </w:tr>
      <w:tr w14:paraId="45889A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0D50FBED">
            <w:pPr>
              <w:widowControl w:val="0"/>
              <w:kinsoku/>
              <w:wordWrap w:val="0"/>
              <w:topLinePunct/>
              <w:autoSpaceDE/>
              <w:autoSpaceDN/>
              <w:jc w:val="center"/>
              <w:rPr>
                <w:color w:val="auto"/>
              </w:rPr>
            </w:pPr>
          </w:p>
        </w:tc>
        <w:tc>
          <w:tcPr>
            <w:tcW w:w="5506" w:type="dxa"/>
            <w:vAlign w:val="center"/>
          </w:tcPr>
          <w:p w14:paraId="76DD7B67">
            <w:pPr>
              <w:widowControl w:val="0"/>
              <w:kinsoku/>
              <w:wordWrap w:val="0"/>
              <w:topLinePunct/>
              <w:autoSpaceDE/>
              <w:autoSpaceDN/>
              <w:jc w:val="center"/>
              <w:rPr>
                <w:color w:val="auto"/>
              </w:rPr>
            </w:pPr>
          </w:p>
        </w:tc>
        <w:tc>
          <w:tcPr>
            <w:tcW w:w="2273" w:type="dxa"/>
            <w:tcBorders>
              <w:right w:val="single" w:color="000000" w:sz="6" w:space="0"/>
            </w:tcBorders>
            <w:vAlign w:val="center"/>
          </w:tcPr>
          <w:p w14:paraId="29D40320">
            <w:pPr>
              <w:widowControl w:val="0"/>
              <w:kinsoku/>
              <w:wordWrap w:val="0"/>
              <w:topLinePunct/>
              <w:autoSpaceDE/>
              <w:autoSpaceDN/>
              <w:jc w:val="center"/>
              <w:rPr>
                <w:color w:val="auto"/>
              </w:rPr>
            </w:pPr>
          </w:p>
        </w:tc>
      </w:tr>
      <w:tr w14:paraId="41B12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28" w:type="dxa"/>
            <w:tcBorders>
              <w:left w:val="single" w:color="000000" w:sz="6" w:space="0"/>
            </w:tcBorders>
            <w:vAlign w:val="center"/>
          </w:tcPr>
          <w:p w14:paraId="24AB2CD8">
            <w:pPr>
              <w:widowControl w:val="0"/>
              <w:kinsoku/>
              <w:wordWrap w:val="0"/>
              <w:topLinePunct/>
              <w:autoSpaceDE/>
              <w:autoSpaceDN/>
              <w:jc w:val="center"/>
              <w:rPr>
                <w:color w:val="auto"/>
              </w:rPr>
            </w:pPr>
          </w:p>
        </w:tc>
        <w:tc>
          <w:tcPr>
            <w:tcW w:w="5506" w:type="dxa"/>
            <w:vAlign w:val="center"/>
          </w:tcPr>
          <w:p w14:paraId="55E4124A">
            <w:pPr>
              <w:widowControl w:val="0"/>
              <w:kinsoku/>
              <w:wordWrap w:val="0"/>
              <w:topLinePunct/>
              <w:autoSpaceDE/>
              <w:autoSpaceDN/>
              <w:jc w:val="center"/>
              <w:rPr>
                <w:color w:val="auto"/>
              </w:rPr>
            </w:pPr>
          </w:p>
        </w:tc>
        <w:tc>
          <w:tcPr>
            <w:tcW w:w="2273" w:type="dxa"/>
            <w:tcBorders>
              <w:right w:val="single" w:color="000000" w:sz="6" w:space="0"/>
            </w:tcBorders>
            <w:vAlign w:val="center"/>
          </w:tcPr>
          <w:p w14:paraId="299E8716">
            <w:pPr>
              <w:widowControl w:val="0"/>
              <w:kinsoku/>
              <w:wordWrap w:val="0"/>
              <w:topLinePunct/>
              <w:autoSpaceDE/>
              <w:autoSpaceDN/>
              <w:jc w:val="center"/>
              <w:rPr>
                <w:color w:val="auto"/>
              </w:rPr>
            </w:pPr>
          </w:p>
        </w:tc>
      </w:tr>
      <w:tr w14:paraId="53DA8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4446BD16">
            <w:pPr>
              <w:widowControl w:val="0"/>
              <w:kinsoku/>
              <w:wordWrap w:val="0"/>
              <w:topLinePunct/>
              <w:autoSpaceDE/>
              <w:autoSpaceDN/>
              <w:jc w:val="center"/>
              <w:rPr>
                <w:color w:val="auto"/>
              </w:rPr>
            </w:pPr>
          </w:p>
        </w:tc>
        <w:tc>
          <w:tcPr>
            <w:tcW w:w="5506" w:type="dxa"/>
            <w:vAlign w:val="center"/>
          </w:tcPr>
          <w:p w14:paraId="68D0DAAB">
            <w:pPr>
              <w:widowControl w:val="0"/>
              <w:kinsoku/>
              <w:wordWrap w:val="0"/>
              <w:topLinePunct/>
              <w:autoSpaceDE/>
              <w:autoSpaceDN/>
              <w:jc w:val="center"/>
              <w:rPr>
                <w:color w:val="auto"/>
              </w:rPr>
            </w:pPr>
          </w:p>
        </w:tc>
        <w:tc>
          <w:tcPr>
            <w:tcW w:w="2273" w:type="dxa"/>
            <w:tcBorders>
              <w:right w:val="single" w:color="000000" w:sz="6" w:space="0"/>
            </w:tcBorders>
            <w:vAlign w:val="center"/>
          </w:tcPr>
          <w:p w14:paraId="2F61BE9E">
            <w:pPr>
              <w:widowControl w:val="0"/>
              <w:kinsoku/>
              <w:wordWrap w:val="0"/>
              <w:topLinePunct/>
              <w:autoSpaceDE/>
              <w:autoSpaceDN/>
              <w:jc w:val="center"/>
              <w:rPr>
                <w:color w:val="auto"/>
              </w:rPr>
            </w:pPr>
          </w:p>
        </w:tc>
      </w:tr>
      <w:tr w14:paraId="37BBFA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02802DCD">
            <w:pPr>
              <w:widowControl w:val="0"/>
              <w:kinsoku/>
              <w:wordWrap w:val="0"/>
              <w:topLinePunct/>
              <w:autoSpaceDE/>
              <w:autoSpaceDN/>
              <w:jc w:val="center"/>
              <w:rPr>
                <w:color w:val="auto"/>
              </w:rPr>
            </w:pPr>
          </w:p>
        </w:tc>
        <w:tc>
          <w:tcPr>
            <w:tcW w:w="5506" w:type="dxa"/>
            <w:vAlign w:val="center"/>
          </w:tcPr>
          <w:p w14:paraId="0A69C9E6">
            <w:pPr>
              <w:widowControl w:val="0"/>
              <w:kinsoku/>
              <w:wordWrap w:val="0"/>
              <w:topLinePunct/>
              <w:autoSpaceDE/>
              <w:autoSpaceDN/>
              <w:jc w:val="center"/>
              <w:rPr>
                <w:color w:val="auto"/>
              </w:rPr>
            </w:pPr>
          </w:p>
        </w:tc>
        <w:tc>
          <w:tcPr>
            <w:tcW w:w="2273" w:type="dxa"/>
            <w:tcBorders>
              <w:right w:val="single" w:color="000000" w:sz="6" w:space="0"/>
            </w:tcBorders>
            <w:vAlign w:val="center"/>
          </w:tcPr>
          <w:p w14:paraId="1773276B">
            <w:pPr>
              <w:widowControl w:val="0"/>
              <w:kinsoku/>
              <w:wordWrap w:val="0"/>
              <w:topLinePunct/>
              <w:autoSpaceDE/>
              <w:autoSpaceDN/>
              <w:jc w:val="center"/>
              <w:rPr>
                <w:color w:val="auto"/>
              </w:rPr>
            </w:pPr>
          </w:p>
        </w:tc>
      </w:tr>
      <w:tr w14:paraId="7D19B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4183B60D">
            <w:pPr>
              <w:widowControl w:val="0"/>
              <w:kinsoku/>
              <w:wordWrap w:val="0"/>
              <w:topLinePunct/>
              <w:autoSpaceDE/>
              <w:autoSpaceDN/>
              <w:jc w:val="center"/>
              <w:rPr>
                <w:color w:val="auto"/>
              </w:rPr>
            </w:pPr>
          </w:p>
        </w:tc>
        <w:tc>
          <w:tcPr>
            <w:tcW w:w="5506" w:type="dxa"/>
            <w:vAlign w:val="center"/>
          </w:tcPr>
          <w:p w14:paraId="74EBEF94">
            <w:pPr>
              <w:widowControl w:val="0"/>
              <w:kinsoku/>
              <w:wordWrap w:val="0"/>
              <w:topLinePunct/>
              <w:autoSpaceDE/>
              <w:autoSpaceDN/>
              <w:jc w:val="center"/>
              <w:rPr>
                <w:color w:val="auto"/>
              </w:rPr>
            </w:pPr>
          </w:p>
        </w:tc>
        <w:tc>
          <w:tcPr>
            <w:tcW w:w="2273" w:type="dxa"/>
            <w:tcBorders>
              <w:right w:val="single" w:color="000000" w:sz="6" w:space="0"/>
            </w:tcBorders>
            <w:vAlign w:val="center"/>
          </w:tcPr>
          <w:p w14:paraId="1A52FF52">
            <w:pPr>
              <w:widowControl w:val="0"/>
              <w:kinsoku/>
              <w:wordWrap w:val="0"/>
              <w:topLinePunct/>
              <w:autoSpaceDE/>
              <w:autoSpaceDN/>
              <w:jc w:val="center"/>
              <w:rPr>
                <w:color w:val="auto"/>
              </w:rPr>
            </w:pPr>
          </w:p>
        </w:tc>
      </w:tr>
      <w:tr w14:paraId="1F511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5FB52DDE">
            <w:pPr>
              <w:widowControl w:val="0"/>
              <w:kinsoku/>
              <w:wordWrap w:val="0"/>
              <w:topLinePunct/>
              <w:autoSpaceDE/>
              <w:autoSpaceDN/>
              <w:jc w:val="center"/>
              <w:rPr>
                <w:color w:val="auto"/>
              </w:rPr>
            </w:pPr>
          </w:p>
        </w:tc>
        <w:tc>
          <w:tcPr>
            <w:tcW w:w="5506" w:type="dxa"/>
            <w:vAlign w:val="center"/>
          </w:tcPr>
          <w:p w14:paraId="44AD85E0">
            <w:pPr>
              <w:widowControl w:val="0"/>
              <w:kinsoku/>
              <w:wordWrap w:val="0"/>
              <w:topLinePunct/>
              <w:autoSpaceDE/>
              <w:autoSpaceDN/>
              <w:jc w:val="center"/>
              <w:rPr>
                <w:color w:val="auto"/>
              </w:rPr>
            </w:pPr>
          </w:p>
        </w:tc>
        <w:tc>
          <w:tcPr>
            <w:tcW w:w="2273" w:type="dxa"/>
            <w:tcBorders>
              <w:right w:val="single" w:color="000000" w:sz="6" w:space="0"/>
            </w:tcBorders>
            <w:vAlign w:val="center"/>
          </w:tcPr>
          <w:p w14:paraId="4FF5AF40">
            <w:pPr>
              <w:widowControl w:val="0"/>
              <w:kinsoku/>
              <w:wordWrap w:val="0"/>
              <w:topLinePunct/>
              <w:autoSpaceDE/>
              <w:autoSpaceDN/>
              <w:jc w:val="center"/>
              <w:rPr>
                <w:color w:val="auto"/>
              </w:rPr>
            </w:pPr>
          </w:p>
        </w:tc>
      </w:tr>
      <w:tr w14:paraId="515A6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042D5FFA">
            <w:pPr>
              <w:widowControl w:val="0"/>
              <w:kinsoku/>
              <w:wordWrap w:val="0"/>
              <w:topLinePunct/>
              <w:autoSpaceDE/>
              <w:autoSpaceDN/>
              <w:jc w:val="center"/>
              <w:rPr>
                <w:color w:val="auto"/>
              </w:rPr>
            </w:pPr>
          </w:p>
        </w:tc>
        <w:tc>
          <w:tcPr>
            <w:tcW w:w="5506" w:type="dxa"/>
            <w:vAlign w:val="center"/>
          </w:tcPr>
          <w:p w14:paraId="5BC7AD98">
            <w:pPr>
              <w:widowControl w:val="0"/>
              <w:kinsoku/>
              <w:wordWrap w:val="0"/>
              <w:topLinePunct/>
              <w:autoSpaceDE/>
              <w:autoSpaceDN/>
              <w:jc w:val="center"/>
              <w:rPr>
                <w:color w:val="auto"/>
              </w:rPr>
            </w:pPr>
          </w:p>
        </w:tc>
        <w:tc>
          <w:tcPr>
            <w:tcW w:w="2273" w:type="dxa"/>
            <w:tcBorders>
              <w:right w:val="single" w:color="000000" w:sz="6" w:space="0"/>
            </w:tcBorders>
            <w:vAlign w:val="center"/>
          </w:tcPr>
          <w:p w14:paraId="165B8DC4">
            <w:pPr>
              <w:widowControl w:val="0"/>
              <w:kinsoku/>
              <w:wordWrap w:val="0"/>
              <w:topLinePunct/>
              <w:autoSpaceDE/>
              <w:autoSpaceDN/>
              <w:jc w:val="center"/>
              <w:rPr>
                <w:color w:val="auto"/>
              </w:rPr>
            </w:pPr>
          </w:p>
        </w:tc>
      </w:tr>
      <w:tr w14:paraId="63EFB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28" w:type="dxa"/>
            <w:tcBorders>
              <w:left w:val="single" w:color="000000" w:sz="6" w:space="0"/>
            </w:tcBorders>
            <w:vAlign w:val="center"/>
          </w:tcPr>
          <w:p w14:paraId="134C3EE6">
            <w:pPr>
              <w:widowControl w:val="0"/>
              <w:kinsoku/>
              <w:wordWrap w:val="0"/>
              <w:topLinePunct/>
              <w:autoSpaceDE/>
              <w:autoSpaceDN/>
              <w:jc w:val="center"/>
              <w:rPr>
                <w:color w:val="auto"/>
              </w:rPr>
            </w:pPr>
          </w:p>
        </w:tc>
        <w:tc>
          <w:tcPr>
            <w:tcW w:w="5506" w:type="dxa"/>
            <w:vAlign w:val="center"/>
          </w:tcPr>
          <w:p w14:paraId="6F15BB38">
            <w:pPr>
              <w:widowControl w:val="0"/>
              <w:kinsoku/>
              <w:wordWrap w:val="0"/>
              <w:topLinePunct/>
              <w:autoSpaceDE/>
              <w:autoSpaceDN/>
              <w:jc w:val="center"/>
              <w:rPr>
                <w:color w:val="auto"/>
              </w:rPr>
            </w:pPr>
          </w:p>
        </w:tc>
        <w:tc>
          <w:tcPr>
            <w:tcW w:w="2273" w:type="dxa"/>
            <w:tcBorders>
              <w:right w:val="single" w:color="000000" w:sz="6" w:space="0"/>
            </w:tcBorders>
            <w:vAlign w:val="center"/>
          </w:tcPr>
          <w:p w14:paraId="2FBC3FFE">
            <w:pPr>
              <w:widowControl w:val="0"/>
              <w:kinsoku/>
              <w:wordWrap w:val="0"/>
              <w:topLinePunct/>
              <w:autoSpaceDE/>
              <w:autoSpaceDN/>
              <w:jc w:val="center"/>
              <w:rPr>
                <w:color w:val="auto"/>
              </w:rPr>
            </w:pPr>
          </w:p>
        </w:tc>
      </w:tr>
      <w:tr w14:paraId="6E3A7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7E104C12">
            <w:pPr>
              <w:widowControl w:val="0"/>
              <w:kinsoku/>
              <w:wordWrap w:val="0"/>
              <w:topLinePunct/>
              <w:autoSpaceDE/>
              <w:autoSpaceDN/>
              <w:jc w:val="center"/>
              <w:rPr>
                <w:color w:val="auto"/>
              </w:rPr>
            </w:pPr>
          </w:p>
        </w:tc>
        <w:tc>
          <w:tcPr>
            <w:tcW w:w="5506" w:type="dxa"/>
            <w:vAlign w:val="center"/>
          </w:tcPr>
          <w:p w14:paraId="52434C31">
            <w:pPr>
              <w:widowControl w:val="0"/>
              <w:kinsoku/>
              <w:wordWrap w:val="0"/>
              <w:topLinePunct/>
              <w:autoSpaceDE/>
              <w:autoSpaceDN/>
              <w:jc w:val="center"/>
              <w:rPr>
                <w:color w:val="auto"/>
              </w:rPr>
            </w:pPr>
          </w:p>
        </w:tc>
        <w:tc>
          <w:tcPr>
            <w:tcW w:w="2273" w:type="dxa"/>
            <w:tcBorders>
              <w:right w:val="single" w:color="000000" w:sz="6" w:space="0"/>
            </w:tcBorders>
            <w:vAlign w:val="center"/>
          </w:tcPr>
          <w:p w14:paraId="7ACEE52A">
            <w:pPr>
              <w:widowControl w:val="0"/>
              <w:kinsoku/>
              <w:wordWrap w:val="0"/>
              <w:topLinePunct/>
              <w:autoSpaceDE/>
              <w:autoSpaceDN/>
              <w:jc w:val="center"/>
              <w:rPr>
                <w:color w:val="auto"/>
              </w:rPr>
            </w:pPr>
          </w:p>
        </w:tc>
      </w:tr>
      <w:tr w14:paraId="13014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53BFF84F">
            <w:pPr>
              <w:widowControl w:val="0"/>
              <w:kinsoku/>
              <w:wordWrap w:val="0"/>
              <w:topLinePunct/>
              <w:autoSpaceDE/>
              <w:autoSpaceDN/>
              <w:jc w:val="center"/>
              <w:rPr>
                <w:color w:val="auto"/>
              </w:rPr>
            </w:pPr>
          </w:p>
        </w:tc>
        <w:tc>
          <w:tcPr>
            <w:tcW w:w="5506" w:type="dxa"/>
            <w:vAlign w:val="center"/>
          </w:tcPr>
          <w:p w14:paraId="06A5BF8D">
            <w:pPr>
              <w:widowControl w:val="0"/>
              <w:kinsoku/>
              <w:wordWrap w:val="0"/>
              <w:topLinePunct/>
              <w:autoSpaceDE/>
              <w:autoSpaceDN/>
              <w:jc w:val="center"/>
              <w:rPr>
                <w:color w:val="auto"/>
              </w:rPr>
            </w:pPr>
          </w:p>
        </w:tc>
        <w:tc>
          <w:tcPr>
            <w:tcW w:w="2273" w:type="dxa"/>
            <w:tcBorders>
              <w:right w:val="single" w:color="000000" w:sz="6" w:space="0"/>
            </w:tcBorders>
            <w:vAlign w:val="center"/>
          </w:tcPr>
          <w:p w14:paraId="1FB23753">
            <w:pPr>
              <w:widowControl w:val="0"/>
              <w:kinsoku/>
              <w:wordWrap w:val="0"/>
              <w:topLinePunct/>
              <w:autoSpaceDE/>
              <w:autoSpaceDN/>
              <w:jc w:val="center"/>
              <w:rPr>
                <w:color w:val="auto"/>
              </w:rPr>
            </w:pPr>
          </w:p>
        </w:tc>
      </w:tr>
      <w:tr w14:paraId="7AEBA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320E5DF7">
            <w:pPr>
              <w:widowControl w:val="0"/>
              <w:kinsoku/>
              <w:wordWrap w:val="0"/>
              <w:topLinePunct/>
              <w:autoSpaceDE/>
              <w:autoSpaceDN/>
              <w:jc w:val="center"/>
              <w:rPr>
                <w:color w:val="auto"/>
              </w:rPr>
            </w:pPr>
          </w:p>
        </w:tc>
        <w:tc>
          <w:tcPr>
            <w:tcW w:w="5506" w:type="dxa"/>
            <w:vAlign w:val="center"/>
          </w:tcPr>
          <w:p w14:paraId="6C379914">
            <w:pPr>
              <w:widowControl w:val="0"/>
              <w:kinsoku/>
              <w:wordWrap w:val="0"/>
              <w:topLinePunct/>
              <w:autoSpaceDE/>
              <w:autoSpaceDN/>
              <w:jc w:val="center"/>
              <w:rPr>
                <w:color w:val="auto"/>
              </w:rPr>
            </w:pPr>
          </w:p>
        </w:tc>
        <w:tc>
          <w:tcPr>
            <w:tcW w:w="2273" w:type="dxa"/>
            <w:tcBorders>
              <w:right w:val="single" w:color="000000" w:sz="6" w:space="0"/>
            </w:tcBorders>
            <w:vAlign w:val="center"/>
          </w:tcPr>
          <w:p w14:paraId="2BF897FE">
            <w:pPr>
              <w:widowControl w:val="0"/>
              <w:kinsoku/>
              <w:wordWrap w:val="0"/>
              <w:topLinePunct/>
              <w:autoSpaceDE/>
              <w:autoSpaceDN/>
              <w:jc w:val="center"/>
              <w:rPr>
                <w:color w:val="auto"/>
              </w:rPr>
            </w:pPr>
          </w:p>
        </w:tc>
      </w:tr>
      <w:tr w14:paraId="35AA53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3E18E7B2">
            <w:pPr>
              <w:widowControl w:val="0"/>
              <w:kinsoku/>
              <w:wordWrap w:val="0"/>
              <w:topLinePunct/>
              <w:autoSpaceDE/>
              <w:autoSpaceDN/>
              <w:jc w:val="center"/>
              <w:rPr>
                <w:color w:val="auto"/>
              </w:rPr>
            </w:pPr>
          </w:p>
        </w:tc>
        <w:tc>
          <w:tcPr>
            <w:tcW w:w="5506" w:type="dxa"/>
            <w:vAlign w:val="center"/>
          </w:tcPr>
          <w:p w14:paraId="5C7D6F67">
            <w:pPr>
              <w:widowControl w:val="0"/>
              <w:kinsoku/>
              <w:wordWrap w:val="0"/>
              <w:topLinePunct/>
              <w:autoSpaceDE/>
              <w:autoSpaceDN/>
              <w:jc w:val="center"/>
              <w:rPr>
                <w:color w:val="auto"/>
              </w:rPr>
            </w:pPr>
          </w:p>
        </w:tc>
        <w:tc>
          <w:tcPr>
            <w:tcW w:w="2273" w:type="dxa"/>
            <w:tcBorders>
              <w:right w:val="single" w:color="000000" w:sz="6" w:space="0"/>
            </w:tcBorders>
            <w:vAlign w:val="center"/>
          </w:tcPr>
          <w:p w14:paraId="5327B728">
            <w:pPr>
              <w:widowControl w:val="0"/>
              <w:kinsoku/>
              <w:wordWrap w:val="0"/>
              <w:topLinePunct/>
              <w:autoSpaceDE/>
              <w:autoSpaceDN/>
              <w:jc w:val="center"/>
              <w:rPr>
                <w:color w:val="auto"/>
              </w:rPr>
            </w:pPr>
          </w:p>
        </w:tc>
      </w:tr>
      <w:tr w14:paraId="6E0BE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62477571">
            <w:pPr>
              <w:widowControl w:val="0"/>
              <w:kinsoku/>
              <w:wordWrap w:val="0"/>
              <w:topLinePunct/>
              <w:autoSpaceDE/>
              <w:autoSpaceDN/>
              <w:jc w:val="center"/>
              <w:rPr>
                <w:color w:val="auto"/>
              </w:rPr>
            </w:pPr>
          </w:p>
        </w:tc>
        <w:tc>
          <w:tcPr>
            <w:tcW w:w="5506" w:type="dxa"/>
            <w:vAlign w:val="center"/>
          </w:tcPr>
          <w:p w14:paraId="6A7151AE">
            <w:pPr>
              <w:widowControl w:val="0"/>
              <w:kinsoku/>
              <w:wordWrap w:val="0"/>
              <w:topLinePunct/>
              <w:autoSpaceDE/>
              <w:autoSpaceDN/>
              <w:jc w:val="center"/>
              <w:rPr>
                <w:color w:val="auto"/>
              </w:rPr>
            </w:pPr>
          </w:p>
        </w:tc>
        <w:tc>
          <w:tcPr>
            <w:tcW w:w="2273" w:type="dxa"/>
            <w:tcBorders>
              <w:right w:val="single" w:color="000000" w:sz="6" w:space="0"/>
            </w:tcBorders>
            <w:vAlign w:val="center"/>
          </w:tcPr>
          <w:p w14:paraId="1857740E">
            <w:pPr>
              <w:widowControl w:val="0"/>
              <w:kinsoku/>
              <w:wordWrap w:val="0"/>
              <w:topLinePunct/>
              <w:autoSpaceDE/>
              <w:autoSpaceDN/>
              <w:jc w:val="center"/>
              <w:rPr>
                <w:color w:val="auto"/>
              </w:rPr>
            </w:pPr>
          </w:p>
        </w:tc>
      </w:tr>
      <w:tr w14:paraId="30CE8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28" w:type="dxa"/>
            <w:tcBorders>
              <w:left w:val="single" w:color="000000" w:sz="6" w:space="0"/>
            </w:tcBorders>
            <w:vAlign w:val="center"/>
          </w:tcPr>
          <w:p w14:paraId="5A0A6224">
            <w:pPr>
              <w:widowControl w:val="0"/>
              <w:kinsoku/>
              <w:wordWrap w:val="0"/>
              <w:topLinePunct/>
              <w:autoSpaceDE/>
              <w:autoSpaceDN/>
              <w:jc w:val="center"/>
              <w:rPr>
                <w:color w:val="auto"/>
              </w:rPr>
            </w:pPr>
          </w:p>
        </w:tc>
        <w:tc>
          <w:tcPr>
            <w:tcW w:w="5506" w:type="dxa"/>
            <w:vAlign w:val="center"/>
          </w:tcPr>
          <w:p w14:paraId="5B63DC36">
            <w:pPr>
              <w:widowControl w:val="0"/>
              <w:kinsoku/>
              <w:wordWrap w:val="0"/>
              <w:topLinePunct/>
              <w:autoSpaceDE/>
              <w:autoSpaceDN/>
              <w:jc w:val="center"/>
              <w:rPr>
                <w:color w:val="auto"/>
              </w:rPr>
            </w:pPr>
          </w:p>
        </w:tc>
        <w:tc>
          <w:tcPr>
            <w:tcW w:w="2273" w:type="dxa"/>
            <w:tcBorders>
              <w:right w:val="single" w:color="000000" w:sz="6" w:space="0"/>
            </w:tcBorders>
            <w:vAlign w:val="center"/>
          </w:tcPr>
          <w:p w14:paraId="2103FB5B">
            <w:pPr>
              <w:widowControl w:val="0"/>
              <w:kinsoku/>
              <w:wordWrap w:val="0"/>
              <w:topLinePunct/>
              <w:autoSpaceDE/>
              <w:autoSpaceDN/>
              <w:jc w:val="center"/>
              <w:rPr>
                <w:color w:val="auto"/>
              </w:rPr>
            </w:pPr>
          </w:p>
        </w:tc>
      </w:tr>
      <w:tr w14:paraId="567D0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7F66D91C">
            <w:pPr>
              <w:widowControl w:val="0"/>
              <w:kinsoku/>
              <w:wordWrap w:val="0"/>
              <w:topLinePunct/>
              <w:autoSpaceDE/>
              <w:autoSpaceDN/>
              <w:jc w:val="center"/>
              <w:rPr>
                <w:color w:val="auto"/>
              </w:rPr>
            </w:pPr>
          </w:p>
        </w:tc>
        <w:tc>
          <w:tcPr>
            <w:tcW w:w="5506" w:type="dxa"/>
            <w:vAlign w:val="center"/>
          </w:tcPr>
          <w:p w14:paraId="27A3F7CA">
            <w:pPr>
              <w:widowControl w:val="0"/>
              <w:kinsoku/>
              <w:wordWrap w:val="0"/>
              <w:topLinePunct/>
              <w:autoSpaceDE/>
              <w:autoSpaceDN/>
              <w:jc w:val="center"/>
              <w:rPr>
                <w:color w:val="auto"/>
              </w:rPr>
            </w:pPr>
          </w:p>
        </w:tc>
        <w:tc>
          <w:tcPr>
            <w:tcW w:w="2273" w:type="dxa"/>
            <w:tcBorders>
              <w:right w:val="single" w:color="000000" w:sz="6" w:space="0"/>
            </w:tcBorders>
            <w:vAlign w:val="center"/>
          </w:tcPr>
          <w:p w14:paraId="5865DA85">
            <w:pPr>
              <w:widowControl w:val="0"/>
              <w:kinsoku/>
              <w:wordWrap w:val="0"/>
              <w:topLinePunct/>
              <w:autoSpaceDE/>
              <w:autoSpaceDN/>
              <w:jc w:val="center"/>
              <w:rPr>
                <w:color w:val="auto"/>
              </w:rPr>
            </w:pPr>
          </w:p>
        </w:tc>
      </w:tr>
      <w:tr w14:paraId="6D3FE3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1689A031">
            <w:pPr>
              <w:widowControl w:val="0"/>
              <w:kinsoku/>
              <w:wordWrap w:val="0"/>
              <w:topLinePunct/>
              <w:autoSpaceDE/>
              <w:autoSpaceDN/>
              <w:jc w:val="center"/>
              <w:rPr>
                <w:color w:val="auto"/>
              </w:rPr>
            </w:pPr>
          </w:p>
        </w:tc>
        <w:tc>
          <w:tcPr>
            <w:tcW w:w="5506" w:type="dxa"/>
            <w:vAlign w:val="center"/>
          </w:tcPr>
          <w:p w14:paraId="38D34786">
            <w:pPr>
              <w:widowControl w:val="0"/>
              <w:kinsoku/>
              <w:wordWrap w:val="0"/>
              <w:topLinePunct/>
              <w:autoSpaceDE/>
              <w:autoSpaceDN/>
              <w:jc w:val="center"/>
              <w:rPr>
                <w:color w:val="auto"/>
              </w:rPr>
            </w:pPr>
          </w:p>
        </w:tc>
        <w:tc>
          <w:tcPr>
            <w:tcW w:w="2273" w:type="dxa"/>
            <w:tcBorders>
              <w:right w:val="single" w:color="000000" w:sz="6" w:space="0"/>
            </w:tcBorders>
            <w:vAlign w:val="center"/>
          </w:tcPr>
          <w:p w14:paraId="1C6BC3B6">
            <w:pPr>
              <w:widowControl w:val="0"/>
              <w:kinsoku/>
              <w:wordWrap w:val="0"/>
              <w:topLinePunct/>
              <w:autoSpaceDE/>
              <w:autoSpaceDN/>
              <w:jc w:val="center"/>
              <w:rPr>
                <w:color w:val="auto"/>
              </w:rPr>
            </w:pPr>
          </w:p>
        </w:tc>
      </w:tr>
      <w:tr w14:paraId="0B545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4703A86E">
            <w:pPr>
              <w:widowControl w:val="0"/>
              <w:kinsoku/>
              <w:wordWrap w:val="0"/>
              <w:topLinePunct/>
              <w:autoSpaceDE/>
              <w:autoSpaceDN/>
              <w:jc w:val="center"/>
              <w:rPr>
                <w:color w:val="auto"/>
              </w:rPr>
            </w:pPr>
          </w:p>
        </w:tc>
        <w:tc>
          <w:tcPr>
            <w:tcW w:w="5506" w:type="dxa"/>
            <w:vAlign w:val="center"/>
          </w:tcPr>
          <w:p w14:paraId="72615ED9">
            <w:pPr>
              <w:widowControl w:val="0"/>
              <w:kinsoku/>
              <w:wordWrap w:val="0"/>
              <w:topLinePunct/>
              <w:autoSpaceDE/>
              <w:autoSpaceDN/>
              <w:jc w:val="center"/>
              <w:rPr>
                <w:color w:val="auto"/>
              </w:rPr>
            </w:pPr>
          </w:p>
        </w:tc>
        <w:tc>
          <w:tcPr>
            <w:tcW w:w="2273" w:type="dxa"/>
            <w:tcBorders>
              <w:right w:val="single" w:color="000000" w:sz="6" w:space="0"/>
            </w:tcBorders>
            <w:vAlign w:val="center"/>
          </w:tcPr>
          <w:p w14:paraId="1C809156">
            <w:pPr>
              <w:widowControl w:val="0"/>
              <w:kinsoku/>
              <w:wordWrap w:val="0"/>
              <w:topLinePunct/>
              <w:autoSpaceDE/>
              <w:autoSpaceDN/>
              <w:jc w:val="center"/>
              <w:rPr>
                <w:color w:val="auto"/>
              </w:rPr>
            </w:pPr>
          </w:p>
        </w:tc>
      </w:tr>
      <w:tr w14:paraId="462F4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center"/>
          </w:tcPr>
          <w:p w14:paraId="3D7F9B71">
            <w:pPr>
              <w:widowControl w:val="0"/>
              <w:kinsoku/>
              <w:wordWrap w:val="0"/>
              <w:topLinePunct/>
              <w:autoSpaceDE/>
              <w:autoSpaceDN/>
              <w:jc w:val="center"/>
              <w:rPr>
                <w:color w:val="auto"/>
              </w:rPr>
            </w:pPr>
          </w:p>
        </w:tc>
        <w:tc>
          <w:tcPr>
            <w:tcW w:w="5506" w:type="dxa"/>
            <w:vAlign w:val="center"/>
          </w:tcPr>
          <w:p w14:paraId="637B253A">
            <w:pPr>
              <w:widowControl w:val="0"/>
              <w:kinsoku/>
              <w:wordWrap w:val="0"/>
              <w:topLinePunct/>
              <w:autoSpaceDE/>
              <w:autoSpaceDN/>
              <w:jc w:val="center"/>
              <w:rPr>
                <w:color w:val="auto"/>
              </w:rPr>
            </w:pPr>
          </w:p>
        </w:tc>
        <w:tc>
          <w:tcPr>
            <w:tcW w:w="2273" w:type="dxa"/>
            <w:tcBorders>
              <w:right w:val="single" w:color="000000" w:sz="6" w:space="0"/>
            </w:tcBorders>
            <w:vAlign w:val="center"/>
          </w:tcPr>
          <w:p w14:paraId="0650007C">
            <w:pPr>
              <w:widowControl w:val="0"/>
              <w:kinsoku/>
              <w:wordWrap w:val="0"/>
              <w:topLinePunct/>
              <w:autoSpaceDE/>
              <w:autoSpaceDN/>
              <w:jc w:val="center"/>
              <w:rPr>
                <w:color w:val="auto"/>
              </w:rPr>
            </w:pPr>
          </w:p>
        </w:tc>
      </w:tr>
      <w:tr w14:paraId="53EF08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6534" w:type="dxa"/>
            <w:gridSpan w:val="2"/>
            <w:tcBorders>
              <w:left w:val="single" w:color="000000" w:sz="6" w:space="0"/>
              <w:bottom w:val="single" w:color="000000" w:sz="6" w:space="0"/>
            </w:tcBorders>
            <w:vAlign w:val="center"/>
          </w:tcPr>
          <w:p w14:paraId="1E3A9726">
            <w:pPr>
              <w:pStyle w:val="21"/>
              <w:widowControl w:val="0"/>
              <w:kinsoku/>
              <w:wordWrap w:val="0"/>
              <w:topLinePunct/>
              <w:autoSpaceDE/>
              <w:autoSpaceDN/>
              <w:jc w:val="center"/>
              <w:rPr>
                <w:rFonts w:hint="eastAsia"/>
                <w:color w:val="auto"/>
                <w:sz w:val="21"/>
                <w:szCs w:val="21"/>
              </w:rPr>
            </w:pPr>
            <w:r>
              <w:rPr>
                <w:b/>
                <w:bCs/>
                <w:color w:val="auto"/>
                <w:sz w:val="21"/>
                <w:szCs w:val="21"/>
              </w:rPr>
              <w:t>合</w:t>
            </w:r>
            <w:r>
              <w:rPr>
                <w:rFonts w:hint="eastAsia"/>
                <w:color w:val="auto"/>
                <w:sz w:val="21"/>
                <w:szCs w:val="21"/>
                <w:lang w:eastAsia="zh-CN"/>
              </w:rPr>
              <w:t>　</w:t>
            </w:r>
            <w:r>
              <w:rPr>
                <w:b/>
                <w:bCs/>
                <w:color w:val="auto"/>
                <w:sz w:val="21"/>
                <w:szCs w:val="21"/>
              </w:rPr>
              <w:t>计</w:t>
            </w:r>
          </w:p>
        </w:tc>
        <w:tc>
          <w:tcPr>
            <w:tcW w:w="2273" w:type="dxa"/>
            <w:tcBorders>
              <w:bottom w:val="single" w:color="000000" w:sz="6" w:space="0"/>
              <w:right w:val="single" w:color="000000" w:sz="6" w:space="0"/>
            </w:tcBorders>
            <w:vAlign w:val="center"/>
          </w:tcPr>
          <w:p w14:paraId="48C54B85">
            <w:pPr>
              <w:widowControl w:val="0"/>
              <w:kinsoku/>
              <w:wordWrap w:val="0"/>
              <w:topLinePunct/>
              <w:autoSpaceDE/>
              <w:autoSpaceDN/>
              <w:jc w:val="center"/>
              <w:rPr>
                <w:color w:val="auto"/>
              </w:rPr>
            </w:pPr>
          </w:p>
        </w:tc>
      </w:tr>
    </w:tbl>
    <w:p w14:paraId="14233902">
      <w:pPr>
        <w:pStyle w:val="8"/>
        <w:rPr>
          <w:color w:val="auto"/>
        </w:rPr>
      </w:pPr>
    </w:p>
    <w:p w14:paraId="264EBB6C">
      <w:pPr>
        <w:rPr>
          <w:color w:val="auto"/>
        </w:rPr>
        <w:sectPr>
          <w:footerReference r:id="rId7" w:type="default"/>
          <w:pgSz w:w="11907" w:h="16841"/>
          <w:pgMar w:top="1417" w:right="1361" w:bottom="1134" w:left="1474" w:header="1134" w:footer="1134" w:gutter="0"/>
          <w:pgNumType w:fmt="numberInDash"/>
          <w:cols w:space="0" w:num="1"/>
        </w:sectPr>
      </w:pPr>
    </w:p>
    <w:p w14:paraId="3578F2D4">
      <w:pPr>
        <w:spacing w:line="360" w:lineRule="auto"/>
        <w:jc w:val="center"/>
        <w:rPr>
          <w:rFonts w:hint="eastAsia" w:ascii="宋体" w:hAnsi="宋体" w:eastAsia="宋体" w:cs="宋体"/>
          <w:b/>
          <w:bCs/>
          <w:color w:val="auto"/>
          <w:sz w:val="28"/>
          <w:szCs w:val="28"/>
          <w:lang w:eastAsia="zh-CN"/>
        </w:rPr>
      </w:pPr>
      <w:r>
        <w:rPr>
          <w:rFonts w:ascii="宋体" w:hAnsi="宋体" w:eastAsia="宋体" w:cs="宋体"/>
          <w:b/>
          <w:bCs/>
          <w:color w:val="auto"/>
          <w:sz w:val="28"/>
          <w:szCs w:val="28"/>
          <w:lang w:eastAsia="zh-CN"/>
        </w:rPr>
        <w:t>建筑工程分类分项工程量清单</w:t>
      </w:r>
    </w:p>
    <w:p w14:paraId="7C088BA0">
      <w:pPr>
        <w:widowControl w:val="0"/>
        <w:kinsoku/>
        <w:wordWrap w:val="0"/>
        <w:topLinePunct/>
        <w:autoSpaceDE/>
        <w:autoSpaceDN/>
        <w:spacing w:line="360" w:lineRule="auto"/>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tbl>
      <w:tblPr>
        <w:tblStyle w:val="20"/>
        <w:tblW w:w="1414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2"/>
        <w:gridCol w:w="1987"/>
        <w:gridCol w:w="2831"/>
        <w:gridCol w:w="2266"/>
        <w:gridCol w:w="990"/>
        <w:gridCol w:w="993"/>
        <w:gridCol w:w="990"/>
        <w:gridCol w:w="993"/>
        <w:gridCol w:w="1273"/>
        <w:gridCol w:w="1002"/>
      </w:tblGrid>
      <w:tr w14:paraId="5DF8D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22" w:type="dxa"/>
            <w:tcBorders>
              <w:top w:val="single" w:color="000000" w:sz="6" w:space="0"/>
              <w:left w:val="single" w:color="000000" w:sz="6" w:space="0"/>
            </w:tcBorders>
            <w:vAlign w:val="center"/>
          </w:tcPr>
          <w:p w14:paraId="6EE16671">
            <w:pPr>
              <w:pStyle w:val="21"/>
              <w:jc w:val="center"/>
              <w:rPr>
                <w:rFonts w:hint="eastAsia"/>
                <w:color w:val="auto"/>
                <w:sz w:val="21"/>
                <w:szCs w:val="21"/>
              </w:rPr>
            </w:pPr>
            <w:r>
              <w:rPr>
                <w:color w:val="auto"/>
                <w:sz w:val="21"/>
                <w:szCs w:val="21"/>
              </w:rPr>
              <w:t>序号</w:t>
            </w:r>
          </w:p>
        </w:tc>
        <w:tc>
          <w:tcPr>
            <w:tcW w:w="1987" w:type="dxa"/>
            <w:tcBorders>
              <w:top w:val="single" w:color="000000" w:sz="6" w:space="0"/>
            </w:tcBorders>
            <w:vAlign w:val="center"/>
          </w:tcPr>
          <w:p w14:paraId="5823FDDA">
            <w:pPr>
              <w:pStyle w:val="21"/>
              <w:jc w:val="center"/>
              <w:rPr>
                <w:rFonts w:hint="eastAsia"/>
                <w:color w:val="auto"/>
                <w:sz w:val="21"/>
                <w:szCs w:val="21"/>
              </w:rPr>
            </w:pPr>
            <w:r>
              <w:rPr>
                <w:color w:val="auto"/>
                <w:sz w:val="21"/>
                <w:szCs w:val="21"/>
              </w:rPr>
              <w:t>项目编码</w:t>
            </w:r>
          </w:p>
        </w:tc>
        <w:tc>
          <w:tcPr>
            <w:tcW w:w="2831" w:type="dxa"/>
            <w:tcBorders>
              <w:top w:val="single" w:color="000000" w:sz="6" w:space="0"/>
            </w:tcBorders>
            <w:vAlign w:val="center"/>
          </w:tcPr>
          <w:p w14:paraId="77CE7753">
            <w:pPr>
              <w:pStyle w:val="21"/>
              <w:jc w:val="center"/>
              <w:rPr>
                <w:rFonts w:hint="eastAsia"/>
                <w:color w:val="auto"/>
                <w:sz w:val="21"/>
                <w:szCs w:val="21"/>
              </w:rPr>
            </w:pPr>
            <w:r>
              <w:rPr>
                <w:color w:val="auto"/>
                <w:sz w:val="21"/>
                <w:szCs w:val="21"/>
              </w:rPr>
              <w:t>项目名称</w:t>
            </w:r>
          </w:p>
        </w:tc>
        <w:tc>
          <w:tcPr>
            <w:tcW w:w="2266" w:type="dxa"/>
            <w:tcBorders>
              <w:top w:val="single" w:color="000000" w:sz="6" w:space="0"/>
            </w:tcBorders>
            <w:vAlign w:val="center"/>
          </w:tcPr>
          <w:p w14:paraId="46C490E8">
            <w:pPr>
              <w:pStyle w:val="21"/>
              <w:jc w:val="center"/>
              <w:rPr>
                <w:rFonts w:hint="eastAsia"/>
                <w:color w:val="auto"/>
                <w:sz w:val="21"/>
                <w:szCs w:val="21"/>
              </w:rPr>
            </w:pPr>
            <w:r>
              <w:rPr>
                <w:color w:val="auto"/>
                <w:sz w:val="21"/>
                <w:szCs w:val="21"/>
              </w:rPr>
              <w:t>项目主要特征</w:t>
            </w:r>
          </w:p>
        </w:tc>
        <w:tc>
          <w:tcPr>
            <w:tcW w:w="990" w:type="dxa"/>
            <w:tcBorders>
              <w:top w:val="single" w:color="000000" w:sz="6" w:space="0"/>
            </w:tcBorders>
            <w:vAlign w:val="center"/>
          </w:tcPr>
          <w:p w14:paraId="7DF7E187">
            <w:pPr>
              <w:pStyle w:val="21"/>
              <w:jc w:val="center"/>
              <w:rPr>
                <w:rFonts w:hint="eastAsia"/>
                <w:color w:val="auto"/>
                <w:sz w:val="21"/>
                <w:szCs w:val="21"/>
              </w:rPr>
            </w:pPr>
            <w:r>
              <w:rPr>
                <w:color w:val="auto"/>
                <w:sz w:val="21"/>
                <w:szCs w:val="21"/>
              </w:rPr>
              <w:t>计量</w:t>
            </w:r>
          </w:p>
          <w:p w14:paraId="299402A9">
            <w:pPr>
              <w:pStyle w:val="21"/>
              <w:jc w:val="center"/>
              <w:rPr>
                <w:rFonts w:hint="eastAsia"/>
                <w:color w:val="auto"/>
                <w:sz w:val="21"/>
                <w:szCs w:val="21"/>
              </w:rPr>
            </w:pPr>
            <w:r>
              <w:rPr>
                <w:color w:val="auto"/>
                <w:sz w:val="21"/>
                <w:szCs w:val="21"/>
              </w:rPr>
              <w:t>单位</w:t>
            </w:r>
          </w:p>
        </w:tc>
        <w:tc>
          <w:tcPr>
            <w:tcW w:w="993" w:type="dxa"/>
            <w:tcBorders>
              <w:top w:val="single" w:color="000000" w:sz="6" w:space="0"/>
            </w:tcBorders>
            <w:vAlign w:val="center"/>
          </w:tcPr>
          <w:p w14:paraId="2E36E8BC">
            <w:pPr>
              <w:pStyle w:val="21"/>
              <w:jc w:val="center"/>
              <w:rPr>
                <w:rFonts w:hint="eastAsia"/>
                <w:color w:val="auto"/>
                <w:sz w:val="21"/>
                <w:szCs w:val="21"/>
              </w:rPr>
            </w:pPr>
            <w:r>
              <w:rPr>
                <w:color w:val="auto"/>
                <w:sz w:val="21"/>
                <w:szCs w:val="21"/>
              </w:rPr>
              <w:t>工程</w:t>
            </w:r>
          </w:p>
          <w:p w14:paraId="0B8B37E3">
            <w:pPr>
              <w:pStyle w:val="21"/>
              <w:jc w:val="center"/>
              <w:rPr>
                <w:rFonts w:hint="eastAsia"/>
                <w:color w:val="auto"/>
                <w:sz w:val="21"/>
                <w:szCs w:val="21"/>
              </w:rPr>
            </w:pPr>
            <w:r>
              <w:rPr>
                <w:color w:val="auto"/>
                <w:sz w:val="21"/>
                <w:szCs w:val="21"/>
              </w:rPr>
              <w:t>数量</w:t>
            </w:r>
          </w:p>
        </w:tc>
        <w:tc>
          <w:tcPr>
            <w:tcW w:w="990" w:type="dxa"/>
            <w:tcBorders>
              <w:top w:val="single" w:color="000000" w:sz="6" w:space="0"/>
            </w:tcBorders>
            <w:vAlign w:val="center"/>
          </w:tcPr>
          <w:p w14:paraId="76EBACCB">
            <w:pPr>
              <w:pStyle w:val="21"/>
              <w:jc w:val="center"/>
              <w:rPr>
                <w:rFonts w:hint="eastAsia"/>
                <w:color w:val="auto"/>
                <w:sz w:val="21"/>
                <w:szCs w:val="21"/>
              </w:rPr>
            </w:pPr>
            <w:r>
              <w:rPr>
                <w:color w:val="auto"/>
                <w:sz w:val="21"/>
                <w:szCs w:val="21"/>
              </w:rPr>
              <w:t>单价</w:t>
            </w:r>
          </w:p>
          <w:p w14:paraId="4A50E3D4">
            <w:pPr>
              <w:pStyle w:val="21"/>
              <w:jc w:val="center"/>
              <w:rPr>
                <w:rFonts w:hint="eastAsia"/>
                <w:color w:val="auto"/>
                <w:sz w:val="21"/>
                <w:szCs w:val="21"/>
              </w:rPr>
            </w:pPr>
            <w:r>
              <w:rPr>
                <w:color w:val="auto"/>
                <w:sz w:val="21"/>
                <w:szCs w:val="21"/>
              </w:rPr>
              <w:t>（元）</w:t>
            </w:r>
          </w:p>
        </w:tc>
        <w:tc>
          <w:tcPr>
            <w:tcW w:w="993" w:type="dxa"/>
            <w:tcBorders>
              <w:top w:val="single" w:color="000000" w:sz="6" w:space="0"/>
            </w:tcBorders>
            <w:vAlign w:val="center"/>
          </w:tcPr>
          <w:p w14:paraId="1C410E11">
            <w:pPr>
              <w:pStyle w:val="21"/>
              <w:jc w:val="center"/>
              <w:rPr>
                <w:rFonts w:hint="eastAsia"/>
                <w:color w:val="auto"/>
                <w:sz w:val="21"/>
                <w:szCs w:val="21"/>
              </w:rPr>
            </w:pPr>
            <w:r>
              <w:rPr>
                <w:color w:val="auto"/>
                <w:sz w:val="21"/>
                <w:szCs w:val="21"/>
              </w:rPr>
              <w:t>合价</w:t>
            </w:r>
          </w:p>
          <w:p w14:paraId="06C551AF">
            <w:pPr>
              <w:pStyle w:val="21"/>
              <w:jc w:val="center"/>
              <w:rPr>
                <w:rFonts w:hint="eastAsia"/>
                <w:color w:val="auto"/>
                <w:sz w:val="21"/>
                <w:szCs w:val="21"/>
              </w:rPr>
            </w:pPr>
            <w:r>
              <w:rPr>
                <w:color w:val="auto"/>
                <w:sz w:val="21"/>
                <w:szCs w:val="21"/>
              </w:rPr>
              <w:t>（元）</w:t>
            </w:r>
          </w:p>
        </w:tc>
        <w:tc>
          <w:tcPr>
            <w:tcW w:w="1273" w:type="dxa"/>
            <w:tcBorders>
              <w:top w:val="single" w:color="000000" w:sz="6" w:space="0"/>
            </w:tcBorders>
            <w:vAlign w:val="center"/>
          </w:tcPr>
          <w:p w14:paraId="5ADB6031">
            <w:pPr>
              <w:pStyle w:val="21"/>
              <w:jc w:val="center"/>
              <w:rPr>
                <w:rFonts w:hint="eastAsia"/>
                <w:color w:val="auto"/>
                <w:sz w:val="21"/>
                <w:szCs w:val="21"/>
              </w:rPr>
            </w:pPr>
            <w:r>
              <w:rPr>
                <w:color w:val="auto"/>
                <w:sz w:val="21"/>
                <w:szCs w:val="21"/>
              </w:rPr>
              <w:t>主要技术</w:t>
            </w:r>
          </w:p>
          <w:p w14:paraId="2D062BCB">
            <w:pPr>
              <w:pStyle w:val="21"/>
              <w:jc w:val="center"/>
              <w:rPr>
                <w:rFonts w:hint="eastAsia"/>
                <w:color w:val="auto"/>
                <w:sz w:val="21"/>
                <w:szCs w:val="21"/>
              </w:rPr>
            </w:pPr>
            <w:r>
              <w:rPr>
                <w:color w:val="auto"/>
                <w:sz w:val="21"/>
                <w:szCs w:val="21"/>
              </w:rPr>
              <w:t>条款编码</w:t>
            </w:r>
          </w:p>
        </w:tc>
        <w:tc>
          <w:tcPr>
            <w:tcW w:w="1002" w:type="dxa"/>
            <w:tcBorders>
              <w:top w:val="single" w:color="000000" w:sz="6" w:space="0"/>
              <w:right w:val="single" w:color="000000" w:sz="6" w:space="0"/>
            </w:tcBorders>
            <w:vAlign w:val="center"/>
          </w:tcPr>
          <w:p w14:paraId="60CAC51D">
            <w:pPr>
              <w:pStyle w:val="21"/>
              <w:jc w:val="center"/>
              <w:rPr>
                <w:rFonts w:hint="eastAsia"/>
                <w:color w:val="auto"/>
                <w:sz w:val="21"/>
                <w:szCs w:val="21"/>
              </w:rPr>
            </w:pPr>
            <w:r>
              <w:rPr>
                <w:color w:val="auto"/>
                <w:sz w:val="21"/>
                <w:szCs w:val="21"/>
              </w:rPr>
              <w:t>备注</w:t>
            </w:r>
          </w:p>
        </w:tc>
      </w:tr>
      <w:tr w14:paraId="182CF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center"/>
          </w:tcPr>
          <w:p w14:paraId="2E490A92">
            <w:pPr>
              <w:jc w:val="center"/>
              <w:rPr>
                <w:color w:val="auto"/>
              </w:rPr>
            </w:pPr>
          </w:p>
        </w:tc>
        <w:tc>
          <w:tcPr>
            <w:tcW w:w="1987" w:type="dxa"/>
            <w:vAlign w:val="center"/>
          </w:tcPr>
          <w:p w14:paraId="43274D5E">
            <w:pPr>
              <w:jc w:val="center"/>
              <w:rPr>
                <w:color w:val="auto"/>
              </w:rPr>
            </w:pPr>
          </w:p>
        </w:tc>
        <w:tc>
          <w:tcPr>
            <w:tcW w:w="2831" w:type="dxa"/>
            <w:vAlign w:val="center"/>
          </w:tcPr>
          <w:p w14:paraId="55CFF02E">
            <w:pPr>
              <w:jc w:val="center"/>
              <w:rPr>
                <w:color w:val="auto"/>
              </w:rPr>
            </w:pPr>
          </w:p>
        </w:tc>
        <w:tc>
          <w:tcPr>
            <w:tcW w:w="2266" w:type="dxa"/>
            <w:vAlign w:val="center"/>
          </w:tcPr>
          <w:p w14:paraId="253DF72B">
            <w:pPr>
              <w:jc w:val="center"/>
              <w:rPr>
                <w:color w:val="auto"/>
              </w:rPr>
            </w:pPr>
          </w:p>
        </w:tc>
        <w:tc>
          <w:tcPr>
            <w:tcW w:w="990" w:type="dxa"/>
            <w:vAlign w:val="center"/>
          </w:tcPr>
          <w:p w14:paraId="553FFA05">
            <w:pPr>
              <w:jc w:val="center"/>
              <w:rPr>
                <w:color w:val="auto"/>
              </w:rPr>
            </w:pPr>
          </w:p>
        </w:tc>
        <w:tc>
          <w:tcPr>
            <w:tcW w:w="993" w:type="dxa"/>
            <w:vAlign w:val="center"/>
          </w:tcPr>
          <w:p w14:paraId="12678403">
            <w:pPr>
              <w:jc w:val="center"/>
              <w:rPr>
                <w:color w:val="auto"/>
              </w:rPr>
            </w:pPr>
          </w:p>
        </w:tc>
        <w:tc>
          <w:tcPr>
            <w:tcW w:w="990" w:type="dxa"/>
            <w:vAlign w:val="center"/>
          </w:tcPr>
          <w:p w14:paraId="284013AD">
            <w:pPr>
              <w:jc w:val="center"/>
              <w:rPr>
                <w:color w:val="auto"/>
              </w:rPr>
            </w:pPr>
          </w:p>
        </w:tc>
        <w:tc>
          <w:tcPr>
            <w:tcW w:w="993" w:type="dxa"/>
            <w:vAlign w:val="center"/>
          </w:tcPr>
          <w:p w14:paraId="3D3F8A3F">
            <w:pPr>
              <w:jc w:val="center"/>
              <w:rPr>
                <w:color w:val="auto"/>
              </w:rPr>
            </w:pPr>
          </w:p>
        </w:tc>
        <w:tc>
          <w:tcPr>
            <w:tcW w:w="1273" w:type="dxa"/>
            <w:vAlign w:val="center"/>
          </w:tcPr>
          <w:p w14:paraId="49A767C8">
            <w:pPr>
              <w:jc w:val="center"/>
              <w:rPr>
                <w:color w:val="auto"/>
              </w:rPr>
            </w:pPr>
          </w:p>
        </w:tc>
        <w:tc>
          <w:tcPr>
            <w:tcW w:w="1002" w:type="dxa"/>
            <w:tcBorders>
              <w:right w:val="single" w:color="000000" w:sz="6" w:space="0"/>
            </w:tcBorders>
            <w:vAlign w:val="center"/>
          </w:tcPr>
          <w:p w14:paraId="364535C7">
            <w:pPr>
              <w:jc w:val="center"/>
              <w:rPr>
                <w:color w:val="auto"/>
              </w:rPr>
            </w:pPr>
          </w:p>
        </w:tc>
      </w:tr>
      <w:tr w14:paraId="701AD3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center"/>
          </w:tcPr>
          <w:p w14:paraId="0F04FDDB">
            <w:pPr>
              <w:jc w:val="center"/>
              <w:rPr>
                <w:color w:val="auto"/>
              </w:rPr>
            </w:pPr>
          </w:p>
        </w:tc>
        <w:tc>
          <w:tcPr>
            <w:tcW w:w="1987" w:type="dxa"/>
            <w:vAlign w:val="center"/>
          </w:tcPr>
          <w:p w14:paraId="4D8B6232">
            <w:pPr>
              <w:jc w:val="center"/>
              <w:rPr>
                <w:color w:val="auto"/>
              </w:rPr>
            </w:pPr>
          </w:p>
        </w:tc>
        <w:tc>
          <w:tcPr>
            <w:tcW w:w="2831" w:type="dxa"/>
            <w:vAlign w:val="center"/>
          </w:tcPr>
          <w:p w14:paraId="7742F55F">
            <w:pPr>
              <w:jc w:val="center"/>
              <w:rPr>
                <w:color w:val="auto"/>
              </w:rPr>
            </w:pPr>
          </w:p>
        </w:tc>
        <w:tc>
          <w:tcPr>
            <w:tcW w:w="2266" w:type="dxa"/>
            <w:vAlign w:val="center"/>
          </w:tcPr>
          <w:p w14:paraId="5ECC3C37">
            <w:pPr>
              <w:jc w:val="center"/>
              <w:rPr>
                <w:color w:val="auto"/>
              </w:rPr>
            </w:pPr>
          </w:p>
        </w:tc>
        <w:tc>
          <w:tcPr>
            <w:tcW w:w="990" w:type="dxa"/>
            <w:vAlign w:val="center"/>
          </w:tcPr>
          <w:p w14:paraId="5C2EE9D0">
            <w:pPr>
              <w:jc w:val="center"/>
              <w:rPr>
                <w:color w:val="auto"/>
              </w:rPr>
            </w:pPr>
          </w:p>
        </w:tc>
        <w:tc>
          <w:tcPr>
            <w:tcW w:w="993" w:type="dxa"/>
            <w:vAlign w:val="center"/>
          </w:tcPr>
          <w:p w14:paraId="0ECCB69E">
            <w:pPr>
              <w:jc w:val="center"/>
              <w:rPr>
                <w:color w:val="auto"/>
              </w:rPr>
            </w:pPr>
          </w:p>
        </w:tc>
        <w:tc>
          <w:tcPr>
            <w:tcW w:w="990" w:type="dxa"/>
            <w:vAlign w:val="center"/>
          </w:tcPr>
          <w:p w14:paraId="5E868E02">
            <w:pPr>
              <w:jc w:val="center"/>
              <w:rPr>
                <w:color w:val="auto"/>
              </w:rPr>
            </w:pPr>
          </w:p>
        </w:tc>
        <w:tc>
          <w:tcPr>
            <w:tcW w:w="993" w:type="dxa"/>
            <w:vAlign w:val="center"/>
          </w:tcPr>
          <w:p w14:paraId="6B02CEEC">
            <w:pPr>
              <w:jc w:val="center"/>
              <w:rPr>
                <w:color w:val="auto"/>
              </w:rPr>
            </w:pPr>
          </w:p>
        </w:tc>
        <w:tc>
          <w:tcPr>
            <w:tcW w:w="1273" w:type="dxa"/>
            <w:vAlign w:val="center"/>
          </w:tcPr>
          <w:p w14:paraId="65C918A9">
            <w:pPr>
              <w:jc w:val="center"/>
              <w:rPr>
                <w:color w:val="auto"/>
              </w:rPr>
            </w:pPr>
          </w:p>
        </w:tc>
        <w:tc>
          <w:tcPr>
            <w:tcW w:w="1002" w:type="dxa"/>
            <w:tcBorders>
              <w:right w:val="single" w:color="000000" w:sz="6" w:space="0"/>
            </w:tcBorders>
            <w:vAlign w:val="center"/>
          </w:tcPr>
          <w:p w14:paraId="6EC3FF02">
            <w:pPr>
              <w:jc w:val="center"/>
              <w:rPr>
                <w:color w:val="auto"/>
              </w:rPr>
            </w:pPr>
          </w:p>
        </w:tc>
      </w:tr>
      <w:tr w14:paraId="4F190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center"/>
          </w:tcPr>
          <w:p w14:paraId="50431F85">
            <w:pPr>
              <w:jc w:val="center"/>
              <w:rPr>
                <w:color w:val="auto"/>
              </w:rPr>
            </w:pPr>
          </w:p>
        </w:tc>
        <w:tc>
          <w:tcPr>
            <w:tcW w:w="1987" w:type="dxa"/>
            <w:vAlign w:val="center"/>
          </w:tcPr>
          <w:p w14:paraId="3A1D1B57">
            <w:pPr>
              <w:jc w:val="center"/>
              <w:rPr>
                <w:color w:val="auto"/>
              </w:rPr>
            </w:pPr>
          </w:p>
        </w:tc>
        <w:tc>
          <w:tcPr>
            <w:tcW w:w="2831" w:type="dxa"/>
            <w:vAlign w:val="center"/>
          </w:tcPr>
          <w:p w14:paraId="09AEB346">
            <w:pPr>
              <w:jc w:val="center"/>
              <w:rPr>
                <w:color w:val="auto"/>
              </w:rPr>
            </w:pPr>
          </w:p>
        </w:tc>
        <w:tc>
          <w:tcPr>
            <w:tcW w:w="2266" w:type="dxa"/>
            <w:vAlign w:val="center"/>
          </w:tcPr>
          <w:p w14:paraId="0E202FAB">
            <w:pPr>
              <w:jc w:val="center"/>
              <w:rPr>
                <w:color w:val="auto"/>
              </w:rPr>
            </w:pPr>
          </w:p>
        </w:tc>
        <w:tc>
          <w:tcPr>
            <w:tcW w:w="990" w:type="dxa"/>
            <w:vAlign w:val="center"/>
          </w:tcPr>
          <w:p w14:paraId="03D15F2F">
            <w:pPr>
              <w:jc w:val="center"/>
              <w:rPr>
                <w:color w:val="auto"/>
              </w:rPr>
            </w:pPr>
          </w:p>
        </w:tc>
        <w:tc>
          <w:tcPr>
            <w:tcW w:w="993" w:type="dxa"/>
            <w:vAlign w:val="center"/>
          </w:tcPr>
          <w:p w14:paraId="123D3A0F">
            <w:pPr>
              <w:jc w:val="center"/>
              <w:rPr>
                <w:color w:val="auto"/>
              </w:rPr>
            </w:pPr>
          </w:p>
        </w:tc>
        <w:tc>
          <w:tcPr>
            <w:tcW w:w="990" w:type="dxa"/>
            <w:vAlign w:val="center"/>
          </w:tcPr>
          <w:p w14:paraId="51E91CD4">
            <w:pPr>
              <w:jc w:val="center"/>
              <w:rPr>
                <w:color w:val="auto"/>
              </w:rPr>
            </w:pPr>
          </w:p>
        </w:tc>
        <w:tc>
          <w:tcPr>
            <w:tcW w:w="993" w:type="dxa"/>
            <w:vAlign w:val="center"/>
          </w:tcPr>
          <w:p w14:paraId="7703C083">
            <w:pPr>
              <w:jc w:val="center"/>
              <w:rPr>
                <w:color w:val="auto"/>
              </w:rPr>
            </w:pPr>
          </w:p>
        </w:tc>
        <w:tc>
          <w:tcPr>
            <w:tcW w:w="1273" w:type="dxa"/>
            <w:vAlign w:val="center"/>
          </w:tcPr>
          <w:p w14:paraId="65FD5713">
            <w:pPr>
              <w:jc w:val="center"/>
              <w:rPr>
                <w:color w:val="auto"/>
              </w:rPr>
            </w:pPr>
          </w:p>
        </w:tc>
        <w:tc>
          <w:tcPr>
            <w:tcW w:w="1002" w:type="dxa"/>
            <w:tcBorders>
              <w:right w:val="single" w:color="000000" w:sz="6" w:space="0"/>
            </w:tcBorders>
            <w:vAlign w:val="center"/>
          </w:tcPr>
          <w:p w14:paraId="43026CE9">
            <w:pPr>
              <w:jc w:val="center"/>
              <w:rPr>
                <w:color w:val="auto"/>
              </w:rPr>
            </w:pPr>
          </w:p>
        </w:tc>
      </w:tr>
      <w:tr w14:paraId="5E208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center"/>
          </w:tcPr>
          <w:p w14:paraId="0F36EF93">
            <w:pPr>
              <w:jc w:val="center"/>
              <w:rPr>
                <w:color w:val="auto"/>
              </w:rPr>
            </w:pPr>
          </w:p>
        </w:tc>
        <w:tc>
          <w:tcPr>
            <w:tcW w:w="1987" w:type="dxa"/>
            <w:vAlign w:val="center"/>
          </w:tcPr>
          <w:p w14:paraId="499184A9">
            <w:pPr>
              <w:jc w:val="center"/>
              <w:rPr>
                <w:color w:val="auto"/>
              </w:rPr>
            </w:pPr>
          </w:p>
        </w:tc>
        <w:tc>
          <w:tcPr>
            <w:tcW w:w="2831" w:type="dxa"/>
            <w:vAlign w:val="center"/>
          </w:tcPr>
          <w:p w14:paraId="6E9B3251">
            <w:pPr>
              <w:jc w:val="center"/>
              <w:rPr>
                <w:color w:val="auto"/>
              </w:rPr>
            </w:pPr>
          </w:p>
        </w:tc>
        <w:tc>
          <w:tcPr>
            <w:tcW w:w="2266" w:type="dxa"/>
            <w:vAlign w:val="center"/>
          </w:tcPr>
          <w:p w14:paraId="52E62EFB">
            <w:pPr>
              <w:jc w:val="center"/>
              <w:rPr>
                <w:color w:val="auto"/>
              </w:rPr>
            </w:pPr>
          </w:p>
        </w:tc>
        <w:tc>
          <w:tcPr>
            <w:tcW w:w="990" w:type="dxa"/>
            <w:vAlign w:val="center"/>
          </w:tcPr>
          <w:p w14:paraId="63A54034">
            <w:pPr>
              <w:jc w:val="center"/>
              <w:rPr>
                <w:color w:val="auto"/>
              </w:rPr>
            </w:pPr>
          </w:p>
        </w:tc>
        <w:tc>
          <w:tcPr>
            <w:tcW w:w="993" w:type="dxa"/>
            <w:vAlign w:val="center"/>
          </w:tcPr>
          <w:p w14:paraId="559CEFBE">
            <w:pPr>
              <w:jc w:val="center"/>
              <w:rPr>
                <w:color w:val="auto"/>
              </w:rPr>
            </w:pPr>
          </w:p>
        </w:tc>
        <w:tc>
          <w:tcPr>
            <w:tcW w:w="990" w:type="dxa"/>
            <w:vAlign w:val="center"/>
          </w:tcPr>
          <w:p w14:paraId="00A63899">
            <w:pPr>
              <w:jc w:val="center"/>
              <w:rPr>
                <w:color w:val="auto"/>
              </w:rPr>
            </w:pPr>
          </w:p>
        </w:tc>
        <w:tc>
          <w:tcPr>
            <w:tcW w:w="993" w:type="dxa"/>
            <w:vAlign w:val="center"/>
          </w:tcPr>
          <w:p w14:paraId="03D600A1">
            <w:pPr>
              <w:jc w:val="center"/>
              <w:rPr>
                <w:color w:val="auto"/>
              </w:rPr>
            </w:pPr>
          </w:p>
        </w:tc>
        <w:tc>
          <w:tcPr>
            <w:tcW w:w="1273" w:type="dxa"/>
            <w:vAlign w:val="center"/>
          </w:tcPr>
          <w:p w14:paraId="43E2D90F">
            <w:pPr>
              <w:jc w:val="center"/>
              <w:rPr>
                <w:color w:val="auto"/>
              </w:rPr>
            </w:pPr>
          </w:p>
        </w:tc>
        <w:tc>
          <w:tcPr>
            <w:tcW w:w="1002" w:type="dxa"/>
            <w:tcBorders>
              <w:right w:val="single" w:color="000000" w:sz="6" w:space="0"/>
            </w:tcBorders>
            <w:vAlign w:val="center"/>
          </w:tcPr>
          <w:p w14:paraId="70ADFF1A">
            <w:pPr>
              <w:jc w:val="center"/>
              <w:rPr>
                <w:color w:val="auto"/>
              </w:rPr>
            </w:pPr>
          </w:p>
        </w:tc>
      </w:tr>
      <w:tr w14:paraId="1F8D5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822" w:type="dxa"/>
            <w:tcBorders>
              <w:left w:val="single" w:color="000000" w:sz="6" w:space="0"/>
            </w:tcBorders>
            <w:vAlign w:val="center"/>
          </w:tcPr>
          <w:p w14:paraId="2063A2D9">
            <w:pPr>
              <w:jc w:val="center"/>
              <w:rPr>
                <w:color w:val="auto"/>
              </w:rPr>
            </w:pPr>
          </w:p>
        </w:tc>
        <w:tc>
          <w:tcPr>
            <w:tcW w:w="1987" w:type="dxa"/>
            <w:vAlign w:val="center"/>
          </w:tcPr>
          <w:p w14:paraId="296B2484">
            <w:pPr>
              <w:jc w:val="center"/>
              <w:rPr>
                <w:color w:val="auto"/>
              </w:rPr>
            </w:pPr>
          </w:p>
        </w:tc>
        <w:tc>
          <w:tcPr>
            <w:tcW w:w="2831" w:type="dxa"/>
            <w:vAlign w:val="center"/>
          </w:tcPr>
          <w:p w14:paraId="0E64B2F3">
            <w:pPr>
              <w:jc w:val="center"/>
              <w:rPr>
                <w:color w:val="auto"/>
              </w:rPr>
            </w:pPr>
          </w:p>
        </w:tc>
        <w:tc>
          <w:tcPr>
            <w:tcW w:w="2266" w:type="dxa"/>
            <w:vAlign w:val="center"/>
          </w:tcPr>
          <w:p w14:paraId="4831C355">
            <w:pPr>
              <w:jc w:val="center"/>
              <w:rPr>
                <w:color w:val="auto"/>
              </w:rPr>
            </w:pPr>
          </w:p>
        </w:tc>
        <w:tc>
          <w:tcPr>
            <w:tcW w:w="990" w:type="dxa"/>
            <w:vAlign w:val="center"/>
          </w:tcPr>
          <w:p w14:paraId="381F706B">
            <w:pPr>
              <w:jc w:val="center"/>
              <w:rPr>
                <w:color w:val="auto"/>
              </w:rPr>
            </w:pPr>
          </w:p>
        </w:tc>
        <w:tc>
          <w:tcPr>
            <w:tcW w:w="993" w:type="dxa"/>
            <w:vAlign w:val="center"/>
          </w:tcPr>
          <w:p w14:paraId="292878DD">
            <w:pPr>
              <w:jc w:val="center"/>
              <w:rPr>
                <w:color w:val="auto"/>
              </w:rPr>
            </w:pPr>
          </w:p>
        </w:tc>
        <w:tc>
          <w:tcPr>
            <w:tcW w:w="990" w:type="dxa"/>
            <w:vAlign w:val="center"/>
          </w:tcPr>
          <w:p w14:paraId="10B16E69">
            <w:pPr>
              <w:jc w:val="center"/>
              <w:rPr>
                <w:color w:val="auto"/>
              </w:rPr>
            </w:pPr>
          </w:p>
        </w:tc>
        <w:tc>
          <w:tcPr>
            <w:tcW w:w="993" w:type="dxa"/>
            <w:vAlign w:val="center"/>
          </w:tcPr>
          <w:p w14:paraId="01E5677F">
            <w:pPr>
              <w:jc w:val="center"/>
              <w:rPr>
                <w:color w:val="auto"/>
              </w:rPr>
            </w:pPr>
          </w:p>
        </w:tc>
        <w:tc>
          <w:tcPr>
            <w:tcW w:w="1273" w:type="dxa"/>
            <w:vAlign w:val="center"/>
          </w:tcPr>
          <w:p w14:paraId="58C03333">
            <w:pPr>
              <w:jc w:val="center"/>
              <w:rPr>
                <w:color w:val="auto"/>
              </w:rPr>
            </w:pPr>
          </w:p>
        </w:tc>
        <w:tc>
          <w:tcPr>
            <w:tcW w:w="1002" w:type="dxa"/>
            <w:tcBorders>
              <w:right w:val="single" w:color="000000" w:sz="6" w:space="0"/>
            </w:tcBorders>
            <w:vAlign w:val="center"/>
          </w:tcPr>
          <w:p w14:paraId="607910FB">
            <w:pPr>
              <w:jc w:val="center"/>
              <w:rPr>
                <w:color w:val="auto"/>
              </w:rPr>
            </w:pPr>
          </w:p>
        </w:tc>
      </w:tr>
      <w:tr w14:paraId="05E71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center"/>
          </w:tcPr>
          <w:p w14:paraId="0D06BF08">
            <w:pPr>
              <w:jc w:val="center"/>
              <w:rPr>
                <w:color w:val="auto"/>
              </w:rPr>
            </w:pPr>
          </w:p>
        </w:tc>
        <w:tc>
          <w:tcPr>
            <w:tcW w:w="1987" w:type="dxa"/>
            <w:vAlign w:val="center"/>
          </w:tcPr>
          <w:p w14:paraId="56DB524C">
            <w:pPr>
              <w:jc w:val="center"/>
              <w:rPr>
                <w:color w:val="auto"/>
              </w:rPr>
            </w:pPr>
          </w:p>
        </w:tc>
        <w:tc>
          <w:tcPr>
            <w:tcW w:w="2831" w:type="dxa"/>
            <w:vAlign w:val="center"/>
          </w:tcPr>
          <w:p w14:paraId="36F116E2">
            <w:pPr>
              <w:jc w:val="center"/>
              <w:rPr>
                <w:color w:val="auto"/>
              </w:rPr>
            </w:pPr>
          </w:p>
        </w:tc>
        <w:tc>
          <w:tcPr>
            <w:tcW w:w="2266" w:type="dxa"/>
            <w:vAlign w:val="center"/>
          </w:tcPr>
          <w:p w14:paraId="5A07BDCF">
            <w:pPr>
              <w:jc w:val="center"/>
              <w:rPr>
                <w:color w:val="auto"/>
              </w:rPr>
            </w:pPr>
          </w:p>
        </w:tc>
        <w:tc>
          <w:tcPr>
            <w:tcW w:w="990" w:type="dxa"/>
            <w:vAlign w:val="center"/>
          </w:tcPr>
          <w:p w14:paraId="760982A4">
            <w:pPr>
              <w:jc w:val="center"/>
              <w:rPr>
                <w:color w:val="auto"/>
              </w:rPr>
            </w:pPr>
          </w:p>
        </w:tc>
        <w:tc>
          <w:tcPr>
            <w:tcW w:w="993" w:type="dxa"/>
            <w:vAlign w:val="center"/>
          </w:tcPr>
          <w:p w14:paraId="65E5C29D">
            <w:pPr>
              <w:jc w:val="center"/>
              <w:rPr>
                <w:color w:val="auto"/>
              </w:rPr>
            </w:pPr>
          </w:p>
        </w:tc>
        <w:tc>
          <w:tcPr>
            <w:tcW w:w="990" w:type="dxa"/>
            <w:vAlign w:val="center"/>
          </w:tcPr>
          <w:p w14:paraId="3A67F6C0">
            <w:pPr>
              <w:jc w:val="center"/>
              <w:rPr>
                <w:color w:val="auto"/>
              </w:rPr>
            </w:pPr>
          </w:p>
        </w:tc>
        <w:tc>
          <w:tcPr>
            <w:tcW w:w="993" w:type="dxa"/>
            <w:vAlign w:val="center"/>
          </w:tcPr>
          <w:p w14:paraId="4171E4F0">
            <w:pPr>
              <w:jc w:val="center"/>
              <w:rPr>
                <w:color w:val="auto"/>
              </w:rPr>
            </w:pPr>
          </w:p>
        </w:tc>
        <w:tc>
          <w:tcPr>
            <w:tcW w:w="1273" w:type="dxa"/>
            <w:vAlign w:val="center"/>
          </w:tcPr>
          <w:p w14:paraId="4968A613">
            <w:pPr>
              <w:jc w:val="center"/>
              <w:rPr>
                <w:color w:val="auto"/>
              </w:rPr>
            </w:pPr>
          </w:p>
        </w:tc>
        <w:tc>
          <w:tcPr>
            <w:tcW w:w="1002" w:type="dxa"/>
            <w:tcBorders>
              <w:right w:val="single" w:color="000000" w:sz="6" w:space="0"/>
            </w:tcBorders>
            <w:vAlign w:val="center"/>
          </w:tcPr>
          <w:p w14:paraId="4EB80D67">
            <w:pPr>
              <w:jc w:val="center"/>
              <w:rPr>
                <w:color w:val="auto"/>
              </w:rPr>
            </w:pPr>
          </w:p>
        </w:tc>
      </w:tr>
      <w:tr w14:paraId="63737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center"/>
          </w:tcPr>
          <w:p w14:paraId="0D174F94">
            <w:pPr>
              <w:jc w:val="center"/>
              <w:rPr>
                <w:color w:val="auto"/>
              </w:rPr>
            </w:pPr>
          </w:p>
        </w:tc>
        <w:tc>
          <w:tcPr>
            <w:tcW w:w="1987" w:type="dxa"/>
            <w:vAlign w:val="center"/>
          </w:tcPr>
          <w:p w14:paraId="5254A194">
            <w:pPr>
              <w:jc w:val="center"/>
              <w:rPr>
                <w:color w:val="auto"/>
              </w:rPr>
            </w:pPr>
          </w:p>
        </w:tc>
        <w:tc>
          <w:tcPr>
            <w:tcW w:w="2831" w:type="dxa"/>
            <w:vAlign w:val="center"/>
          </w:tcPr>
          <w:p w14:paraId="13C7892E">
            <w:pPr>
              <w:jc w:val="center"/>
              <w:rPr>
                <w:color w:val="auto"/>
              </w:rPr>
            </w:pPr>
          </w:p>
        </w:tc>
        <w:tc>
          <w:tcPr>
            <w:tcW w:w="2266" w:type="dxa"/>
            <w:vAlign w:val="center"/>
          </w:tcPr>
          <w:p w14:paraId="68E65817">
            <w:pPr>
              <w:jc w:val="center"/>
              <w:rPr>
                <w:color w:val="auto"/>
              </w:rPr>
            </w:pPr>
          </w:p>
        </w:tc>
        <w:tc>
          <w:tcPr>
            <w:tcW w:w="990" w:type="dxa"/>
            <w:vAlign w:val="center"/>
          </w:tcPr>
          <w:p w14:paraId="67CE54E7">
            <w:pPr>
              <w:jc w:val="center"/>
              <w:rPr>
                <w:color w:val="auto"/>
              </w:rPr>
            </w:pPr>
          </w:p>
        </w:tc>
        <w:tc>
          <w:tcPr>
            <w:tcW w:w="993" w:type="dxa"/>
            <w:vAlign w:val="center"/>
          </w:tcPr>
          <w:p w14:paraId="719C06FE">
            <w:pPr>
              <w:jc w:val="center"/>
              <w:rPr>
                <w:color w:val="auto"/>
              </w:rPr>
            </w:pPr>
          </w:p>
        </w:tc>
        <w:tc>
          <w:tcPr>
            <w:tcW w:w="990" w:type="dxa"/>
            <w:vAlign w:val="center"/>
          </w:tcPr>
          <w:p w14:paraId="09C53FC1">
            <w:pPr>
              <w:jc w:val="center"/>
              <w:rPr>
                <w:color w:val="auto"/>
              </w:rPr>
            </w:pPr>
          </w:p>
        </w:tc>
        <w:tc>
          <w:tcPr>
            <w:tcW w:w="993" w:type="dxa"/>
            <w:vAlign w:val="center"/>
          </w:tcPr>
          <w:p w14:paraId="6F2B7DCB">
            <w:pPr>
              <w:jc w:val="center"/>
              <w:rPr>
                <w:color w:val="auto"/>
              </w:rPr>
            </w:pPr>
          </w:p>
        </w:tc>
        <w:tc>
          <w:tcPr>
            <w:tcW w:w="1273" w:type="dxa"/>
            <w:vAlign w:val="center"/>
          </w:tcPr>
          <w:p w14:paraId="7285B4CD">
            <w:pPr>
              <w:jc w:val="center"/>
              <w:rPr>
                <w:color w:val="auto"/>
              </w:rPr>
            </w:pPr>
          </w:p>
        </w:tc>
        <w:tc>
          <w:tcPr>
            <w:tcW w:w="1002" w:type="dxa"/>
            <w:tcBorders>
              <w:right w:val="single" w:color="000000" w:sz="6" w:space="0"/>
            </w:tcBorders>
            <w:vAlign w:val="center"/>
          </w:tcPr>
          <w:p w14:paraId="0E761795">
            <w:pPr>
              <w:jc w:val="center"/>
              <w:rPr>
                <w:color w:val="auto"/>
              </w:rPr>
            </w:pPr>
          </w:p>
        </w:tc>
      </w:tr>
      <w:tr w14:paraId="3B3B75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8" w:hRule="atLeast"/>
        </w:trPr>
        <w:tc>
          <w:tcPr>
            <w:tcW w:w="822" w:type="dxa"/>
            <w:tcBorders>
              <w:left w:val="single" w:color="000000" w:sz="6" w:space="0"/>
            </w:tcBorders>
            <w:vAlign w:val="center"/>
          </w:tcPr>
          <w:p w14:paraId="5F1E8903">
            <w:pPr>
              <w:jc w:val="center"/>
              <w:rPr>
                <w:color w:val="auto"/>
              </w:rPr>
            </w:pPr>
          </w:p>
        </w:tc>
        <w:tc>
          <w:tcPr>
            <w:tcW w:w="1987" w:type="dxa"/>
            <w:vAlign w:val="center"/>
          </w:tcPr>
          <w:p w14:paraId="317B0F15">
            <w:pPr>
              <w:jc w:val="center"/>
              <w:rPr>
                <w:color w:val="auto"/>
              </w:rPr>
            </w:pPr>
          </w:p>
        </w:tc>
        <w:tc>
          <w:tcPr>
            <w:tcW w:w="2831" w:type="dxa"/>
            <w:vAlign w:val="center"/>
          </w:tcPr>
          <w:p w14:paraId="58FE6E0C">
            <w:pPr>
              <w:jc w:val="center"/>
              <w:rPr>
                <w:color w:val="auto"/>
              </w:rPr>
            </w:pPr>
          </w:p>
        </w:tc>
        <w:tc>
          <w:tcPr>
            <w:tcW w:w="2266" w:type="dxa"/>
            <w:vAlign w:val="center"/>
          </w:tcPr>
          <w:p w14:paraId="33D09EE6">
            <w:pPr>
              <w:jc w:val="center"/>
              <w:rPr>
                <w:color w:val="auto"/>
              </w:rPr>
            </w:pPr>
          </w:p>
        </w:tc>
        <w:tc>
          <w:tcPr>
            <w:tcW w:w="990" w:type="dxa"/>
            <w:vAlign w:val="center"/>
          </w:tcPr>
          <w:p w14:paraId="656C9D8B">
            <w:pPr>
              <w:jc w:val="center"/>
              <w:rPr>
                <w:color w:val="auto"/>
              </w:rPr>
            </w:pPr>
          </w:p>
        </w:tc>
        <w:tc>
          <w:tcPr>
            <w:tcW w:w="993" w:type="dxa"/>
            <w:vAlign w:val="center"/>
          </w:tcPr>
          <w:p w14:paraId="12E4BBFC">
            <w:pPr>
              <w:jc w:val="center"/>
              <w:rPr>
                <w:color w:val="auto"/>
              </w:rPr>
            </w:pPr>
          </w:p>
        </w:tc>
        <w:tc>
          <w:tcPr>
            <w:tcW w:w="990" w:type="dxa"/>
            <w:vAlign w:val="center"/>
          </w:tcPr>
          <w:p w14:paraId="6C0C67E5">
            <w:pPr>
              <w:jc w:val="center"/>
              <w:rPr>
                <w:color w:val="auto"/>
              </w:rPr>
            </w:pPr>
          </w:p>
        </w:tc>
        <w:tc>
          <w:tcPr>
            <w:tcW w:w="993" w:type="dxa"/>
            <w:vAlign w:val="center"/>
          </w:tcPr>
          <w:p w14:paraId="32FAA29F">
            <w:pPr>
              <w:jc w:val="center"/>
              <w:rPr>
                <w:color w:val="auto"/>
              </w:rPr>
            </w:pPr>
          </w:p>
        </w:tc>
        <w:tc>
          <w:tcPr>
            <w:tcW w:w="1273" w:type="dxa"/>
            <w:vAlign w:val="center"/>
          </w:tcPr>
          <w:p w14:paraId="543D6CED">
            <w:pPr>
              <w:jc w:val="center"/>
              <w:rPr>
                <w:color w:val="auto"/>
              </w:rPr>
            </w:pPr>
          </w:p>
        </w:tc>
        <w:tc>
          <w:tcPr>
            <w:tcW w:w="1002" w:type="dxa"/>
            <w:tcBorders>
              <w:right w:val="single" w:color="000000" w:sz="6" w:space="0"/>
            </w:tcBorders>
            <w:vAlign w:val="center"/>
          </w:tcPr>
          <w:p w14:paraId="53889EA8">
            <w:pPr>
              <w:jc w:val="center"/>
              <w:rPr>
                <w:color w:val="auto"/>
              </w:rPr>
            </w:pPr>
          </w:p>
        </w:tc>
      </w:tr>
      <w:tr w14:paraId="34E40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22" w:type="dxa"/>
            <w:tcBorders>
              <w:left w:val="single" w:color="000000" w:sz="6" w:space="0"/>
            </w:tcBorders>
            <w:vAlign w:val="center"/>
          </w:tcPr>
          <w:p w14:paraId="731FA96C">
            <w:pPr>
              <w:jc w:val="center"/>
              <w:rPr>
                <w:color w:val="auto"/>
              </w:rPr>
            </w:pPr>
          </w:p>
        </w:tc>
        <w:tc>
          <w:tcPr>
            <w:tcW w:w="1987" w:type="dxa"/>
            <w:vAlign w:val="center"/>
          </w:tcPr>
          <w:p w14:paraId="20B37A10">
            <w:pPr>
              <w:jc w:val="center"/>
              <w:rPr>
                <w:color w:val="auto"/>
              </w:rPr>
            </w:pPr>
          </w:p>
        </w:tc>
        <w:tc>
          <w:tcPr>
            <w:tcW w:w="2831" w:type="dxa"/>
            <w:vAlign w:val="center"/>
          </w:tcPr>
          <w:p w14:paraId="205E8BF6">
            <w:pPr>
              <w:jc w:val="center"/>
              <w:rPr>
                <w:color w:val="auto"/>
              </w:rPr>
            </w:pPr>
          </w:p>
        </w:tc>
        <w:tc>
          <w:tcPr>
            <w:tcW w:w="2266" w:type="dxa"/>
            <w:vAlign w:val="center"/>
          </w:tcPr>
          <w:p w14:paraId="662C0F2B">
            <w:pPr>
              <w:jc w:val="center"/>
              <w:rPr>
                <w:color w:val="auto"/>
              </w:rPr>
            </w:pPr>
          </w:p>
        </w:tc>
        <w:tc>
          <w:tcPr>
            <w:tcW w:w="990" w:type="dxa"/>
            <w:vAlign w:val="center"/>
          </w:tcPr>
          <w:p w14:paraId="434EC44E">
            <w:pPr>
              <w:jc w:val="center"/>
              <w:rPr>
                <w:color w:val="auto"/>
              </w:rPr>
            </w:pPr>
          </w:p>
        </w:tc>
        <w:tc>
          <w:tcPr>
            <w:tcW w:w="993" w:type="dxa"/>
            <w:vAlign w:val="center"/>
          </w:tcPr>
          <w:p w14:paraId="3FCDBC74">
            <w:pPr>
              <w:jc w:val="center"/>
              <w:rPr>
                <w:color w:val="auto"/>
              </w:rPr>
            </w:pPr>
          </w:p>
        </w:tc>
        <w:tc>
          <w:tcPr>
            <w:tcW w:w="990" w:type="dxa"/>
            <w:vAlign w:val="center"/>
          </w:tcPr>
          <w:p w14:paraId="52C378FE">
            <w:pPr>
              <w:jc w:val="center"/>
              <w:rPr>
                <w:color w:val="auto"/>
              </w:rPr>
            </w:pPr>
          </w:p>
        </w:tc>
        <w:tc>
          <w:tcPr>
            <w:tcW w:w="993" w:type="dxa"/>
            <w:vAlign w:val="center"/>
          </w:tcPr>
          <w:p w14:paraId="300593B9">
            <w:pPr>
              <w:jc w:val="center"/>
              <w:rPr>
                <w:color w:val="auto"/>
              </w:rPr>
            </w:pPr>
          </w:p>
        </w:tc>
        <w:tc>
          <w:tcPr>
            <w:tcW w:w="1273" w:type="dxa"/>
            <w:vAlign w:val="center"/>
          </w:tcPr>
          <w:p w14:paraId="6100E5D0">
            <w:pPr>
              <w:jc w:val="center"/>
              <w:rPr>
                <w:color w:val="auto"/>
              </w:rPr>
            </w:pPr>
          </w:p>
        </w:tc>
        <w:tc>
          <w:tcPr>
            <w:tcW w:w="1002" w:type="dxa"/>
            <w:tcBorders>
              <w:right w:val="single" w:color="000000" w:sz="6" w:space="0"/>
            </w:tcBorders>
            <w:vAlign w:val="center"/>
          </w:tcPr>
          <w:p w14:paraId="7A7D52F2">
            <w:pPr>
              <w:jc w:val="center"/>
              <w:rPr>
                <w:color w:val="auto"/>
              </w:rPr>
            </w:pPr>
          </w:p>
        </w:tc>
      </w:tr>
      <w:tr w14:paraId="49344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22" w:type="dxa"/>
            <w:tcBorders>
              <w:left w:val="single" w:color="000000" w:sz="6" w:space="0"/>
            </w:tcBorders>
            <w:vAlign w:val="center"/>
          </w:tcPr>
          <w:p w14:paraId="2BF2E72A">
            <w:pPr>
              <w:jc w:val="center"/>
              <w:rPr>
                <w:color w:val="auto"/>
              </w:rPr>
            </w:pPr>
          </w:p>
        </w:tc>
        <w:tc>
          <w:tcPr>
            <w:tcW w:w="1987" w:type="dxa"/>
            <w:vAlign w:val="center"/>
          </w:tcPr>
          <w:p w14:paraId="209B00BD">
            <w:pPr>
              <w:jc w:val="center"/>
              <w:rPr>
                <w:color w:val="auto"/>
              </w:rPr>
            </w:pPr>
          </w:p>
        </w:tc>
        <w:tc>
          <w:tcPr>
            <w:tcW w:w="2831" w:type="dxa"/>
            <w:vAlign w:val="center"/>
          </w:tcPr>
          <w:p w14:paraId="75781B43">
            <w:pPr>
              <w:jc w:val="center"/>
              <w:rPr>
                <w:color w:val="auto"/>
              </w:rPr>
            </w:pPr>
          </w:p>
        </w:tc>
        <w:tc>
          <w:tcPr>
            <w:tcW w:w="2266" w:type="dxa"/>
            <w:vAlign w:val="center"/>
          </w:tcPr>
          <w:p w14:paraId="1BBAD9EB">
            <w:pPr>
              <w:jc w:val="center"/>
              <w:rPr>
                <w:color w:val="auto"/>
              </w:rPr>
            </w:pPr>
          </w:p>
        </w:tc>
        <w:tc>
          <w:tcPr>
            <w:tcW w:w="990" w:type="dxa"/>
            <w:vAlign w:val="center"/>
          </w:tcPr>
          <w:p w14:paraId="6A46DA85">
            <w:pPr>
              <w:jc w:val="center"/>
              <w:rPr>
                <w:color w:val="auto"/>
              </w:rPr>
            </w:pPr>
          </w:p>
        </w:tc>
        <w:tc>
          <w:tcPr>
            <w:tcW w:w="993" w:type="dxa"/>
            <w:vAlign w:val="center"/>
          </w:tcPr>
          <w:p w14:paraId="3B3A0B77">
            <w:pPr>
              <w:jc w:val="center"/>
              <w:rPr>
                <w:color w:val="auto"/>
              </w:rPr>
            </w:pPr>
          </w:p>
        </w:tc>
        <w:tc>
          <w:tcPr>
            <w:tcW w:w="990" w:type="dxa"/>
            <w:vAlign w:val="center"/>
          </w:tcPr>
          <w:p w14:paraId="3CD6A454">
            <w:pPr>
              <w:jc w:val="center"/>
              <w:rPr>
                <w:color w:val="auto"/>
              </w:rPr>
            </w:pPr>
          </w:p>
        </w:tc>
        <w:tc>
          <w:tcPr>
            <w:tcW w:w="993" w:type="dxa"/>
            <w:vAlign w:val="center"/>
          </w:tcPr>
          <w:p w14:paraId="116B0B07">
            <w:pPr>
              <w:jc w:val="center"/>
              <w:rPr>
                <w:color w:val="auto"/>
              </w:rPr>
            </w:pPr>
          </w:p>
        </w:tc>
        <w:tc>
          <w:tcPr>
            <w:tcW w:w="1273" w:type="dxa"/>
            <w:vAlign w:val="center"/>
          </w:tcPr>
          <w:p w14:paraId="5292BD38">
            <w:pPr>
              <w:jc w:val="center"/>
              <w:rPr>
                <w:color w:val="auto"/>
              </w:rPr>
            </w:pPr>
          </w:p>
        </w:tc>
        <w:tc>
          <w:tcPr>
            <w:tcW w:w="1002" w:type="dxa"/>
            <w:tcBorders>
              <w:right w:val="single" w:color="000000" w:sz="6" w:space="0"/>
            </w:tcBorders>
            <w:vAlign w:val="center"/>
          </w:tcPr>
          <w:p w14:paraId="6271F797">
            <w:pPr>
              <w:jc w:val="center"/>
              <w:rPr>
                <w:color w:val="auto"/>
              </w:rPr>
            </w:pPr>
          </w:p>
        </w:tc>
      </w:tr>
      <w:tr w14:paraId="41138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22" w:type="dxa"/>
            <w:tcBorders>
              <w:left w:val="single" w:color="000000" w:sz="6" w:space="0"/>
              <w:bottom w:val="single" w:color="000000" w:sz="6" w:space="0"/>
            </w:tcBorders>
            <w:vAlign w:val="center"/>
          </w:tcPr>
          <w:p w14:paraId="763E59D4">
            <w:pPr>
              <w:jc w:val="center"/>
              <w:rPr>
                <w:color w:val="auto"/>
              </w:rPr>
            </w:pPr>
          </w:p>
        </w:tc>
        <w:tc>
          <w:tcPr>
            <w:tcW w:w="1987" w:type="dxa"/>
            <w:tcBorders>
              <w:bottom w:val="single" w:color="000000" w:sz="6" w:space="0"/>
            </w:tcBorders>
            <w:vAlign w:val="center"/>
          </w:tcPr>
          <w:p w14:paraId="510913EC">
            <w:pPr>
              <w:jc w:val="center"/>
              <w:rPr>
                <w:color w:val="auto"/>
              </w:rPr>
            </w:pPr>
          </w:p>
        </w:tc>
        <w:tc>
          <w:tcPr>
            <w:tcW w:w="2831" w:type="dxa"/>
            <w:tcBorders>
              <w:bottom w:val="single" w:color="000000" w:sz="6" w:space="0"/>
            </w:tcBorders>
            <w:vAlign w:val="center"/>
          </w:tcPr>
          <w:p w14:paraId="644E32F4">
            <w:pPr>
              <w:pStyle w:val="21"/>
              <w:jc w:val="center"/>
              <w:rPr>
                <w:rFonts w:hint="eastAsia"/>
                <w:color w:val="auto"/>
                <w:sz w:val="21"/>
                <w:szCs w:val="21"/>
              </w:rPr>
            </w:pPr>
            <w:r>
              <w:rPr>
                <w:b/>
                <w:bCs/>
                <w:color w:val="auto"/>
                <w:sz w:val="21"/>
                <w:szCs w:val="21"/>
              </w:rPr>
              <w:t>合</w:t>
            </w:r>
            <w:r>
              <w:rPr>
                <w:rFonts w:hint="eastAsia"/>
                <w:color w:val="auto"/>
                <w:sz w:val="21"/>
                <w:szCs w:val="21"/>
                <w:lang w:eastAsia="zh-CN"/>
              </w:rPr>
              <w:t>　</w:t>
            </w:r>
            <w:r>
              <w:rPr>
                <w:b/>
                <w:bCs/>
                <w:color w:val="auto"/>
                <w:sz w:val="21"/>
                <w:szCs w:val="21"/>
              </w:rPr>
              <w:t>计</w:t>
            </w:r>
          </w:p>
        </w:tc>
        <w:tc>
          <w:tcPr>
            <w:tcW w:w="2266" w:type="dxa"/>
            <w:tcBorders>
              <w:bottom w:val="single" w:color="000000" w:sz="6" w:space="0"/>
            </w:tcBorders>
            <w:vAlign w:val="center"/>
          </w:tcPr>
          <w:p w14:paraId="27059BE6">
            <w:pPr>
              <w:jc w:val="center"/>
              <w:rPr>
                <w:color w:val="auto"/>
              </w:rPr>
            </w:pPr>
          </w:p>
        </w:tc>
        <w:tc>
          <w:tcPr>
            <w:tcW w:w="990" w:type="dxa"/>
            <w:tcBorders>
              <w:bottom w:val="single" w:color="000000" w:sz="6" w:space="0"/>
            </w:tcBorders>
            <w:vAlign w:val="center"/>
          </w:tcPr>
          <w:p w14:paraId="1D3A978E">
            <w:pPr>
              <w:jc w:val="center"/>
              <w:rPr>
                <w:color w:val="auto"/>
              </w:rPr>
            </w:pPr>
          </w:p>
        </w:tc>
        <w:tc>
          <w:tcPr>
            <w:tcW w:w="993" w:type="dxa"/>
            <w:tcBorders>
              <w:bottom w:val="single" w:color="000000" w:sz="6" w:space="0"/>
            </w:tcBorders>
            <w:vAlign w:val="center"/>
          </w:tcPr>
          <w:p w14:paraId="6BD4E39F">
            <w:pPr>
              <w:jc w:val="center"/>
              <w:rPr>
                <w:color w:val="auto"/>
              </w:rPr>
            </w:pPr>
          </w:p>
        </w:tc>
        <w:tc>
          <w:tcPr>
            <w:tcW w:w="990" w:type="dxa"/>
            <w:tcBorders>
              <w:bottom w:val="single" w:color="000000" w:sz="6" w:space="0"/>
            </w:tcBorders>
            <w:vAlign w:val="center"/>
          </w:tcPr>
          <w:p w14:paraId="612D3E13">
            <w:pPr>
              <w:jc w:val="center"/>
              <w:rPr>
                <w:color w:val="auto"/>
              </w:rPr>
            </w:pPr>
          </w:p>
        </w:tc>
        <w:tc>
          <w:tcPr>
            <w:tcW w:w="993" w:type="dxa"/>
            <w:tcBorders>
              <w:bottom w:val="single" w:color="000000" w:sz="6" w:space="0"/>
            </w:tcBorders>
            <w:vAlign w:val="center"/>
          </w:tcPr>
          <w:p w14:paraId="1FB34DB9">
            <w:pPr>
              <w:jc w:val="center"/>
              <w:rPr>
                <w:color w:val="auto"/>
              </w:rPr>
            </w:pPr>
          </w:p>
        </w:tc>
        <w:tc>
          <w:tcPr>
            <w:tcW w:w="1273" w:type="dxa"/>
            <w:tcBorders>
              <w:bottom w:val="single" w:color="000000" w:sz="6" w:space="0"/>
            </w:tcBorders>
            <w:vAlign w:val="center"/>
          </w:tcPr>
          <w:p w14:paraId="3CB97E7C">
            <w:pPr>
              <w:jc w:val="center"/>
              <w:rPr>
                <w:color w:val="auto"/>
              </w:rPr>
            </w:pPr>
          </w:p>
        </w:tc>
        <w:tc>
          <w:tcPr>
            <w:tcW w:w="1002" w:type="dxa"/>
            <w:tcBorders>
              <w:bottom w:val="single" w:color="000000" w:sz="6" w:space="0"/>
              <w:right w:val="single" w:color="000000" w:sz="6" w:space="0"/>
            </w:tcBorders>
            <w:vAlign w:val="center"/>
          </w:tcPr>
          <w:p w14:paraId="33363171">
            <w:pPr>
              <w:jc w:val="center"/>
              <w:rPr>
                <w:color w:val="auto"/>
              </w:rPr>
            </w:pPr>
          </w:p>
        </w:tc>
      </w:tr>
    </w:tbl>
    <w:p w14:paraId="2425A323">
      <w:pPr>
        <w:pStyle w:val="8"/>
        <w:spacing w:line="266" w:lineRule="auto"/>
        <w:rPr>
          <w:color w:val="auto"/>
        </w:rPr>
      </w:pPr>
    </w:p>
    <w:p w14:paraId="52F032B5">
      <w:pPr>
        <w:rPr>
          <w:rFonts w:hint="eastAsia" w:ascii="宋体" w:hAnsi="宋体" w:eastAsia="宋体" w:cs="宋体"/>
          <w:b/>
          <w:bCs/>
          <w:color w:val="auto"/>
          <w:sz w:val="28"/>
          <w:szCs w:val="28"/>
        </w:rPr>
      </w:pPr>
      <w:r>
        <w:rPr>
          <w:rFonts w:ascii="宋体" w:hAnsi="宋体" w:eastAsia="宋体" w:cs="宋体"/>
          <w:b/>
          <w:bCs/>
          <w:color w:val="auto"/>
          <w:sz w:val="28"/>
          <w:szCs w:val="28"/>
        </w:rPr>
        <w:br w:type="page"/>
      </w:r>
    </w:p>
    <w:p w14:paraId="63D61E0C">
      <w:pPr>
        <w:spacing w:line="360" w:lineRule="auto"/>
        <w:jc w:val="center"/>
        <w:rPr>
          <w:rFonts w:hint="eastAsia" w:ascii="宋体" w:hAnsi="宋体" w:eastAsia="宋体" w:cs="宋体"/>
          <w:b/>
          <w:bCs/>
          <w:color w:val="auto"/>
          <w:sz w:val="28"/>
          <w:szCs w:val="28"/>
          <w:lang w:eastAsia="zh-CN"/>
        </w:rPr>
      </w:pPr>
      <w:r>
        <w:rPr>
          <w:rFonts w:ascii="宋体" w:hAnsi="宋体" w:eastAsia="宋体" w:cs="宋体"/>
          <w:b/>
          <w:bCs/>
          <w:color w:val="auto"/>
          <w:sz w:val="28"/>
          <w:szCs w:val="28"/>
          <w:lang w:eastAsia="zh-CN"/>
        </w:rPr>
        <w:t>机电设备及安装工程分类分项工程量清单</w:t>
      </w:r>
    </w:p>
    <w:p w14:paraId="284B9976">
      <w:pPr>
        <w:spacing w:line="360" w:lineRule="auto"/>
        <w:jc w:val="both"/>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tbl>
      <w:tblPr>
        <w:tblStyle w:val="20"/>
        <w:tblW w:w="1394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261"/>
        <w:gridCol w:w="1841"/>
        <w:gridCol w:w="2124"/>
        <w:gridCol w:w="779"/>
        <w:gridCol w:w="825"/>
        <w:gridCol w:w="1014"/>
        <w:gridCol w:w="1014"/>
        <w:gridCol w:w="1016"/>
        <w:gridCol w:w="1017"/>
        <w:gridCol w:w="1273"/>
        <w:gridCol w:w="937"/>
      </w:tblGrid>
      <w:tr w14:paraId="35331DAE">
        <w:tblPrEx>
          <w:tblCellMar>
            <w:top w:w="0" w:type="dxa"/>
            <w:left w:w="0" w:type="dxa"/>
            <w:bottom w:w="0" w:type="dxa"/>
            <w:right w:w="0" w:type="dxa"/>
          </w:tblCellMar>
        </w:tblPrEx>
        <w:trPr>
          <w:trHeight w:val="553" w:hRule="atLeast"/>
        </w:trPr>
        <w:tc>
          <w:tcPr>
            <w:tcW w:w="839" w:type="dxa"/>
            <w:vMerge w:val="restart"/>
            <w:tcBorders>
              <w:top w:val="single" w:color="000000" w:sz="6" w:space="0"/>
              <w:left w:val="single" w:color="000000" w:sz="6" w:space="0"/>
              <w:bottom w:val="nil"/>
            </w:tcBorders>
            <w:vAlign w:val="center"/>
          </w:tcPr>
          <w:p w14:paraId="774B1B4E">
            <w:pPr>
              <w:pStyle w:val="21"/>
              <w:widowControl w:val="0"/>
              <w:kinsoku/>
              <w:wordWrap w:val="0"/>
              <w:topLinePunct/>
              <w:autoSpaceDE/>
              <w:autoSpaceDN/>
              <w:jc w:val="center"/>
              <w:rPr>
                <w:rFonts w:hint="eastAsia"/>
                <w:color w:val="auto"/>
                <w:sz w:val="21"/>
                <w:szCs w:val="21"/>
              </w:rPr>
            </w:pPr>
            <w:r>
              <w:rPr>
                <w:color w:val="auto"/>
                <w:sz w:val="21"/>
                <w:szCs w:val="21"/>
              </w:rPr>
              <w:t>序号</w:t>
            </w:r>
          </w:p>
        </w:tc>
        <w:tc>
          <w:tcPr>
            <w:tcW w:w="1261" w:type="dxa"/>
            <w:vMerge w:val="restart"/>
            <w:tcBorders>
              <w:top w:val="single" w:color="000000" w:sz="6" w:space="0"/>
              <w:bottom w:val="nil"/>
            </w:tcBorders>
            <w:vAlign w:val="center"/>
          </w:tcPr>
          <w:p w14:paraId="17637E91">
            <w:pPr>
              <w:pStyle w:val="21"/>
              <w:widowControl w:val="0"/>
              <w:kinsoku/>
              <w:wordWrap w:val="0"/>
              <w:topLinePunct/>
              <w:autoSpaceDE/>
              <w:autoSpaceDN/>
              <w:jc w:val="center"/>
              <w:rPr>
                <w:rFonts w:hint="eastAsia"/>
                <w:color w:val="auto"/>
                <w:sz w:val="21"/>
                <w:szCs w:val="21"/>
              </w:rPr>
            </w:pPr>
            <w:r>
              <w:rPr>
                <w:color w:val="auto"/>
                <w:sz w:val="21"/>
                <w:szCs w:val="21"/>
              </w:rPr>
              <w:t>项目编码</w:t>
            </w:r>
          </w:p>
        </w:tc>
        <w:tc>
          <w:tcPr>
            <w:tcW w:w="1841" w:type="dxa"/>
            <w:vMerge w:val="restart"/>
            <w:tcBorders>
              <w:top w:val="single" w:color="000000" w:sz="6" w:space="0"/>
              <w:bottom w:val="nil"/>
            </w:tcBorders>
            <w:vAlign w:val="center"/>
          </w:tcPr>
          <w:p w14:paraId="5EFB44A2">
            <w:pPr>
              <w:pStyle w:val="21"/>
              <w:widowControl w:val="0"/>
              <w:kinsoku/>
              <w:wordWrap w:val="0"/>
              <w:topLinePunct/>
              <w:autoSpaceDE/>
              <w:autoSpaceDN/>
              <w:jc w:val="center"/>
              <w:rPr>
                <w:rFonts w:hint="eastAsia"/>
                <w:color w:val="auto"/>
                <w:sz w:val="21"/>
                <w:szCs w:val="21"/>
              </w:rPr>
            </w:pPr>
            <w:r>
              <w:rPr>
                <w:color w:val="auto"/>
                <w:sz w:val="21"/>
                <w:szCs w:val="21"/>
              </w:rPr>
              <w:t>项目名称</w:t>
            </w:r>
          </w:p>
        </w:tc>
        <w:tc>
          <w:tcPr>
            <w:tcW w:w="2124" w:type="dxa"/>
            <w:vMerge w:val="restart"/>
            <w:tcBorders>
              <w:top w:val="single" w:color="000000" w:sz="6" w:space="0"/>
              <w:bottom w:val="nil"/>
            </w:tcBorders>
            <w:vAlign w:val="center"/>
          </w:tcPr>
          <w:p w14:paraId="6884F163">
            <w:pPr>
              <w:pStyle w:val="21"/>
              <w:widowControl w:val="0"/>
              <w:kinsoku/>
              <w:wordWrap w:val="0"/>
              <w:topLinePunct/>
              <w:autoSpaceDE/>
              <w:autoSpaceDN/>
              <w:jc w:val="center"/>
              <w:rPr>
                <w:rFonts w:hint="eastAsia"/>
                <w:color w:val="auto"/>
                <w:sz w:val="21"/>
                <w:szCs w:val="21"/>
              </w:rPr>
            </w:pPr>
            <w:r>
              <w:rPr>
                <w:color w:val="auto"/>
                <w:sz w:val="21"/>
                <w:szCs w:val="21"/>
              </w:rPr>
              <w:t>项目主要特征</w:t>
            </w:r>
          </w:p>
        </w:tc>
        <w:tc>
          <w:tcPr>
            <w:tcW w:w="779" w:type="dxa"/>
            <w:vMerge w:val="restart"/>
            <w:tcBorders>
              <w:top w:val="single" w:color="000000" w:sz="6" w:space="0"/>
              <w:bottom w:val="nil"/>
            </w:tcBorders>
            <w:vAlign w:val="center"/>
          </w:tcPr>
          <w:p w14:paraId="4F2D4A71">
            <w:pPr>
              <w:pStyle w:val="21"/>
              <w:widowControl w:val="0"/>
              <w:kinsoku/>
              <w:wordWrap w:val="0"/>
              <w:topLinePunct/>
              <w:autoSpaceDE/>
              <w:autoSpaceDN/>
              <w:jc w:val="center"/>
              <w:rPr>
                <w:rFonts w:hint="eastAsia"/>
                <w:color w:val="auto"/>
                <w:sz w:val="21"/>
                <w:szCs w:val="21"/>
              </w:rPr>
            </w:pPr>
            <w:r>
              <w:rPr>
                <w:color w:val="auto"/>
                <w:sz w:val="21"/>
                <w:szCs w:val="21"/>
              </w:rPr>
              <w:t>计量</w:t>
            </w:r>
          </w:p>
          <w:p w14:paraId="178DA4F9">
            <w:pPr>
              <w:pStyle w:val="21"/>
              <w:widowControl w:val="0"/>
              <w:kinsoku/>
              <w:wordWrap w:val="0"/>
              <w:topLinePunct/>
              <w:autoSpaceDE/>
              <w:autoSpaceDN/>
              <w:jc w:val="center"/>
              <w:rPr>
                <w:rFonts w:hint="eastAsia"/>
                <w:color w:val="auto"/>
                <w:sz w:val="21"/>
                <w:szCs w:val="21"/>
              </w:rPr>
            </w:pPr>
            <w:r>
              <w:rPr>
                <w:color w:val="auto"/>
                <w:sz w:val="21"/>
                <w:szCs w:val="21"/>
              </w:rPr>
              <w:t>单位</w:t>
            </w:r>
          </w:p>
        </w:tc>
        <w:tc>
          <w:tcPr>
            <w:tcW w:w="825" w:type="dxa"/>
            <w:vMerge w:val="restart"/>
            <w:tcBorders>
              <w:top w:val="single" w:color="000000" w:sz="6" w:space="0"/>
              <w:bottom w:val="nil"/>
            </w:tcBorders>
            <w:vAlign w:val="center"/>
          </w:tcPr>
          <w:p w14:paraId="2FFEA8B8">
            <w:pPr>
              <w:pStyle w:val="21"/>
              <w:widowControl w:val="0"/>
              <w:kinsoku/>
              <w:wordWrap w:val="0"/>
              <w:topLinePunct/>
              <w:autoSpaceDE/>
              <w:autoSpaceDN/>
              <w:jc w:val="center"/>
              <w:rPr>
                <w:rFonts w:hint="eastAsia"/>
                <w:color w:val="auto"/>
                <w:sz w:val="21"/>
                <w:szCs w:val="21"/>
              </w:rPr>
            </w:pPr>
            <w:r>
              <w:rPr>
                <w:color w:val="auto"/>
                <w:sz w:val="21"/>
                <w:szCs w:val="21"/>
              </w:rPr>
              <w:t>工程</w:t>
            </w:r>
          </w:p>
          <w:p w14:paraId="579B6087">
            <w:pPr>
              <w:pStyle w:val="21"/>
              <w:widowControl w:val="0"/>
              <w:kinsoku/>
              <w:wordWrap w:val="0"/>
              <w:topLinePunct/>
              <w:autoSpaceDE/>
              <w:autoSpaceDN/>
              <w:jc w:val="center"/>
              <w:rPr>
                <w:rFonts w:hint="eastAsia"/>
                <w:color w:val="auto"/>
                <w:sz w:val="21"/>
                <w:szCs w:val="21"/>
              </w:rPr>
            </w:pPr>
            <w:r>
              <w:rPr>
                <w:color w:val="auto"/>
                <w:sz w:val="21"/>
                <w:szCs w:val="21"/>
              </w:rPr>
              <w:t>数量</w:t>
            </w:r>
          </w:p>
        </w:tc>
        <w:tc>
          <w:tcPr>
            <w:tcW w:w="2028" w:type="dxa"/>
            <w:gridSpan w:val="2"/>
            <w:tcBorders>
              <w:top w:val="single" w:color="000000" w:sz="6" w:space="0"/>
            </w:tcBorders>
            <w:vAlign w:val="center"/>
          </w:tcPr>
          <w:p w14:paraId="7ED2F208">
            <w:pPr>
              <w:pStyle w:val="21"/>
              <w:widowControl w:val="0"/>
              <w:kinsoku/>
              <w:wordWrap w:val="0"/>
              <w:topLinePunct/>
              <w:autoSpaceDE/>
              <w:autoSpaceDN/>
              <w:jc w:val="center"/>
              <w:rPr>
                <w:rFonts w:hint="eastAsia"/>
                <w:color w:val="auto"/>
                <w:sz w:val="21"/>
                <w:szCs w:val="21"/>
              </w:rPr>
            </w:pPr>
            <w:r>
              <w:rPr>
                <w:color w:val="auto"/>
                <w:sz w:val="21"/>
                <w:szCs w:val="21"/>
              </w:rPr>
              <w:t>单价（元）</w:t>
            </w:r>
          </w:p>
        </w:tc>
        <w:tc>
          <w:tcPr>
            <w:tcW w:w="2033" w:type="dxa"/>
            <w:gridSpan w:val="2"/>
            <w:tcBorders>
              <w:top w:val="single" w:color="000000" w:sz="6" w:space="0"/>
            </w:tcBorders>
            <w:vAlign w:val="center"/>
          </w:tcPr>
          <w:p w14:paraId="7D9C18AF">
            <w:pPr>
              <w:pStyle w:val="21"/>
              <w:widowControl w:val="0"/>
              <w:kinsoku/>
              <w:wordWrap w:val="0"/>
              <w:topLinePunct/>
              <w:autoSpaceDE/>
              <w:autoSpaceDN/>
              <w:jc w:val="center"/>
              <w:rPr>
                <w:rFonts w:hint="eastAsia"/>
                <w:color w:val="auto"/>
                <w:sz w:val="21"/>
                <w:szCs w:val="21"/>
              </w:rPr>
            </w:pPr>
            <w:r>
              <w:rPr>
                <w:color w:val="auto"/>
                <w:sz w:val="21"/>
                <w:szCs w:val="21"/>
              </w:rPr>
              <w:t>合价（元）</w:t>
            </w:r>
          </w:p>
        </w:tc>
        <w:tc>
          <w:tcPr>
            <w:tcW w:w="1273" w:type="dxa"/>
            <w:vMerge w:val="restart"/>
            <w:tcBorders>
              <w:top w:val="single" w:color="000000" w:sz="6" w:space="0"/>
              <w:bottom w:val="nil"/>
            </w:tcBorders>
            <w:vAlign w:val="center"/>
          </w:tcPr>
          <w:p w14:paraId="686BF479">
            <w:pPr>
              <w:pStyle w:val="21"/>
              <w:widowControl w:val="0"/>
              <w:kinsoku/>
              <w:wordWrap w:val="0"/>
              <w:topLinePunct/>
              <w:autoSpaceDE/>
              <w:autoSpaceDN/>
              <w:jc w:val="center"/>
              <w:rPr>
                <w:rFonts w:hint="eastAsia"/>
                <w:color w:val="auto"/>
                <w:sz w:val="21"/>
                <w:szCs w:val="21"/>
              </w:rPr>
            </w:pPr>
            <w:r>
              <w:rPr>
                <w:color w:val="auto"/>
                <w:sz w:val="21"/>
                <w:szCs w:val="21"/>
              </w:rPr>
              <w:t>主要技术条款编码</w:t>
            </w:r>
          </w:p>
        </w:tc>
        <w:tc>
          <w:tcPr>
            <w:tcW w:w="937" w:type="dxa"/>
            <w:vMerge w:val="restart"/>
            <w:tcBorders>
              <w:top w:val="single" w:color="000000" w:sz="6" w:space="0"/>
              <w:bottom w:val="nil"/>
              <w:right w:val="single" w:color="000000" w:sz="6" w:space="0"/>
            </w:tcBorders>
            <w:vAlign w:val="center"/>
          </w:tcPr>
          <w:p w14:paraId="108EAC63">
            <w:pPr>
              <w:widowControl w:val="0"/>
              <w:kinsoku/>
              <w:wordWrap w:val="0"/>
              <w:topLinePunct/>
              <w:autoSpaceDE/>
              <w:autoSpaceDN/>
              <w:jc w:val="center"/>
              <w:rPr>
                <w:color w:val="auto"/>
              </w:rPr>
            </w:pPr>
          </w:p>
          <w:p w14:paraId="4C78110E">
            <w:pPr>
              <w:pStyle w:val="21"/>
              <w:widowControl w:val="0"/>
              <w:kinsoku/>
              <w:wordWrap w:val="0"/>
              <w:topLinePunct/>
              <w:autoSpaceDE/>
              <w:autoSpaceDN/>
              <w:jc w:val="center"/>
              <w:rPr>
                <w:rFonts w:hint="eastAsia"/>
                <w:color w:val="auto"/>
                <w:sz w:val="21"/>
                <w:szCs w:val="21"/>
              </w:rPr>
            </w:pPr>
            <w:r>
              <w:rPr>
                <w:color w:val="auto"/>
                <w:sz w:val="21"/>
                <w:szCs w:val="21"/>
              </w:rPr>
              <w:t>备注</w:t>
            </w:r>
          </w:p>
        </w:tc>
      </w:tr>
      <w:tr w14:paraId="43BC3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839" w:type="dxa"/>
            <w:vMerge w:val="continue"/>
            <w:tcBorders>
              <w:top w:val="nil"/>
              <w:left w:val="single" w:color="000000" w:sz="6" w:space="0"/>
            </w:tcBorders>
            <w:vAlign w:val="center"/>
          </w:tcPr>
          <w:p w14:paraId="05065CA7">
            <w:pPr>
              <w:widowControl w:val="0"/>
              <w:kinsoku/>
              <w:wordWrap w:val="0"/>
              <w:topLinePunct/>
              <w:autoSpaceDE/>
              <w:autoSpaceDN/>
              <w:jc w:val="center"/>
              <w:rPr>
                <w:color w:val="auto"/>
              </w:rPr>
            </w:pPr>
          </w:p>
        </w:tc>
        <w:tc>
          <w:tcPr>
            <w:tcW w:w="1261" w:type="dxa"/>
            <w:vMerge w:val="continue"/>
            <w:tcBorders>
              <w:top w:val="nil"/>
            </w:tcBorders>
            <w:vAlign w:val="center"/>
          </w:tcPr>
          <w:p w14:paraId="601D2E3C">
            <w:pPr>
              <w:widowControl w:val="0"/>
              <w:kinsoku/>
              <w:wordWrap w:val="0"/>
              <w:topLinePunct/>
              <w:autoSpaceDE/>
              <w:autoSpaceDN/>
              <w:jc w:val="center"/>
              <w:rPr>
                <w:color w:val="auto"/>
              </w:rPr>
            </w:pPr>
          </w:p>
        </w:tc>
        <w:tc>
          <w:tcPr>
            <w:tcW w:w="1841" w:type="dxa"/>
            <w:vMerge w:val="continue"/>
            <w:tcBorders>
              <w:top w:val="nil"/>
            </w:tcBorders>
            <w:vAlign w:val="center"/>
          </w:tcPr>
          <w:p w14:paraId="5A839D25">
            <w:pPr>
              <w:widowControl w:val="0"/>
              <w:kinsoku/>
              <w:wordWrap w:val="0"/>
              <w:topLinePunct/>
              <w:autoSpaceDE/>
              <w:autoSpaceDN/>
              <w:jc w:val="center"/>
              <w:rPr>
                <w:color w:val="auto"/>
              </w:rPr>
            </w:pPr>
          </w:p>
        </w:tc>
        <w:tc>
          <w:tcPr>
            <w:tcW w:w="2124" w:type="dxa"/>
            <w:vMerge w:val="continue"/>
            <w:tcBorders>
              <w:top w:val="nil"/>
            </w:tcBorders>
            <w:vAlign w:val="center"/>
          </w:tcPr>
          <w:p w14:paraId="06307D1F">
            <w:pPr>
              <w:widowControl w:val="0"/>
              <w:kinsoku/>
              <w:wordWrap w:val="0"/>
              <w:topLinePunct/>
              <w:autoSpaceDE/>
              <w:autoSpaceDN/>
              <w:jc w:val="center"/>
              <w:rPr>
                <w:color w:val="auto"/>
              </w:rPr>
            </w:pPr>
          </w:p>
        </w:tc>
        <w:tc>
          <w:tcPr>
            <w:tcW w:w="779" w:type="dxa"/>
            <w:vMerge w:val="continue"/>
            <w:tcBorders>
              <w:top w:val="nil"/>
            </w:tcBorders>
            <w:vAlign w:val="center"/>
          </w:tcPr>
          <w:p w14:paraId="0D3CB83A">
            <w:pPr>
              <w:widowControl w:val="0"/>
              <w:kinsoku/>
              <w:wordWrap w:val="0"/>
              <w:topLinePunct/>
              <w:autoSpaceDE/>
              <w:autoSpaceDN/>
              <w:jc w:val="center"/>
              <w:rPr>
                <w:color w:val="auto"/>
              </w:rPr>
            </w:pPr>
          </w:p>
        </w:tc>
        <w:tc>
          <w:tcPr>
            <w:tcW w:w="825" w:type="dxa"/>
            <w:vMerge w:val="continue"/>
            <w:tcBorders>
              <w:top w:val="nil"/>
            </w:tcBorders>
            <w:vAlign w:val="center"/>
          </w:tcPr>
          <w:p w14:paraId="6D7431C1">
            <w:pPr>
              <w:widowControl w:val="0"/>
              <w:kinsoku/>
              <w:wordWrap w:val="0"/>
              <w:topLinePunct/>
              <w:autoSpaceDE/>
              <w:autoSpaceDN/>
              <w:jc w:val="center"/>
              <w:rPr>
                <w:color w:val="auto"/>
              </w:rPr>
            </w:pPr>
          </w:p>
        </w:tc>
        <w:tc>
          <w:tcPr>
            <w:tcW w:w="1014" w:type="dxa"/>
            <w:vAlign w:val="center"/>
          </w:tcPr>
          <w:p w14:paraId="1DA5AB28">
            <w:pPr>
              <w:pStyle w:val="21"/>
              <w:widowControl w:val="0"/>
              <w:kinsoku/>
              <w:wordWrap w:val="0"/>
              <w:topLinePunct/>
              <w:autoSpaceDE/>
              <w:autoSpaceDN/>
              <w:jc w:val="center"/>
              <w:rPr>
                <w:rFonts w:hint="eastAsia"/>
                <w:color w:val="auto"/>
                <w:sz w:val="21"/>
                <w:szCs w:val="21"/>
              </w:rPr>
            </w:pPr>
            <w:r>
              <w:rPr>
                <w:color w:val="auto"/>
                <w:sz w:val="21"/>
                <w:szCs w:val="21"/>
              </w:rPr>
              <w:t>设备费</w:t>
            </w:r>
          </w:p>
        </w:tc>
        <w:tc>
          <w:tcPr>
            <w:tcW w:w="1014" w:type="dxa"/>
            <w:vAlign w:val="center"/>
          </w:tcPr>
          <w:p w14:paraId="77A3E2B0">
            <w:pPr>
              <w:pStyle w:val="21"/>
              <w:widowControl w:val="0"/>
              <w:kinsoku/>
              <w:wordWrap w:val="0"/>
              <w:topLinePunct/>
              <w:autoSpaceDE/>
              <w:autoSpaceDN/>
              <w:jc w:val="center"/>
              <w:rPr>
                <w:rFonts w:hint="eastAsia"/>
                <w:color w:val="auto"/>
                <w:sz w:val="21"/>
                <w:szCs w:val="21"/>
              </w:rPr>
            </w:pPr>
            <w:r>
              <w:rPr>
                <w:color w:val="auto"/>
                <w:sz w:val="21"/>
                <w:szCs w:val="21"/>
              </w:rPr>
              <w:t>安装费</w:t>
            </w:r>
          </w:p>
        </w:tc>
        <w:tc>
          <w:tcPr>
            <w:tcW w:w="1016" w:type="dxa"/>
            <w:vAlign w:val="center"/>
          </w:tcPr>
          <w:p w14:paraId="653C6CE0">
            <w:pPr>
              <w:pStyle w:val="21"/>
              <w:widowControl w:val="0"/>
              <w:kinsoku/>
              <w:wordWrap w:val="0"/>
              <w:topLinePunct/>
              <w:autoSpaceDE/>
              <w:autoSpaceDN/>
              <w:jc w:val="center"/>
              <w:rPr>
                <w:rFonts w:hint="eastAsia"/>
                <w:color w:val="auto"/>
                <w:sz w:val="21"/>
                <w:szCs w:val="21"/>
              </w:rPr>
            </w:pPr>
            <w:r>
              <w:rPr>
                <w:color w:val="auto"/>
                <w:sz w:val="21"/>
                <w:szCs w:val="21"/>
              </w:rPr>
              <w:t>设备费</w:t>
            </w:r>
          </w:p>
        </w:tc>
        <w:tc>
          <w:tcPr>
            <w:tcW w:w="1017" w:type="dxa"/>
            <w:vAlign w:val="center"/>
          </w:tcPr>
          <w:p w14:paraId="5A29BFCA">
            <w:pPr>
              <w:pStyle w:val="21"/>
              <w:widowControl w:val="0"/>
              <w:kinsoku/>
              <w:wordWrap w:val="0"/>
              <w:topLinePunct/>
              <w:autoSpaceDE/>
              <w:autoSpaceDN/>
              <w:jc w:val="center"/>
              <w:rPr>
                <w:rFonts w:hint="eastAsia"/>
                <w:color w:val="auto"/>
                <w:sz w:val="21"/>
                <w:szCs w:val="21"/>
              </w:rPr>
            </w:pPr>
            <w:r>
              <w:rPr>
                <w:color w:val="auto"/>
                <w:sz w:val="21"/>
                <w:szCs w:val="21"/>
              </w:rPr>
              <w:t>安装费</w:t>
            </w:r>
          </w:p>
        </w:tc>
        <w:tc>
          <w:tcPr>
            <w:tcW w:w="1273" w:type="dxa"/>
            <w:vMerge w:val="continue"/>
            <w:tcBorders>
              <w:top w:val="nil"/>
            </w:tcBorders>
            <w:vAlign w:val="center"/>
          </w:tcPr>
          <w:p w14:paraId="0EAF903D">
            <w:pPr>
              <w:widowControl w:val="0"/>
              <w:kinsoku/>
              <w:wordWrap w:val="0"/>
              <w:topLinePunct/>
              <w:autoSpaceDE/>
              <w:autoSpaceDN/>
              <w:jc w:val="center"/>
              <w:rPr>
                <w:color w:val="auto"/>
              </w:rPr>
            </w:pPr>
          </w:p>
        </w:tc>
        <w:tc>
          <w:tcPr>
            <w:tcW w:w="937" w:type="dxa"/>
            <w:vMerge w:val="continue"/>
            <w:tcBorders>
              <w:top w:val="nil"/>
              <w:right w:val="single" w:color="000000" w:sz="6" w:space="0"/>
            </w:tcBorders>
            <w:vAlign w:val="center"/>
          </w:tcPr>
          <w:p w14:paraId="003D1E33">
            <w:pPr>
              <w:widowControl w:val="0"/>
              <w:kinsoku/>
              <w:wordWrap w:val="0"/>
              <w:topLinePunct/>
              <w:autoSpaceDE/>
              <w:autoSpaceDN/>
              <w:jc w:val="center"/>
              <w:rPr>
                <w:color w:val="auto"/>
              </w:rPr>
            </w:pPr>
          </w:p>
        </w:tc>
      </w:tr>
      <w:tr w14:paraId="7022D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39" w:type="dxa"/>
            <w:tcBorders>
              <w:left w:val="single" w:color="000000" w:sz="6" w:space="0"/>
            </w:tcBorders>
            <w:vAlign w:val="center"/>
          </w:tcPr>
          <w:p w14:paraId="2710E4A2">
            <w:pPr>
              <w:widowControl w:val="0"/>
              <w:kinsoku/>
              <w:wordWrap w:val="0"/>
              <w:topLinePunct/>
              <w:autoSpaceDE/>
              <w:autoSpaceDN/>
              <w:jc w:val="center"/>
              <w:rPr>
                <w:color w:val="auto"/>
              </w:rPr>
            </w:pPr>
          </w:p>
        </w:tc>
        <w:tc>
          <w:tcPr>
            <w:tcW w:w="1261" w:type="dxa"/>
            <w:vAlign w:val="center"/>
          </w:tcPr>
          <w:p w14:paraId="4E1FEE9F">
            <w:pPr>
              <w:widowControl w:val="0"/>
              <w:kinsoku/>
              <w:wordWrap w:val="0"/>
              <w:topLinePunct/>
              <w:autoSpaceDE/>
              <w:autoSpaceDN/>
              <w:jc w:val="center"/>
              <w:rPr>
                <w:color w:val="auto"/>
              </w:rPr>
            </w:pPr>
          </w:p>
        </w:tc>
        <w:tc>
          <w:tcPr>
            <w:tcW w:w="1841" w:type="dxa"/>
            <w:vAlign w:val="center"/>
          </w:tcPr>
          <w:p w14:paraId="3A122673">
            <w:pPr>
              <w:widowControl w:val="0"/>
              <w:kinsoku/>
              <w:wordWrap w:val="0"/>
              <w:topLinePunct/>
              <w:autoSpaceDE/>
              <w:autoSpaceDN/>
              <w:jc w:val="center"/>
              <w:rPr>
                <w:color w:val="auto"/>
              </w:rPr>
            </w:pPr>
          </w:p>
        </w:tc>
        <w:tc>
          <w:tcPr>
            <w:tcW w:w="2124" w:type="dxa"/>
            <w:vAlign w:val="center"/>
          </w:tcPr>
          <w:p w14:paraId="6559D7B3">
            <w:pPr>
              <w:widowControl w:val="0"/>
              <w:kinsoku/>
              <w:wordWrap w:val="0"/>
              <w:topLinePunct/>
              <w:autoSpaceDE/>
              <w:autoSpaceDN/>
              <w:jc w:val="center"/>
              <w:rPr>
                <w:color w:val="auto"/>
              </w:rPr>
            </w:pPr>
          </w:p>
        </w:tc>
        <w:tc>
          <w:tcPr>
            <w:tcW w:w="779" w:type="dxa"/>
            <w:vAlign w:val="center"/>
          </w:tcPr>
          <w:p w14:paraId="42B4EAA2">
            <w:pPr>
              <w:widowControl w:val="0"/>
              <w:kinsoku/>
              <w:wordWrap w:val="0"/>
              <w:topLinePunct/>
              <w:autoSpaceDE/>
              <w:autoSpaceDN/>
              <w:jc w:val="center"/>
              <w:rPr>
                <w:color w:val="auto"/>
              </w:rPr>
            </w:pPr>
          </w:p>
        </w:tc>
        <w:tc>
          <w:tcPr>
            <w:tcW w:w="825" w:type="dxa"/>
            <w:vAlign w:val="center"/>
          </w:tcPr>
          <w:p w14:paraId="319A2550">
            <w:pPr>
              <w:widowControl w:val="0"/>
              <w:kinsoku/>
              <w:wordWrap w:val="0"/>
              <w:topLinePunct/>
              <w:autoSpaceDE/>
              <w:autoSpaceDN/>
              <w:jc w:val="center"/>
              <w:rPr>
                <w:color w:val="auto"/>
              </w:rPr>
            </w:pPr>
          </w:p>
        </w:tc>
        <w:tc>
          <w:tcPr>
            <w:tcW w:w="1014" w:type="dxa"/>
            <w:vAlign w:val="center"/>
          </w:tcPr>
          <w:p w14:paraId="01964D73">
            <w:pPr>
              <w:widowControl w:val="0"/>
              <w:kinsoku/>
              <w:wordWrap w:val="0"/>
              <w:topLinePunct/>
              <w:autoSpaceDE/>
              <w:autoSpaceDN/>
              <w:jc w:val="center"/>
              <w:rPr>
                <w:color w:val="auto"/>
              </w:rPr>
            </w:pPr>
          </w:p>
        </w:tc>
        <w:tc>
          <w:tcPr>
            <w:tcW w:w="1014" w:type="dxa"/>
            <w:vAlign w:val="center"/>
          </w:tcPr>
          <w:p w14:paraId="7E25F104">
            <w:pPr>
              <w:widowControl w:val="0"/>
              <w:kinsoku/>
              <w:wordWrap w:val="0"/>
              <w:topLinePunct/>
              <w:autoSpaceDE/>
              <w:autoSpaceDN/>
              <w:jc w:val="center"/>
              <w:rPr>
                <w:color w:val="auto"/>
              </w:rPr>
            </w:pPr>
          </w:p>
        </w:tc>
        <w:tc>
          <w:tcPr>
            <w:tcW w:w="1016" w:type="dxa"/>
            <w:vAlign w:val="center"/>
          </w:tcPr>
          <w:p w14:paraId="109C2829">
            <w:pPr>
              <w:widowControl w:val="0"/>
              <w:kinsoku/>
              <w:wordWrap w:val="0"/>
              <w:topLinePunct/>
              <w:autoSpaceDE/>
              <w:autoSpaceDN/>
              <w:jc w:val="center"/>
              <w:rPr>
                <w:color w:val="auto"/>
              </w:rPr>
            </w:pPr>
          </w:p>
        </w:tc>
        <w:tc>
          <w:tcPr>
            <w:tcW w:w="1017" w:type="dxa"/>
            <w:vAlign w:val="center"/>
          </w:tcPr>
          <w:p w14:paraId="51BD55BB">
            <w:pPr>
              <w:widowControl w:val="0"/>
              <w:kinsoku/>
              <w:wordWrap w:val="0"/>
              <w:topLinePunct/>
              <w:autoSpaceDE/>
              <w:autoSpaceDN/>
              <w:jc w:val="center"/>
              <w:rPr>
                <w:color w:val="auto"/>
              </w:rPr>
            </w:pPr>
          </w:p>
        </w:tc>
        <w:tc>
          <w:tcPr>
            <w:tcW w:w="1273" w:type="dxa"/>
            <w:vAlign w:val="center"/>
          </w:tcPr>
          <w:p w14:paraId="678EC08C">
            <w:pPr>
              <w:widowControl w:val="0"/>
              <w:kinsoku/>
              <w:wordWrap w:val="0"/>
              <w:topLinePunct/>
              <w:autoSpaceDE/>
              <w:autoSpaceDN/>
              <w:jc w:val="center"/>
              <w:rPr>
                <w:color w:val="auto"/>
              </w:rPr>
            </w:pPr>
          </w:p>
        </w:tc>
        <w:tc>
          <w:tcPr>
            <w:tcW w:w="937" w:type="dxa"/>
            <w:tcBorders>
              <w:right w:val="single" w:color="000000" w:sz="6" w:space="0"/>
            </w:tcBorders>
            <w:vAlign w:val="center"/>
          </w:tcPr>
          <w:p w14:paraId="6A7D9DFD">
            <w:pPr>
              <w:widowControl w:val="0"/>
              <w:kinsoku/>
              <w:wordWrap w:val="0"/>
              <w:topLinePunct/>
              <w:autoSpaceDE/>
              <w:autoSpaceDN/>
              <w:jc w:val="center"/>
              <w:rPr>
                <w:color w:val="auto"/>
              </w:rPr>
            </w:pPr>
          </w:p>
        </w:tc>
      </w:tr>
      <w:tr w14:paraId="37E32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03DEBEDD">
            <w:pPr>
              <w:widowControl w:val="0"/>
              <w:kinsoku/>
              <w:wordWrap w:val="0"/>
              <w:topLinePunct/>
              <w:autoSpaceDE/>
              <w:autoSpaceDN/>
              <w:jc w:val="center"/>
              <w:rPr>
                <w:color w:val="auto"/>
              </w:rPr>
            </w:pPr>
          </w:p>
        </w:tc>
        <w:tc>
          <w:tcPr>
            <w:tcW w:w="1261" w:type="dxa"/>
            <w:vAlign w:val="center"/>
          </w:tcPr>
          <w:p w14:paraId="134CD451">
            <w:pPr>
              <w:widowControl w:val="0"/>
              <w:kinsoku/>
              <w:wordWrap w:val="0"/>
              <w:topLinePunct/>
              <w:autoSpaceDE/>
              <w:autoSpaceDN/>
              <w:jc w:val="center"/>
              <w:rPr>
                <w:color w:val="auto"/>
              </w:rPr>
            </w:pPr>
          </w:p>
        </w:tc>
        <w:tc>
          <w:tcPr>
            <w:tcW w:w="1841" w:type="dxa"/>
            <w:vAlign w:val="center"/>
          </w:tcPr>
          <w:p w14:paraId="0579EB77">
            <w:pPr>
              <w:widowControl w:val="0"/>
              <w:kinsoku/>
              <w:wordWrap w:val="0"/>
              <w:topLinePunct/>
              <w:autoSpaceDE/>
              <w:autoSpaceDN/>
              <w:jc w:val="center"/>
              <w:rPr>
                <w:color w:val="auto"/>
              </w:rPr>
            </w:pPr>
          </w:p>
        </w:tc>
        <w:tc>
          <w:tcPr>
            <w:tcW w:w="2124" w:type="dxa"/>
            <w:vAlign w:val="center"/>
          </w:tcPr>
          <w:p w14:paraId="314AE503">
            <w:pPr>
              <w:widowControl w:val="0"/>
              <w:kinsoku/>
              <w:wordWrap w:val="0"/>
              <w:topLinePunct/>
              <w:autoSpaceDE/>
              <w:autoSpaceDN/>
              <w:jc w:val="center"/>
              <w:rPr>
                <w:color w:val="auto"/>
              </w:rPr>
            </w:pPr>
          </w:p>
        </w:tc>
        <w:tc>
          <w:tcPr>
            <w:tcW w:w="779" w:type="dxa"/>
            <w:vAlign w:val="center"/>
          </w:tcPr>
          <w:p w14:paraId="21406115">
            <w:pPr>
              <w:widowControl w:val="0"/>
              <w:kinsoku/>
              <w:wordWrap w:val="0"/>
              <w:topLinePunct/>
              <w:autoSpaceDE/>
              <w:autoSpaceDN/>
              <w:jc w:val="center"/>
              <w:rPr>
                <w:color w:val="auto"/>
              </w:rPr>
            </w:pPr>
          </w:p>
        </w:tc>
        <w:tc>
          <w:tcPr>
            <w:tcW w:w="825" w:type="dxa"/>
            <w:vAlign w:val="center"/>
          </w:tcPr>
          <w:p w14:paraId="3DD936EC">
            <w:pPr>
              <w:widowControl w:val="0"/>
              <w:kinsoku/>
              <w:wordWrap w:val="0"/>
              <w:topLinePunct/>
              <w:autoSpaceDE/>
              <w:autoSpaceDN/>
              <w:jc w:val="center"/>
              <w:rPr>
                <w:color w:val="auto"/>
              </w:rPr>
            </w:pPr>
          </w:p>
        </w:tc>
        <w:tc>
          <w:tcPr>
            <w:tcW w:w="1014" w:type="dxa"/>
            <w:vAlign w:val="center"/>
          </w:tcPr>
          <w:p w14:paraId="511CE2D6">
            <w:pPr>
              <w:widowControl w:val="0"/>
              <w:kinsoku/>
              <w:wordWrap w:val="0"/>
              <w:topLinePunct/>
              <w:autoSpaceDE/>
              <w:autoSpaceDN/>
              <w:jc w:val="center"/>
              <w:rPr>
                <w:color w:val="auto"/>
              </w:rPr>
            </w:pPr>
          </w:p>
        </w:tc>
        <w:tc>
          <w:tcPr>
            <w:tcW w:w="1014" w:type="dxa"/>
            <w:vAlign w:val="center"/>
          </w:tcPr>
          <w:p w14:paraId="5C37032F">
            <w:pPr>
              <w:widowControl w:val="0"/>
              <w:kinsoku/>
              <w:wordWrap w:val="0"/>
              <w:topLinePunct/>
              <w:autoSpaceDE/>
              <w:autoSpaceDN/>
              <w:jc w:val="center"/>
              <w:rPr>
                <w:color w:val="auto"/>
              </w:rPr>
            </w:pPr>
          </w:p>
        </w:tc>
        <w:tc>
          <w:tcPr>
            <w:tcW w:w="1016" w:type="dxa"/>
            <w:vAlign w:val="center"/>
          </w:tcPr>
          <w:p w14:paraId="4581FAF0">
            <w:pPr>
              <w:widowControl w:val="0"/>
              <w:kinsoku/>
              <w:wordWrap w:val="0"/>
              <w:topLinePunct/>
              <w:autoSpaceDE/>
              <w:autoSpaceDN/>
              <w:jc w:val="center"/>
              <w:rPr>
                <w:color w:val="auto"/>
              </w:rPr>
            </w:pPr>
          </w:p>
        </w:tc>
        <w:tc>
          <w:tcPr>
            <w:tcW w:w="1017" w:type="dxa"/>
            <w:vAlign w:val="center"/>
          </w:tcPr>
          <w:p w14:paraId="2684B35D">
            <w:pPr>
              <w:widowControl w:val="0"/>
              <w:kinsoku/>
              <w:wordWrap w:val="0"/>
              <w:topLinePunct/>
              <w:autoSpaceDE/>
              <w:autoSpaceDN/>
              <w:jc w:val="center"/>
              <w:rPr>
                <w:color w:val="auto"/>
              </w:rPr>
            </w:pPr>
          </w:p>
        </w:tc>
        <w:tc>
          <w:tcPr>
            <w:tcW w:w="1273" w:type="dxa"/>
            <w:vAlign w:val="center"/>
          </w:tcPr>
          <w:p w14:paraId="4BE1B905">
            <w:pPr>
              <w:widowControl w:val="0"/>
              <w:kinsoku/>
              <w:wordWrap w:val="0"/>
              <w:topLinePunct/>
              <w:autoSpaceDE/>
              <w:autoSpaceDN/>
              <w:jc w:val="center"/>
              <w:rPr>
                <w:color w:val="auto"/>
              </w:rPr>
            </w:pPr>
          </w:p>
        </w:tc>
        <w:tc>
          <w:tcPr>
            <w:tcW w:w="937" w:type="dxa"/>
            <w:tcBorders>
              <w:right w:val="single" w:color="000000" w:sz="6" w:space="0"/>
            </w:tcBorders>
            <w:vAlign w:val="center"/>
          </w:tcPr>
          <w:p w14:paraId="2D83E489">
            <w:pPr>
              <w:widowControl w:val="0"/>
              <w:kinsoku/>
              <w:wordWrap w:val="0"/>
              <w:topLinePunct/>
              <w:autoSpaceDE/>
              <w:autoSpaceDN/>
              <w:jc w:val="center"/>
              <w:rPr>
                <w:color w:val="auto"/>
              </w:rPr>
            </w:pPr>
          </w:p>
        </w:tc>
      </w:tr>
      <w:tr w14:paraId="0D321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218C9EDB">
            <w:pPr>
              <w:widowControl w:val="0"/>
              <w:kinsoku/>
              <w:wordWrap w:val="0"/>
              <w:topLinePunct/>
              <w:autoSpaceDE/>
              <w:autoSpaceDN/>
              <w:jc w:val="center"/>
              <w:rPr>
                <w:color w:val="auto"/>
              </w:rPr>
            </w:pPr>
          </w:p>
        </w:tc>
        <w:tc>
          <w:tcPr>
            <w:tcW w:w="1261" w:type="dxa"/>
            <w:vAlign w:val="center"/>
          </w:tcPr>
          <w:p w14:paraId="2AB70017">
            <w:pPr>
              <w:widowControl w:val="0"/>
              <w:kinsoku/>
              <w:wordWrap w:val="0"/>
              <w:topLinePunct/>
              <w:autoSpaceDE/>
              <w:autoSpaceDN/>
              <w:jc w:val="center"/>
              <w:rPr>
                <w:color w:val="auto"/>
              </w:rPr>
            </w:pPr>
          </w:p>
        </w:tc>
        <w:tc>
          <w:tcPr>
            <w:tcW w:w="1841" w:type="dxa"/>
            <w:vAlign w:val="center"/>
          </w:tcPr>
          <w:p w14:paraId="498B459A">
            <w:pPr>
              <w:widowControl w:val="0"/>
              <w:kinsoku/>
              <w:wordWrap w:val="0"/>
              <w:topLinePunct/>
              <w:autoSpaceDE/>
              <w:autoSpaceDN/>
              <w:jc w:val="center"/>
              <w:rPr>
                <w:color w:val="auto"/>
              </w:rPr>
            </w:pPr>
          </w:p>
        </w:tc>
        <w:tc>
          <w:tcPr>
            <w:tcW w:w="2124" w:type="dxa"/>
            <w:vAlign w:val="center"/>
          </w:tcPr>
          <w:p w14:paraId="7EF9F737">
            <w:pPr>
              <w:widowControl w:val="0"/>
              <w:kinsoku/>
              <w:wordWrap w:val="0"/>
              <w:topLinePunct/>
              <w:autoSpaceDE/>
              <w:autoSpaceDN/>
              <w:jc w:val="center"/>
              <w:rPr>
                <w:color w:val="auto"/>
              </w:rPr>
            </w:pPr>
          </w:p>
        </w:tc>
        <w:tc>
          <w:tcPr>
            <w:tcW w:w="779" w:type="dxa"/>
            <w:vAlign w:val="center"/>
          </w:tcPr>
          <w:p w14:paraId="568DE3C1">
            <w:pPr>
              <w:widowControl w:val="0"/>
              <w:kinsoku/>
              <w:wordWrap w:val="0"/>
              <w:topLinePunct/>
              <w:autoSpaceDE/>
              <w:autoSpaceDN/>
              <w:jc w:val="center"/>
              <w:rPr>
                <w:color w:val="auto"/>
              </w:rPr>
            </w:pPr>
          </w:p>
        </w:tc>
        <w:tc>
          <w:tcPr>
            <w:tcW w:w="825" w:type="dxa"/>
            <w:vAlign w:val="center"/>
          </w:tcPr>
          <w:p w14:paraId="1C6736D0">
            <w:pPr>
              <w:widowControl w:val="0"/>
              <w:kinsoku/>
              <w:wordWrap w:val="0"/>
              <w:topLinePunct/>
              <w:autoSpaceDE/>
              <w:autoSpaceDN/>
              <w:jc w:val="center"/>
              <w:rPr>
                <w:color w:val="auto"/>
              </w:rPr>
            </w:pPr>
          </w:p>
        </w:tc>
        <w:tc>
          <w:tcPr>
            <w:tcW w:w="1014" w:type="dxa"/>
            <w:vAlign w:val="center"/>
          </w:tcPr>
          <w:p w14:paraId="3EAE78EB">
            <w:pPr>
              <w:widowControl w:val="0"/>
              <w:kinsoku/>
              <w:wordWrap w:val="0"/>
              <w:topLinePunct/>
              <w:autoSpaceDE/>
              <w:autoSpaceDN/>
              <w:jc w:val="center"/>
              <w:rPr>
                <w:color w:val="auto"/>
              </w:rPr>
            </w:pPr>
          </w:p>
        </w:tc>
        <w:tc>
          <w:tcPr>
            <w:tcW w:w="1014" w:type="dxa"/>
            <w:vAlign w:val="center"/>
          </w:tcPr>
          <w:p w14:paraId="4661A16B">
            <w:pPr>
              <w:widowControl w:val="0"/>
              <w:kinsoku/>
              <w:wordWrap w:val="0"/>
              <w:topLinePunct/>
              <w:autoSpaceDE/>
              <w:autoSpaceDN/>
              <w:jc w:val="center"/>
              <w:rPr>
                <w:color w:val="auto"/>
              </w:rPr>
            </w:pPr>
          </w:p>
        </w:tc>
        <w:tc>
          <w:tcPr>
            <w:tcW w:w="1016" w:type="dxa"/>
            <w:vAlign w:val="center"/>
          </w:tcPr>
          <w:p w14:paraId="2A7A5BBE">
            <w:pPr>
              <w:widowControl w:val="0"/>
              <w:kinsoku/>
              <w:wordWrap w:val="0"/>
              <w:topLinePunct/>
              <w:autoSpaceDE/>
              <w:autoSpaceDN/>
              <w:jc w:val="center"/>
              <w:rPr>
                <w:color w:val="auto"/>
              </w:rPr>
            </w:pPr>
          </w:p>
        </w:tc>
        <w:tc>
          <w:tcPr>
            <w:tcW w:w="1017" w:type="dxa"/>
            <w:vAlign w:val="center"/>
          </w:tcPr>
          <w:p w14:paraId="331E41A5">
            <w:pPr>
              <w:widowControl w:val="0"/>
              <w:kinsoku/>
              <w:wordWrap w:val="0"/>
              <w:topLinePunct/>
              <w:autoSpaceDE/>
              <w:autoSpaceDN/>
              <w:jc w:val="center"/>
              <w:rPr>
                <w:color w:val="auto"/>
              </w:rPr>
            </w:pPr>
          </w:p>
        </w:tc>
        <w:tc>
          <w:tcPr>
            <w:tcW w:w="1273" w:type="dxa"/>
            <w:vAlign w:val="center"/>
          </w:tcPr>
          <w:p w14:paraId="2AC92492">
            <w:pPr>
              <w:widowControl w:val="0"/>
              <w:kinsoku/>
              <w:wordWrap w:val="0"/>
              <w:topLinePunct/>
              <w:autoSpaceDE/>
              <w:autoSpaceDN/>
              <w:jc w:val="center"/>
              <w:rPr>
                <w:color w:val="auto"/>
              </w:rPr>
            </w:pPr>
          </w:p>
        </w:tc>
        <w:tc>
          <w:tcPr>
            <w:tcW w:w="937" w:type="dxa"/>
            <w:tcBorders>
              <w:right w:val="single" w:color="000000" w:sz="6" w:space="0"/>
            </w:tcBorders>
            <w:vAlign w:val="center"/>
          </w:tcPr>
          <w:p w14:paraId="018CAF6A">
            <w:pPr>
              <w:widowControl w:val="0"/>
              <w:kinsoku/>
              <w:wordWrap w:val="0"/>
              <w:topLinePunct/>
              <w:autoSpaceDE/>
              <w:autoSpaceDN/>
              <w:jc w:val="center"/>
              <w:rPr>
                <w:color w:val="auto"/>
              </w:rPr>
            </w:pPr>
          </w:p>
        </w:tc>
      </w:tr>
      <w:tr w14:paraId="6DB88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55785E75">
            <w:pPr>
              <w:widowControl w:val="0"/>
              <w:kinsoku/>
              <w:wordWrap w:val="0"/>
              <w:topLinePunct/>
              <w:autoSpaceDE/>
              <w:autoSpaceDN/>
              <w:jc w:val="center"/>
              <w:rPr>
                <w:color w:val="auto"/>
              </w:rPr>
            </w:pPr>
          </w:p>
        </w:tc>
        <w:tc>
          <w:tcPr>
            <w:tcW w:w="1261" w:type="dxa"/>
            <w:vAlign w:val="center"/>
          </w:tcPr>
          <w:p w14:paraId="05CC8457">
            <w:pPr>
              <w:widowControl w:val="0"/>
              <w:kinsoku/>
              <w:wordWrap w:val="0"/>
              <w:topLinePunct/>
              <w:autoSpaceDE/>
              <w:autoSpaceDN/>
              <w:jc w:val="center"/>
              <w:rPr>
                <w:color w:val="auto"/>
              </w:rPr>
            </w:pPr>
          </w:p>
        </w:tc>
        <w:tc>
          <w:tcPr>
            <w:tcW w:w="1841" w:type="dxa"/>
            <w:vAlign w:val="center"/>
          </w:tcPr>
          <w:p w14:paraId="11FDA086">
            <w:pPr>
              <w:widowControl w:val="0"/>
              <w:kinsoku/>
              <w:wordWrap w:val="0"/>
              <w:topLinePunct/>
              <w:autoSpaceDE/>
              <w:autoSpaceDN/>
              <w:jc w:val="center"/>
              <w:rPr>
                <w:color w:val="auto"/>
              </w:rPr>
            </w:pPr>
          </w:p>
        </w:tc>
        <w:tc>
          <w:tcPr>
            <w:tcW w:w="2124" w:type="dxa"/>
            <w:vAlign w:val="center"/>
          </w:tcPr>
          <w:p w14:paraId="4A0400E2">
            <w:pPr>
              <w:widowControl w:val="0"/>
              <w:kinsoku/>
              <w:wordWrap w:val="0"/>
              <w:topLinePunct/>
              <w:autoSpaceDE/>
              <w:autoSpaceDN/>
              <w:jc w:val="center"/>
              <w:rPr>
                <w:color w:val="auto"/>
              </w:rPr>
            </w:pPr>
          </w:p>
        </w:tc>
        <w:tc>
          <w:tcPr>
            <w:tcW w:w="779" w:type="dxa"/>
            <w:vAlign w:val="center"/>
          </w:tcPr>
          <w:p w14:paraId="16A2AD87">
            <w:pPr>
              <w:widowControl w:val="0"/>
              <w:kinsoku/>
              <w:wordWrap w:val="0"/>
              <w:topLinePunct/>
              <w:autoSpaceDE/>
              <w:autoSpaceDN/>
              <w:jc w:val="center"/>
              <w:rPr>
                <w:color w:val="auto"/>
              </w:rPr>
            </w:pPr>
          </w:p>
        </w:tc>
        <w:tc>
          <w:tcPr>
            <w:tcW w:w="825" w:type="dxa"/>
            <w:vAlign w:val="center"/>
          </w:tcPr>
          <w:p w14:paraId="79E7DC32">
            <w:pPr>
              <w:widowControl w:val="0"/>
              <w:kinsoku/>
              <w:wordWrap w:val="0"/>
              <w:topLinePunct/>
              <w:autoSpaceDE/>
              <w:autoSpaceDN/>
              <w:jc w:val="center"/>
              <w:rPr>
                <w:color w:val="auto"/>
              </w:rPr>
            </w:pPr>
          </w:p>
        </w:tc>
        <w:tc>
          <w:tcPr>
            <w:tcW w:w="1014" w:type="dxa"/>
            <w:vAlign w:val="center"/>
          </w:tcPr>
          <w:p w14:paraId="4EF7674B">
            <w:pPr>
              <w:widowControl w:val="0"/>
              <w:kinsoku/>
              <w:wordWrap w:val="0"/>
              <w:topLinePunct/>
              <w:autoSpaceDE/>
              <w:autoSpaceDN/>
              <w:jc w:val="center"/>
              <w:rPr>
                <w:color w:val="auto"/>
              </w:rPr>
            </w:pPr>
          </w:p>
        </w:tc>
        <w:tc>
          <w:tcPr>
            <w:tcW w:w="1014" w:type="dxa"/>
            <w:vAlign w:val="center"/>
          </w:tcPr>
          <w:p w14:paraId="04428F47">
            <w:pPr>
              <w:widowControl w:val="0"/>
              <w:kinsoku/>
              <w:wordWrap w:val="0"/>
              <w:topLinePunct/>
              <w:autoSpaceDE/>
              <w:autoSpaceDN/>
              <w:jc w:val="center"/>
              <w:rPr>
                <w:color w:val="auto"/>
              </w:rPr>
            </w:pPr>
          </w:p>
        </w:tc>
        <w:tc>
          <w:tcPr>
            <w:tcW w:w="1016" w:type="dxa"/>
            <w:vAlign w:val="center"/>
          </w:tcPr>
          <w:p w14:paraId="087F40E8">
            <w:pPr>
              <w:widowControl w:val="0"/>
              <w:kinsoku/>
              <w:wordWrap w:val="0"/>
              <w:topLinePunct/>
              <w:autoSpaceDE/>
              <w:autoSpaceDN/>
              <w:jc w:val="center"/>
              <w:rPr>
                <w:color w:val="auto"/>
              </w:rPr>
            </w:pPr>
          </w:p>
        </w:tc>
        <w:tc>
          <w:tcPr>
            <w:tcW w:w="1017" w:type="dxa"/>
            <w:vAlign w:val="center"/>
          </w:tcPr>
          <w:p w14:paraId="14E9BAE8">
            <w:pPr>
              <w:widowControl w:val="0"/>
              <w:kinsoku/>
              <w:wordWrap w:val="0"/>
              <w:topLinePunct/>
              <w:autoSpaceDE/>
              <w:autoSpaceDN/>
              <w:jc w:val="center"/>
              <w:rPr>
                <w:color w:val="auto"/>
              </w:rPr>
            </w:pPr>
          </w:p>
        </w:tc>
        <w:tc>
          <w:tcPr>
            <w:tcW w:w="1273" w:type="dxa"/>
            <w:vAlign w:val="center"/>
          </w:tcPr>
          <w:p w14:paraId="65B419B7">
            <w:pPr>
              <w:widowControl w:val="0"/>
              <w:kinsoku/>
              <w:wordWrap w:val="0"/>
              <w:topLinePunct/>
              <w:autoSpaceDE/>
              <w:autoSpaceDN/>
              <w:jc w:val="center"/>
              <w:rPr>
                <w:color w:val="auto"/>
              </w:rPr>
            </w:pPr>
          </w:p>
        </w:tc>
        <w:tc>
          <w:tcPr>
            <w:tcW w:w="937" w:type="dxa"/>
            <w:tcBorders>
              <w:right w:val="single" w:color="000000" w:sz="6" w:space="0"/>
            </w:tcBorders>
            <w:vAlign w:val="center"/>
          </w:tcPr>
          <w:p w14:paraId="494B6D9A">
            <w:pPr>
              <w:widowControl w:val="0"/>
              <w:kinsoku/>
              <w:wordWrap w:val="0"/>
              <w:topLinePunct/>
              <w:autoSpaceDE/>
              <w:autoSpaceDN/>
              <w:jc w:val="center"/>
              <w:rPr>
                <w:color w:val="auto"/>
              </w:rPr>
            </w:pPr>
          </w:p>
        </w:tc>
      </w:tr>
      <w:tr w14:paraId="520BC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5BB5B794">
            <w:pPr>
              <w:widowControl w:val="0"/>
              <w:kinsoku/>
              <w:wordWrap w:val="0"/>
              <w:topLinePunct/>
              <w:autoSpaceDE/>
              <w:autoSpaceDN/>
              <w:jc w:val="center"/>
              <w:rPr>
                <w:color w:val="auto"/>
              </w:rPr>
            </w:pPr>
          </w:p>
        </w:tc>
        <w:tc>
          <w:tcPr>
            <w:tcW w:w="1261" w:type="dxa"/>
            <w:vAlign w:val="center"/>
          </w:tcPr>
          <w:p w14:paraId="655085C0">
            <w:pPr>
              <w:widowControl w:val="0"/>
              <w:kinsoku/>
              <w:wordWrap w:val="0"/>
              <w:topLinePunct/>
              <w:autoSpaceDE/>
              <w:autoSpaceDN/>
              <w:jc w:val="center"/>
              <w:rPr>
                <w:color w:val="auto"/>
              </w:rPr>
            </w:pPr>
          </w:p>
        </w:tc>
        <w:tc>
          <w:tcPr>
            <w:tcW w:w="1841" w:type="dxa"/>
            <w:vAlign w:val="center"/>
          </w:tcPr>
          <w:p w14:paraId="5D28008C">
            <w:pPr>
              <w:widowControl w:val="0"/>
              <w:kinsoku/>
              <w:wordWrap w:val="0"/>
              <w:topLinePunct/>
              <w:autoSpaceDE/>
              <w:autoSpaceDN/>
              <w:jc w:val="center"/>
              <w:rPr>
                <w:color w:val="auto"/>
              </w:rPr>
            </w:pPr>
          </w:p>
        </w:tc>
        <w:tc>
          <w:tcPr>
            <w:tcW w:w="2124" w:type="dxa"/>
            <w:vAlign w:val="center"/>
          </w:tcPr>
          <w:p w14:paraId="62A9E6FB">
            <w:pPr>
              <w:widowControl w:val="0"/>
              <w:kinsoku/>
              <w:wordWrap w:val="0"/>
              <w:topLinePunct/>
              <w:autoSpaceDE/>
              <w:autoSpaceDN/>
              <w:jc w:val="center"/>
              <w:rPr>
                <w:color w:val="auto"/>
              </w:rPr>
            </w:pPr>
          </w:p>
        </w:tc>
        <w:tc>
          <w:tcPr>
            <w:tcW w:w="779" w:type="dxa"/>
            <w:vAlign w:val="center"/>
          </w:tcPr>
          <w:p w14:paraId="2B0F0925">
            <w:pPr>
              <w:widowControl w:val="0"/>
              <w:kinsoku/>
              <w:wordWrap w:val="0"/>
              <w:topLinePunct/>
              <w:autoSpaceDE/>
              <w:autoSpaceDN/>
              <w:jc w:val="center"/>
              <w:rPr>
                <w:color w:val="auto"/>
              </w:rPr>
            </w:pPr>
          </w:p>
        </w:tc>
        <w:tc>
          <w:tcPr>
            <w:tcW w:w="825" w:type="dxa"/>
            <w:vAlign w:val="center"/>
          </w:tcPr>
          <w:p w14:paraId="7ADEA1BC">
            <w:pPr>
              <w:widowControl w:val="0"/>
              <w:kinsoku/>
              <w:wordWrap w:val="0"/>
              <w:topLinePunct/>
              <w:autoSpaceDE/>
              <w:autoSpaceDN/>
              <w:jc w:val="center"/>
              <w:rPr>
                <w:color w:val="auto"/>
              </w:rPr>
            </w:pPr>
          </w:p>
        </w:tc>
        <w:tc>
          <w:tcPr>
            <w:tcW w:w="1014" w:type="dxa"/>
            <w:vAlign w:val="center"/>
          </w:tcPr>
          <w:p w14:paraId="49EFAC92">
            <w:pPr>
              <w:widowControl w:val="0"/>
              <w:kinsoku/>
              <w:wordWrap w:val="0"/>
              <w:topLinePunct/>
              <w:autoSpaceDE/>
              <w:autoSpaceDN/>
              <w:jc w:val="center"/>
              <w:rPr>
                <w:color w:val="auto"/>
              </w:rPr>
            </w:pPr>
          </w:p>
        </w:tc>
        <w:tc>
          <w:tcPr>
            <w:tcW w:w="1014" w:type="dxa"/>
            <w:vAlign w:val="center"/>
          </w:tcPr>
          <w:p w14:paraId="0ABC3FE0">
            <w:pPr>
              <w:widowControl w:val="0"/>
              <w:kinsoku/>
              <w:wordWrap w:val="0"/>
              <w:topLinePunct/>
              <w:autoSpaceDE/>
              <w:autoSpaceDN/>
              <w:jc w:val="center"/>
              <w:rPr>
                <w:color w:val="auto"/>
              </w:rPr>
            </w:pPr>
          </w:p>
        </w:tc>
        <w:tc>
          <w:tcPr>
            <w:tcW w:w="1016" w:type="dxa"/>
            <w:vAlign w:val="center"/>
          </w:tcPr>
          <w:p w14:paraId="72EB17E3">
            <w:pPr>
              <w:widowControl w:val="0"/>
              <w:kinsoku/>
              <w:wordWrap w:val="0"/>
              <w:topLinePunct/>
              <w:autoSpaceDE/>
              <w:autoSpaceDN/>
              <w:jc w:val="center"/>
              <w:rPr>
                <w:color w:val="auto"/>
              </w:rPr>
            </w:pPr>
          </w:p>
        </w:tc>
        <w:tc>
          <w:tcPr>
            <w:tcW w:w="1017" w:type="dxa"/>
            <w:vAlign w:val="center"/>
          </w:tcPr>
          <w:p w14:paraId="4000636A">
            <w:pPr>
              <w:widowControl w:val="0"/>
              <w:kinsoku/>
              <w:wordWrap w:val="0"/>
              <w:topLinePunct/>
              <w:autoSpaceDE/>
              <w:autoSpaceDN/>
              <w:jc w:val="center"/>
              <w:rPr>
                <w:color w:val="auto"/>
              </w:rPr>
            </w:pPr>
          </w:p>
        </w:tc>
        <w:tc>
          <w:tcPr>
            <w:tcW w:w="1273" w:type="dxa"/>
            <w:vAlign w:val="center"/>
          </w:tcPr>
          <w:p w14:paraId="69F2AE66">
            <w:pPr>
              <w:widowControl w:val="0"/>
              <w:kinsoku/>
              <w:wordWrap w:val="0"/>
              <w:topLinePunct/>
              <w:autoSpaceDE/>
              <w:autoSpaceDN/>
              <w:jc w:val="center"/>
              <w:rPr>
                <w:color w:val="auto"/>
              </w:rPr>
            </w:pPr>
          </w:p>
        </w:tc>
        <w:tc>
          <w:tcPr>
            <w:tcW w:w="937" w:type="dxa"/>
            <w:tcBorders>
              <w:right w:val="single" w:color="000000" w:sz="6" w:space="0"/>
            </w:tcBorders>
            <w:vAlign w:val="center"/>
          </w:tcPr>
          <w:p w14:paraId="1E19778B">
            <w:pPr>
              <w:widowControl w:val="0"/>
              <w:kinsoku/>
              <w:wordWrap w:val="0"/>
              <w:topLinePunct/>
              <w:autoSpaceDE/>
              <w:autoSpaceDN/>
              <w:jc w:val="center"/>
              <w:rPr>
                <w:color w:val="auto"/>
              </w:rPr>
            </w:pPr>
          </w:p>
        </w:tc>
      </w:tr>
      <w:tr w14:paraId="674BD0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28B696F5">
            <w:pPr>
              <w:widowControl w:val="0"/>
              <w:kinsoku/>
              <w:wordWrap w:val="0"/>
              <w:topLinePunct/>
              <w:autoSpaceDE/>
              <w:autoSpaceDN/>
              <w:jc w:val="center"/>
              <w:rPr>
                <w:color w:val="auto"/>
              </w:rPr>
            </w:pPr>
          </w:p>
        </w:tc>
        <w:tc>
          <w:tcPr>
            <w:tcW w:w="1261" w:type="dxa"/>
            <w:vAlign w:val="center"/>
          </w:tcPr>
          <w:p w14:paraId="7FCA0300">
            <w:pPr>
              <w:widowControl w:val="0"/>
              <w:kinsoku/>
              <w:wordWrap w:val="0"/>
              <w:topLinePunct/>
              <w:autoSpaceDE/>
              <w:autoSpaceDN/>
              <w:jc w:val="center"/>
              <w:rPr>
                <w:color w:val="auto"/>
              </w:rPr>
            </w:pPr>
          </w:p>
        </w:tc>
        <w:tc>
          <w:tcPr>
            <w:tcW w:w="1841" w:type="dxa"/>
            <w:vAlign w:val="center"/>
          </w:tcPr>
          <w:p w14:paraId="03E21A94">
            <w:pPr>
              <w:widowControl w:val="0"/>
              <w:kinsoku/>
              <w:wordWrap w:val="0"/>
              <w:topLinePunct/>
              <w:autoSpaceDE/>
              <w:autoSpaceDN/>
              <w:jc w:val="center"/>
              <w:rPr>
                <w:color w:val="auto"/>
              </w:rPr>
            </w:pPr>
          </w:p>
        </w:tc>
        <w:tc>
          <w:tcPr>
            <w:tcW w:w="2124" w:type="dxa"/>
            <w:vAlign w:val="center"/>
          </w:tcPr>
          <w:p w14:paraId="142251BF">
            <w:pPr>
              <w:widowControl w:val="0"/>
              <w:kinsoku/>
              <w:wordWrap w:val="0"/>
              <w:topLinePunct/>
              <w:autoSpaceDE/>
              <w:autoSpaceDN/>
              <w:jc w:val="center"/>
              <w:rPr>
                <w:color w:val="auto"/>
              </w:rPr>
            </w:pPr>
          </w:p>
        </w:tc>
        <w:tc>
          <w:tcPr>
            <w:tcW w:w="779" w:type="dxa"/>
            <w:vAlign w:val="center"/>
          </w:tcPr>
          <w:p w14:paraId="03A6C5C9">
            <w:pPr>
              <w:widowControl w:val="0"/>
              <w:kinsoku/>
              <w:wordWrap w:val="0"/>
              <w:topLinePunct/>
              <w:autoSpaceDE/>
              <w:autoSpaceDN/>
              <w:jc w:val="center"/>
              <w:rPr>
                <w:color w:val="auto"/>
              </w:rPr>
            </w:pPr>
          </w:p>
        </w:tc>
        <w:tc>
          <w:tcPr>
            <w:tcW w:w="825" w:type="dxa"/>
            <w:vAlign w:val="center"/>
          </w:tcPr>
          <w:p w14:paraId="2FFE68BE">
            <w:pPr>
              <w:widowControl w:val="0"/>
              <w:kinsoku/>
              <w:wordWrap w:val="0"/>
              <w:topLinePunct/>
              <w:autoSpaceDE/>
              <w:autoSpaceDN/>
              <w:jc w:val="center"/>
              <w:rPr>
                <w:color w:val="auto"/>
              </w:rPr>
            </w:pPr>
          </w:p>
        </w:tc>
        <w:tc>
          <w:tcPr>
            <w:tcW w:w="1014" w:type="dxa"/>
            <w:vAlign w:val="center"/>
          </w:tcPr>
          <w:p w14:paraId="4E0507C1">
            <w:pPr>
              <w:widowControl w:val="0"/>
              <w:kinsoku/>
              <w:wordWrap w:val="0"/>
              <w:topLinePunct/>
              <w:autoSpaceDE/>
              <w:autoSpaceDN/>
              <w:jc w:val="center"/>
              <w:rPr>
                <w:color w:val="auto"/>
              </w:rPr>
            </w:pPr>
          </w:p>
        </w:tc>
        <w:tc>
          <w:tcPr>
            <w:tcW w:w="1014" w:type="dxa"/>
            <w:vAlign w:val="center"/>
          </w:tcPr>
          <w:p w14:paraId="320762F0">
            <w:pPr>
              <w:widowControl w:val="0"/>
              <w:kinsoku/>
              <w:wordWrap w:val="0"/>
              <w:topLinePunct/>
              <w:autoSpaceDE/>
              <w:autoSpaceDN/>
              <w:jc w:val="center"/>
              <w:rPr>
                <w:color w:val="auto"/>
              </w:rPr>
            </w:pPr>
          </w:p>
        </w:tc>
        <w:tc>
          <w:tcPr>
            <w:tcW w:w="1016" w:type="dxa"/>
            <w:vAlign w:val="center"/>
          </w:tcPr>
          <w:p w14:paraId="606B5346">
            <w:pPr>
              <w:widowControl w:val="0"/>
              <w:kinsoku/>
              <w:wordWrap w:val="0"/>
              <w:topLinePunct/>
              <w:autoSpaceDE/>
              <w:autoSpaceDN/>
              <w:jc w:val="center"/>
              <w:rPr>
                <w:color w:val="auto"/>
              </w:rPr>
            </w:pPr>
          </w:p>
        </w:tc>
        <w:tc>
          <w:tcPr>
            <w:tcW w:w="1017" w:type="dxa"/>
            <w:vAlign w:val="center"/>
          </w:tcPr>
          <w:p w14:paraId="10668637">
            <w:pPr>
              <w:widowControl w:val="0"/>
              <w:kinsoku/>
              <w:wordWrap w:val="0"/>
              <w:topLinePunct/>
              <w:autoSpaceDE/>
              <w:autoSpaceDN/>
              <w:jc w:val="center"/>
              <w:rPr>
                <w:color w:val="auto"/>
              </w:rPr>
            </w:pPr>
          </w:p>
        </w:tc>
        <w:tc>
          <w:tcPr>
            <w:tcW w:w="1273" w:type="dxa"/>
            <w:vAlign w:val="center"/>
          </w:tcPr>
          <w:p w14:paraId="4837A108">
            <w:pPr>
              <w:widowControl w:val="0"/>
              <w:kinsoku/>
              <w:wordWrap w:val="0"/>
              <w:topLinePunct/>
              <w:autoSpaceDE/>
              <w:autoSpaceDN/>
              <w:jc w:val="center"/>
              <w:rPr>
                <w:color w:val="auto"/>
              </w:rPr>
            </w:pPr>
          </w:p>
        </w:tc>
        <w:tc>
          <w:tcPr>
            <w:tcW w:w="937" w:type="dxa"/>
            <w:tcBorders>
              <w:right w:val="single" w:color="000000" w:sz="6" w:space="0"/>
            </w:tcBorders>
            <w:vAlign w:val="center"/>
          </w:tcPr>
          <w:p w14:paraId="19297A76">
            <w:pPr>
              <w:widowControl w:val="0"/>
              <w:kinsoku/>
              <w:wordWrap w:val="0"/>
              <w:topLinePunct/>
              <w:autoSpaceDE/>
              <w:autoSpaceDN/>
              <w:jc w:val="center"/>
              <w:rPr>
                <w:color w:val="auto"/>
              </w:rPr>
            </w:pPr>
          </w:p>
        </w:tc>
      </w:tr>
      <w:tr w14:paraId="03ACF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39" w:type="dxa"/>
            <w:tcBorders>
              <w:left w:val="single" w:color="000000" w:sz="6" w:space="0"/>
            </w:tcBorders>
            <w:vAlign w:val="center"/>
          </w:tcPr>
          <w:p w14:paraId="62885524">
            <w:pPr>
              <w:widowControl w:val="0"/>
              <w:kinsoku/>
              <w:wordWrap w:val="0"/>
              <w:topLinePunct/>
              <w:autoSpaceDE/>
              <w:autoSpaceDN/>
              <w:jc w:val="center"/>
              <w:rPr>
                <w:color w:val="auto"/>
              </w:rPr>
            </w:pPr>
          </w:p>
        </w:tc>
        <w:tc>
          <w:tcPr>
            <w:tcW w:w="1261" w:type="dxa"/>
            <w:vAlign w:val="center"/>
          </w:tcPr>
          <w:p w14:paraId="23373AF8">
            <w:pPr>
              <w:widowControl w:val="0"/>
              <w:kinsoku/>
              <w:wordWrap w:val="0"/>
              <w:topLinePunct/>
              <w:autoSpaceDE/>
              <w:autoSpaceDN/>
              <w:jc w:val="center"/>
              <w:rPr>
                <w:color w:val="auto"/>
              </w:rPr>
            </w:pPr>
          </w:p>
        </w:tc>
        <w:tc>
          <w:tcPr>
            <w:tcW w:w="1841" w:type="dxa"/>
            <w:vAlign w:val="center"/>
          </w:tcPr>
          <w:p w14:paraId="18DDFD5C">
            <w:pPr>
              <w:widowControl w:val="0"/>
              <w:kinsoku/>
              <w:wordWrap w:val="0"/>
              <w:topLinePunct/>
              <w:autoSpaceDE/>
              <w:autoSpaceDN/>
              <w:jc w:val="center"/>
              <w:rPr>
                <w:color w:val="auto"/>
              </w:rPr>
            </w:pPr>
          </w:p>
        </w:tc>
        <w:tc>
          <w:tcPr>
            <w:tcW w:w="2124" w:type="dxa"/>
            <w:vAlign w:val="center"/>
          </w:tcPr>
          <w:p w14:paraId="174D6DEB">
            <w:pPr>
              <w:widowControl w:val="0"/>
              <w:kinsoku/>
              <w:wordWrap w:val="0"/>
              <w:topLinePunct/>
              <w:autoSpaceDE/>
              <w:autoSpaceDN/>
              <w:jc w:val="center"/>
              <w:rPr>
                <w:color w:val="auto"/>
              </w:rPr>
            </w:pPr>
          </w:p>
        </w:tc>
        <w:tc>
          <w:tcPr>
            <w:tcW w:w="779" w:type="dxa"/>
            <w:vAlign w:val="center"/>
          </w:tcPr>
          <w:p w14:paraId="107E8C64">
            <w:pPr>
              <w:widowControl w:val="0"/>
              <w:kinsoku/>
              <w:wordWrap w:val="0"/>
              <w:topLinePunct/>
              <w:autoSpaceDE/>
              <w:autoSpaceDN/>
              <w:jc w:val="center"/>
              <w:rPr>
                <w:color w:val="auto"/>
              </w:rPr>
            </w:pPr>
          </w:p>
        </w:tc>
        <w:tc>
          <w:tcPr>
            <w:tcW w:w="825" w:type="dxa"/>
            <w:vAlign w:val="center"/>
          </w:tcPr>
          <w:p w14:paraId="61DC9EC2">
            <w:pPr>
              <w:widowControl w:val="0"/>
              <w:kinsoku/>
              <w:wordWrap w:val="0"/>
              <w:topLinePunct/>
              <w:autoSpaceDE/>
              <w:autoSpaceDN/>
              <w:jc w:val="center"/>
              <w:rPr>
                <w:color w:val="auto"/>
              </w:rPr>
            </w:pPr>
          </w:p>
        </w:tc>
        <w:tc>
          <w:tcPr>
            <w:tcW w:w="1014" w:type="dxa"/>
            <w:vAlign w:val="center"/>
          </w:tcPr>
          <w:p w14:paraId="67C36EC9">
            <w:pPr>
              <w:widowControl w:val="0"/>
              <w:kinsoku/>
              <w:wordWrap w:val="0"/>
              <w:topLinePunct/>
              <w:autoSpaceDE/>
              <w:autoSpaceDN/>
              <w:jc w:val="center"/>
              <w:rPr>
                <w:color w:val="auto"/>
              </w:rPr>
            </w:pPr>
          </w:p>
        </w:tc>
        <w:tc>
          <w:tcPr>
            <w:tcW w:w="1014" w:type="dxa"/>
            <w:vAlign w:val="center"/>
          </w:tcPr>
          <w:p w14:paraId="4F7E0DF4">
            <w:pPr>
              <w:widowControl w:val="0"/>
              <w:kinsoku/>
              <w:wordWrap w:val="0"/>
              <w:topLinePunct/>
              <w:autoSpaceDE/>
              <w:autoSpaceDN/>
              <w:jc w:val="center"/>
              <w:rPr>
                <w:color w:val="auto"/>
              </w:rPr>
            </w:pPr>
          </w:p>
        </w:tc>
        <w:tc>
          <w:tcPr>
            <w:tcW w:w="1016" w:type="dxa"/>
            <w:vAlign w:val="center"/>
          </w:tcPr>
          <w:p w14:paraId="31EA29ED">
            <w:pPr>
              <w:widowControl w:val="0"/>
              <w:kinsoku/>
              <w:wordWrap w:val="0"/>
              <w:topLinePunct/>
              <w:autoSpaceDE/>
              <w:autoSpaceDN/>
              <w:jc w:val="center"/>
              <w:rPr>
                <w:color w:val="auto"/>
              </w:rPr>
            </w:pPr>
          </w:p>
        </w:tc>
        <w:tc>
          <w:tcPr>
            <w:tcW w:w="1017" w:type="dxa"/>
            <w:vAlign w:val="center"/>
          </w:tcPr>
          <w:p w14:paraId="7F572C3B">
            <w:pPr>
              <w:widowControl w:val="0"/>
              <w:kinsoku/>
              <w:wordWrap w:val="0"/>
              <w:topLinePunct/>
              <w:autoSpaceDE/>
              <w:autoSpaceDN/>
              <w:jc w:val="center"/>
              <w:rPr>
                <w:color w:val="auto"/>
              </w:rPr>
            </w:pPr>
          </w:p>
        </w:tc>
        <w:tc>
          <w:tcPr>
            <w:tcW w:w="1273" w:type="dxa"/>
            <w:vAlign w:val="center"/>
          </w:tcPr>
          <w:p w14:paraId="4E48CA0B">
            <w:pPr>
              <w:widowControl w:val="0"/>
              <w:kinsoku/>
              <w:wordWrap w:val="0"/>
              <w:topLinePunct/>
              <w:autoSpaceDE/>
              <w:autoSpaceDN/>
              <w:jc w:val="center"/>
              <w:rPr>
                <w:color w:val="auto"/>
              </w:rPr>
            </w:pPr>
          </w:p>
        </w:tc>
        <w:tc>
          <w:tcPr>
            <w:tcW w:w="937" w:type="dxa"/>
            <w:tcBorders>
              <w:right w:val="single" w:color="000000" w:sz="6" w:space="0"/>
            </w:tcBorders>
            <w:vAlign w:val="center"/>
          </w:tcPr>
          <w:p w14:paraId="597BF684">
            <w:pPr>
              <w:widowControl w:val="0"/>
              <w:kinsoku/>
              <w:wordWrap w:val="0"/>
              <w:topLinePunct/>
              <w:autoSpaceDE/>
              <w:autoSpaceDN/>
              <w:jc w:val="center"/>
              <w:rPr>
                <w:color w:val="auto"/>
              </w:rPr>
            </w:pPr>
          </w:p>
        </w:tc>
      </w:tr>
      <w:tr w14:paraId="6E206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1E6805B9">
            <w:pPr>
              <w:widowControl w:val="0"/>
              <w:kinsoku/>
              <w:wordWrap w:val="0"/>
              <w:topLinePunct/>
              <w:autoSpaceDE/>
              <w:autoSpaceDN/>
              <w:jc w:val="center"/>
              <w:rPr>
                <w:color w:val="auto"/>
              </w:rPr>
            </w:pPr>
          </w:p>
        </w:tc>
        <w:tc>
          <w:tcPr>
            <w:tcW w:w="1261" w:type="dxa"/>
            <w:vAlign w:val="center"/>
          </w:tcPr>
          <w:p w14:paraId="17B04CBF">
            <w:pPr>
              <w:widowControl w:val="0"/>
              <w:kinsoku/>
              <w:wordWrap w:val="0"/>
              <w:topLinePunct/>
              <w:autoSpaceDE/>
              <w:autoSpaceDN/>
              <w:jc w:val="center"/>
              <w:rPr>
                <w:color w:val="auto"/>
              </w:rPr>
            </w:pPr>
          </w:p>
        </w:tc>
        <w:tc>
          <w:tcPr>
            <w:tcW w:w="1841" w:type="dxa"/>
            <w:vAlign w:val="center"/>
          </w:tcPr>
          <w:p w14:paraId="617CFA40">
            <w:pPr>
              <w:widowControl w:val="0"/>
              <w:kinsoku/>
              <w:wordWrap w:val="0"/>
              <w:topLinePunct/>
              <w:autoSpaceDE/>
              <w:autoSpaceDN/>
              <w:jc w:val="center"/>
              <w:rPr>
                <w:color w:val="auto"/>
              </w:rPr>
            </w:pPr>
          </w:p>
        </w:tc>
        <w:tc>
          <w:tcPr>
            <w:tcW w:w="2124" w:type="dxa"/>
            <w:vAlign w:val="center"/>
          </w:tcPr>
          <w:p w14:paraId="1299524D">
            <w:pPr>
              <w:widowControl w:val="0"/>
              <w:kinsoku/>
              <w:wordWrap w:val="0"/>
              <w:topLinePunct/>
              <w:autoSpaceDE/>
              <w:autoSpaceDN/>
              <w:jc w:val="center"/>
              <w:rPr>
                <w:color w:val="auto"/>
              </w:rPr>
            </w:pPr>
          </w:p>
        </w:tc>
        <w:tc>
          <w:tcPr>
            <w:tcW w:w="779" w:type="dxa"/>
            <w:vAlign w:val="center"/>
          </w:tcPr>
          <w:p w14:paraId="1EF720C7">
            <w:pPr>
              <w:widowControl w:val="0"/>
              <w:kinsoku/>
              <w:wordWrap w:val="0"/>
              <w:topLinePunct/>
              <w:autoSpaceDE/>
              <w:autoSpaceDN/>
              <w:jc w:val="center"/>
              <w:rPr>
                <w:color w:val="auto"/>
              </w:rPr>
            </w:pPr>
          </w:p>
        </w:tc>
        <w:tc>
          <w:tcPr>
            <w:tcW w:w="825" w:type="dxa"/>
            <w:vAlign w:val="center"/>
          </w:tcPr>
          <w:p w14:paraId="09B12CBE">
            <w:pPr>
              <w:widowControl w:val="0"/>
              <w:kinsoku/>
              <w:wordWrap w:val="0"/>
              <w:topLinePunct/>
              <w:autoSpaceDE/>
              <w:autoSpaceDN/>
              <w:jc w:val="center"/>
              <w:rPr>
                <w:color w:val="auto"/>
              </w:rPr>
            </w:pPr>
          </w:p>
        </w:tc>
        <w:tc>
          <w:tcPr>
            <w:tcW w:w="1014" w:type="dxa"/>
            <w:vAlign w:val="center"/>
          </w:tcPr>
          <w:p w14:paraId="6D0E1C35">
            <w:pPr>
              <w:widowControl w:val="0"/>
              <w:kinsoku/>
              <w:wordWrap w:val="0"/>
              <w:topLinePunct/>
              <w:autoSpaceDE/>
              <w:autoSpaceDN/>
              <w:jc w:val="center"/>
              <w:rPr>
                <w:color w:val="auto"/>
              </w:rPr>
            </w:pPr>
          </w:p>
        </w:tc>
        <w:tc>
          <w:tcPr>
            <w:tcW w:w="1014" w:type="dxa"/>
            <w:vAlign w:val="center"/>
          </w:tcPr>
          <w:p w14:paraId="515D1D61">
            <w:pPr>
              <w:widowControl w:val="0"/>
              <w:kinsoku/>
              <w:wordWrap w:val="0"/>
              <w:topLinePunct/>
              <w:autoSpaceDE/>
              <w:autoSpaceDN/>
              <w:jc w:val="center"/>
              <w:rPr>
                <w:color w:val="auto"/>
              </w:rPr>
            </w:pPr>
          </w:p>
        </w:tc>
        <w:tc>
          <w:tcPr>
            <w:tcW w:w="1016" w:type="dxa"/>
            <w:vAlign w:val="center"/>
          </w:tcPr>
          <w:p w14:paraId="7C3D0374">
            <w:pPr>
              <w:widowControl w:val="0"/>
              <w:kinsoku/>
              <w:wordWrap w:val="0"/>
              <w:topLinePunct/>
              <w:autoSpaceDE/>
              <w:autoSpaceDN/>
              <w:jc w:val="center"/>
              <w:rPr>
                <w:color w:val="auto"/>
              </w:rPr>
            </w:pPr>
          </w:p>
        </w:tc>
        <w:tc>
          <w:tcPr>
            <w:tcW w:w="1017" w:type="dxa"/>
            <w:vAlign w:val="center"/>
          </w:tcPr>
          <w:p w14:paraId="4BBA6496">
            <w:pPr>
              <w:widowControl w:val="0"/>
              <w:kinsoku/>
              <w:wordWrap w:val="0"/>
              <w:topLinePunct/>
              <w:autoSpaceDE/>
              <w:autoSpaceDN/>
              <w:jc w:val="center"/>
              <w:rPr>
                <w:color w:val="auto"/>
              </w:rPr>
            </w:pPr>
          </w:p>
        </w:tc>
        <w:tc>
          <w:tcPr>
            <w:tcW w:w="1273" w:type="dxa"/>
            <w:vAlign w:val="center"/>
          </w:tcPr>
          <w:p w14:paraId="48B1BA9D">
            <w:pPr>
              <w:widowControl w:val="0"/>
              <w:kinsoku/>
              <w:wordWrap w:val="0"/>
              <w:topLinePunct/>
              <w:autoSpaceDE/>
              <w:autoSpaceDN/>
              <w:jc w:val="center"/>
              <w:rPr>
                <w:color w:val="auto"/>
              </w:rPr>
            </w:pPr>
          </w:p>
        </w:tc>
        <w:tc>
          <w:tcPr>
            <w:tcW w:w="937" w:type="dxa"/>
            <w:tcBorders>
              <w:right w:val="single" w:color="000000" w:sz="6" w:space="0"/>
            </w:tcBorders>
            <w:vAlign w:val="center"/>
          </w:tcPr>
          <w:p w14:paraId="6550F6FE">
            <w:pPr>
              <w:widowControl w:val="0"/>
              <w:kinsoku/>
              <w:wordWrap w:val="0"/>
              <w:topLinePunct/>
              <w:autoSpaceDE/>
              <w:autoSpaceDN/>
              <w:jc w:val="center"/>
              <w:rPr>
                <w:color w:val="auto"/>
              </w:rPr>
            </w:pPr>
          </w:p>
        </w:tc>
      </w:tr>
      <w:tr w14:paraId="14A4E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6BF35EBC">
            <w:pPr>
              <w:widowControl w:val="0"/>
              <w:kinsoku/>
              <w:wordWrap w:val="0"/>
              <w:topLinePunct/>
              <w:autoSpaceDE/>
              <w:autoSpaceDN/>
              <w:jc w:val="center"/>
              <w:rPr>
                <w:color w:val="auto"/>
              </w:rPr>
            </w:pPr>
          </w:p>
        </w:tc>
        <w:tc>
          <w:tcPr>
            <w:tcW w:w="1261" w:type="dxa"/>
            <w:vAlign w:val="center"/>
          </w:tcPr>
          <w:p w14:paraId="72863520">
            <w:pPr>
              <w:widowControl w:val="0"/>
              <w:kinsoku/>
              <w:wordWrap w:val="0"/>
              <w:topLinePunct/>
              <w:autoSpaceDE/>
              <w:autoSpaceDN/>
              <w:jc w:val="center"/>
              <w:rPr>
                <w:color w:val="auto"/>
              </w:rPr>
            </w:pPr>
          </w:p>
        </w:tc>
        <w:tc>
          <w:tcPr>
            <w:tcW w:w="1841" w:type="dxa"/>
            <w:vAlign w:val="center"/>
          </w:tcPr>
          <w:p w14:paraId="21B0FCF2">
            <w:pPr>
              <w:widowControl w:val="0"/>
              <w:kinsoku/>
              <w:wordWrap w:val="0"/>
              <w:topLinePunct/>
              <w:autoSpaceDE/>
              <w:autoSpaceDN/>
              <w:jc w:val="center"/>
              <w:rPr>
                <w:color w:val="auto"/>
              </w:rPr>
            </w:pPr>
          </w:p>
        </w:tc>
        <w:tc>
          <w:tcPr>
            <w:tcW w:w="2124" w:type="dxa"/>
            <w:vAlign w:val="center"/>
          </w:tcPr>
          <w:p w14:paraId="1DE48E2F">
            <w:pPr>
              <w:widowControl w:val="0"/>
              <w:kinsoku/>
              <w:wordWrap w:val="0"/>
              <w:topLinePunct/>
              <w:autoSpaceDE/>
              <w:autoSpaceDN/>
              <w:jc w:val="center"/>
              <w:rPr>
                <w:color w:val="auto"/>
              </w:rPr>
            </w:pPr>
          </w:p>
        </w:tc>
        <w:tc>
          <w:tcPr>
            <w:tcW w:w="779" w:type="dxa"/>
            <w:vAlign w:val="center"/>
          </w:tcPr>
          <w:p w14:paraId="642F5260">
            <w:pPr>
              <w:widowControl w:val="0"/>
              <w:kinsoku/>
              <w:wordWrap w:val="0"/>
              <w:topLinePunct/>
              <w:autoSpaceDE/>
              <w:autoSpaceDN/>
              <w:jc w:val="center"/>
              <w:rPr>
                <w:color w:val="auto"/>
              </w:rPr>
            </w:pPr>
          </w:p>
        </w:tc>
        <w:tc>
          <w:tcPr>
            <w:tcW w:w="825" w:type="dxa"/>
            <w:vAlign w:val="center"/>
          </w:tcPr>
          <w:p w14:paraId="06781AA6">
            <w:pPr>
              <w:widowControl w:val="0"/>
              <w:kinsoku/>
              <w:wordWrap w:val="0"/>
              <w:topLinePunct/>
              <w:autoSpaceDE/>
              <w:autoSpaceDN/>
              <w:jc w:val="center"/>
              <w:rPr>
                <w:color w:val="auto"/>
              </w:rPr>
            </w:pPr>
          </w:p>
        </w:tc>
        <w:tc>
          <w:tcPr>
            <w:tcW w:w="1014" w:type="dxa"/>
            <w:vAlign w:val="center"/>
          </w:tcPr>
          <w:p w14:paraId="48A309C0">
            <w:pPr>
              <w:widowControl w:val="0"/>
              <w:kinsoku/>
              <w:wordWrap w:val="0"/>
              <w:topLinePunct/>
              <w:autoSpaceDE/>
              <w:autoSpaceDN/>
              <w:jc w:val="center"/>
              <w:rPr>
                <w:color w:val="auto"/>
              </w:rPr>
            </w:pPr>
          </w:p>
        </w:tc>
        <w:tc>
          <w:tcPr>
            <w:tcW w:w="1014" w:type="dxa"/>
            <w:vAlign w:val="center"/>
          </w:tcPr>
          <w:p w14:paraId="31B9F47A">
            <w:pPr>
              <w:widowControl w:val="0"/>
              <w:kinsoku/>
              <w:wordWrap w:val="0"/>
              <w:topLinePunct/>
              <w:autoSpaceDE/>
              <w:autoSpaceDN/>
              <w:jc w:val="center"/>
              <w:rPr>
                <w:color w:val="auto"/>
              </w:rPr>
            </w:pPr>
          </w:p>
        </w:tc>
        <w:tc>
          <w:tcPr>
            <w:tcW w:w="1016" w:type="dxa"/>
            <w:vAlign w:val="center"/>
          </w:tcPr>
          <w:p w14:paraId="45E4AB1C">
            <w:pPr>
              <w:widowControl w:val="0"/>
              <w:kinsoku/>
              <w:wordWrap w:val="0"/>
              <w:topLinePunct/>
              <w:autoSpaceDE/>
              <w:autoSpaceDN/>
              <w:jc w:val="center"/>
              <w:rPr>
                <w:color w:val="auto"/>
              </w:rPr>
            </w:pPr>
          </w:p>
        </w:tc>
        <w:tc>
          <w:tcPr>
            <w:tcW w:w="1017" w:type="dxa"/>
            <w:vAlign w:val="center"/>
          </w:tcPr>
          <w:p w14:paraId="70853340">
            <w:pPr>
              <w:widowControl w:val="0"/>
              <w:kinsoku/>
              <w:wordWrap w:val="0"/>
              <w:topLinePunct/>
              <w:autoSpaceDE/>
              <w:autoSpaceDN/>
              <w:jc w:val="center"/>
              <w:rPr>
                <w:color w:val="auto"/>
              </w:rPr>
            </w:pPr>
          </w:p>
        </w:tc>
        <w:tc>
          <w:tcPr>
            <w:tcW w:w="1273" w:type="dxa"/>
            <w:vAlign w:val="center"/>
          </w:tcPr>
          <w:p w14:paraId="410C1589">
            <w:pPr>
              <w:widowControl w:val="0"/>
              <w:kinsoku/>
              <w:wordWrap w:val="0"/>
              <w:topLinePunct/>
              <w:autoSpaceDE/>
              <w:autoSpaceDN/>
              <w:jc w:val="center"/>
              <w:rPr>
                <w:color w:val="auto"/>
              </w:rPr>
            </w:pPr>
          </w:p>
        </w:tc>
        <w:tc>
          <w:tcPr>
            <w:tcW w:w="937" w:type="dxa"/>
            <w:tcBorders>
              <w:right w:val="single" w:color="000000" w:sz="6" w:space="0"/>
            </w:tcBorders>
            <w:vAlign w:val="center"/>
          </w:tcPr>
          <w:p w14:paraId="07A30935">
            <w:pPr>
              <w:widowControl w:val="0"/>
              <w:kinsoku/>
              <w:wordWrap w:val="0"/>
              <w:topLinePunct/>
              <w:autoSpaceDE/>
              <w:autoSpaceDN/>
              <w:jc w:val="center"/>
              <w:rPr>
                <w:color w:val="auto"/>
              </w:rPr>
            </w:pPr>
          </w:p>
        </w:tc>
      </w:tr>
      <w:tr w14:paraId="166494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839" w:type="dxa"/>
            <w:tcBorders>
              <w:left w:val="single" w:color="000000" w:sz="6" w:space="0"/>
              <w:bottom w:val="single" w:color="000000" w:sz="6" w:space="0"/>
            </w:tcBorders>
            <w:vAlign w:val="center"/>
          </w:tcPr>
          <w:p w14:paraId="14572BBD">
            <w:pPr>
              <w:widowControl w:val="0"/>
              <w:kinsoku/>
              <w:wordWrap w:val="0"/>
              <w:topLinePunct/>
              <w:autoSpaceDE/>
              <w:autoSpaceDN/>
              <w:jc w:val="center"/>
              <w:rPr>
                <w:color w:val="auto"/>
              </w:rPr>
            </w:pPr>
          </w:p>
        </w:tc>
        <w:tc>
          <w:tcPr>
            <w:tcW w:w="1261" w:type="dxa"/>
            <w:tcBorders>
              <w:bottom w:val="single" w:color="000000" w:sz="6" w:space="0"/>
            </w:tcBorders>
            <w:vAlign w:val="center"/>
          </w:tcPr>
          <w:p w14:paraId="6F35BA7D">
            <w:pPr>
              <w:widowControl w:val="0"/>
              <w:kinsoku/>
              <w:wordWrap w:val="0"/>
              <w:topLinePunct/>
              <w:autoSpaceDE/>
              <w:autoSpaceDN/>
              <w:jc w:val="center"/>
              <w:rPr>
                <w:color w:val="auto"/>
              </w:rPr>
            </w:pPr>
          </w:p>
        </w:tc>
        <w:tc>
          <w:tcPr>
            <w:tcW w:w="1841" w:type="dxa"/>
            <w:tcBorders>
              <w:bottom w:val="single" w:color="000000" w:sz="6" w:space="0"/>
            </w:tcBorders>
            <w:vAlign w:val="center"/>
          </w:tcPr>
          <w:p w14:paraId="7B403C87">
            <w:pPr>
              <w:pStyle w:val="21"/>
              <w:widowControl w:val="0"/>
              <w:kinsoku/>
              <w:wordWrap w:val="0"/>
              <w:topLinePunct/>
              <w:autoSpaceDE/>
              <w:autoSpaceDN/>
              <w:jc w:val="center"/>
              <w:rPr>
                <w:rFonts w:hint="eastAsia"/>
                <w:color w:val="auto"/>
                <w:sz w:val="21"/>
                <w:szCs w:val="21"/>
              </w:rPr>
            </w:pPr>
            <w:r>
              <w:rPr>
                <w:b/>
                <w:bCs/>
                <w:color w:val="auto"/>
                <w:sz w:val="21"/>
                <w:szCs w:val="21"/>
              </w:rPr>
              <w:t>合</w:t>
            </w:r>
            <w:r>
              <w:rPr>
                <w:rFonts w:hint="eastAsia"/>
                <w:color w:val="auto"/>
                <w:sz w:val="21"/>
                <w:szCs w:val="21"/>
                <w:lang w:eastAsia="zh-CN"/>
              </w:rPr>
              <w:t>　</w:t>
            </w:r>
            <w:r>
              <w:rPr>
                <w:b/>
                <w:bCs/>
                <w:color w:val="auto"/>
                <w:sz w:val="21"/>
                <w:szCs w:val="21"/>
              </w:rPr>
              <w:t>计</w:t>
            </w:r>
          </w:p>
        </w:tc>
        <w:tc>
          <w:tcPr>
            <w:tcW w:w="2124" w:type="dxa"/>
            <w:tcBorders>
              <w:bottom w:val="single" w:color="000000" w:sz="6" w:space="0"/>
            </w:tcBorders>
            <w:vAlign w:val="center"/>
          </w:tcPr>
          <w:p w14:paraId="6A5EEF44">
            <w:pPr>
              <w:widowControl w:val="0"/>
              <w:kinsoku/>
              <w:wordWrap w:val="0"/>
              <w:topLinePunct/>
              <w:autoSpaceDE/>
              <w:autoSpaceDN/>
              <w:jc w:val="center"/>
              <w:rPr>
                <w:color w:val="auto"/>
              </w:rPr>
            </w:pPr>
          </w:p>
        </w:tc>
        <w:tc>
          <w:tcPr>
            <w:tcW w:w="779" w:type="dxa"/>
            <w:tcBorders>
              <w:bottom w:val="single" w:color="000000" w:sz="6" w:space="0"/>
            </w:tcBorders>
            <w:vAlign w:val="center"/>
          </w:tcPr>
          <w:p w14:paraId="570DF704">
            <w:pPr>
              <w:widowControl w:val="0"/>
              <w:kinsoku/>
              <w:wordWrap w:val="0"/>
              <w:topLinePunct/>
              <w:autoSpaceDE/>
              <w:autoSpaceDN/>
              <w:jc w:val="center"/>
              <w:rPr>
                <w:color w:val="auto"/>
              </w:rPr>
            </w:pPr>
          </w:p>
        </w:tc>
        <w:tc>
          <w:tcPr>
            <w:tcW w:w="825" w:type="dxa"/>
            <w:tcBorders>
              <w:bottom w:val="single" w:color="000000" w:sz="6" w:space="0"/>
            </w:tcBorders>
            <w:vAlign w:val="center"/>
          </w:tcPr>
          <w:p w14:paraId="4DCA4332">
            <w:pPr>
              <w:widowControl w:val="0"/>
              <w:kinsoku/>
              <w:wordWrap w:val="0"/>
              <w:topLinePunct/>
              <w:autoSpaceDE/>
              <w:autoSpaceDN/>
              <w:jc w:val="center"/>
              <w:rPr>
                <w:color w:val="auto"/>
              </w:rPr>
            </w:pPr>
          </w:p>
        </w:tc>
        <w:tc>
          <w:tcPr>
            <w:tcW w:w="1014" w:type="dxa"/>
            <w:tcBorders>
              <w:bottom w:val="single" w:color="000000" w:sz="6" w:space="0"/>
            </w:tcBorders>
            <w:vAlign w:val="center"/>
          </w:tcPr>
          <w:p w14:paraId="6380C0D6">
            <w:pPr>
              <w:widowControl w:val="0"/>
              <w:kinsoku/>
              <w:wordWrap w:val="0"/>
              <w:topLinePunct/>
              <w:autoSpaceDE/>
              <w:autoSpaceDN/>
              <w:jc w:val="center"/>
              <w:rPr>
                <w:color w:val="auto"/>
              </w:rPr>
            </w:pPr>
          </w:p>
        </w:tc>
        <w:tc>
          <w:tcPr>
            <w:tcW w:w="1014" w:type="dxa"/>
            <w:tcBorders>
              <w:bottom w:val="single" w:color="000000" w:sz="6" w:space="0"/>
            </w:tcBorders>
            <w:vAlign w:val="center"/>
          </w:tcPr>
          <w:p w14:paraId="5D72AC41">
            <w:pPr>
              <w:widowControl w:val="0"/>
              <w:kinsoku/>
              <w:wordWrap w:val="0"/>
              <w:topLinePunct/>
              <w:autoSpaceDE/>
              <w:autoSpaceDN/>
              <w:jc w:val="center"/>
              <w:rPr>
                <w:color w:val="auto"/>
              </w:rPr>
            </w:pPr>
          </w:p>
        </w:tc>
        <w:tc>
          <w:tcPr>
            <w:tcW w:w="1016" w:type="dxa"/>
            <w:tcBorders>
              <w:bottom w:val="single" w:color="000000" w:sz="6" w:space="0"/>
            </w:tcBorders>
            <w:vAlign w:val="center"/>
          </w:tcPr>
          <w:p w14:paraId="134723A4">
            <w:pPr>
              <w:widowControl w:val="0"/>
              <w:kinsoku/>
              <w:wordWrap w:val="0"/>
              <w:topLinePunct/>
              <w:autoSpaceDE/>
              <w:autoSpaceDN/>
              <w:jc w:val="center"/>
              <w:rPr>
                <w:color w:val="auto"/>
              </w:rPr>
            </w:pPr>
          </w:p>
        </w:tc>
        <w:tc>
          <w:tcPr>
            <w:tcW w:w="1017" w:type="dxa"/>
            <w:tcBorders>
              <w:bottom w:val="single" w:color="000000" w:sz="6" w:space="0"/>
            </w:tcBorders>
            <w:vAlign w:val="center"/>
          </w:tcPr>
          <w:p w14:paraId="2B2EFEE1">
            <w:pPr>
              <w:widowControl w:val="0"/>
              <w:kinsoku/>
              <w:wordWrap w:val="0"/>
              <w:topLinePunct/>
              <w:autoSpaceDE/>
              <w:autoSpaceDN/>
              <w:jc w:val="center"/>
              <w:rPr>
                <w:color w:val="auto"/>
              </w:rPr>
            </w:pPr>
          </w:p>
        </w:tc>
        <w:tc>
          <w:tcPr>
            <w:tcW w:w="1273" w:type="dxa"/>
            <w:tcBorders>
              <w:bottom w:val="single" w:color="000000" w:sz="6" w:space="0"/>
            </w:tcBorders>
            <w:vAlign w:val="center"/>
          </w:tcPr>
          <w:p w14:paraId="44F4CF56">
            <w:pPr>
              <w:widowControl w:val="0"/>
              <w:kinsoku/>
              <w:wordWrap w:val="0"/>
              <w:topLinePunct/>
              <w:autoSpaceDE/>
              <w:autoSpaceDN/>
              <w:jc w:val="center"/>
              <w:rPr>
                <w:color w:val="auto"/>
              </w:rPr>
            </w:pPr>
          </w:p>
        </w:tc>
        <w:tc>
          <w:tcPr>
            <w:tcW w:w="937" w:type="dxa"/>
            <w:tcBorders>
              <w:bottom w:val="single" w:color="000000" w:sz="6" w:space="0"/>
              <w:right w:val="single" w:color="000000" w:sz="6" w:space="0"/>
            </w:tcBorders>
            <w:vAlign w:val="center"/>
          </w:tcPr>
          <w:p w14:paraId="7EC2E8A9">
            <w:pPr>
              <w:widowControl w:val="0"/>
              <w:kinsoku/>
              <w:wordWrap w:val="0"/>
              <w:topLinePunct/>
              <w:autoSpaceDE/>
              <w:autoSpaceDN/>
              <w:jc w:val="center"/>
              <w:rPr>
                <w:color w:val="auto"/>
              </w:rPr>
            </w:pPr>
          </w:p>
        </w:tc>
      </w:tr>
    </w:tbl>
    <w:p w14:paraId="2B929B43">
      <w:pPr>
        <w:pStyle w:val="8"/>
        <w:widowControl w:val="0"/>
        <w:kinsoku/>
        <w:wordWrap w:val="0"/>
        <w:topLinePunct/>
        <w:autoSpaceDE/>
        <w:autoSpaceDN/>
        <w:jc w:val="center"/>
        <w:rPr>
          <w:color w:val="auto"/>
        </w:rPr>
      </w:pPr>
    </w:p>
    <w:p w14:paraId="325B2FCF">
      <w:pPr>
        <w:spacing w:line="360" w:lineRule="auto"/>
        <w:jc w:val="center"/>
        <w:rPr>
          <w:rFonts w:hint="eastAsia" w:ascii="宋体" w:hAnsi="宋体" w:eastAsia="宋体" w:cs="宋体"/>
          <w:b/>
          <w:bCs/>
          <w:color w:val="auto"/>
          <w:sz w:val="28"/>
          <w:szCs w:val="28"/>
          <w:lang w:eastAsia="zh-CN"/>
        </w:rPr>
      </w:pPr>
      <w:r>
        <w:rPr>
          <w:rFonts w:ascii="宋体" w:hAnsi="宋体" w:eastAsia="宋体" w:cs="宋体"/>
          <w:b/>
          <w:bCs/>
          <w:color w:val="auto"/>
          <w:sz w:val="28"/>
          <w:szCs w:val="28"/>
          <w:lang w:eastAsia="zh-CN"/>
        </w:rPr>
        <w:t>金属结构设备及安装工程分类分项工程量清单</w:t>
      </w:r>
    </w:p>
    <w:p w14:paraId="6F45E333">
      <w:pPr>
        <w:spacing w:line="360" w:lineRule="auto"/>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tbl>
      <w:tblPr>
        <w:tblStyle w:val="20"/>
        <w:tblW w:w="1394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261"/>
        <w:gridCol w:w="1841"/>
        <w:gridCol w:w="2124"/>
        <w:gridCol w:w="779"/>
        <w:gridCol w:w="825"/>
        <w:gridCol w:w="1014"/>
        <w:gridCol w:w="1014"/>
        <w:gridCol w:w="1016"/>
        <w:gridCol w:w="1017"/>
        <w:gridCol w:w="1273"/>
        <w:gridCol w:w="937"/>
      </w:tblGrid>
      <w:tr w14:paraId="25AAB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39" w:type="dxa"/>
            <w:vMerge w:val="restart"/>
            <w:tcBorders>
              <w:top w:val="single" w:color="000000" w:sz="6" w:space="0"/>
              <w:left w:val="single" w:color="000000" w:sz="6" w:space="0"/>
              <w:bottom w:val="nil"/>
            </w:tcBorders>
            <w:vAlign w:val="center"/>
          </w:tcPr>
          <w:p w14:paraId="672A14E9">
            <w:pPr>
              <w:pStyle w:val="21"/>
              <w:jc w:val="center"/>
              <w:rPr>
                <w:rFonts w:hint="eastAsia"/>
                <w:color w:val="auto"/>
                <w:sz w:val="21"/>
                <w:szCs w:val="21"/>
              </w:rPr>
            </w:pPr>
            <w:r>
              <w:rPr>
                <w:color w:val="auto"/>
                <w:sz w:val="21"/>
                <w:szCs w:val="21"/>
              </w:rPr>
              <w:t>序号</w:t>
            </w:r>
          </w:p>
        </w:tc>
        <w:tc>
          <w:tcPr>
            <w:tcW w:w="1261" w:type="dxa"/>
            <w:vMerge w:val="restart"/>
            <w:tcBorders>
              <w:top w:val="single" w:color="000000" w:sz="6" w:space="0"/>
              <w:bottom w:val="nil"/>
            </w:tcBorders>
            <w:vAlign w:val="center"/>
          </w:tcPr>
          <w:p w14:paraId="54711260">
            <w:pPr>
              <w:pStyle w:val="21"/>
              <w:jc w:val="center"/>
              <w:rPr>
                <w:rFonts w:hint="eastAsia"/>
                <w:color w:val="auto"/>
                <w:sz w:val="21"/>
                <w:szCs w:val="21"/>
              </w:rPr>
            </w:pPr>
            <w:r>
              <w:rPr>
                <w:color w:val="auto"/>
                <w:sz w:val="21"/>
                <w:szCs w:val="21"/>
              </w:rPr>
              <w:t>项目编码</w:t>
            </w:r>
          </w:p>
        </w:tc>
        <w:tc>
          <w:tcPr>
            <w:tcW w:w="1841" w:type="dxa"/>
            <w:vMerge w:val="restart"/>
            <w:tcBorders>
              <w:top w:val="single" w:color="000000" w:sz="6" w:space="0"/>
              <w:bottom w:val="nil"/>
            </w:tcBorders>
            <w:vAlign w:val="center"/>
          </w:tcPr>
          <w:p w14:paraId="10DABDA7">
            <w:pPr>
              <w:pStyle w:val="21"/>
              <w:jc w:val="center"/>
              <w:rPr>
                <w:rFonts w:hint="eastAsia"/>
                <w:color w:val="auto"/>
                <w:sz w:val="21"/>
                <w:szCs w:val="21"/>
              </w:rPr>
            </w:pPr>
            <w:r>
              <w:rPr>
                <w:color w:val="auto"/>
                <w:sz w:val="21"/>
                <w:szCs w:val="21"/>
              </w:rPr>
              <w:t>项目名称</w:t>
            </w:r>
          </w:p>
        </w:tc>
        <w:tc>
          <w:tcPr>
            <w:tcW w:w="2124" w:type="dxa"/>
            <w:vMerge w:val="restart"/>
            <w:tcBorders>
              <w:top w:val="single" w:color="000000" w:sz="6" w:space="0"/>
              <w:bottom w:val="nil"/>
            </w:tcBorders>
            <w:vAlign w:val="center"/>
          </w:tcPr>
          <w:p w14:paraId="32AA5BCD">
            <w:pPr>
              <w:pStyle w:val="21"/>
              <w:jc w:val="center"/>
              <w:rPr>
                <w:rFonts w:hint="eastAsia"/>
                <w:color w:val="auto"/>
                <w:sz w:val="21"/>
                <w:szCs w:val="21"/>
              </w:rPr>
            </w:pPr>
            <w:r>
              <w:rPr>
                <w:color w:val="auto"/>
                <w:sz w:val="21"/>
                <w:szCs w:val="21"/>
              </w:rPr>
              <w:t>项目主要特征</w:t>
            </w:r>
          </w:p>
        </w:tc>
        <w:tc>
          <w:tcPr>
            <w:tcW w:w="779" w:type="dxa"/>
            <w:vMerge w:val="restart"/>
            <w:tcBorders>
              <w:top w:val="single" w:color="000000" w:sz="6" w:space="0"/>
              <w:bottom w:val="nil"/>
            </w:tcBorders>
            <w:vAlign w:val="center"/>
          </w:tcPr>
          <w:p w14:paraId="4C90A0C9">
            <w:pPr>
              <w:pStyle w:val="21"/>
              <w:jc w:val="center"/>
              <w:rPr>
                <w:rFonts w:hint="eastAsia"/>
                <w:color w:val="auto"/>
                <w:sz w:val="21"/>
                <w:szCs w:val="21"/>
              </w:rPr>
            </w:pPr>
            <w:r>
              <w:rPr>
                <w:color w:val="auto"/>
                <w:sz w:val="21"/>
                <w:szCs w:val="21"/>
              </w:rPr>
              <w:t>计量</w:t>
            </w:r>
          </w:p>
          <w:p w14:paraId="63752CA3">
            <w:pPr>
              <w:pStyle w:val="21"/>
              <w:jc w:val="center"/>
              <w:rPr>
                <w:rFonts w:hint="eastAsia"/>
                <w:color w:val="auto"/>
                <w:sz w:val="21"/>
                <w:szCs w:val="21"/>
              </w:rPr>
            </w:pPr>
            <w:r>
              <w:rPr>
                <w:color w:val="auto"/>
                <w:sz w:val="21"/>
                <w:szCs w:val="21"/>
              </w:rPr>
              <w:t>单位</w:t>
            </w:r>
          </w:p>
        </w:tc>
        <w:tc>
          <w:tcPr>
            <w:tcW w:w="825" w:type="dxa"/>
            <w:vMerge w:val="restart"/>
            <w:tcBorders>
              <w:top w:val="single" w:color="000000" w:sz="6" w:space="0"/>
              <w:bottom w:val="nil"/>
            </w:tcBorders>
            <w:vAlign w:val="center"/>
          </w:tcPr>
          <w:p w14:paraId="213E5F74">
            <w:pPr>
              <w:pStyle w:val="21"/>
              <w:jc w:val="center"/>
              <w:rPr>
                <w:rFonts w:hint="eastAsia"/>
                <w:color w:val="auto"/>
                <w:sz w:val="21"/>
                <w:szCs w:val="21"/>
              </w:rPr>
            </w:pPr>
            <w:r>
              <w:rPr>
                <w:color w:val="auto"/>
                <w:sz w:val="21"/>
                <w:szCs w:val="21"/>
              </w:rPr>
              <w:t>工程</w:t>
            </w:r>
          </w:p>
          <w:p w14:paraId="70E0B0BE">
            <w:pPr>
              <w:pStyle w:val="21"/>
              <w:jc w:val="center"/>
              <w:rPr>
                <w:rFonts w:hint="eastAsia"/>
                <w:color w:val="auto"/>
                <w:sz w:val="21"/>
                <w:szCs w:val="21"/>
              </w:rPr>
            </w:pPr>
            <w:r>
              <w:rPr>
                <w:color w:val="auto"/>
                <w:sz w:val="21"/>
                <w:szCs w:val="21"/>
              </w:rPr>
              <w:t>数量</w:t>
            </w:r>
          </w:p>
        </w:tc>
        <w:tc>
          <w:tcPr>
            <w:tcW w:w="2028" w:type="dxa"/>
            <w:gridSpan w:val="2"/>
            <w:tcBorders>
              <w:top w:val="single" w:color="000000" w:sz="6" w:space="0"/>
            </w:tcBorders>
            <w:vAlign w:val="center"/>
          </w:tcPr>
          <w:p w14:paraId="76E94D6D">
            <w:pPr>
              <w:pStyle w:val="21"/>
              <w:jc w:val="center"/>
              <w:rPr>
                <w:rFonts w:hint="eastAsia"/>
                <w:color w:val="auto"/>
                <w:sz w:val="21"/>
                <w:szCs w:val="21"/>
              </w:rPr>
            </w:pPr>
            <w:r>
              <w:rPr>
                <w:color w:val="auto"/>
                <w:sz w:val="21"/>
                <w:szCs w:val="21"/>
              </w:rPr>
              <w:t>单价（元）</w:t>
            </w:r>
          </w:p>
        </w:tc>
        <w:tc>
          <w:tcPr>
            <w:tcW w:w="2033" w:type="dxa"/>
            <w:gridSpan w:val="2"/>
            <w:tcBorders>
              <w:top w:val="single" w:color="000000" w:sz="6" w:space="0"/>
            </w:tcBorders>
            <w:vAlign w:val="center"/>
          </w:tcPr>
          <w:p w14:paraId="6F4C37B8">
            <w:pPr>
              <w:pStyle w:val="21"/>
              <w:jc w:val="center"/>
              <w:rPr>
                <w:rFonts w:hint="eastAsia"/>
                <w:color w:val="auto"/>
                <w:sz w:val="21"/>
                <w:szCs w:val="21"/>
              </w:rPr>
            </w:pPr>
            <w:r>
              <w:rPr>
                <w:color w:val="auto"/>
                <w:sz w:val="21"/>
                <w:szCs w:val="21"/>
              </w:rPr>
              <w:t>合价（元）</w:t>
            </w:r>
          </w:p>
        </w:tc>
        <w:tc>
          <w:tcPr>
            <w:tcW w:w="1273" w:type="dxa"/>
            <w:vMerge w:val="restart"/>
            <w:tcBorders>
              <w:top w:val="single" w:color="000000" w:sz="6" w:space="0"/>
              <w:bottom w:val="nil"/>
            </w:tcBorders>
            <w:vAlign w:val="center"/>
          </w:tcPr>
          <w:p w14:paraId="5A02880D">
            <w:pPr>
              <w:pStyle w:val="21"/>
              <w:jc w:val="center"/>
              <w:rPr>
                <w:rFonts w:hint="eastAsia"/>
                <w:color w:val="auto"/>
                <w:sz w:val="21"/>
                <w:szCs w:val="21"/>
              </w:rPr>
            </w:pPr>
            <w:r>
              <w:rPr>
                <w:color w:val="auto"/>
                <w:sz w:val="21"/>
                <w:szCs w:val="21"/>
              </w:rPr>
              <w:t>主要技术条款编码</w:t>
            </w:r>
          </w:p>
        </w:tc>
        <w:tc>
          <w:tcPr>
            <w:tcW w:w="937" w:type="dxa"/>
            <w:vMerge w:val="restart"/>
            <w:tcBorders>
              <w:top w:val="single" w:color="000000" w:sz="6" w:space="0"/>
              <w:bottom w:val="nil"/>
              <w:right w:val="single" w:color="000000" w:sz="6" w:space="0"/>
            </w:tcBorders>
            <w:vAlign w:val="center"/>
          </w:tcPr>
          <w:p w14:paraId="2E2A3E74">
            <w:pPr>
              <w:pStyle w:val="21"/>
              <w:jc w:val="center"/>
              <w:rPr>
                <w:rFonts w:hint="eastAsia"/>
                <w:color w:val="auto"/>
                <w:sz w:val="21"/>
                <w:szCs w:val="21"/>
              </w:rPr>
            </w:pPr>
            <w:r>
              <w:rPr>
                <w:color w:val="auto"/>
                <w:sz w:val="21"/>
                <w:szCs w:val="21"/>
              </w:rPr>
              <w:t>备注</w:t>
            </w:r>
          </w:p>
        </w:tc>
      </w:tr>
      <w:tr w14:paraId="0E338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839" w:type="dxa"/>
            <w:vMerge w:val="continue"/>
            <w:tcBorders>
              <w:top w:val="nil"/>
              <w:left w:val="single" w:color="000000" w:sz="6" w:space="0"/>
            </w:tcBorders>
            <w:vAlign w:val="center"/>
          </w:tcPr>
          <w:p w14:paraId="2184BB82">
            <w:pPr>
              <w:jc w:val="center"/>
              <w:rPr>
                <w:color w:val="auto"/>
              </w:rPr>
            </w:pPr>
          </w:p>
        </w:tc>
        <w:tc>
          <w:tcPr>
            <w:tcW w:w="1261" w:type="dxa"/>
            <w:vMerge w:val="continue"/>
            <w:tcBorders>
              <w:top w:val="nil"/>
            </w:tcBorders>
            <w:vAlign w:val="center"/>
          </w:tcPr>
          <w:p w14:paraId="7C1A1D2D">
            <w:pPr>
              <w:jc w:val="center"/>
              <w:rPr>
                <w:color w:val="auto"/>
              </w:rPr>
            </w:pPr>
          </w:p>
        </w:tc>
        <w:tc>
          <w:tcPr>
            <w:tcW w:w="1841" w:type="dxa"/>
            <w:vMerge w:val="continue"/>
            <w:tcBorders>
              <w:top w:val="nil"/>
            </w:tcBorders>
            <w:vAlign w:val="center"/>
          </w:tcPr>
          <w:p w14:paraId="10DE34F9">
            <w:pPr>
              <w:jc w:val="center"/>
              <w:rPr>
                <w:color w:val="auto"/>
              </w:rPr>
            </w:pPr>
          </w:p>
        </w:tc>
        <w:tc>
          <w:tcPr>
            <w:tcW w:w="2124" w:type="dxa"/>
            <w:vMerge w:val="continue"/>
            <w:tcBorders>
              <w:top w:val="nil"/>
            </w:tcBorders>
            <w:vAlign w:val="center"/>
          </w:tcPr>
          <w:p w14:paraId="37A2DE0B">
            <w:pPr>
              <w:jc w:val="center"/>
              <w:rPr>
                <w:color w:val="auto"/>
              </w:rPr>
            </w:pPr>
          </w:p>
        </w:tc>
        <w:tc>
          <w:tcPr>
            <w:tcW w:w="779" w:type="dxa"/>
            <w:vMerge w:val="continue"/>
            <w:tcBorders>
              <w:top w:val="nil"/>
            </w:tcBorders>
            <w:vAlign w:val="center"/>
          </w:tcPr>
          <w:p w14:paraId="7E2D1E90">
            <w:pPr>
              <w:jc w:val="center"/>
              <w:rPr>
                <w:color w:val="auto"/>
              </w:rPr>
            </w:pPr>
          </w:p>
        </w:tc>
        <w:tc>
          <w:tcPr>
            <w:tcW w:w="825" w:type="dxa"/>
            <w:vMerge w:val="continue"/>
            <w:tcBorders>
              <w:top w:val="nil"/>
            </w:tcBorders>
            <w:vAlign w:val="center"/>
          </w:tcPr>
          <w:p w14:paraId="23FA80F6">
            <w:pPr>
              <w:jc w:val="center"/>
              <w:rPr>
                <w:color w:val="auto"/>
              </w:rPr>
            </w:pPr>
          </w:p>
        </w:tc>
        <w:tc>
          <w:tcPr>
            <w:tcW w:w="1014" w:type="dxa"/>
            <w:vAlign w:val="center"/>
          </w:tcPr>
          <w:p w14:paraId="5C322094">
            <w:pPr>
              <w:pStyle w:val="21"/>
              <w:jc w:val="center"/>
              <w:rPr>
                <w:rFonts w:hint="eastAsia"/>
                <w:color w:val="auto"/>
                <w:sz w:val="21"/>
                <w:szCs w:val="21"/>
              </w:rPr>
            </w:pPr>
            <w:r>
              <w:rPr>
                <w:color w:val="auto"/>
                <w:sz w:val="21"/>
                <w:szCs w:val="21"/>
              </w:rPr>
              <w:t>设备费</w:t>
            </w:r>
          </w:p>
        </w:tc>
        <w:tc>
          <w:tcPr>
            <w:tcW w:w="1014" w:type="dxa"/>
            <w:vAlign w:val="center"/>
          </w:tcPr>
          <w:p w14:paraId="0A18A4FC">
            <w:pPr>
              <w:pStyle w:val="21"/>
              <w:jc w:val="center"/>
              <w:rPr>
                <w:rFonts w:hint="eastAsia"/>
                <w:color w:val="auto"/>
                <w:sz w:val="21"/>
                <w:szCs w:val="21"/>
              </w:rPr>
            </w:pPr>
            <w:r>
              <w:rPr>
                <w:color w:val="auto"/>
                <w:sz w:val="21"/>
                <w:szCs w:val="21"/>
              </w:rPr>
              <w:t>安装费</w:t>
            </w:r>
          </w:p>
        </w:tc>
        <w:tc>
          <w:tcPr>
            <w:tcW w:w="1016" w:type="dxa"/>
            <w:vAlign w:val="center"/>
          </w:tcPr>
          <w:p w14:paraId="6E7E1B81">
            <w:pPr>
              <w:pStyle w:val="21"/>
              <w:jc w:val="center"/>
              <w:rPr>
                <w:rFonts w:hint="eastAsia"/>
                <w:color w:val="auto"/>
                <w:sz w:val="21"/>
                <w:szCs w:val="21"/>
              </w:rPr>
            </w:pPr>
            <w:r>
              <w:rPr>
                <w:color w:val="auto"/>
                <w:sz w:val="21"/>
                <w:szCs w:val="21"/>
              </w:rPr>
              <w:t>设备费</w:t>
            </w:r>
          </w:p>
        </w:tc>
        <w:tc>
          <w:tcPr>
            <w:tcW w:w="1017" w:type="dxa"/>
            <w:vAlign w:val="center"/>
          </w:tcPr>
          <w:p w14:paraId="76F21A66">
            <w:pPr>
              <w:pStyle w:val="21"/>
              <w:jc w:val="center"/>
              <w:rPr>
                <w:rFonts w:hint="eastAsia"/>
                <w:color w:val="auto"/>
                <w:sz w:val="21"/>
                <w:szCs w:val="21"/>
              </w:rPr>
            </w:pPr>
            <w:r>
              <w:rPr>
                <w:color w:val="auto"/>
                <w:sz w:val="21"/>
                <w:szCs w:val="21"/>
              </w:rPr>
              <w:t>安装费</w:t>
            </w:r>
          </w:p>
        </w:tc>
        <w:tc>
          <w:tcPr>
            <w:tcW w:w="1273" w:type="dxa"/>
            <w:vMerge w:val="continue"/>
            <w:tcBorders>
              <w:top w:val="nil"/>
            </w:tcBorders>
            <w:vAlign w:val="center"/>
          </w:tcPr>
          <w:p w14:paraId="40EBA2AE">
            <w:pPr>
              <w:jc w:val="center"/>
              <w:rPr>
                <w:color w:val="auto"/>
              </w:rPr>
            </w:pPr>
          </w:p>
        </w:tc>
        <w:tc>
          <w:tcPr>
            <w:tcW w:w="937" w:type="dxa"/>
            <w:vMerge w:val="continue"/>
            <w:tcBorders>
              <w:top w:val="nil"/>
              <w:right w:val="single" w:color="000000" w:sz="6" w:space="0"/>
            </w:tcBorders>
            <w:vAlign w:val="center"/>
          </w:tcPr>
          <w:p w14:paraId="2ACCCF25">
            <w:pPr>
              <w:jc w:val="center"/>
              <w:rPr>
                <w:color w:val="auto"/>
              </w:rPr>
            </w:pPr>
          </w:p>
        </w:tc>
      </w:tr>
      <w:tr w14:paraId="6DF14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68F91B45">
            <w:pPr>
              <w:jc w:val="center"/>
              <w:rPr>
                <w:color w:val="auto"/>
              </w:rPr>
            </w:pPr>
          </w:p>
        </w:tc>
        <w:tc>
          <w:tcPr>
            <w:tcW w:w="1261" w:type="dxa"/>
            <w:vAlign w:val="center"/>
          </w:tcPr>
          <w:p w14:paraId="37981CC1">
            <w:pPr>
              <w:jc w:val="center"/>
              <w:rPr>
                <w:color w:val="auto"/>
              </w:rPr>
            </w:pPr>
          </w:p>
        </w:tc>
        <w:tc>
          <w:tcPr>
            <w:tcW w:w="1841" w:type="dxa"/>
            <w:vAlign w:val="center"/>
          </w:tcPr>
          <w:p w14:paraId="6193E729">
            <w:pPr>
              <w:jc w:val="center"/>
              <w:rPr>
                <w:color w:val="auto"/>
              </w:rPr>
            </w:pPr>
          </w:p>
        </w:tc>
        <w:tc>
          <w:tcPr>
            <w:tcW w:w="2124" w:type="dxa"/>
            <w:vAlign w:val="center"/>
          </w:tcPr>
          <w:p w14:paraId="021801F1">
            <w:pPr>
              <w:jc w:val="center"/>
              <w:rPr>
                <w:color w:val="auto"/>
              </w:rPr>
            </w:pPr>
          </w:p>
        </w:tc>
        <w:tc>
          <w:tcPr>
            <w:tcW w:w="779" w:type="dxa"/>
            <w:vAlign w:val="center"/>
          </w:tcPr>
          <w:p w14:paraId="6E0F1932">
            <w:pPr>
              <w:jc w:val="center"/>
              <w:rPr>
                <w:color w:val="auto"/>
              </w:rPr>
            </w:pPr>
          </w:p>
        </w:tc>
        <w:tc>
          <w:tcPr>
            <w:tcW w:w="825" w:type="dxa"/>
            <w:vAlign w:val="center"/>
          </w:tcPr>
          <w:p w14:paraId="5446782B">
            <w:pPr>
              <w:jc w:val="center"/>
              <w:rPr>
                <w:color w:val="auto"/>
              </w:rPr>
            </w:pPr>
          </w:p>
        </w:tc>
        <w:tc>
          <w:tcPr>
            <w:tcW w:w="1014" w:type="dxa"/>
            <w:vAlign w:val="center"/>
          </w:tcPr>
          <w:p w14:paraId="2E7CF4D8">
            <w:pPr>
              <w:jc w:val="center"/>
              <w:rPr>
                <w:color w:val="auto"/>
              </w:rPr>
            </w:pPr>
          </w:p>
        </w:tc>
        <w:tc>
          <w:tcPr>
            <w:tcW w:w="1014" w:type="dxa"/>
            <w:vAlign w:val="center"/>
          </w:tcPr>
          <w:p w14:paraId="0AC9D98A">
            <w:pPr>
              <w:jc w:val="center"/>
              <w:rPr>
                <w:color w:val="auto"/>
              </w:rPr>
            </w:pPr>
          </w:p>
        </w:tc>
        <w:tc>
          <w:tcPr>
            <w:tcW w:w="1016" w:type="dxa"/>
            <w:vAlign w:val="center"/>
          </w:tcPr>
          <w:p w14:paraId="7CAB3927">
            <w:pPr>
              <w:jc w:val="center"/>
              <w:rPr>
                <w:color w:val="auto"/>
              </w:rPr>
            </w:pPr>
          </w:p>
        </w:tc>
        <w:tc>
          <w:tcPr>
            <w:tcW w:w="1017" w:type="dxa"/>
            <w:vAlign w:val="center"/>
          </w:tcPr>
          <w:p w14:paraId="4FBC8BF2">
            <w:pPr>
              <w:jc w:val="center"/>
              <w:rPr>
                <w:color w:val="auto"/>
              </w:rPr>
            </w:pPr>
          </w:p>
        </w:tc>
        <w:tc>
          <w:tcPr>
            <w:tcW w:w="1273" w:type="dxa"/>
            <w:vAlign w:val="center"/>
          </w:tcPr>
          <w:p w14:paraId="0F51A9A5">
            <w:pPr>
              <w:jc w:val="center"/>
              <w:rPr>
                <w:color w:val="auto"/>
              </w:rPr>
            </w:pPr>
          </w:p>
        </w:tc>
        <w:tc>
          <w:tcPr>
            <w:tcW w:w="937" w:type="dxa"/>
            <w:tcBorders>
              <w:right w:val="single" w:color="000000" w:sz="6" w:space="0"/>
            </w:tcBorders>
            <w:vAlign w:val="center"/>
          </w:tcPr>
          <w:p w14:paraId="4AE5D38A">
            <w:pPr>
              <w:jc w:val="center"/>
              <w:rPr>
                <w:color w:val="auto"/>
              </w:rPr>
            </w:pPr>
          </w:p>
        </w:tc>
      </w:tr>
      <w:tr w14:paraId="2A7EA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5B94F63E">
            <w:pPr>
              <w:jc w:val="center"/>
              <w:rPr>
                <w:color w:val="auto"/>
              </w:rPr>
            </w:pPr>
          </w:p>
        </w:tc>
        <w:tc>
          <w:tcPr>
            <w:tcW w:w="1261" w:type="dxa"/>
            <w:vAlign w:val="center"/>
          </w:tcPr>
          <w:p w14:paraId="7CB7A2BA">
            <w:pPr>
              <w:jc w:val="center"/>
              <w:rPr>
                <w:color w:val="auto"/>
              </w:rPr>
            </w:pPr>
          </w:p>
        </w:tc>
        <w:tc>
          <w:tcPr>
            <w:tcW w:w="1841" w:type="dxa"/>
            <w:vAlign w:val="center"/>
          </w:tcPr>
          <w:p w14:paraId="2BEAC397">
            <w:pPr>
              <w:jc w:val="center"/>
              <w:rPr>
                <w:color w:val="auto"/>
              </w:rPr>
            </w:pPr>
          </w:p>
        </w:tc>
        <w:tc>
          <w:tcPr>
            <w:tcW w:w="2124" w:type="dxa"/>
            <w:vAlign w:val="center"/>
          </w:tcPr>
          <w:p w14:paraId="685E41CF">
            <w:pPr>
              <w:jc w:val="center"/>
              <w:rPr>
                <w:color w:val="auto"/>
              </w:rPr>
            </w:pPr>
          </w:p>
        </w:tc>
        <w:tc>
          <w:tcPr>
            <w:tcW w:w="779" w:type="dxa"/>
            <w:vAlign w:val="center"/>
          </w:tcPr>
          <w:p w14:paraId="030F86C2">
            <w:pPr>
              <w:jc w:val="center"/>
              <w:rPr>
                <w:color w:val="auto"/>
              </w:rPr>
            </w:pPr>
          </w:p>
        </w:tc>
        <w:tc>
          <w:tcPr>
            <w:tcW w:w="825" w:type="dxa"/>
            <w:vAlign w:val="center"/>
          </w:tcPr>
          <w:p w14:paraId="05B16AD1">
            <w:pPr>
              <w:jc w:val="center"/>
              <w:rPr>
                <w:color w:val="auto"/>
              </w:rPr>
            </w:pPr>
          </w:p>
        </w:tc>
        <w:tc>
          <w:tcPr>
            <w:tcW w:w="1014" w:type="dxa"/>
            <w:vAlign w:val="center"/>
          </w:tcPr>
          <w:p w14:paraId="025B7919">
            <w:pPr>
              <w:jc w:val="center"/>
              <w:rPr>
                <w:color w:val="auto"/>
              </w:rPr>
            </w:pPr>
          </w:p>
        </w:tc>
        <w:tc>
          <w:tcPr>
            <w:tcW w:w="1014" w:type="dxa"/>
            <w:vAlign w:val="center"/>
          </w:tcPr>
          <w:p w14:paraId="0A415BCA">
            <w:pPr>
              <w:jc w:val="center"/>
              <w:rPr>
                <w:color w:val="auto"/>
              </w:rPr>
            </w:pPr>
          </w:p>
        </w:tc>
        <w:tc>
          <w:tcPr>
            <w:tcW w:w="1016" w:type="dxa"/>
            <w:vAlign w:val="center"/>
          </w:tcPr>
          <w:p w14:paraId="086B02F3">
            <w:pPr>
              <w:jc w:val="center"/>
              <w:rPr>
                <w:color w:val="auto"/>
              </w:rPr>
            </w:pPr>
          </w:p>
        </w:tc>
        <w:tc>
          <w:tcPr>
            <w:tcW w:w="1017" w:type="dxa"/>
            <w:vAlign w:val="center"/>
          </w:tcPr>
          <w:p w14:paraId="0C5CC814">
            <w:pPr>
              <w:jc w:val="center"/>
              <w:rPr>
                <w:color w:val="auto"/>
              </w:rPr>
            </w:pPr>
          </w:p>
        </w:tc>
        <w:tc>
          <w:tcPr>
            <w:tcW w:w="1273" w:type="dxa"/>
            <w:vAlign w:val="center"/>
          </w:tcPr>
          <w:p w14:paraId="5E745BD8">
            <w:pPr>
              <w:jc w:val="center"/>
              <w:rPr>
                <w:color w:val="auto"/>
              </w:rPr>
            </w:pPr>
          </w:p>
        </w:tc>
        <w:tc>
          <w:tcPr>
            <w:tcW w:w="937" w:type="dxa"/>
            <w:tcBorders>
              <w:right w:val="single" w:color="000000" w:sz="6" w:space="0"/>
            </w:tcBorders>
            <w:vAlign w:val="center"/>
          </w:tcPr>
          <w:p w14:paraId="30F462CA">
            <w:pPr>
              <w:jc w:val="center"/>
              <w:rPr>
                <w:color w:val="auto"/>
              </w:rPr>
            </w:pPr>
          </w:p>
        </w:tc>
      </w:tr>
      <w:tr w14:paraId="35247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5897C845">
            <w:pPr>
              <w:jc w:val="center"/>
              <w:rPr>
                <w:color w:val="auto"/>
              </w:rPr>
            </w:pPr>
          </w:p>
        </w:tc>
        <w:tc>
          <w:tcPr>
            <w:tcW w:w="1261" w:type="dxa"/>
            <w:vAlign w:val="center"/>
          </w:tcPr>
          <w:p w14:paraId="51EAD8FB">
            <w:pPr>
              <w:jc w:val="center"/>
              <w:rPr>
                <w:color w:val="auto"/>
              </w:rPr>
            </w:pPr>
          </w:p>
        </w:tc>
        <w:tc>
          <w:tcPr>
            <w:tcW w:w="1841" w:type="dxa"/>
            <w:vAlign w:val="center"/>
          </w:tcPr>
          <w:p w14:paraId="3992EDD3">
            <w:pPr>
              <w:jc w:val="center"/>
              <w:rPr>
                <w:color w:val="auto"/>
              </w:rPr>
            </w:pPr>
          </w:p>
        </w:tc>
        <w:tc>
          <w:tcPr>
            <w:tcW w:w="2124" w:type="dxa"/>
            <w:vAlign w:val="center"/>
          </w:tcPr>
          <w:p w14:paraId="54BA8CEB">
            <w:pPr>
              <w:jc w:val="center"/>
              <w:rPr>
                <w:color w:val="auto"/>
              </w:rPr>
            </w:pPr>
          </w:p>
        </w:tc>
        <w:tc>
          <w:tcPr>
            <w:tcW w:w="779" w:type="dxa"/>
            <w:vAlign w:val="center"/>
          </w:tcPr>
          <w:p w14:paraId="13BD0856">
            <w:pPr>
              <w:jc w:val="center"/>
              <w:rPr>
                <w:color w:val="auto"/>
              </w:rPr>
            </w:pPr>
          </w:p>
        </w:tc>
        <w:tc>
          <w:tcPr>
            <w:tcW w:w="825" w:type="dxa"/>
            <w:vAlign w:val="center"/>
          </w:tcPr>
          <w:p w14:paraId="55F59379">
            <w:pPr>
              <w:jc w:val="center"/>
              <w:rPr>
                <w:color w:val="auto"/>
              </w:rPr>
            </w:pPr>
          </w:p>
        </w:tc>
        <w:tc>
          <w:tcPr>
            <w:tcW w:w="1014" w:type="dxa"/>
            <w:vAlign w:val="center"/>
          </w:tcPr>
          <w:p w14:paraId="492766B1">
            <w:pPr>
              <w:jc w:val="center"/>
              <w:rPr>
                <w:color w:val="auto"/>
              </w:rPr>
            </w:pPr>
          </w:p>
        </w:tc>
        <w:tc>
          <w:tcPr>
            <w:tcW w:w="1014" w:type="dxa"/>
            <w:vAlign w:val="center"/>
          </w:tcPr>
          <w:p w14:paraId="079B770F">
            <w:pPr>
              <w:jc w:val="center"/>
              <w:rPr>
                <w:color w:val="auto"/>
              </w:rPr>
            </w:pPr>
          </w:p>
        </w:tc>
        <w:tc>
          <w:tcPr>
            <w:tcW w:w="1016" w:type="dxa"/>
            <w:vAlign w:val="center"/>
          </w:tcPr>
          <w:p w14:paraId="72333D5C">
            <w:pPr>
              <w:jc w:val="center"/>
              <w:rPr>
                <w:color w:val="auto"/>
              </w:rPr>
            </w:pPr>
          </w:p>
        </w:tc>
        <w:tc>
          <w:tcPr>
            <w:tcW w:w="1017" w:type="dxa"/>
            <w:vAlign w:val="center"/>
          </w:tcPr>
          <w:p w14:paraId="32C5D421">
            <w:pPr>
              <w:jc w:val="center"/>
              <w:rPr>
                <w:color w:val="auto"/>
              </w:rPr>
            </w:pPr>
          </w:p>
        </w:tc>
        <w:tc>
          <w:tcPr>
            <w:tcW w:w="1273" w:type="dxa"/>
            <w:vAlign w:val="center"/>
          </w:tcPr>
          <w:p w14:paraId="6A67CA6E">
            <w:pPr>
              <w:jc w:val="center"/>
              <w:rPr>
                <w:color w:val="auto"/>
              </w:rPr>
            </w:pPr>
          </w:p>
        </w:tc>
        <w:tc>
          <w:tcPr>
            <w:tcW w:w="937" w:type="dxa"/>
            <w:tcBorders>
              <w:right w:val="single" w:color="000000" w:sz="6" w:space="0"/>
            </w:tcBorders>
            <w:vAlign w:val="center"/>
          </w:tcPr>
          <w:p w14:paraId="2ACDD300">
            <w:pPr>
              <w:jc w:val="center"/>
              <w:rPr>
                <w:color w:val="auto"/>
              </w:rPr>
            </w:pPr>
          </w:p>
        </w:tc>
      </w:tr>
      <w:tr w14:paraId="724FA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39" w:type="dxa"/>
            <w:tcBorders>
              <w:left w:val="single" w:color="000000" w:sz="6" w:space="0"/>
            </w:tcBorders>
            <w:vAlign w:val="center"/>
          </w:tcPr>
          <w:p w14:paraId="52D75C24">
            <w:pPr>
              <w:jc w:val="center"/>
              <w:rPr>
                <w:color w:val="auto"/>
              </w:rPr>
            </w:pPr>
          </w:p>
        </w:tc>
        <w:tc>
          <w:tcPr>
            <w:tcW w:w="1261" w:type="dxa"/>
            <w:vAlign w:val="center"/>
          </w:tcPr>
          <w:p w14:paraId="2AF6B436">
            <w:pPr>
              <w:jc w:val="center"/>
              <w:rPr>
                <w:color w:val="auto"/>
              </w:rPr>
            </w:pPr>
          </w:p>
        </w:tc>
        <w:tc>
          <w:tcPr>
            <w:tcW w:w="1841" w:type="dxa"/>
            <w:vAlign w:val="center"/>
          </w:tcPr>
          <w:p w14:paraId="556C3B01">
            <w:pPr>
              <w:jc w:val="center"/>
              <w:rPr>
                <w:color w:val="auto"/>
              </w:rPr>
            </w:pPr>
          </w:p>
        </w:tc>
        <w:tc>
          <w:tcPr>
            <w:tcW w:w="2124" w:type="dxa"/>
            <w:vAlign w:val="center"/>
          </w:tcPr>
          <w:p w14:paraId="342088D4">
            <w:pPr>
              <w:jc w:val="center"/>
              <w:rPr>
                <w:color w:val="auto"/>
              </w:rPr>
            </w:pPr>
          </w:p>
        </w:tc>
        <w:tc>
          <w:tcPr>
            <w:tcW w:w="779" w:type="dxa"/>
            <w:vAlign w:val="center"/>
          </w:tcPr>
          <w:p w14:paraId="5F2E0355">
            <w:pPr>
              <w:jc w:val="center"/>
              <w:rPr>
                <w:color w:val="auto"/>
              </w:rPr>
            </w:pPr>
          </w:p>
        </w:tc>
        <w:tc>
          <w:tcPr>
            <w:tcW w:w="825" w:type="dxa"/>
            <w:vAlign w:val="center"/>
          </w:tcPr>
          <w:p w14:paraId="0342B750">
            <w:pPr>
              <w:jc w:val="center"/>
              <w:rPr>
                <w:color w:val="auto"/>
              </w:rPr>
            </w:pPr>
          </w:p>
        </w:tc>
        <w:tc>
          <w:tcPr>
            <w:tcW w:w="1014" w:type="dxa"/>
            <w:vAlign w:val="center"/>
          </w:tcPr>
          <w:p w14:paraId="317F2CF7">
            <w:pPr>
              <w:jc w:val="center"/>
              <w:rPr>
                <w:color w:val="auto"/>
              </w:rPr>
            </w:pPr>
          </w:p>
        </w:tc>
        <w:tc>
          <w:tcPr>
            <w:tcW w:w="1014" w:type="dxa"/>
            <w:vAlign w:val="center"/>
          </w:tcPr>
          <w:p w14:paraId="76ECBC59">
            <w:pPr>
              <w:jc w:val="center"/>
              <w:rPr>
                <w:color w:val="auto"/>
              </w:rPr>
            </w:pPr>
          </w:p>
        </w:tc>
        <w:tc>
          <w:tcPr>
            <w:tcW w:w="1016" w:type="dxa"/>
            <w:vAlign w:val="center"/>
          </w:tcPr>
          <w:p w14:paraId="73029126">
            <w:pPr>
              <w:jc w:val="center"/>
              <w:rPr>
                <w:color w:val="auto"/>
              </w:rPr>
            </w:pPr>
          </w:p>
        </w:tc>
        <w:tc>
          <w:tcPr>
            <w:tcW w:w="1017" w:type="dxa"/>
            <w:vAlign w:val="center"/>
          </w:tcPr>
          <w:p w14:paraId="44875185">
            <w:pPr>
              <w:jc w:val="center"/>
              <w:rPr>
                <w:color w:val="auto"/>
              </w:rPr>
            </w:pPr>
          </w:p>
        </w:tc>
        <w:tc>
          <w:tcPr>
            <w:tcW w:w="1273" w:type="dxa"/>
            <w:vAlign w:val="center"/>
          </w:tcPr>
          <w:p w14:paraId="164F38C1">
            <w:pPr>
              <w:jc w:val="center"/>
              <w:rPr>
                <w:color w:val="auto"/>
              </w:rPr>
            </w:pPr>
          </w:p>
        </w:tc>
        <w:tc>
          <w:tcPr>
            <w:tcW w:w="937" w:type="dxa"/>
            <w:tcBorders>
              <w:right w:val="single" w:color="000000" w:sz="6" w:space="0"/>
            </w:tcBorders>
            <w:vAlign w:val="center"/>
          </w:tcPr>
          <w:p w14:paraId="78410AFE">
            <w:pPr>
              <w:jc w:val="center"/>
              <w:rPr>
                <w:color w:val="auto"/>
              </w:rPr>
            </w:pPr>
          </w:p>
        </w:tc>
      </w:tr>
      <w:tr w14:paraId="47C7EB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75878F30">
            <w:pPr>
              <w:jc w:val="center"/>
              <w:rPr>
                <w:color w:val="auto"/>
              </w:rPr>
            </w:pPr>
          </w:p>
        </w:tc>
        <w:tc>
          <w:tcPr>
            <w:tcW w:w="1261" w:type="dxa"/>
            <w:vAlign w:val="center"/>
          </w:tcPr>
          <w:p w14:paraId="6C8D0E02">
            <w:pPr>
              <w:jc w:val="center"/>
              <w:rPr>
                <w:color w:val="auto"/>
              </w:rPr>
            </w:pPr>
          </w:p>
        </w:tc>
        <w:tc>
          <w:tcPr>
            <w:tcW w:w="1841" w:type="dxa"/>
            <w:vAlign w:val="center"/>
          </w:tcPr>
          <w:p w14:paraId="7A5F6061">
            <w:pPr>
              <w:jc w:val="center"/>
              <w:rPr>
                <w:color w:val="auto"/>
              </w:rPr>
            </w:pPr>
          </w:p>
        </w:tc>
        <w:tc>
          <w:tcPr>
            <w:tcW w:w="2124" w:type="dxa"/>
            <w:vAlign w:val="center"/>
          </w:tcPr>
          <w:p w14:paraId="38015A9B">
            <w:pPr>
              <w:jc w:val="center"/>
              <w:rPr>
                <w:color w:val="auto"/>
              </w:rPr>
            </w:pPr>
          </w:p>
        </w:tc>
        <w:tc>
          <w:tcPr>
            <w:tcW w:w="779" w:type="dxa"/>
            <w:vAlign w:val="center"/>
          </w:tcPr>
          <w:p w14:paraId="26FDBF68">
            <w:pPr>
              <w:jc w:val="center"/>
              <w:rPr>
                <w:color w:val="auto"/>
              </w:rPr>
            </w:pPr>
          </w:p>
        </w:tc>
        <w:tc>
          <w:tcPr>
            <w:tcW w:w="825" w:type="dxa"/>
            <w:vAlign w:val="center"/>
          </w:tcPr>
          <w:p w14:paraId="6FA4BD1D">
            <w:pPr>
              <w:jc w:val="center"/>
              <w:rPr>
                <w:color w:val="auto"/>
              </w:rPr>
            </w:pPr>
          </w:p>
        </w:tc>
        <w:tc>
          <w:tcPr>
            <w:tcW w:w="1014" w:type="dxa"/>
            <w:vAlign w:val="center"/>
          </w:tcPr>
          <w:p w14:paraId="1DF7F48D">
            <w:pPr>
              <w:jc w:val="center"/>
              <w:rPr>
                <w:color w:val="auto"/>
              </w:rPr>
            </w:pPr>
          </w:p>
        </w:tc>
        <w:tc>
          <w:tcPr>
            <w:tcW w:w="1014" w:type="dxa"/>
            <w:vAlign w:val="center"/>
          </w:tcPr>
          <w:p w14:paraId="4C6D982B">
            <w:pPr>
              <w:jc w:val="center"/>
              <w:rPr>
                <w:color w:val="auto"/>
              </w:rPr>
            </w:pPr>
          </w:p>
        </w:tc>
        <w:tc>
          <w:tcPr>
            <w:tcW w:w="1016" w:type="dxa"/>
            <w:vAlign w:val="center"/>
          </w:tcPr>
          <w:p w14:paraId="23738662">
            <w:pPr>
              <w:jc w:val="center"/>
              <w:rPr>
                <w:color w:val="auto"/>
              </w:rPr>
            </w:pPr>
          </w:p>
        </w:tc>
        <w:tc>
          <w:tcPr>
            <w:tcW w:w="1017" w:type="dxa"/>
            <w:vAlign w:val="center"/>
          </w:tcPr>
          <w:p w14:paraId="21F7327F">
            <w:pPr>
              <w:jc w:val="center"/>
              <w:rPr>
                <w:color w:val="auto"/>
              </w:rPr>
            </w:pPr>
          </w:p>
        </w:tc>
        <w:tc>
          <w:tcPr>
            <w:tcW w:w="1273" w:type="dxa"/>
            <w:vAlign w:val="center"/>
          </w:tcPr>
          <w:p w14:paraId="23590443">
            <w:pPr>
              <w:jc w:val="center"/>
              <w:rPr>
                <w:color w:val="auto"/>
              </w:rPr>
            </w:pPr>
          </w:p>
        </w:tc>
        <w:tc>
          <w:tcPr>
            <w:tcW w:w="937" w:type="dxa"/>
            <w:tcBorders>
              <w:right w:val="single" w:color="000000" w:sz="6" w:space="0"/>
            </w:tcBorders>
            <w:vAlign w:val="center"/>
          </w:tcPr>
          <w:p w14:paraId="290534D0">
            <w:pPr>
              <w:jc w:val="center"/>
              <w:rPr>
                <w:color w:val="auto"/>
              </w:rPr>
            </w:pPr>
          </w:p>
        </w:tc>
      </w:tr>
      <w:tr w14:paraId="79D3E5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5B9F8299">
            <w:pPr>
              <w:jc w:val="center"/>
              <w:rPr>
                <w:color w:val="auto"/>
              </w:rPr>
            </w:pPr>
          </w:p>
        </w:tc>
        <w:tc>
          <w:tcPr>
            <w:tcW w:w="1261" w:type="dxa"/>
            <w:vAlign w:val="center"/>
          </w:tcPr>
          <w:p w14:paraId="116204CC">
            <w:pPr>
              <w:jc w:val="center"/>
              <w:rPr>
                <w:color w:val="auto"/>
              </w:rPr>
            </w:pPr>
          </w:p>
        </w:tc>
        <w:tc>
          <w:tcPr>
            <w:tcW w:w="1841" w:type="dxa"/>
            <w:vAlign w:val="center"/>
          </w:tcPr>
          <w:p w14:paraId="785EB815">
            <w:pPr>
              <w:jc w:val="center"/>
              <w:rPr>
                <w:color w:val="auto"/>
              </w:rPr>
            </w:pPr>
          </w:p>
        </w:tc>
        <w:tc>
          <w:tcPr>
            <w:tcW w:w="2124" w:type="dxa"/>
            <w:vAlign w:val="center"/>
          </w:tcPr>
          <w:p w14:paraId="64C903C0">
            <w:pPr>
              <w:jc w:val="center"/>
              <w:rPr>
                <w:color w:val="auto"/>
              </w:rPr>
            </w:pPr>
          </w:p>
        </w:tc>
        <w:tc>
          <w:tcPr>
            <w:tcW w:w="779" w:type="dxa"/>
            <w:vAlign w:val="center"/>
          </w:tcPr>
          <w:p w14:paraId="0EA1BBFD">
            <w:pPr>
              <w:jc w:val="center"/>
              <w:rPr>
                <w:color w:val="auto"/>
              </w:rPr>
            </w:pPr>
          </w:p>
        </w:tc>
        <w:tc>
          <w:tcPr>
            <w:tcW w:w="825" w:type="dxa"/>
            <w:vAlign w:val="center"/>
          </w:tcPr>
          <w:p w14:paraId="6DB58737">
            <w:pPr>
              <w:jc w:val="center"/>
              <w:rPr>
                <w:color w:val="auto"/>
              </w:rPr>
            </w:pPr>
          </w:p>
        </w:tc>
        <w:tc>
          <w:tcPr>
            <w:tcW w:w="1014" w:type="dxa"/>
            <w:vAlign w:val="center"/>
          </w:tcPr>
          <w:p w14:paraId="68112C8F">
            <w:pPr>
              <w:jc w:val="center"/>
              <w:rPr>
                <w:color w:val="auto"/>
              </w:rPr>
            </w:pPr>
          </w:p>
        </w:tc>
        <w:tc>
          <w:tcPr>
            <w:tcW w:w="1014" w:type="dxa"/>
            <w:vAlign w:val="center"/>
          </w:tcPr>
          <w:p w14:paraId="75E75338">
            <w:pPr>
              <w:jc w:val="center"/>
              <w:rPr>
                <w:color w:val="auto"/>
              </w:rPr>
            </w:pPr>
          </w:p>
        </w:tc>
        <w:tc>
          <w:tcPr>
            <w:tcW w:w="1016" w:type="dxa"/>
            <w:vAlign w:val="center"/>
          </w:tcPr>
          <w:p w14:paraId="4670936A">
            <w:pPr>
              <w:jc w:val="center"/>
              <w:rPr>
                <w:color w:val="auto"/>
              </w:rPr>
            </w:pPr>
          </w:p>
        </w:tc>
        <w:tc>
          <w:tcPr>
            <w:tcW w:w="1017" w:type="dxa"/>
            <w:vAlign w:val="center"/>
          </w:tcPr>
          <w:p w14:paraId="67D41DF3">
            <w:pPr>
              <w:jc w:val="center"/>
              <w:rPr>
                <w:color w:val="auto"/>
              </w:rPr>
            </w:pPr>
          </w:p>
        </w:tc>
        <w:tc>
          <w:tcPr>
            <w:tcW w:w="1273" w:type="dxa"/>
            <w:vAlign w:val="center"/>
          </w:tcPr>
          <w:p w14:paraId="4F8DE851">
            <w:pPr>
              <w:jc w:val="center"/>
              <w:rPr>
                <w:color w:val="auto"/>
              </w:rPr>
            </w:pPr>
          </w:p>
        </w:tc>
        <w:tc>
          <w:tcPr>
            <w:tcW w:w="937" w:type="dxa"/>
            <w:tcBorders>
              <w:right w:val="single" w:color="000000" w:sz="6" w:space="0"/>
            </w:tcBorders>
            <w:vAlign w:val="center"/>
          </w:tcPr>
          <w:p w14:paraId="12163AA1">
            <w:pPr>
              <w:jc w:val="center"/>
              <w:rPr>
                <w:color w:val="auto"/>
              </w:rPr>
            </w:pPr>
          </w:p>
        </w:tc>
      </w:tr>
      <w:tr w14:paraId="5D8F9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512166CA">
            <w:pPr>
              <w:jc w:val="center"/>
              <w:rPr>
                <w:color w:val="auto"/>
              </w:rPr>
            </w:pPr>
          </w:p>
        </w:tc>
        <w:tc>
          <w:tcPr>
            <w:tcW w:w="1261" w:type="dxa"/>
            <w:vAlign w:val="center"/>
          </w:tcPr>
          <w:p w14:paraId="09713937">
            <w:pPr>
              <w:jc w:val="center"/>
              <w:rPr>
                <w:color w:val="auto"/>
              </w:rPr>
            </w:pPr>
          </w:p>
        </w:tc>
        <w:tc>
          <w:tcPr>
            <w:tcW w:w="1841" w:type="dxa"/>
            <w:vAlign w:val="center"/>
          </w:tcPr>
          <w:p w14:paraId="57ACA0B0">
            <w:pPr>
              <w:jc w:val="center"/>
              <w:rPr>
                <w:color w:val="auto"/>
              </w:rPr>
            </w:pPr>
          </w:p>
        </w:tc>
        <w:tc>
          <w:tcPr>
            <w:tcW w:w="2124" w:type="dxa"/>
            <w:vAlign w:val="center"/>
          </w:tcPr>
          <w:p w14:paraId="149D5223">
            <w:pPr>
              <w:jc w:val="center"/>
              <w:rPr>
                <w:color w:val="auto"/>
              </w:rPr>
            </w:pPr>
          </w:p>
        </w:tc>
        <w:tc>
          <w:tcPr>
            <w:tcW w:w="779" w:type="dxa"/>
            <w:vAlign w:val="center"/>
          </w:tcPr>
          <w:p w14:paraId="7264C627">
            <w:pPr>
              <w:jc w:val="center"/>
              <w:rPr>
                <w:color w:val="auto"/>
              </w:rPr>
            </w:pPr>
          </w:p>
        </w:tc>
        <w:tc>
          <w:tcPr>
            <w:tcW w:w="825" w:type="dxa"/>
            <w:vAlign w:val="center"/>
          </w:tcPr>
          <w:p w14:paraId="1F12C446">
            <w:pPr>
              <w:jc w:val="center"/>
              <w:rPr>
                <w:color w:val="auto"/>
              </w:rPr>
            </w:pPr>
          </w:p>
        </w:tc>
        <w:tc>
          <w:tcPr>
            <w:tcW w:w="1014" w:type="dxa"/>
            <w:vAlign w:val="center"/>
          </w:tcPr>
          <w:p w14:paraId="2E007FE2">
            <w:pPr>
              <w:jc w:val="center"/>
              <w:rPr>
                <w:color w:val="auto"/>
              </w:rPr>
            </w:pPr>
          </w:p>
        </w:tc>
        <w:tc>
          <w:tcPr>
            <w:tcW w:w="1014" w:type="dxa"/>
            <w:vAlign w:val="center"/>
          </w:tcPr>
          <w:p w14:paraId="6436BB65">
            <w:pPr>
              <w:jc w:val="center"/>
              <w:rPr>
                <w:color w:val="auto"/>
              </w:rPr>
            </w:pPr>
          </w:p>
        </w:tc>
        <w:tc>
          <w:tcPr>
            <w:tcW w:w="1016" w:type="dxa"/>
            <w:vAlign w:val="center"/>
          </w:tcPr>
          <w:p w14:paraId="22BFF7AC">
            <w:pPr>
              <w:jc w:val="center"/>
              <w:rPr>
                <w:color w:val="auto"/>
              </w:rPr>
            </w:pPr>
          </w:p>
        </w:tc>
        <w:tc>
          <w:tcPr>
            <w:tcW w:w="1017" w:type="dxa"/>
            <w:vAlign w:val="center"/>
          </w:tcPr>
          <w:p w14:paraId="398D3D21">
            <w:pPr>
              <w:jc w:val="center"/>
              <w:rPr>
                <w:color w:val="auto"/>
              </w:rPr>
            </w:pPr>
          </w:p>
        </w:tc>
        <w:tc>
          <w:tcPr>
            <w:tcW w:w="1273" w:type="dxa"/>
            <w:vAlign w:val="center"/>
          </w:tcPr>
          <w:p w14:paraId="7A6EE4F0">
            <w:pPr>
              <w:jc w:val="center"/>
              <w:rPr>
                <w:color w:val="auto"/>
              </w:rPr>
            </w:pPr>
          </w:p>
        </w:tc>
        <w:tc>
          <w:tcPr>
            <w:tcW w:w="937" w:type="dxa"/>
            <w:tcBorders>
              <w:right w:val="single" w:color="000000" w:sz="6" w:space="0"/>
            </w:tcBorders>
            <w:vAlign w:val="center"/>
          </w:tcPr>
          <w:p w14:paraId="0B51D61C">
            <w:pPr>
              <w:jc w:val="center"/>
              <w:rPr>
                <w:color w:val="auto"/>
              </w:rPr>
            </w:pPr>
          </w:p>
        </w:tc>
      </w:tr>
      <w:tr w14:paraId="6791C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center"/>
          </w:tcPr>
          <w:p w14:paraId="692CF87E">
            <w:pPr>
              <w:jc w:val="center"/>
              <w:rPr>
                <w:color w:val="auto"/>
              </w:rPr>
            </w:pPr>
          </w:p>
        </w:tc>
        <w:tc>
          <w:tcPr>
            <w:tcW w:w="1261" w:type="dxa"/>
            <w:vAlign w:val="center"/>
          </w:tcPr>
          <w:p w14:paraId="7D45F554">
            <w:pPr>
              <w:jc w:val="center"/>
              <w:rPr>
                <w:color w:val="auto"/>
              </w:rPr>
            </w:pPr>
          </w:p>
        </w:tc>
        <w:tc>
          <w:tcPr>
            <w:tcW w:w="1841" w:type="dxa"/>
            <w:vAlign w:val="center"/>
          </w:tcPr>
          <w:p w14:paraId="7FE18582">
            <w:pPr>
              <w:jc w:val="center"/>
              <w:rPr>
                <w:color w:val="auto"/>
              </w:rPr>
            </w:pPr>
          </w:p>
        </w:tc>
        <w:tc>
          <w:tcPr>
            <w:tcW w:w="2124" w:type="dxa"/>
            <w:vAlign w:val="center"/>
          </w:tcPr>
          <w:p w14:paraId="09CBBEF2">
            <w:pPr>
              <w:jc w:val="center"/>
              <w:rPr>
                <w:color w:val="auto"/>
              </w:rPr>
            </w:pPr>
          </w:p>
        </w:tc>
        <w:tc>
          <w:tcPr>
            <w:tcW w:w="779" w:type="dxa"/>
            <w:vAlign w:val="center"/>
          </w:tcPr>
          <w:p w14:paraId="686900FC">
            <w:pPr>
              <w:jc w:val="center"/>
              <w:rPr>
                <w:color w:val="auto"/>
              </w:rPr>
            </w:pPr>
          </w:p>
        </w:tc>
        <w:tc>
          <w:tcPr>
            <w:tcW w:w="825" w:type="dxa"/>
            <w:vAlign w:val="center"/>
          </w:tcPr>
          <w:p w14:paraId="1F57B0CB">
            <w:pPr>
              <w:jc w:val="center"/>
              <w:rPr>
                <w:color w:val="auto"/>
              </w:rPr>
            </w:pPr>
          </w:p>
        </w:tc>
        <w:tc>
          <w:tcPr>
            <w:tcW w:w="1014" w:type="dxa"/>
            <w:vAlign w:val="center"/>
          </w:tcPr>
          <w:p w14:paraId="02262F25">
            <w:pPr>
              <w:jc w:val="center"/>
              <w:rPr>
                <w:color w:val="auto"/>
              </w:rPr>
            </w:pPr>
          </w:p>
        </w:tc>
        <w:tc>
          <w:tcPr>
            <w:tcW w:w="1014" w:type="dxa"/>
            <w:vAlign w:val="center"/>
          </w:tcPr>
          <w:p w14:paraId="0DEB584A">
            <w:pPr>
              <w:jc w:val="center"/>
              <w:rPr>
                <w:color w:val="auto"/>
              </w:rPr>
            </w:pPr>
          </w:p>
        </w:tc>
        <w:tc>
          <w:tcPr>
            <w:tcW w:w="1016" w:type="dxa"/>
            <w:vAlign w:val="center"/>
          </w:tcPr>
          <w:p w14:paraId="18A6CB0E">
            <w:pPr>
              <w:jc w:val="center"/>
              <w:rPr>
                <w:color w:val="auto"/>
              </w:rPr>
            </w:pPr>
          </w:p>
        </w:tc>
        <w:tc>
          <w:tcPr>
            <w:tcW w:w="1017" w:type="dxa"/>
            <w:vAlign w:val="center"/>
          </w:tcPr>
          <w:p w14:paraId="51C89D18">
            <w:pPr>
              <w:jc w:val="center"/>
              <w:rPr>
                <w:color w:val="auto"/>
              </w:rPr>
            </w:pPr>
          </w:p>
        </w:tc>
        <w:tc>
          <w:tcPr>
            <w:tcW w:w="1273" w:type="dxa"/>
            <w:vAlign w:val="center"/>
          </w:tcPr>
          <w:p w14:paraId="183F86BA">
            <w:pPr>
              <w:jc w:val="center"/>
              <w:rPr>
                <w:color w:val="auto"/>
              </w:rPr>
            </w:pPr>
          </w:p>
        </w:tc>
        <w:tc>
          <w:tcPr>
            <w:tcW w:w="937" w:type="dxa"/>
            <w:tcBorders>
              <w:right w:val="single" w:color="000000" w:sz="6" w:space="0"/>
            </w:tcBorders>
            <w:vAlign w:val="center"/>
          </w:tcPr>
          <w:p w14:paraId="58203B5A">
            <w:pPr>
              <w:jc w:val="center"/>
              <w:rPr>
                <w:color w:val="auto"/>
              </w:rPr>
            </w:pPr>
          </w:p>
        </w:tc>
      </w:tr>
      <w:tr w14:paraId="07C1D2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839" w:type="dxa"/>
            <w:tcBorders>
              <w:left w:val="single" w:color="000000" w:sz="6" w:space="0"/>
              <w:bottom w:val="single" w:color="000000" w:sz="6" w:space="0"/>
            </w:tcBorders>
            <w:vAlign w:val="center"/>
          </w:tcPr>
          <w:p w14:paraId="5E3A0B9B">
            <w:pPr>
              <w:jc w:val="center"/>
              <w:rPr>
                <w:color w:val="auto"/>
              </w:rPr>
            </w:pPr>
          </w:p>
        </w:tc>
        <w:tc>
          <w:tcPr>
            <w:tcW w:w="1261" w:type="dxa"/>
            <w:tcBorders>
              <w:bottom w:val="single" w:color="000000" w:sz="6" w:space="0"/>
            </w:tcBorders>
            <w:vAlign w:val="center"/>
          </w:tcPr>
          <w:p w14:paraId="73DC116C">
            <w:pPr>
              <w:jc w:val="center"/>
              <w:rPr>
                <w:color w:val="auto"/>
              </w:rPr>
            </w:pPr>
          </w:p>
        </w:tc>
        <w:tc>
          <w:tcPr>
            <w:tcW w:w="1841" w:type="dxa"/>
            <w:tcBorders>
              <w:bottom w:val="single" w:color="000000" w:sz="6" w:space="0"/>
            </w:tcBorders>
            <w:vAlign w:val="center"/>
          </w:tcPr>
          <w:p w14:paraId="5C954D73">
            <w:pPr>
              <w:pStyle w:val="21"/>
              <w:jc w:val="center"/>
              <w:rPr>
                <w:rFonts w:hint="eastAsia"/>
                <w:color w:val="auto"/>
                <w:sz w:val="21"/>
                <w:szCs w:val="21"/>
              </w:rPr>
            </w:pPr>
            <w:r>
              <w:rPr>
                <w:b/>
                <w:bCs/>
                <w:color w:val="auto"/>
                <w:sz w:val="21"/>
                <w:szCs w:val="21"/>
              </w:rPr>
              <w:t>合</w:t>
            </w:r>
            <w:r>
              <w:rPr>
                <w:rFonts w:hint="eastAsia"/>
                <w:color w:val="auto"/>
                <w:sz w:val="21"/>
                <w:szCs w:val="21"/>
                <w:lang w:eastAsia="zh-CN"/>
              </w:rPr>
              <w:t>　</w:t>
            </w:r>
            <w:r>
              <w:rPr>
                <w:b/>
                <w:bCs/>
                <w:color w:val="auto"/>
                <w:sz w:val="21"/>
                <w:szCs w:val="21"/>
              </w:rPr>
              <w:t>计</w:t>
            </w:r>
          </w:p>
        </w:tc>
        <w:tc>
          <w:tcPr>
            <w:tcW w:w="2124" w:type="dxa"/>
            <w:tcBorders>
              <w:bottom w:val="single" w:color="000000" w:sz="6" w:space="0"/>
            </w:tcBorders>
            <w:vAlign w:val="center"/>
          </w:tcPr>
          <w:p w14:paraId="66C9204C">
            <w:pPr>
              <w:jc w:val="center"/>
              <w:rPr>
                <w:color w:val="auto"/>
              </w:rPr>
            </w:pPr>
          </w:p>
        </w:tc>
        <w:tc>
          <w:tcPr>
            <w:tcW w:w="779" w:type="dxa"/>
            <w:tcBorders>
              <w:bottom w:val="single" w:color="000000" w:sz="6" w:space="0"/>
            </w:tcBorders>
            <w:vAlign w:val="center"/>
          </w:tcPr>
          <w:p w14:paraId="4CE8F68D">
            <w:pPr>
              <w:jc w:val="center"/>
              <w:rPr>
                <w:color w:val="auto"/>
              </w:rPr>
            </w:pPr>
          </w:p>
        </w:tc>
        <w:tc>
          <w:tcPr>
            <w:tcW w:w="825" w:type="dxa"/>
            <w:tcBorders>
              <w:bottom w:val="single" w:color="000000" w:sz="6" w:space="0"/>
            </w:tcBorders>
            <w:vAlign w:val="center"/>
          </w:tcPr>
          <w:p w14:paraId="20474B21">
            <w:pPr>
              <w:jc w:val="center"/>
              <w:rPr>
                <w:color w:val="auto"/>
              </w:rPr>
            </w:pPr>
          </w:p>
        </w:tc>
        <w:tc>
          <w:tcPr>
            <w:tcW w:w="1014" w:type="dxa"/>
            <w:tcBorders>
              <w:bottom w:val="single" w:color="000000" w:sz="6" w:space="0"/>
            </w:tcBorders>
            <w:vAlign w:val="center"/>
          </w:tcPr>
          <w:p w14:paraId="6A19E489">
            <w:pPr>
              <w:jc w:val="center"/>
              <w:rPr>
                <w:color w:val="auto"/>
              </w:rPr>
            </w:pPr>
          </w:p>
        </w:tc>
        <w:tc>
          <w:tcPr>
            <w:tcW w:w="1014" w:type="dxa"/>
            <w:tcBorders>
              <w:bottom w:val="single" w:color="000000" w:sz="6" w:space="0"/>
            </w:tcBorders>
            <w:vAlign w:val="center"/>
          </w:tcPr>
          <w:p w14:paraId="7E615AC5">
            <w:pPr>
              <w:jc w:val="center"/>
              <w:rPr>
                <w:color w:val="auto"/>
              </w:rPr>
            </w:pPr>
          </w:p>
        </w:tc>
        <w:tc>
          <w:tcPr>
            <w:tcW w:w="1016" w:type="dxa"/>
            <w:tcBorders>
              <w:bottom w:val="single" w:color="000000" w:sz="6" w:space="0"/>
            </w:tcBorders>
            <w:vAlign w:val="center"/>
          </w:tcPr>
          <w:p w14:paraId="77E43332">
            <w:pPr>
              <w:jc w:val="center"/>
              <w:rPr>
                <w:color w:val="auto"/>
              </w:rPr>
            </w:pPr>
          </w:p>
        </w:tc>
        <w:tc>
          <w:tcPr>
            <w:tcW w:w="1017" w:type="dxa"/>
            <w:tcBorders>
              <w:bottom w:val="single" w:color="000000" w:sz="6" w:space="0"/>
            </w:tcBorders>
            <w:vAlign w:val="center"/>
          </w:tcPr>
          <w:p w14:paraId="088CFA48">
            <w:pPr>
              <w:jc w:val="center"/>
              <w:rPr>
                <w:color w:val="auto"/>
              </w:rPr>
            </w:pPr>
          </w:p>
        </w:tc>
        <w:tc>
          <w:tcPr>
            <w:tcW w:w="1273" w:type="dxa"/>
            <w:tcBorders>
              <w:bottom w:val="single" w:color="000000" w:sz="6" w:space="0"/>
            </w:tcBorders>
            <w:vAlign w:val="center"/>
          </w:tcPr>
          <w:p w14:paraId="236A4C0A">
            <w:pPr>
              <w:jc w:val="center"/>
              <w:rPr>
                <w:color w:val="auto"/>
              </w:rPr>
            </w:pPr>
          </w:p>
        </w:tc>
        <w:tc>
          <w:tcPr>
            <w:tcW w:w="937" w:type="dxa"/>
            <w:tcBorders>
              <w:bottom w:val="single" w:color="000000" w:sz="6" w:space="0"/>
              <w:right w:val="single" w:color="000000" w:sz="6" w:space="0"/>
            </w:tcBorders>
            <w:vAlign w:val="center"/>
          </w:tcPr>
          <w:p w14:paraId="3FF3D1BB">
            <w:pPr>
              <w:jc w:val="center"/>
              <w:rPr>
                <w:color w:val="auto"/>
              </w:rPr>
            </w:pPr>
          </w:p>
        </w:tc>
      </w:tr>
    </w:tbl>
    <w:p w14:paraId="31AE5008">
      <w:pPr>
        <w:pStyle w:val="8"/>
        <w:rPr>
          <w:color w:val="auto"/>
        </w:rPr>
      </w:pPr>
    </w:p>
    <w:p w14:paraId="07411E3F">
      <w:pPr>
        <w:rPr>
          <w:color w:val="auto"/>
        </w:rPr>
      </w:pPr>
      <w:r>
        <w:rPr>
          <w:color w:val="auto"/>
        </w:rPr>
        <w:br w:type="page"/>
      </w:r>
    </w:p>
    <w:p w14:paraId="68321A78">
      <w:pPr>
        <w:spacing w:line="360" w:lineRule="auto"/>
        <w:jc w:val="center"/>
        <w:rPr>
          <w:rFonts w:hint="eastAsia" w:ascii="宋体" w:hAnsi="宋体" w:eastAsia="宋体" w:cs="宋体"/>
          <w:b/>
          <w:bCs/>
          <w:color w:val="auto"/>
          <w:sz w:val="28"/>
          <w:szCs w:val="28"/>
          <w:lang w:eastAsia="zh-CN"/>
        </w:rPr>
      </w:pPr>
      <w:r>
        <w:rPr>
          <w:rFonts w:ascii="宋体" w:hAnsi="宋体" w:eastAsia="宋体" w:cs="宋体"/>
          <w:b/>
          <w:bCs/>
          <w:color w:val="auto"/>
          <w:sz w:val="28"/>
          <w:szCs w:val="28"/>
          <w:lang w:eastAsia="zh-CN"/>
        </w:rPr>
        <w:t>施工临时工程分类分项工程量清单</w:t>
      </w:r>
    </w:p>
    <w:p w14:paraId="652E67A6">
      <w:pPr>
        <w:widowControl w:val="0"/>
        <w:kinsoku/>
        <w:wordWrap w:val="0"/>
        <w:topLinePunct/>
        <w:autoSpaceDE/>
        <w:autoSpaceDN/>
        <w:spacing w:line="360" w:lineRule="auto"/>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tbl>
      <w:tblPr>
        <w:tblStyle w:val="20"/>
        <w:tblW w:w="1414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2"/>
        <w:gridCol w:w="1987"/>
        <w:gridCol w:w="2831"/>
        <w:gridCol w:w="2266"/>
        <w:gridCol w:w="990"/>
        <w:gridCol w:w="993"/>
        <w:gridCol w:w="990"/>
        <w:gridCol w:w="993"/>
        <w:gridCol w:w="1273"/>
        <w:gridCol w:w="1002"/>
      </w:tblGrid>
      <w:tr w14:paraId="514BA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822" w:type="dxa"/>
            <w:tcBorders>
              <w:top w:val="single" w:color="000000" w:sz="6" w:space="0"/>
              <w:left w:val="single" w:color="000000" w:sz="6" w:space="0"/>
            </w:tcBorders>
            <w:vAlign w:val="center"/>
          </w:tcPr>
          <w:p w14:paraId="404B4763">
            <w:pPr>
              <w:pStyle w:val="21"/>
              <w:widowControl w:val="0"/>
              <w:kinsoku/>
              <w:wordWrap w:val="0"/>
              <w:topLinePunct/>
              <w:autoSpaceDE/>
              <w:autoSpaceDN/>
              <w:jc w:val="center"/>
              <w:rPr>
                <w:rFonts w:hint="eastAsia"/>
                <w:color w:val="auto"/>
                <w:sz w:val="21"/>
                <w:szCs w:val="21"/>
              </w:rPr>
            </w:pPr>
            <w:r>
              <w:rPr>
                <w:color w:val="auto"/>
                <w:sz w:val="21"/>
                <w:szCs w:val="21"/>
              </w:rPr>
              <w:t>序号</w:t>
            </w:r>
          </w:p>
        </w:tc>
        <w:tc>
          <w:tcPr>
            <w:tcW w:w="1987" w:type="dxa"/>
            <w:tcBorders>
              <w:top w:val="single" w:color="000000" w:sz="6" w:space="0"/>
            </w:tcBorders>
            <w:vAlign w:val="center"/>
          </w:tcPr>
          <w:p w14:paraId="22FE7303">
            <w:pPr>
              <w:pStyle w:val="21"/>
              <w:widowControl w:val="0"/>
              <w:kinsoku/>
              <w:wordWrap w:val="0"/>
              <w:topLinePunct/>
              <w:autoSpaceDE/>
              <w:autoSpaceDN/>
              <w:jc w:val="center"/>
              <w:rPr>
                <w:rFonts w:hint="eastAsia"/>
                <w:color w:val="auto"/>
                <w:sz w:val="21"/>
                <w:szCs w:val="21"/>
              </w:rPr>
            </w:pPr>
            <w:r>
              <w:rPr>
                <w:color w:val="auto"/>
                <w:sz w:val="21"/>
                <w:szCs w:val="21"/>
              </w:rPr>
              <w:t>项目编码</w:t>
            </w:r>
          </w:p>
        </w:tc>
        <w:tc>
          <w:tcPr>
            <w:tcW w:w="2831" w:type="dxa"/>
            <w:tcBorders>
              <w:top w:val="single" w:color="000000" w:sz="6" w:space="0"/>
            </w:tcBorders>
            <w:vAlign w:val="center"/>
          </w:tcPr>
          <w:p w14:paraId="168F0FF6">
            <w:pPr>
              <w:pStyle w:val="21"/>
              <w:widowControl w:val="0"/>
              <w:kinsoku/>
              <w:wordWrap w:val="0"/>
              <w:topLinePunct/>
              <w:autoSpaceDE/>
              <w:autoSpaceDN/>
              <w:jc w:val="center"/>
              <w:rPr>
                <w:rFonts w:hint="eastAsia"/>
                <w:color w:val="auto"/>
                <w:sz w:val="21"/>
                <w:szCs w:val="21"/>
              </w:rPr>
            </w:pPr>
            <w:r>
              <w:rPr>
                <w:color w:val="auto"/>
                <w:sz w:val="21"/>
                <w:szCs w:val="21"/>
              </w:rPr>
              <w:t>项目名称</w:t>
            </w:r>
          </w:p>
        </w:tc>
        <w:tc>
          <w:tcPr>
            <w:tcW w:w="2266" w:type="dxa"/>
            <w:tcBorders>
              <w:top w:val="single" w:color="000000" w:sz="6" w:space="0"/>
            </w:tcBorders>
            <w:vAlign w:val="center"/>
          </w:tcPr>
          <w:p w14:paraId="096409FE">
            <w:pPr>
              <w:pStyle w:val="21"/>
              <w:widowControl w:val="0"/>
              <w:kinsoku/>
              <w:wordWrap w:val="0"/>
              <w:topLinePunct/>
              <w:autoSpaceDE/>
              <w:autoSpaceDN/>
              <w:jc w:val="center"/>
              <w:rPr>
                <w:rFonts w:hint="eastAsia"/>
                <w:color w:val="auto"/>
                <w:sz w:val="21"/>
                <w:szCs w:val="21"/>
              </w:rPr>
            </w:pPr>
            <w:r>
              <w:rPr>
                <w:color w:val="auto"/>
                <w:sz w:val="21"/>
                <w:szCs w:val="21"/>
              </w:rPr>
              <w:t>项目主要特征</w:t>
            </w:r>
          </w:p>
        </w:tc>
        <w:tc>
          <w:tcPr>
            <w:tcW w:w="990" w:type="dxa"/>
            <w:tcBorders>
              <w:top w:val="single" w:color="000000" w:sz="6" w:space="0"/>
            </w:tcBorders>
            <w:vAlign w:val="center"/>
          </w:tcPr>
          <w:p w14:paraId="5DDFFC89">
            <w:pPr>
              <w:pStyle w:val="21"/>
              <w:widowControl w:val="0"/>
              <w:kinsoku/>
              <w:wordWrap w:val="0"/>
              <w:topLinePunct/>
              <w:autoSpaceDE/>
              <w:autoSpaceDN/>
              <w:jc w:val="center"/>
              <w:rPr>
                <w:rFonts w:hint="eastAsia"/>
                <w:color w:val="auto"/>
                <w:sz w:val="21"/>
                <w:szCs w:val="21"/>
              </w:rPr>
            </w:pPr>
            <w:r>
              <w:rPr>
                <w:color w:val="auto"/>
                <w:sz w:val="21"/>
                <w:szCs w:val="21"/>
              </w:rPr>
              <w:t>计量</w:t>
            </w:r>
          </w:p>
          <w:p w14:paraId="74E7F480">
            <w:pPr>
              <w:pStyle w:val="21"/>
              <w:widowControl w:val="0"/>
              <w:kinsoku/>
              <w:wordWrap w:val="0"/>
              <w:topLinePunct/>
              <w:autoSpaceDE/>
              <w:autoSpaceDN/>
              <w:jc w:val="center"/>
              <w:rPr>
                <w:rFonts w:hint="eastAsia"/>
                <w:color w:val="auto"/>
                <w:sz w:val="21"/>
                <w:szCs w:val="21"/>
              </w:rPr>
            </w:pPr>
            <w:r>
              <w:rPr>
                <w:color w:val="auto"/>
                <w:sz w:val="21"/>
                <w:szCs w:val="21"/>
              </w:rPr>
              <w:t>单位</w:t>
            </w:r>
          </w:p>
        </w:tc>
        <w:tc>
          <w:tcPr>
            <w:tcW w:w="993" w:type="dxa"/>
            <w:tcBorders>
              <w:top w:val="single" w:color="000000" w:sz="6" w:space="0"/>
            </w:tcBorders>
            <w:vAlign w:val="center"/>
          </w:tcPr>
          <w:p w14:paraId="019BBF73">
            <w:pPr>
              <w:pStyle w:val="21"/>
              <w:widowControl w:val="0"/>
              <w:kinsoku/>
              <w:wordWrap w:val="0"/>
              <w:topLinePunct/>
              <w:autoSpaceDE/>
              <w:autoSpaceDN/>
              <w:jc w:val="center"/>
              <w:rPr>
                <w:rFonts w:hint="eastAsia"/>
                <w:color w:val="auto"/>
                <w:sz w:val="21"/>
                <w:szCs w:val="21"/>
              </w:rPr>
            </w:pPr>
            <w:r>
              <w:rPr>
                <w:color w:val="auto"/>
                <w:sz w:val="21"/>
                <w:szCs w:val="21"/>
              </w:rPr>
              <w:t>工程</w:t>
            </w:r>
          </w:p>
          <w:p w14:paraId="4F0C5673">
            <w:pPr>
              <w:pStyle w:val="21"/>
              <w:widowControl w:val="0"/>
              <w:kinsoku/>
              <w:wordWrap w:val="0"/>
              <w:topLinePunct/>
              <w:autoSpaceDE/>
              <w:autoSpaceDN/>
              <w:jc w:val="center"/>
              <w:rPr>
                <w:rFonts w:hint="eastAsia"/>
                <w:color w:val="auto"/>
                <w:sz w:val="21"/>
                <w:szCs w:val="21"/>
              </w:rPr>
            </w:pPr>
            <w:r>
              <w:rPr>
                <w:color w:val="auto"/>
                <w:sz w:val="21"/>
                <w:szCs w:val="21"/>
              </w:rPr>
              <w:t>数量</w:t>
            </w:r>
          </w:p>
        </w:tc>
        <w:tc>
          <w:tcPr>
            <w:tcW w:w="990" w:type="dxa"/>
            <w:tcBorders>
              <w:top w:val="single" w:color="000000" w:sz="6" w:space="0"/>
            </w:tcBorders>
            <w:vAlign w:val="center"/>
          </w:tcPr>
          <w:p w14:paraId="275D520C">
            <w:pPr>
              <w:pStyle w:val="21"/>
              <w:widowControl w:val="0"/>
              <w:kinsoku/>
              <w:wordWrap w:val="0"/>
              <w:topLinePunct/>
              <w:autoSpaceDE/>
              <w:autoSpaceDN/>
              <w:jc w:val="center"/>
              <w:rPr>
                <w:rFonts w:hint="eastAsia"/>
                <w:color w:val="auto"/>
                <w:sz w:val="21"/>
                <w:szCs w:val="21"/>
              </w:rPr>
            </w:pPr>
            <w:r>
              <w:rPr>
                <w:color w:val="auto"/>
                <w:sz w:val="21"/>
                <w:szCs w:val="21"/>
              </w:rPr>
              <w:t>单价（元）</w:t>
            </w:r>
          </w:p>
        </w:tc>
        <w:tc>
          <w:tcPr>
            <w:tcW w:w="993" w:type="dxa"/>
            <w:tcBorders>
              <w:top w:val="single" w:color="000000" w:sz="6" w:space="0"/>
            </w:tcBorders>
            <w:vAlign w:val="center"/>
          </w:tcPr>
          <w:p w14:paraId="42215440">
            <w:pPr>
              <w:pStyle w:val="21"/>
              <w:widowControl w:val="0"/>
              <w:kinsoku/>
              <w:wordWrap w:val="0"/>
              <w:topLinePunct/>
              <w:autoSpaceDE/>
              <w:autoSpaceDN/>
              <w:jc w:val="center"/>
              <w:rPr>
                <w:rFonts w:hint="eastAsia"/>
                <w:color w:val="auto"/>
                <w:sz w:val="21"/>
                <w:szCs w:val="21"/>
              </w:rPr>
            </w:pPr>
            <w:r>
              <w:rPr>
                <w:color w:val="auto"/>
                <w:sz w:val="21"/>
                <w:szCs w:val="21"/>
              </w:rPr>
              <w:t>合价（元）</w:t>
            </w:r>
          </w:p>
        </w:tc>
        <w:tc>
          <w:tcPr>
            <w:tcW w:w="1273" w:type="dxa"/>
            <w:tcBorders>
              <w:top w:val="single" w:color="000000" w:sz="6" w:space="0"/>
            </w:tcBorders>
            <w:vAlign w:val="center"/>
          </w:tcPr>
          <w:p w14:paraId="13A9F671">
            <w:pPr>
              <w:pStyle w:val="21"/>
              <w:widowControl w:val="0"/>
              <w:kinsoku/>
              <w:wordWrap w:val="0"/>
              <w:topLinePunct/>
              <w:autoSpaceDE/>
              <w:autoSpaceDN/>
              <w:jc w:val="center"/>
              <w:rPr>
                <w:rFonts w:hint="eastAsia"/>
                <w:color w:val="auto"/>
                <w:sz w:val="21"/>
                <w:szCs w:val="21"/>
              </w:rPr>
            </w:pPr>
            <w:r>
              <w:rPr>
                <w:color w:val="auto"/>
                <w:sz w:val="21"/>
                <w:szCs w:val="21"/>
              </w:rPr>
              <w:t>主要技术</w:t>
            </w:r>
          </w:p>
          <w:p w14:paraId="7A6002B2">
            <w:pPr>
              <w:pStyle w:val="21"/>
              <w:widowControl w:val="0"/>
              <w:kinsoku/>
              <w:wordWrap w:val="0"/>
              <w:topLinePunct/>
              <w:autoSpaceDE/>
              <w:autoSpaceDN/>
              <w:jc w:val="center"/>
              <w:rPr>
                <w:rFonts w:hint="eastAsia"/>
                <w:color w:val="auto"/>
                <w:sz w:val="21"/>
                <w:szCs w:val="21"/>
              </w:rPr>
            </w:pPr>
            <w:r>
              <w:rPr>
                <w:color w:val="auto"/>
                <w:sz w:val="21"/>
                <w:szCs w:val="21"/>
              </w:rPr>
              <w:t>条款编码</w:t>
            </w:r>
          </w:p>
        </w:tc>
        <w:tc>
          <w:tcPr>
            <w:tcW w:w="1002" w:type="dxa"/>
            <w:tcBorders>
              <w:top w:val="single" w:color="000000" w:sz="6" w:space="0"/>
              <w:right w:val="single" w:color="000000" w:sz="6" w:space="0"/>
            </w:tcBorders>
            <w:vAlign w:val="center"/>
          </w:tcPr>
          <w:p w14:paraId="505468F7">
            <w:pPr>
              <w:pStyle w:val="21"/>
              <w:widowControl w:val="0"/>
              <w:kinsoku/>
              <w:wordWrap w:val="0"/>
              <w:topLinePunct/>
              <w:autoSpaceDE/>
              <w:autoSpaceDN/>
              <w:jc w:val="center"/>
              <w:rPr>
                <w:rFonts w:hint="eastAsia"/>
                <w:color w:val="auto"/>
                <w:sz w:val="21"/>
                <w:szCs w:val="21"/>
              </w:rPr>
            </w:pPr>
            <w:r>
              <w:rPr>
                <w:color w:val="auto"/>
                <w:sz w:val="21"/>
                <w:szCs w:val="21"/>
              </w:rPr>
              <w:t>备注</w:t>
            </w:r>
          </w:p>
        </w:tc>
      </w:tr>
      <w:tr w14:paraId="5182A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822" w:type="dxa"/>
            <w:tcBorders>
              <w:left w:val="single" w:color="000000" w:sz="6" w:space="0"/>
            </w:tcBorders>
            <w:vAlign w:val="center"/>
          </w:tcPr>
          <w:p w14:paraId="5D63ABFC">
            <w:pPr>
              <w:widowControl w:val="0"/>
              <w:kinsoku/>
              <w:wordWrap w:val="0"/>
              <w:topLinePunct/>
              <w:autoSpaceDE/>
              <w:autoSpaceDN/>
              <w:jc w:val="center"/>
              <w:rPr>
                <w:color w:val="auto"/>
              </w:rPr>
            </w:pPr>
          </w:p>
        </w:tc>
        <w:tc>
          <w:tcPr>
            <w:tcW w:w="1987" w:type="dxa"/>
            <w:vAlign w:val="center"/>
          </w:tcPr>
          <w:p w14:paraId="53C9DD81">
            <w:pPr>
              <w:widowControl w:val="0"/>
              <w:kinsoku/>
              <w:wordWrap w:val="0"/>
              <w:topLinePunct/>
              <w:autoSpaceDE/>
              <w:autoSpaceDN/>
              <w:jc w:val="center"/>
              <w:rPr>
                <w:color w:val="auto"/>
              </w:rPr>
            </w:pPr>
          </w:p>
        </w:tc>
        <w:tc>
          <w:tcPr>
            <w:tcW w:w="2831" w:type="dxa"/>
            <w:vAlign w:val="center"/>
          </w:tcPr>
          <w:p w14:paraId="02437A7B">
            <w:pPr>
              <w:widowControl w:val="0"/>
              <w:kinsoku/>
              <w:wordWrap w:val="0"/>
              <w:topLinePunct/>
              <w:autoSpaceDE/>
              <w:autoSpaceDN/>
              <w:jc w:val="center"/>
              <w:rPr>
                <w:color w:val="auto"/>
              </w:rPr>
            </w:pPr>
          </w:p>
        </w:tc>
        <w:tc>
          <w:tcPr>
            <w:tcW w:w="2266" w:type="dxa"/>
            <w:vAlign w:val="center"/>
          </w:tcPr>
          <w:p w14:paraId="71BE6146">
            <w:pPr>
              <w:widowControl w:val="0"/>
              <w:kinsoku/>
              <w:wordWrap w:val="0"/>
              <w:topLinePunct/>
              <w:autoSpaceDE/>
              <w:autoSpaceDN/>
              <w:jc w:val="center"/>
              <w:rPr>
                <w:color w:val="auto"/>
              </w:rPr>
            </w:pPr>
          </w:p>
        </w:tc>
        <w:tc>
          <w:tcPr>
            <w:tcW w:w="990" w:type="dxa"/>
            <w:vAlign w:val="center"/>
          </w:tcPr>
          <w:p w14:paraId="2FA6BB29">
            <w:pPr>
              <w:widowControl w:val="0"/>
              <w:kinsoku/>
              <w:wordWrap w:val="0"/>
              <w:topLinePunct/>
              <w:autoSpaceDE/>
              <w:autoSpaceDN/>
              <w:jc w:val="center"/>
              <w:rPr>
                <w:color w:val="auto"/>
              </w:rPr>
            </w:pPr>
          </w:p>
        </w:tc>
        <w:tc>
          <w:tcPr>
            <w:tcW w:w="993" w:type="dxa"/>
            <w:vAlign w:val="center"/>
          </w:tcPr>
          <w:p w14:paraId="2A66E0B3">
            <w:pPr>
              <w:widowControl w:val="0"/>
              <w:kinsoku/>
              <w:wordWrap w:val="0"/>
              <w:topLinePunct/>
              <w:autoSpaceDE/>
              <w:autoSpaceDN/>
              <w:jc w:val="center"/>
              <w:rPr>
                <w:color w:val="auto"/>
              </w:rPr>
            </w:pPr>
          </w:p>
        </w:tc>
        <w:tc>
          <w:tcPr>
            <w:tcW w:w="990" w:type="dxa"/>
            <w:vAlign w:val="center"/>
          </w:tcPr>
          <w:p w14:paraId="47C6ED79">
            <w:pPr>
              <w:widowControl w:val="0"/>
              <w:kinsoku/>
              <w:wordWrap w:val="0"/>
              <w:topLinePunct/>
              <w:autoSpaceDE/>
              <w:autoSpaceDN/>
              <w:jc w:val="center"/>
              <w:rPr>
                <w:color w:val="auto"/>
              </w:rPr>
            </w:pPr>
          </w:p>
        </w:tc>
        <w:tc>
          <w:tcPr>
            <w:tcW w:w="993" w:type="dxa"/>
            <w:vAlign w:val="center"/>
          </w:tcPr>
          <w:p w14:paraId="35910882">
            <w:pPr>
              <w:widowControl w:val="0"/>
              <w:kinsoku/>
              <w:wordWrap w:val="0"/>
              <w:topLinePunct/>
              <w:autoSpaceDE/>
              <w:autoSpaceDN/>
              <w:jc w:val="center"/>
              <w:rPr>
                <w:color w:val="auto"/>
              </w:rPr>
            </w:pPr>
          </w:p>
        </w:tc>
        <w:tc>
          <w:tcPr>
            <w:tcW w:w="1273" w:type="dxa"/>
            <w:vAlign w:val="center"/>
          </w:tcPr>
          <w:p w14:paraId="18003CFE">
            <w:pPr>
              <w:widowControl w:val="0"/>
              <w:kinsoku/>
              <w:wordWrap w:val="0"/>
              <w:topLinePunct/>
              <w:autoSpaceDE/>
              <w:autoSpaceDN/>
              <w:jc w:val="center"/>
              <w:rPr>
                <w:color w:val="auto"/>
              </w:rPr>
            </w:pPr>
          </w:p>
        </w:tc>
        <w:tc>
          <w:tcPr>
            <w:tcW w:w="1002" w:type="dxa"/>
            <w:tcBorders>
              <w:right w:val="single" w:color="000000" w:sz="6" w:space="0"/>
            </w:tcBorders>
            <w:vAlign w:val="center"/>
          </w:tcPr>
          <w:p w14:paraId="5C30A6FA">
            <w:pPr>
              <w:widowControl w:val="0"/>
              <w:kinsoku/>
              <w:wordWrap w:val="0"/>
              <w:topLinePunct/>
              <w:autoSpaceDE/>
              <w:autoSpaceDN/>
              <w:jc w:val="center"/>
              <w:rPr>
                <w:color w:val="auto"/>
              </w:rPr>
            </w:pPr>
          </w:p>
        </w:tc>
      </w:tr>
      <w:tr w14:paraId="39106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822" w:type="dxa"/>
            <w:tcBorders>
              <w:left w:val="single" w:color="000000" w:sz="6" w:space="0"/>
            </w:tcBorders>
            <w:vAlign w:val="center"/>
          </w:tcPr>
          <w:p w14:paraId="1B9A64BB">
            <w:pPr>
              <w:widowControl w:val="0"/>
              <w:kinsoku/>
              <w:wordWrap w:val="0"/>
              <w:topLinePunct/>
              <w:autoSpaceDE/>
              <w:autoSpaceDN/>
              <w:jc w:val="center"/>
              <w:rPr>
                <w:color w:val="auto"/>
              </w:rPr>
            </w:pPr>
          </w:p>
        </w:tc>
        <w:tc>
          <w:tcPr>
            <w:tcW w:w="1987" w:type="dxa"/>
            <w:vAlign w:val="center"/>
          </w:tcPr>
          <w:p w14:paraId="0D172936">
            <w:pPr>
              <w:widowControl w:val="0"/>
              <w:kinsoku/>
              <w:wordWrap w:val="0"/>
              <w:topLinePunct/>
              <w:autoSpaceDE/>
              <w:autoSpaceDN/>
              <w:jc w:val="center"/>
              <w:rPr>
                <w:color w:val="auto"/>
              </w:rPr>
            </w:pPr>
          </w:p>
        </w:tc>
        <w:tc>
          <w:tcPr>
            <w:tcW w:w="2831" w:type="dxa"/>
            <w:vAlign w:val="center"/>
          </w:tcPr>
          <w:p w14:paraId="4C94B6D6">
            <w:pPr>
              <w:widowControl w:val="0"/>
              <w:kinsoku/>
              <w:wordWrap w:val="0"/>
              <w:topLinePunct/>
              <w:autoSpaceDE/>
              <w:autoSpaceDN/>
              <w:jc w:val="center"/>
              <w:rPr>
                <w:color w:val="auto"/>
              </w:rPr>
            </w:pPr>
          </w:p>
        </w:tc>
        <w:tc>
          <w:tcPr>
            <w:tcW w:w="2266" w:type="dxa"/>
            <w:vAlign w:val="center"/>
          </w:tcPr>
          <w:p w14:paraId="00370EC1">
            <w:pPr>
              <w:widowControl w:val="0"/>
              <w:kinsoku/>
              <w:wordWrap w:val="0"/>
              <w:topLinePunct/>
              <w:autoSpaceDE/>
              <w:autoSpaceDN/>
              <w:jc w:val="center"/>
              <w:rPr>
                <w:color w:val="auto"/>
              </w:rPr>
            </w:pPr>
          </w:p>
        </w:tc>
        <w:tc>
          <w:tcPr>
            <w:tcW w:w="990" w:type="dxa"/>
            <w:vAlign w:val="center"/>
          </w:tcPr>
          <w:p w14:paraId="5B3DC1E0">
            <w:pPr>
              <w:widowControl w:val="0"/>
              <w:kinsoku/>
              <w:wordWrap w:val="0"/>
              <w:topLinePunct/>
              <w:autoSpaceDE/>
              <w:autoSpaceDN/>
              <w:jc w:val="center"/>
              <w:rPr>
                <w:color w:val="auto"/>
              </w:rPr>
            </w:pPr>
          </w:p>
        </w:tc>
        <w:tc>
          <w:tcPr>
            <w:tcW w:w="993" w:type="dxa"/>
            <w:vAlign w:val="center"/>
          </w:tcPr>
          <w:p w14:paraId="6B439E51">
            <w:pPr>
              <w:widowControl w:val="0"/>
              <w:kinsoku/>
              <w:wordWrap w:val="0"/>
              <w:topLinePunct/>
              <w:autoSpaceDE/>
              <w:autoSpaceDN/>
              <w:jc w:val="center"/>
              <w:rPr>
                <w:color w:val="auto"/>
              </w:rPr>
            </w:pPr>
          </w:p>
        </w:tc>
        <w:tc>
          <w:tcPr>
            <w:tcW w:w="990" w:type="dxa"/>
            <w:vAlign w:val="center"/>
          </w:tcPr>
          <w:p w14:paraId="1C1D7FE4">
            <w:pPr>
              <w:widowControl w:val="0"/>
              <w:kinsoku/>
              <w:wordWrap w:val="0"/>
              <w:topLinePunct/>
              <w:autoSpaceDE/>
              <w:autoSpaceDN/>
              <w:jc w:val="center"/>
              <w:rPr>
                <w:color w:val="auto"/>
              </w:rPr>
            </w:pPr>
          </w:p>
        </w:tc>
        <w:tc>
          <w:tcPr>
            <w:tcW w:w="993" w:type="dxa"/>
            <w:vAlign w:val="center"/>
          </w:tcPr>
          <w:p w14:paraId="32C0080C">
            <w:pPr>
              <w:widowControl w:val="0"/>
              <w:kinsoku/>
              <w:wordWrap w:val="0"/>
              <w:topLinePunct/>
              <w:autoSpaceDE/>
              <w:autoSpaceDN/>
              <w:jc w:val="center"/>
              <w:rPr>
                <w:color w:val="auto"/>
              </w:rPr>
            </w:pPr>
          </w:p>
        </w:tc>
        <w:tc>
          <w:tcPr>
            <w:tcW w:w="1273" w:type="dxa"/>
            <w:vAlign w:val="center"/>
          </w:tcPr>
          <w:p w14:paraId="0C01935F">
            <w:pPr>
              <w:widowControl w:val="0"/>
              <w:kinsoku/>
              <w:wordWrap w:val="0"/>
              <w:topLinePunct/>
              <w:autoSpaceDE/>
              <w:autoSpaceDN/>
              <w:jc w:val="center"/>
              <w:rPr>
                <w:color w:val="auto"/>
              </w:rPr>
            </w:pPr>
          </w:p>
        </w:tc>
        <w:tc>
          <w:tcPr>
            <w:tcW w:w="1002" w:type="dxa"/>
            <w:tcBorders>
              <w:right w:val="single" w:color="000000" w:sz="6" w:space="0"/>
            </w:tcBorders>
            <w:vAlign w:val="center"/>
          </w:tcPr>
          <w:p w14:paraId="337F6347">
            <w:pPr>
              <w:widowControl w:val="0"/>
              <w:kinsoku/>
              <w:wordWrap w:val="0"/>
              <w:topLinePunct/>
              <w:autoSpaceDE/>
              <w:autoSpaceDN/>
              <w:jc w:val="center"/>
              <w:rPr>
                <w:color w:val="auto"/>
              </w:rPr>
            </w:pPr>
          </w:p>
        </w:tc>
      </w:tr>
      <w:tr w14:paraId="281D1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22" w:type="dxa"/>
            <w:tcBorders>
              <w:left w:val="single" w:color="000000" w:sz="6" w:space="0"/>
            </w:tcBorders>
            <w:vAlign w:val="center"/>
          </w:tcPr>
          <w:p w14:paraId="44E77896">
            <w:pPr>
              <w:widowControl w:val="0"/>
              <w:kinsoku/>
              <w:wordWrap w:val="0"/>
              <w:topLinePunct/>
              <w:autoSpaceDE/>
              <w:autoSpaceDN/>
              <w:jc w:val="center"/>
              <w:rPr>
                <w:color w:val="auto"/>
              </w:rPr>
            </w:pPr>
          </w:p>
        </w:tc>
        <w:tc>
          <w:tcPr>
            <w:tcW w:w="1987" w:type="dxa"/>
            <w:vAlign w:val="center"/>
          </w:tcPr>
          <w:p w14:paraId="7F09F7CB">
            <w:pPr>
              <w:widowControl w:val="0"/>
              <w:kinsoku/>
              <w:wordWrap w:val="0"/>
              <w:topLinePunct/>
              <w:autoSpaceDE/>
              <w:autoSpaceDN/>
              <w:jc w:val="center"/>
              <w:rPr>
                <w:color w:val="auto"/>
              </w:rPr>
            </w:pPr>
          </w:p>
        </w:tc>
        <w:tc>
          <w:tcPr>
            <w:tcW w:w="2831" w:type="dxa"/>
            <w:vAlign w:val="center"/>
          </w:tcPr>
          <w:p w14:paraId="3C7416C4">
            <w:pPr>
              <w:widowControl w:val="0"/>
              <w:kinsoku/>
              <w:wordWrap w:val="0"/>
              <w:topLinePunct/>
              <w:autoSpaceDE/>
              <w:autoSpaceDN/>
              <w:jc w:val="center"/>
              <w:rPr>
                <w:color w:val="auto"/>
              </w:rPr>
            </w:pPr>
          </w:p>
        </w:tc>
        <w:tc>
          <w:tcPr>
            <w:tcW w:w="2266" w:type="dxa"/>
            <w:vAlign w:val="center"/>
          </w:tcPr>
          <w:p w14:paraId="4C9A25F5">
            <w:pPr>
              <w:widowControl w:val="0"/>
              <w:kinsoku/>
              <w:wordWrap w:val="0"/>
              <w:topLinePunct/>
              <w:autoSpaceDE/>
              <w:autoSpaceDN/>
              <w:jc w:val="center"/>
              <w:rPr>
                <w:color w:val="auto"/>
              </w:rPr>
            </w:pPr>
          </w:p>
        </w:tc>
        <w:tc>
          <w:tcPr>
            <w:tcW w:w="990" w:type="dxa"/>
            <w:vAlign w:val="center"/>
          </w:tcPr>
          <w:p w14:paraId="50AF1027">
            <w:pPr>
              <w:widowControl w:val="0"/>
              <w:kinsoku/>
              <w:wordWrap w:val="0"/>
              <w:topLinePunct/>
              <w:autoSpaceDE/>
              <w:autoSpaceDN/>
              <w:jc w:val="center"/>
              <w:rPr>
                <w:color w:val="auto"/>
              </w:rPr>
            </w:pPr>
          </w:p>
        </w:tc>
        <w:tc>
          <w:tcPr>
            <w:tcW w:w="993" w:type="dxa"/>
            <w:vAlign w:val="center"/>
          </w:tcPr>
          <w:p w14:paraId="670B9470">
            <w:pPr>
              <w:widowControl w:val="0"/>
              <w:kinsoku/>
              <w:wordWrap w:val="0"/>
              <w:topLinePunct/>
              <w:autoSpaceDE/>
              <w:autoSpaceDN/>
              <w:jc w:val="center"/>
              <w:rPr>
                <w:color w:val="auto"/>
              </w:rPr>
            </w:pPr>
          </w:p>
        </w:tc>
        <w:tc>
          <w:tcPr>
            <w:tcW w:w="990" w:type="dxa"/>
            <w:vAlign w:val="center"/>
          </w:tcPr>
          <w:p w14:paraId="424A7896">
            <w:pPr>
              <w:widowControl w:val="0"/>
              <w:kinsoku/>
              <w:wordWrap w:val="0"/>
              <w:topLinePunct/>
              <w:autoSpaceDE/>
              <w:autoSpaceDN/>
              <w:jc w:val="center"/>
              <w:rPr>
                <w:color w:val="auto"/>
              </w:rPr>
            </w:pPr>
          </w:p>
        </w:tc>
        <w:tc>
          <w:tcPr>
            <w:tcW w:w="993" w:type="dxa"/>
            <w:vAlign w:val="center"/>
          </w:tcPr>
          <w:p w14:paraId="3E00DB8C">
            <w:pPr>
              <w:widowControl w:val="0"/>
              <w:kinsoku/>
              <w:wordWrap w:val="0"/>
              <w:topLinePunct/>
              <w:autoSpaceDE/>
              <w:autoSpaceDN/>
              <w:jc w:val="center"/>
              <w:rPr>
                <w:color w:val="auto"/>
              </w:rPr>
            </w:pPr>
          </w:p>
        </w:tc>
        <w:tc>
          <w:tcPr>
            <w:tcW w:w="1273" w:type="dxa"/>
            <w:vAlign w:val="center"/>
          </w:tcPr>
          <w:p w14:paraId="41F36785">
            <w:pPr>
              <w:widowControl w:val="0"/>
              <w:kinsoku/>
              <w:wordWrap w:val="0"/>
              <w:topLinePunct/>
              <w:autoSpaceDE/>
              <w:autoSpaceDN/>
              <w:jc w:val="center"/>
              <w:rPr>
                <w:color w:val="auto"/>
              </w:rPr>
            </w:pPr>
          </w:p>
        </w:tc>
        <w:tc>
          <w:tcPr>
            <w:tcW w:w="1002" w:type="dxa"/>
            <w:tcBorders>
              <w:right w:val="single" w:color="000000" w:sz="6" w:space="0"/>
            </w:tcBorders>
            <w:vAlign w:val="center"/>
          </w:tcPr>
          <w:p w14:paraId="31D7351B">
            <w:pPr>
              <w:widowControl w:val="0"/>
              <w:kinsoku/>
              <w:wordWrap w:val="0"/>
              <w:topLinePunct/>
              <w:autoSpaceDE/>
              <w:autoSpaceDN/>
              <w:jc w:val="center"/>
              <w:rPr>
                <w:color w:val="auto"/>
              </w:rPr>
            </w:pPr>
          </w:p>
        </w:tc>
      </w:tr>
      <w:tr w14:paraId="4F14A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822" w:type="dxa"/>
            <w:tcBorders>
              <w:left w:val="single" w:color="000000" w:sz="6" w:space="0"/>
            </w:tcBorders>
            <w:vAlign w:val="center"/>
          </w:tcPr>
          <w:p w14:paraId="7E8F006F">
            <w:pPr>
              <w:widowControl w:val="0"/>
              <w:kinsoku/>
              <w:wordWrap w:val="0"/>
              <w:topLinePunct/>
              <w:autoSpaceDE/>
              <w:autoSpaceDN/>
              <w:jc w:val="center"/>
              <w:rPr>
                <w:color w:val="auto"/>
              </w:rPr>
            </w:pPr>
          </w:p>
        </w:tc>
        <w:tc>
          <w:tcPr>
            <w:tcW w:w="1987" w:type="dxa"/>
            <w:vAlign w:val="center"/>
          </w:tcPr>
          <w:p w14:paraId="4F10A0A7">
            <w:pPr>
              <w:widowControl w:val="0"/>
              <w:kinsoku/>
              <w:wordWrap w:val="0"/>
              <w:topLinePunct/>
              <w:autoSpaceDE/>
              <w:autoSpaceDN/>
              <w:jc w:val="center"/>
              <w:rPr>
                <w:color w:val="auto"/>
              </w:rPr>
            </w:pPr>
          </w:p>
        </w:tc>
        <w:tc>
          <w:tcPr>
            <w:tcW w:w="2831" w:type="dxa"/>
            <w:vAlign w:val="center"/>
          </w:tcPr>
          <w:p w14:paraId="4BF00A19">
            <w:pPr>
              <w:widowControl w:val="0"/>
              <w:kinsoku/>
              <w:wordWrap w:val="0"/>
              <w:topLinePunct/>
              <w:autoSpaceDE/>
              <w:autoSpaceDN/>
              <w:jc w:val="center"/>
              <w:rPr>
                <w:color w:val="auto"/>
              </w:rPr>
            </w:pPr>
          </w:p>
        </w:tc>
        <w:tc>
          <w:tcPr>
            <w:tcW w:w="2266" w:type="dxa"/>
            <w:vAlign w:val="center"/>
          </w:tcPr>
          <w:p w14:paraId="52C03C58">
            <w:pPr>
              <w:widowControl w:val="0"/>
              <w:kinsoku/>
              <w:wordWrap w:val="0"/>
              <w:topLinePunct/>
              <w:autoSpaceDE/>
              <w:autoSpaceDN/>
              <w:jc w:val="center"/>
              <w:rPr>
                <w:color w:val="auto"/>
              </w:rPr>
            </w:pPr>
          </w:p>
        </w:tc>
        <w:tc>
          <w:tcPr>
            <w:tcW w:w="990" w:type="dxa"/>
            <w:vAlign w:val="center"/>
          </w:tcPr>
          <w:p w14:paraId="33D7DEF3">
            <w:pPr>
              <w:widowControl w:val="0"/>
              <w:kinsoku/>
              <w:wordWrap w:val="0"/>
              <w:topLinePunct/>
              <w:autoSpaceDE/>
              <w:autoSpaceDN/>
              <w:jc w:val="center"/>
              <w:rPr>
                <w:color w:val="auto"/>
              </w:rPr>
            </w:pPr>
          </w:p>
        </w:tc>
        <w:tc>
          <w:tcPr>
            <w:tcW w:w="993" w:type="dxa"/>
            <w:vAlign w:val="center"/>
          </w:tcPr>
          <w:p w14:paraId="7B90E817">
            <w:pPr>
              <w:widowControl w:val="0"/>
              <w:kinsoku/>
              <w:wordWrap w:val="0"/>
              <w:topLinePunct/>
              <w:autoSpaceDE/>
              <w:autoSpaceDN/>
              <w:jc w:val="center"/>
              <w:rPr>
                <w:color w:val="auto"/>
              </w:rPr>
            </w:pPr>
          </w:p>
        </w:tc>
        <w:tc>
          <w:tcPr>
            <w:tcW w:w="990" w:type="dxa"/>
            <w:vAlign w:val="center"/>
          </w:tcPr>
          <w:p w14:paraId="0124B611">
            <w:pPr>
              <w:widowControl w:val="0"/>
              <w:kinsoku/>
              <w:wordWrap w:val="0"/>
              <w:topLinePunct/>
              <w:autoSpaceDE/>
              <w:autoSpaceDN/>
              <w:jc w:val="center"/>
              <w:rPr>
                <w:color w:val="auto"/>
              </w:rPr>
            </w:pPr>
          </w:p>
        </w:tc>
        <w:tc>
          <w:tcPr>
            <w:tcW w:w="993" w:type="dxa"/>
            <w:vAlign w:val="center"/>
          </w:tcPr>
          <w:p w14:paraId="78695974">
            <w:pPr>
              <w:widowControl w:val="0"/>
              <w:kinsoku/>
              <w:wordWrap w:val="0"/>
              <w:topLinePunct/>
              <w:autoSpaceDE/>
              <w:autoSpaceDN/>
              <w:jc w:val="center"/>
              <w:rPr>
                <w:color w:val="auto"/>
              </w:rPr>
            </w:pPr>
          </w:p>
        </w:tc>
        <w:tc>
          <w:tcPr>
            <w:tcW w:w="1273" w:type="dxa"/>
            <w:vAlign w:val="center"/>
          </w:tcPr>
          <w:p w14:paraId="7C99A894">
            <w:pPr>
              <w:widowControl w:val="0"/>
              <w:kinsoku/>
              <w:wordWrap w:val="0"/>
              <w:topLinePunct/>
              <w:autoSpaceDE/>
              <w:autoSpaceDN/>
              <w:jc w:val="center"/>
              <w:rPr>
                <w:color w:val="auto"/>
              </w:rPr>
            </w:pPr>
          </w:p>
        </w:tc>
        <w:tc>
          <w:tcPr>
            <w:tcW w:w="1002" w:type="dxa"/>
            <w:tcBorders>
              <w:right w:val="single" w:color="000000" w:sz="6" w:space="0"/>
            </w:tcBorders>
            <w:vAlign w:val="center"/>
          </w:tcPr>
          <w:p w14:paraId="2DE541A8">
            <w:pPr>
              <w:widowControl w:val="0"/>
              <w:kinsoku/>
              <w:wordWrap w:val="0"/>
              <w:topLinePunct/>
              <w:autoSpaceDE/>
              <w:autoSpaceDN/>
              <w:jc w:val="center"/>
              <w:rPr>
                <w:color w:val="auto"/>
              </w:rPr>
            </w:pPr>
          </w:p>
        </w:tc>
      </w:tr>
      <w:tr w14:paraId="3EA10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22" w:type="dxa"/>
            <w:tcBorders>
              <w:left w:val="single" w:color="000000" w:sz="6" w:space="0"/>
            </w:tcBorders>
            <w:vAlign w:val="center"/>
          </w:tcPr>
          <w:p w14:paraId="66976B68">
            <w:pPr>
              <w:widowControl w:val="0"/>
              <w:kinsoku/>
              <w:wordWrap w:val="0"/>
              <w:topLinePunct/>
              <w:autoSpaceDE/>
              <w:autoSpaceDN/>
              <w:jc w:val="center"/>
              <w:rPr>
                <w:color w:val="auto"/>
              </w:rPr>
            </w:pPr>
          </w:p>
        </w:tc>
        <w:tc>
          <w:tcPr>
            <w:tcW w:w="1987" w:type="dxa"/>
            <w:vAlign w:val="center"/>
          </w:tcPr>
          <w:p w14:paraId="5A0052F7">
            <w:pPr>
              <w:widowControl w:val="0"/>
              <w:kinsoku/>
              <w:wordWrap w:val="0"/>
              <w:topLinePunct/>
              <w:autoSpaceDE/>
              <w:autoSpaceDN/>
              <w:jc w:val="center"/>
              <w:rPr>
                <w:color w:val="auto"/>
              </w:rPr>
            </w:pPr>
          </w:p>
        </w:tc>
        <w:tc>
          <w:tcPr>
            <w:tcW w:w="2831" w:type="dxa"/>
            <w:vAlign w:val="center"/>
          </w:tcPr>
          <w:p w14:paraId="597BB3EE">
            <w:pPr>
              <w:widowControl w:val="0"/>
              <w:kinsoku/>
              <w:wordWrap w:val="0"/>
              <w:topLinePunct/>
              <w:autoSpaceDE/>
              <w:autoSpaceDN/>
              <w:jc w:val="center"/>
              <w:rPr>
                <w:color w:val="auto"/>
              </w:rPr>
            </w:pPr>
          </w:p>
        </w:tc>
        <w:tc>
          <w:tcPr>
            <w:tcW w:w="2266" w:type="dxa"/>
            <w:vAlign w:val="center"/>
          </w:tcPr>
          <w:p w14:paraId="79B2A85E">
            <w:pPr>
              <w:widowControl w:val="0"/>
              <w:kinsoku/>
              <w:wordWrap w:val="0"/>
              <w:topLinePunct/>
              <w:autoSpaceDE/>
              <w:autoSpaceDN/>
              <w:jc w:val="center"/>
              <w:rPr>
                <w:color w:val="auto"/>
              </w:rPr>
            </w:pPr>
          </w:p>
        </w:tc>
        <w:tc>
          <w:tcPr>
            <w:tcW w:w="990" w:type="dxa"/>
            <w:vAlign w:val="center"/>
          </w:tcPr>
          <w:p w14:paraId="55F22877">
            <w:pPr>
              <w:widowControl w:val="0"/>
              <w:kinsoku/>
              <w:wordWrap w:val="0"/>
              <w:topLinePunct/>
              <w:autoSpaceDE/>
              <w:autoSpaceDN/>
              <w:jc w:val="center"/>
              <w:rPr>
                <w:color w:val="auto"/>
              </w:rPr>
            </w:pPr>
          </w:p>
        </w:tc>
        <w:tc>
          <w:tcPr>
            <w:tcW w:w="993" w:type="dxa"/>
            <w:vAlign w:val="center"/>
          </w:tcPr>
          <w:p w14:paraId="4607430F">
            <w:pPr>
              <w:widowControl w:val="0"/>
              <w:kinsoku/>
              <w:wordWrap w:val="0"/>
              <w:topLinePunct/>
              <w:autoSpaceDE/>
              <w:autoSpaceDN/>
              <w:jc w:val="center"/>
              <w:rPr>
                <w:color w:val="auto"/>
              </w:rPr>
            </w:pPr>
          </w:p>
        </w:tc>
        <w:tc>
          <w:tcPr>
            <w:tcW w:w="990" w:type="dxa"/>
            <w:vAlign w:val="center"/>
          </w:tcPr>
          <w:p w14:paraId="1FA46A85">
            <w:pPr>
              <w:widowControl w:val="0"/>
              <w:kinsoku/>
              <w:wordWrap w:val="0"/>
              <w:topLinePunct/>
              <w:autoSpaceDE/>
              <w:autoSpaceDN/>
              <w:jc w:val="center"/>
              <w:rPr>
                <w:color w:val="auto"/>
              </w:rPr>
            </w:pPr>
          </w:p>
        </w:tc>
        <w:tc>
          <w:tcPr>
            <w:tcW w:w="993" w:type="dxa"/>
            <w:vAlign w:val="center"/>
          </w:tcPr>
          <w:p w14:paraId="01974284">
            <w:pPr>
              <w:widowControl w:val="0"/>
              <w:kinsoku/>
              <w:wordWrap w:val="0"/>
              <w:topLinePunct/>
              <w:autoSpaceDE/>
              <w:autoSpaceDN/>
              <w:jc w:val="center"/>
              <w:rPr>
                <w:color w:val="auto"/>
              </w:rPr>
            </w:pPr>
          </w:p>
        </w:tc>
        <w:tc>
          <w:tcPr>
            <w:tcW w:w="1273" w:type="dxa"/>
            <w:vAlign w:val="center"/>
          </w:tcPr>
          <w:p w14:paraId="22DF7F65">
            <w:pPr>
              <w:widowControl w:val="0"/>
              <w:kinsoku/>
              <w:wordWrap w:val="0"/>
              <w:topLinePunct/>
              <w:autoSpaceDE/>
              <w:autoSpaceDN/>
              <w:jc w:val="center"/>
              <w:rPr>
                <w:color w:val="auto"/>
              </w:rPr>
            </w:pPr>
          </w:p>
        </w:tc>
        <w:tc>
          <w:tcPr>
            <w:tcW w:w="1002" w:type="dxa"/>
            <w:tcBorders>
              <w:right w:val="single" w:color="000000" w:sz="6" w:space="0"/>
            </w:tcBorders>
            <w:vAlign w:val="center"/>
          </w:tcPr>
          <w:p w14:paraId="73271D6E">
            <w:pPr>
              <w:widowControl w:val="0"/>
              <w:kinsoku/>
              <w:wordWrap w:val="0"/>
              <w:topLinePunct/>
              <w:autoSpaceDE/>
              <w:autoSpaceDN/>
              <w:jc w:val="center"/>
              <w:rPr>
                <w:color w:val="auto"/>
              </w:rPr>
            </w:pPr>
          </w:p>
        </w:tc>
      </w:tr>
      <w:tr w14:paraId="14167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822" w:type="dxa"/>
            <w:tcBorders>
              <w:left w:val="single" w:color="000000" w:sz="6" w:space="0"/>
            </w:tcBorders>
            <w:vAlign w:val="center"/>
          </w:tcPr>
          <w:p w14:paraId="42515DE7">
            <w:pPr>
              <w:widowControl w:val="0"/>
              <w:kinsoku/>
              <w:wordWrap w:val="0"/>
              <w:topLinePunct/>
              <w:autoSpaceDE/>
              <w:autoSpaceDN/>
              <w:jc w:val="center"/>
              <w:rPr>
                <w:color w:val="auto"/>
              </w:rPr>
            </w:pPr>
          </w:p>
        </w:tc>
        <w:tc>
          <w:tcPr>
            <w:tcW w:w="1987" w:type="dxa"/>
            <w:vAlign w:val="center"/>
          </w:tcPr>
          <w:p w14:paraId="468C41BB">
            <w:pPr>
              <w:widowControl w:val="0"/>
              <w:kinsoku/>
              <w:wordWrap w:val="0"/>
              <w:topLinePunct/>
              <w:autoSpaceDE/>
              <w:autoSpaceDN/>
              <w:jc w:val="center"/>
              <w:rPr>
                <w:color w:val="auto"/>
              </w:rPr>
            </w:pPr>
          </w:p>
        </w:tc>
        <w:tc>
          <w:tcPr>
            <w:tcW w:w="2831" w:type="dxa"/>
            <w:vAlign w:val="center"/>
          </w:tcPr>
          <w:p w14:paraId="0DC28278">
            <w:pPr>
              <w:widowControl w:val="0"/>
              <w:kinsoku/>
              <w:wordWrap w:val="0"/>
              <w:topLinePunct/>
              <w:autoSpaceDE/>
              <w:autoSpaceDN/>
              <w:jc w:val="center"/>
              <w:rPr>
                <w:color w:val="auto"/>
              </w:rPr>
            </w:pPr>
          </w:p>
        </w:tc>
        <w:tc>
          <w:tcPr>
            <w:tcW w:w="2266" w:type="dxa"/>
            <w:vAlign w:val="center"/>
          </w:tcPr>
          <w:p w14:paraId="7A13FFC5">
            <w:pPr>
              <w:widowControl w:val="0"/>
              <w:kinsoku/>
              <w:wordWrap w:val="0"/>
              <w:topLinePunct/>
              <w:autoSpaceDE/>
              <w:autoSpaceDN/>
              <w:jc w:val="center"/>
              <w:rPr>
                <w:color w:val="auto"/>
              </w:rPr>
            </w:pPr>
          </w:p>
        </w:tc>
        <w:tc>
          <w:tcPr>
            <w:tcW w:w="990" w:type="dxa"/>
            <w:vAlign w:val="center"/>
          </w:tcPr>
          <w:p w14:paraId="6C482206">
            <w:pPr>
              <w:widowControl w:val="0"/>
              <w:kinsoku/>
              <w:wordWrap w:val="0"/>
              <w:topLinePunct/>
              <w:autoSpaceDE/>
              <w:autoSpaceDN/>
              <w:jc w:val="center"/>
              <w:rPr>
                <w:color w:val="auto"/>
              </w:rPr>
            </w:pPr>
          </w:p>
        </w:tc>
        <w:tc>
          <w:tcPr>
            <w:tcW w:w="993" w:type="dxa"/>
            <w:vAlign w:val="center"/>
          </w:tcPr>
          <w:p w14:paraId="264E2AF4">
            <w:pPr>
              <w:widowControl w:val="0"/>
              <w:kinsoku/>
              <w:wordWrap w:val="0"/>
              <w:topLinePunct/>
              <w:autoSpaceDE/>
              <w:autoSpaceDN/>
              <w:jc w:val="center"/>
              <w:rPr>
                <w:color w:val="auto"/>
              </w:rPr>
            </w:pPr>
          </w:p>
        </w:tc>
        <w:tc>
          <w:tcPr>
            <w:tcW w:w="990" w:type="dxa"/>
            <w:vAlign w:val="center"/>
          </w:tcPr>
          <w:p w14:paraId="1FD2A656">
            <w:pPr>
              <w:widowControl w:val="0"/>
              <w:kinsoku/>
              <w:wordWrap w:val="0"/>
              <w:topLinePunct/>
              <w:autoSpaceDE/>
              <w:autoSpaceDN/>
              <w:jc w:val="center"/>
              <w:rPr>
                <w:color w:val="auto"/>
              </w:rPr>
            </w:pPr>
          </w:p>
        </w:tc>
        <w:tc>
          <w:tcPr>
            <w:tcW w:w="993" w:type="dxa"/>
            <w:vAlign w:val="center"/>
          </w:tcPr>
          <w:p w14:paraId="6F4406F5">
            <w:pPr>
              <w:widowControl w:val="0"/>
              <w:kinsoku/>
              <w:wordWrap w:val="0"/>
              <w:topLinePunct/>
              <w:autoSpaceDE/>
              <w:autoSpaceDN/>
              <w:jc w:val="center"/>
              <w:rPr>
                <w:color w:val="auto"/>
              </w:rPr>
            </w:pPr>
          </w:p>
        </w:tc>
        <w:tc>
          <w:tcPr>
            <w:tcW w:w="1273" w:type="dxa"/>
            <w:vAlign w:val="center"/>
          </w:tcPr>
          <w:p w14:paraId="1FCBDD6A">
            <w:pPr>
              <w:widowControl w:val="0"/>
              <w:kinsoku/>
              <w:wordWrap w:val="0"/>
              <w:topLinePunct/>
              <w:autoSpaceDE/>
              <w:autoSpaceDN/>
              <w:jc w:val="center"/>
              <w:rPr>
                <w:color w:val="auto"/>
              </w:rPr>
            </w:pPr>
          </w:p>
        </w:tc>
        <w:tc>
          <w:tcPr>
            <w:tcW w:w="1002" w:type="dxa"/>
            <w:tcBorders>
              <w:right w:val="single" w:color="000000" w:sz="6" w:space="0"/>
            </w:tcBorders>
            <w:vAlign w:val="center"/>
          </w:tcPr>
          <w:p w14:paraId="6AFA0173">
            <w:pPr>
              <w:widowControl w:val="0"/>
              <w:kinsoku/>
              <w:wordWrap w:val="0"/>
              <w:topLinePunct/>
              <w:autoSpaceDE/>
              <w:autoSpaceDN/>
              <w:jc w:val="center"/>
              <w:rPr>
                <w:color w:val="auto"/>
              </w:rPr>
            </w:pPr>
          </w:p>
        </w:tc>
      </w:tr>
      <w:tr w14:paraId="148A8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822" w:type="dxa"/>
            <w:tcBorders>
              <w:left w:val="single" w:color="000000" w:sz="6" w:space="0"/>
            </w:tcBorders>
            <w:vAlign w:val="center"/>
          </w:tcPr>
          <w:p w14:paraId="3E2EF297">
            <w:pPr>
              <w:widowControl w:val="0"/>
              <w:kinsoku/>
              <w:wordWrap w:val="0"/>
              <w:topLinePunct/>
              <w:autoSpaceDE/>
              <w:autoSpaceDN/>
              <w:jc w:val="center"/>
              <w:rPr>
                <w:color w:val="auto"/>
              </w:rPr>
            </w:pPr>
          </w:p>
        </w:tc>
        <w:tc>
          <w:tcPr>
            <w:tcW w:w="1987" w:type="dxa"/>
            <w:vAlign w:val="center"/>
          </w:tcPr>
          <w:p w14:paraId="2A1D538A">
            <w:pPr>
              <w:widowControl w:val="0"/>
              <w:kinsoku/>
              <w:wordWrap w:val="0"/>
              <w:topLinePunct/>
              <w:autoSpaceDE/>
              <w:autoSpaceDN/>
              <w:jc w:val="center"/>
              <w:rPr>
                <w:color w:val="auto"/>
              </w:rPr>
            </w:pPr>
          </w:p>
        </w:tc>
        <w:tc>
          <w:tcPr>
            <w:tcW w:w="2831" w:type="dxa"/>
            <w:vAlign w:val="center"/>
          </w:tcPr>
          <w:p w14:paraId="421A8FF4">
            <w:pPr>
              <w:widowControl w:val="0"/>
              <w:kinsoku/>
              <w:wordWrap w:val="0"/>
              <w:topLinePunct/>
              <w:autoSpaceDE/>
              <w:autoSpaceDN/>
              <w:jc w:val="center"/>
              <w:rPr>
                <w:color w:val="auto"/>
              </w:rPr>
            </w:pPr>
          </w:p>
        </w:tc>
        <w:tc>
          <w:tcPr>
            <w:tcW w:w="2266" w:type="dxa"/>
            <w:vAlign w:val="center"/>
          </w:tcPr>
          <w:p w14:paraId="10114DAC">
            <w:pPr>
              <w:widowControl w:val="0"/>
              <w:kinsoku/>
              <w:wordWrap w:val="0"/>
              <w:topLinePunct/>
              <w:autoSpaceDE/>
              <w:autoSpaceDN/>
              <w:jc w:val="center"/>
              <w:rPr>
                <w:color w:val="auto"/>
              </w:rPr>
            </w:pPr>
          </w:p>
        </w:tc>
        <w:tc>
          <w:tcPr>
            <w:tcW w:w="990" w:type="dxa"/>
            <w:vAlign w:val="center"/>
          </w:tcPr>
          <w:p w14:paraId="02DD84A6">
            <w:pPr>
              <w:widowControl w:val="0"/>
              <w:kinsoku/>
              <w:wordWrap w:val="0"/>
              <w:topLinePunct/>
              <w:autoSpaceDE/>
              <w:autoSpaceDN/>
              <w:jc w:val="center"/>
              <w:rPr>
                <w:color w:val="auto"/>
              </w:rPr>
            </w:pPr>
          </w:p>
        </w:tc>
        <w:tc>
          <w:tcPr>
            <w:tcW w:w="993" w:type="dxa"/>
            <w:vAlign w:val="center"/>
          </w:tcPr>
          <w:p w14:paraId="07367A86">
            <w:pPr>
              <w:widowControl w:val="0"/>
              <w:kinsoku/>
              <w:wordWrap w:val="0"/>
              <w:topLinePunct/>
              <w:autoSpaceDE/>
              <w:autoSpaceDN/>
              <w:jc w:val="center"/>
              <w:rPr>
                <w:color w:val="auto"/>
              </w:rPr>
            </w:pPr>
          </w:p>
        </w:tc>
        <w:tc>
          <w:tcPr>
            <w:tcW w:w="990" w:type="dxa"/>
            <w:vAlign w:val="center"/>
          </w:tcPr>
          <w:p w14:paraId="50070C38">
            <w:pPr>
              <w:widowControl w:val="0"/>
              <w:kinsoku/>
              <w:wordWrap w:val="0"/>
              <w:topLinePunct/>
              <w:autoSpaceDE/>
              <w:autoSpaceDN/>
              <w:jc w:val="center"/>
              <w:rPr>
                <w:color w:val="auto"/>
              </w:rPr>
            </w:pPr>
          </w:p>
        </w:tc>
        <w:tc>
          <w:tcPr>
            <w:tcW w:w="993" w:type="dxa"/>
            <w:vAlign w:val="center"/>
          </w:tcPr>
          <w:p w14:paraId="396CB141">
            <w:pPr>
              <w:widowControl w:val="0"/>
              <w:kinsoku/>
              <w:wordWrap w:val="0"/>
              <w:topLinePunct/>
              <w:autoSpaceDE/>
              <w:autoSpaceDN/>
              <w:jc w:val="center"/>
              <w:rPr>
                <w:color w:val="auto"/>
              </w:rPr>
            </w:pPr>
          </w:p>
        </w:tc>
        <w:tc>
          <w:tcPr>
            <w:tcW w:w="1273" w:type="dxa"/>
            <w:vAlign w:val="center"/>
          </w:tcPr>
          <w:p w14:paraId="19D8CAE8">
            <w:pPr>
              <w:widowControl w:val="0"/>
              <w:kinsoku/>
              <w:wordWrap w:val="0"/>
              <w:topLinePunct/>
              <w:autoSpaceDE/>
              <w:autoSpaceDN/>
              <w:jc w:val="center"/>
              <w:rPr>
                <w:color w:val="auto"/>
              </w:rPr>
            </w:pPr>
          </w:p>
        </w:tc>
        <w:tc>
          <w:tcPr>
            <w:tcW w:w="1002" w:type="dxa"/>
            <w:tcBorders>
              <w:right w:val="single" w:color="000000" w:sz="6" w:space="0"/>
            </w:tcBorders>
            <w:vAlign w:val="center"/>
          </w:tcPr>
          <w:p w14:paraId="2CECD3EA">
            <w:pPr>
              <w:widowControl w:val="0"/>
              <w:kinsoku/>
              <w:wordWrap w:val="0"/>
              <w:topLinePunct/>
              <w:autoSpaceDE/>
              <w:autoSpaceDN/>
              <w:jc w:val="center"/>
              <w:rPr>
                <w:color w:val="auto"/>
              </w:rPr>
            </w:pPr>
          </w:p>
        </w:tc>
      </w:tr>
      <w:tr w14:paraId="3953C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22" w:type="dxa"/>
            <w:tcBorders>
              <w:left w:val="single" w:color="000000" w:sz="6" w:space="0"/>
            </w:tcBorders>
            <w:vAlign w:val="center"/>
          </w:tcPr>
          <w:p w14:paraId="20D97CBA">
            <w:pPr>
              <w:widowControl w:val="0"/>
              <w:kinsoku/>
              <w:wordWrap w:val="0"/>
              <w:topLinePunct/>
              <w:autoSpaceDE/>
              <w:autoSpaceDN/>
              <w:jc w:val="center"/>
              <w:rPr>
                <w:color w:val="auto"/>
              </w:rPr>
            </w:pPr>
          </w:p>
        </w:tc>
        <w:tc>
          <w:tcPr>
            <w:tcW w:w="1987" w:type="dxa"/>
            <w:vAlign w:val="center"/>
          </w:tcPr>
          <w:p w14:paraId="52929C93">
            <w:pPr>
              <w:widowControl w:val="0"/>
              <w:kinsoku/>
              <w:wordWrap w:val="0"/>
              <w:topLinePunct/>
              <w:autoSpaceDE/>
              <w:autoSpaceDN/>
              <w:jc w:val="center"/>
              <w:rPr>
                <w:color w:val="auto"/>
              </w:rPr>
            </w:pPr>
          </w:p>
        </w:tc>
        <w:tc>
          <w:tcPr>
            <w:tcW w:w="2831" w:type="dxa"/>
            <w:vAlign w:val="center"/>
          </w:tcPr>
          <w:p w14:paraId="5D8D854C">
            <w:pPr>
              <w:widowControl w:val="0"/>
              <w:kinsoku/>
              <w:wordWrap w:val="0"/>
              <w:topLinePunct/>
              <w:autoSpaceDE/>
              <w:autoSpaceDN/>
              <w:jc w:val="center"/>
              <w:rPr>
                <w:color w:val="auto"/>
              </w:rPr>
            </w:pPr>
          </w:p>
        </w:tc>
        <w:tc>
          <w:tcPr>
            <w:tcW w:w="2266" w:type="dxa"/>
            <w:vAlign w:val="center"/>
          </w:tcPr>
          <w:p w14:paraId="193FA2E8">
            <w:pPr>
              <w:widowControl w:val="0"/>
              <w:kinsoku/>
              <w:wordWrap w:val="0"/>
              <w:topLinePunct/>
              <w:autoSpaceDE/>
              <w:autoSpaceDN/>
              <w:jc w:val="center"/>
              <w:rPr>
                <w:color w:val="auto"/>
              </w:rPr>
            </w:pPr>
          </w:p>
        </w:tc>
        <w:tc>
          <w:tcPr>
            <w:tcW w:w="990" w:type="dxa"/>
            <w:vAlign w:val="center"/>
          </w:tcPr>
          <w:p w14:paraId="39596025">
            <w:pPr>
              <w:widowControl w:val="0"/>
              <w:kinsoku/>
              <w:wordWrap w:val="0"/>
              <w:topLinePunct/>
              <w:autoSpaceDE/>
              <w:autoSpaceDN/>
              <w:jc w:val="center"/>
              <w:rPr>
                <w:color w:val="auto"/>
              </w:rPr>
            </w:pPr>
          </w:p>
        </w:tc>
        <w:tc>
          <w:tcPr>
            <w:tcW w:w="993" w:type="dxa"/>
            <w:vAlign w:val="center"/>
          </w:tcPr>
          <w:p w14:paraId="34CA3852">
            <w:pPr>
              <w:widowControl w:val="0"/>
              <w:kinsoku/>
              <w:wordWrap w:val="0"/>
              <w:topLinePunct/>
              <w:autoSpaceDE/>
              <w:autoSpaceDN/>
              <w:jc w:val="center"/>
              <w:rPr>
                <w:color w:val="auto"/>
              </w:rPr>
            </w:pPr>
          </w:p>
        </w:tc>
        <w:tc>
          <w:tcPr>
            <w:tcW w:w="990" w:type="dxa"/>
            <w:vAlign w:val="center"/>
          </w:tcPr>
          <w:p w14:paraId="4CDF6333">
            <w:pPr>
              <w:widowControl w:val="0"/>
              <w:kinsoku/>
              <w:wordWrap w:val="0"/>
              <w:topLinePunct/>
              <w:autoSpaceDE/>
              <w:autoSpaceDN/>
              <w:jc w:val="center"/>
              <w:rPr>
                <w:color w:val="auto"/>
              </w:rPr>
            </w:pPr>
          </w:p>
        </w:tc>
        <w:tc>
          <w:tcPr>
            <w:tcW w:w="993" w:type="dxa"/>
            <w:vAlign w:val="center"/>
          </w:tcPr>
          <w:p w14:paraId="30ED8B52">
            <w:pPr>
              <w:widowControl w:val="0"/>
              <w:kinsoku/>
              <w:wordWrap w:val="0"/>
              <w:topLinePunct/>
              <w:autoSpaceDE/>
              <w:autoSpaceDN/>
              <w:jc w:val="center"/>
              <w:rPr>
                <w:color w:val="auto"/>
              </w:rPr>
            </w:pPr>
          </w:p>
        </w:tc>
        <w:tc>
          <w:tcPr>
            <w:tcW w:w="1273" w:type="dxa"/>
            <w:vAlign w:val="center"/>
          </w:tcPr>
          <w:p w14:paraId="2406A2EE">
            <w:pPr>
              <w:widowControl w:val="0"/>
              <w:kinsoku/>
              <w:wordWrap w:val="0"/>
              <w:topLinePunct/>
              <w:autoSpaceDE/>
              <w:autoSpaceDN/>
              <w:jc w:val="center"/>
              <w:rPr>
                <w:color w:val="auto"/>
              </w:rPr>
            </w:pPr>
          </w:p>
        </w:tc>
        <w:tc>
          <w:tcPr>
            <w:tcW w:w="1002" w:type="dxa"/>
            <w:tcBorders>
              <w:right w:val="single" w:color="000000" w:sz="6" w:space="0"/>
            </w:tcBorders>
            <w:vAlign w:val="center"/>
          </w:tcPr>
          <w:p w14:paraId="2DA54BA5">
            <w:pPr>
              <w:widowControl w:val="0"/>
              <w:kinsoku/>
              <w:wordWrap w:val="0"/>
              <w:topLinePunct/>
              <w:autoSpaceDE/>
              <w:autoSpaceDN/>
              <w:jc w:val="center"/>
              <w:rPr>
                <w:color w:val="auto"/>
              </w:rPr>
            </w:pPr>
          </w:p>
        </w:tc>
      </w:tr>
      <w:tr w14:paraId="078658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822" w:type="dxa"/>
            <w:tcBorders>
              <w:left w:val="single" w:color="000000" w:sz="6" w:space="0"/>
            </w:tcBorders>
            <w:vAlign w:val="center"/>
          </w:tcPr>
          <w:p w14:paraId="5D40718E">
            <w:pPr>
              <w:widowControl w:val="0"/>
              <w:kinsoku/>
              <w:wordWrap w:val="0"/>
              <w:topLinePunct/>
              <w:autoSpaceDE/>
              <w:autoSpaceDN/>
              <w:jc w:val="center"/>
              <w:rPr>
                <w:color w:val="auto"/>
              </w:rPr>
            </w:pPr>
          </w:p>
        </w:tc>
        <w:tc>
          <w:tcPr>
            <w:tcW w:w="1987" w:type="dxa"/>
            <w:vAlign w:val="center"/>
          </w:tcPr>
          <w:p w14:paraId="0C51389E">
            <w:pPr>
              <w:widowControl w:val="0"/>
              <w:kinsoku/>
              <w:wordWrap w:val="0"/>
              <w:topLinePunct/>
              <w:autoSpaceDE/>
              <w:autoSpaceDN/>
              <w:jc w:val="center"/>
              <w:rPr>
                <w:color w:val="auto"/>
              </w:rPr>
            </w:pPr>
          </w:p>
        </w:tc>
        <w:tc>
          <w:tcPr>
            <w:tcW w:w="2831" w:type="dxa"/>
            <w:vAlign w:val="center"/>
          </w:tcPr>
          <w:p w14:paraId="22F5CBAF">
            <w:pPr>
              <w:widowControl w:val="0"/>
              <w:kinsoku/>
              <w:wordWrap w:val="0"/>
              <w:topLinePunct/>
              <w:autoSpaceDE/>
              <w:autoSpaceDN/>
              <w:jc w:val="center"/>
              <w:rPr>
                <w:color w:val="auto"/>
              </w:rPr>
            </w:pPr>
          </w:p>
        </w:tc>
        <w:tc>
          <w:tcPr>
            <w:tcW w:w="2266" w:type="dxa"/>
            <w:vAlign w:val="center"/>
          </w:tcPr>
          <w:p w14:paraId="4A93BA96">
            <w:pPr>
              <w:widowControl w:val="0"/>
              <w:kinsoku/>
              <w:wordWrap w:val="0"/>
              <w:topLinePunct/>
              <w:autoSpaceDE/>
              <w:autoSpaceDN/>
              <w:jc w:val="center"/>
              <w:rPr>
                <w:color w:val="auto"/>
              </w:rPr>
            </w:pPr>
          </w:p>
        </w:tc>
        <w:tc>
          <w:tcPr>
            <w:tcW w:w="990" w:type="dxa"/>
            <w:vAlign w:val="center"/>
          </w:tcPr>
          <w:p w14:paraId="2069E74F">
            <w:pPr>
              <w:widowControl w:val="0"/>
              <w:kinsoku/>
              <w:wordWrap w:val="0"/>
              <w:topLinePunct/>
              <w:autoSpaceDE/>
              <w:autoSpaceDN/>
              <w:jc w:val="center"/>
              <w:rPr>
                <w:color w:val="auto"/>
              </w:rPr>
            </w:pPr>
          </w:p>
        </w:tc>
        <w:tc>
          <w:tcPr>
            <w:tcW w:w="993" w:type="dxa"/>
            <w:vAlign w:val="center"/>
          </w:tcPr>
          <w:p w14:paraId="19DB7ADF">
            <w:pPr>
              <w:widowControl w:val="0"/>
              <w:kinsoku/>
              <w:wordWrap w:val="0"/>
              <w:topLinePunct/>
              <w:autoSpaceDE/>
              <w:autoSpaceDN/>
              <w:jc w:val="center"/>
              <w:rPr>
                <w:color w:val="auto"/>
              </w:rPr>
            </w:pPr>
          </w:p>
        </w:tc>
        <w:tc>
          <w:tcPr>
            <w:tcW w:w="990" w:type="dxa"/>
            <w:vAlign w:val="center"/>
          </w:tcPr>
          <w:p w14:paraId="14058732">
            <w:pPr>
              <w:widowControl w:val="0"/>
              <w:kinsoku/>
              <w:wordWrap w:val="0"/>
              <w:topLinePunct/>
              <w:autoSpaceDE/>
              <w:autoSpaceDN/>
              <w:jc w:val="center"/>
              <w:rPr>
                <w:color w:val="auto"/>
              </w:rPr>
            </w:pPr>
          </w:p>
        </w:tc>
        <w:tc>
          <w:tcPr>
            <w:tcW w:w="993" w:type="dxa"/>
            <w:vAlign w:val="center"/>
          </w:tcPr>
          <w:p w14:paraId="332035E6">
            <w:pPr>
              <w:widowControl w:val="0"/>
              <w:kinsoku/>
              <w:wordWrap w:val="0"/>
              <w:topLinePunct/>
              <w:autoSpaceDE/>
              <w:autoSpaceDN/>
              <w:jc w:val="center"/>
              <w:rPr>
                <w:color w:val="auto"/>
              </w:rPr>
            </w:pPr>
          </w:p>
        </w:tc>
        <w:tc>
          <w:tcPr>
            <w:tcW w:w="1273" w:type="dxa"/>
            <w:vAlign w:val="center"/>
          </w:tcPr>
          <w:p w14:paraId="75C07CE3">
            <w:pPr>
              <w:widowControl w:val="0"/>
              <w:kinsoku/>
              <w:wordWrap w:val="0"/>
              <w:topLinePunct/>
              <w:autoSpaceDE/>
              <w:autoSpaceDN/>
              <w:jc w:val="center"/>
              <w:rPr>
                <w:color w:val="auto"/>
              </w:rPr>
            </w:pPr>
          </w:p>
        </w:tc>
        <w:tc>
          <w:tcPr>
            <w:tcW w:w="1002" w:type="dxa"/>
            <w:tcBorders>
              <w:right w:val="single" w:color="000000" w:sz="6" w:space="0"/>
            </w:tcBorders>
            <w:vAlign w:val="center"/>
          </w:tcPr>
          <w:p w14:paraId="7484037A">
            <w:pPr>
              <w:widowControl w:val="0"/>
              <w:kinsoku/>
              <w:wordWrap w:val="0"/>
              <w:topLinePunct/>
              <w:autoSpaceDE/>
              <w:autoSpaceDN/>
              <w:jc w:val="center"/>
              <w:rPr>
                <w:color w:val="auto"/>
              </w:rPr>
            </w:pPr>
          </w:p>
        </w:tc>
      </w:tr>
      <w:tr w14:paraId="4D060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trPr>
        <w:tc>
          <w:tcPr>
            <w:tcW w:w="822" w:type="dxa"/>
            <w:tcBorders>
              <w:left w:val="single" w:color="000000" w:sz="6" w:space="0"/>
              <w:bottom w:val="single" w:color="000000" w:sz="6" w:space="0"/>
            </w:tcBorders>
            <w:vAlign w:val="center"/>
          </w:tcPr>
          <w:p w14:paraId="4802F553">
            <w:pPr>
              <w:widowControl w:val="0"/>
              <w:kinsoku/>
              <w:wordWrap w:val="0"/>
              <w:topLinePunct/>
              <w:autoSpaceDE/>
              <w:autoSpaceDN/>
              <w:jc w:val="center"/>
              <w:rPr>
                <w:color w:val="auto"/>
              </w:rPr>
            </w:pPr>
          </w:p>
        </w:tc>
        <w:tc>
          <w:tcPr>
            <w:tcW w:w="1987" w:type="dxa"/>
            <w:tcBorders>
              <w:bottom w:val="single" w:color="000000" w:sz="6" w:space="0"/>
            </w:tcBorders>
            <w:vAlign w:val="center"/>
          </w:tcPr>
          <w:p w14:paraId="348A4D04">
            <w:pPr>
              <w:widowControl w:val="0"/>
              <w:kinsoku/>
              <w:wordWrap w:val="0"/>
              <w:topLinePunct/>
              <w:autoSpaceDE/>
              <w:autoSpaceDN/>
              <w:jc w:val="center"/>
              <w:rPr>
                <w:color w:val="auto"/>
              </w:rPr>
            </w:pPr>
          </w:p>
        </w:tc>
        <w:tc>
          <w:tcPr>
            <w:tcW w:w="2831" w:type="dxa"/>
            <w:tcBorders>
              <w:bottom w:val="single" w:color="000000" w:sz="6" w:space="0"/>
            </w:tcBorders>
            <w:vAlign w:val="center"/>
          </w:tcPr>
          <w:p w14:paraId="38B96074">
            <w:pPr>
              <w:pStyle w:val="21"/>
              <w:widowControl w:val="0"/>
              <w:kinsoku/>
              <w:wordWrap w:val="0"/>
              <w:topLinePunct/>
              <w:autoSpaceDE/>
              <w:autoSpaceDN/>
              <w:jc w:val="center"/>
              <w:rPr>
                <w:rFonts w:hint="eastAsia"/>
                <w:color w:val="auto"/>
                <w:sz w:val="21"/>
                <w:szCs w:val="21"/>
              </w:rPr>
            </w:pPr>
            <w:r>
              <w:rPr>
                <w:b/>
                <w:bCs/>
                <w:color w:val="auto"/>
                <w:sz w:val="21"/>
                <w:szCs w:val="21"/>
              </w:rPr>
              <w:t>合</w:t>
            </w:r>
            <w:r>
              <w:rPr>
                <w:rFonts w:hint="eastAsia"/>
                <w:color w:val="auto"/>
                <w:sz w:val="21"/>
                <w:szCs w:val="21"/>
                <w:lang w:eastAsia="zh-CN"/>
              </w:rPr>
              <w:t>　</w:t>
            </w:r>
            <w:r>
              <w:rPr>
                <w:b/>
                <w:bCs/>
                <w:color w:val="auto"/>
                <w:sz w:val="21"/>
                <w:szCs w:val="21"/>
              </w:rPr>
              <w:t>计</w:t>
            </w:r>
          </w:p>
        </w:tc>
        <w:tc>
          <w:tcPr>
            <w:tcW w:w="2266" w:type="dxa"/>
            <w:tcBorders>
              <w:bottom w:val="single" w:color="000000" w:sz="6" w:space="0"/>
            </w:tcBorders>
            <w:vAlign w:val="center"/>
          </w:tcPr>
          <w:p w14:paraId="3AB61F5A">
            <w:pPr>
              <w:widowControl w:val="0"/>
              <w:kinsoku/>
              <w:wordWrap w:val="0"/>
              <w:topLinePunct/>
              <w:autoSpaceDE/>
              <w:autoSpaceDN/>
              <w:jc w:val="center"/>
              <w:rPr>
                <w:color w:val="auto"/>
              </w:rPr>
            </w:pPr>
          </w:p>
        </w:tc>
        <w:tc>
          <w:tcPr>
            <w:tcW w:w="990" w:type="dxa"/>
            <w:tcBorders>
              <w:bottom w:val="single" w:color="000000" w:sz="6" w:space="0"/>
            </w:tcBorders>
            <w:vAlign w:val="center"/>
          </w:tcPr>
          <w:p w14:paraId="77DD9808">
            <w:pPr>
              <w:widowControl w:val="0"/>
              <w:kinsoku/>
              <w:wordWrap w:val="0"/>
              <w:topLinePunct/>
              <w:autoSpaceDE/>
              <w:autoSpaceDN/>
              <w:jc w:val="center"/>
              <w:rPr>
                <w:color w:val="auto"/>
              </w:rPr>
            </w:pPr>
          </w:p>
        </w:tc>
        <w:tc>
          <w:tcPr>
            <w:tcW w:w="993" w:type="dxa"/>
            <w:tcBorders>
              <w:bottom w:val="single" w:color="000000" w:sz="6" w:space="0"/>
            </w:tcBorders>
            <w:vAlign w:val="center"/>
          </w:tcPr>
          <w:p w14:paraId="0B1E7108">
            <w:pPr>
              <w:widowControl w:val="0"/>
              <w:kinsoku/>
              <w:wordWrap w:val="0"/>
              <w:topLinePunct/>
              <w:autoSpaceDE/>
              <w:autoSpaceDN/>
              <w:jc w:val="center"/>
              <w:rPr>
                <w:color w:val="auto"/>
              </w:rPr>
            </w:pPr>
          </w:p>
        </w:tc>
        <w:tc>
          <w:tcPr>
            <w:tcW w:w="990" w:type="dxa"/>
            <w:tcBorders>
              <w:bottom w:val="single" w:color="000000" w:sz="6" w:space="0"/>
            </w:tcBorders>
            <w:vAlign w:val="center"/>
          </w:tcPr>
          <w:p w14:paraId="29E2F8C7">
            <w:pPr>
              <w:widowControl w:val="0"/>
              <w:kinsoku/>
              <w:wordWrap w:val="0"/>
              <w:topLinePunct/>
              <w:autoSpaceDE/>
              <w:autoSpaceDN/>
              <w:jc w:val="center"/>
              <w:rPr>
                <w:color w:val="auto"/>
              </w:rPr>
            </w:pPr>
          </w:p>
        </w:tc>
        <w:tc>
          <w:tcPr>
            <w:tcW w:w="993" w:type="dxa"/>
            <w:tcBorders>
              <w:bottom w:val="single" w:color="000000" w:sz="6" w:space="0"/>
            </w:tcBorders>
            <w:vAlign w:val="center"/>
          </w:tcPr>
          <w:p w14:paraId="036EBEF7">
            <w:pPr>
              <w:widowControl w:val="0"/>
              <w:kinsoku/>
              <w:wordWrap w:val="0"/>
              <w:topLinePunct/>
              <w:autoSpaceDE/>
              <w:autoSpaceDN/>
              <w:jc w:val="center"/>
              <w:rPr>
                <w:color w:val="auto"/>
              </w:rPr>
            </w:pPr>
          </w:p>
        </w:tc>
        <w:tc>
          <w:tcPr>
            <w:tcW w:w="1273" w:type="dxa"/>
            <w:tcBorders>
              <w:bottom w:val="single" w:color="000000" w:sz="6" w:space="0"/>
            </w:tcBorders>
            <w:vAlign w:val="center"/>
          </w:tcPr>
          <w:p w14:paraId="4AA0C6F2">
            <w:pPr>
              <w:widowControl w:val="0"/>
              <w:kinsoku/>
              <w:wordWrap w:val="0"/>
              <w:topLinePunct/>
              <w:autoSpaceDE/>
              <w:autoSpaceDN/>
              <w:jc w:val="center"/>
              <w:rPr>
                <w:color w:val="auto"/>
              </w:rPr>
            </w:pPr>
          </w:p>
        </w:tc>
        <w:tc>
          <w:tcPr>
            <w:tcW w:w="1002" w:type="dxa"/>
            <w:tcBorders>
              <w:bottom w:val="single" w:color="000000" w:sz="6" w:space="0"/>
              <w:right w:val="single" w:color="000000" w:sz="6" w:space="0"/>
            </w:tcBorders>
            <w:vAlign w:val="center"/>
          </w:tcPr>
          <w:p w14:paraId="14FD1B1E">
            <w:pPr>
              <w:widowControl w:val="0"/>
              <w:kinsoku/>
              <w:wordWrap w:val="0"/>
              <w:topLinePunct/>
              <w:autoSpaceDE/>
              <w:autoSpaceDN/>
              <w:jc w:val="center"/>
              <w:rPr>
                <w:color w:val="auto"/>
              </w:rPr>
            </w:pPr>
          </w:p>
        </w:tc>
      </w:tr>
    </w:tbl>
    <w:p w14:paraId="7A920FFE">
      <w:pPr>
        <w:pStyle w:val="8"/>
        <w:rPr>
          <w:color w:val="auto"/>
        </w:rPr>
      </w:pPr>
    </w:p>
    <w:p w14:paraId="507C77F0">
      <w:pPr>
        <w:rPr>
          <w:color w:val="auto"/>
        </w:rPr>
        <w:sectPr>
          <w:footerReference r:id="rId8" w:type="default"/>
          <w:pgSz w:w="16841" w:h="11907"/>
          <w:pgMar w:top="1417" w:right="1238" w:bottom="1252" w:left="1440" w:header="0" w:footer="1091" w:gutter="0"/>
          <w:pgNumType w:fmt="numberInDash"/>
          <w:cols w:space="720" w:num="1"/>
        </w:sectPr>
      </w:pPr>
    </w:p>
    <w:p w14:paraId="521204FC">
      <w:pPr>
        <w:widowControl w:val="0"/>
        <w:kinsoku/>
        <w:wordWrap w:val="0"/>
        <w:topLinePunct/>
        <w:autoSpaceDE/>
        <w:autoSpaceDN/>
        <w:spacing w:line="360" w:lineRule="auto"/>
        <w:jc w:val="center"/>
        <w:rPr>
          <w:rFonts w:hint="eastAsia" w:ascii="宋体" w:hAnsi="宋体" w:eastAsia="宋体" w:cs="宋体"/>
          <w:color w:val="auto"/>
          <w:sz w:val="28"/>
          <w:szCs w:val="28"/>
        </w:rPr>
      </w:pPr>
      <w:r>
        <w:rPr>
          <w:rFonts w:ascii="宋体" w:hAnsi="宋体" w:eastAsia="宋体" w:cs="宋体"/>
          <w:b/>
          <w:bCs/>
          <w:color w:val="auto"/>
          <w:sz w:val="28"/>
          <w:szCs w:val="28"/>
        </w:rPr>
        <w:t>其他项目清单</w:t>
      </w:r>
    </w:p>
    <w:p w14:paraId="18560660">
      <w:pPr>
        <w:widowControl w:val="0"/>
        <w:kinsoku/>
        <w:wordWrap w:val="0"/>
        <w:topLinePunct/>
        <w:autoSpaceDE/>
        <w:autoSpaceDN/>
        <w:spacing w:line="360" w:lineRule="auto"/>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tbl>
      <w:tblPr>
        <w:tblStyle w:val="20"/>
        <w:tblW w:w="900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3"/>
        <w:gridCol w:w="2784"/>
        <w:gridCol w:w="1215"/>
        <w:gridCol w:w="1696"/>
        <w:gridCol w:w="1950"/>
      </w:tblGrid>
      <w:tr w14:paraId="39DFD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1363" w:type="dxa"/>
            <w:tcBorders>
              <w:top w:val="single" w:color="000000" w:sz="6" w:space="0"/>
              <w:left w:val="single" w:color="000000" w:sz="6" w:space="0"/>
            </w:tcBorders>
            <w:vAlign w:val="center"/>
          </w:tcPr>
          <w:p w14:paraId="373F47A6">
            <w:pPr>
              <w:pStyle w:val="21"/>
              <w:jc w:val="center"/>
              <w:rPr>
                <w:rFonts w:hint="eastAsia"/>
                <w:color w:val="auto"/>
                <w:sz w:val="21"/>
                <w:szCs w:val="21"/>
              </w:rPr>
            </w:pPr>
            <w:r>
              <w:rPr>
                <w:color w:val="auto"/>
                <w:sz w:val="21"/>
                <w:szCs w:val="21"/>
              </w:rPr>
              <w:t>序号</w:t>
            </w:r>
          </w:p>
        </w:tc>
        <w:tc>
          <w:tcPr>
            <w:tcW w:w="2784" w:type="dxa"/>
            <w:tcBorders>
              <w:top w:val="single" w:color="000000" w:sz="6" w:space="0"/>
            </w:tcBorders>
            <w:vAlign w:val="center"/>
          </w:tcPr>
          <w:p w14:paraId="11AC7CAE">
            <w:pPr>
              <w:pStyle w:val="21"/>
              <w:jc w:val="center"/>
              <w:rPr>
                <w:rFonts w:hint="eastAsia"/>
                <w:color w:val="auto"/>
                <w:sz w:val="21"/>
                <w:szCs w:val="21"/>
              </w:rPr>
            </w:pPr>
            <w:r>
              <w:rPr>
                <w:color w:val="auto"/>
                <w:sz w:val="21"/>
                <w:szCs w:val="21"/>
              </w:rPr>
              <w:t>项目名称</w:t>
            </w:r>
          </w:p>
        </w:tc>
        <w:tc>
          <w:tcPr>
            <w:tcW w:w="1215" w:type="dxa"/>
            <w:tcBorders>
              <w:top w:val="single" w:color="000000" w:sz="6" w:space="0"/>
            </w:tcBorders>
            <w:vAlign w:val="center"/>
          </w:tcPr>
          <w:p w14:paraId="2137DCBB">
            <w:pPr>
              <w:pStyle w:val="21"/>
              <w:jc w:val="center"/>
              <w:rPr>
                <w:rFonts w:hint="eastAsia"/>
                <w:color w:val="auto"/>
                <w:sz w:val="21"/>
                <w:szCs w:val="21"/>
              </w:rPr>
            </w:pPr>
            <w:r>
              <w:rPr>
                <w:color w:val="auto"/>
                <w:sz w:val="21"/>
                <w:szCs w:val="21"/>
              </w:rPr>
              <w:t>计量单位</w:t>
            </w:r>
          </w:p>
        </w:tc>
        <w:tc>
          <w:tcPr>
            <w:tcW w:w="1696" w:type="dxa"/>
            <w:tcBorders>
              <w:top w:val="single" w:color="000000" w:sz="6" w:space="0"/>
            </w:tcBorders>
            <w:vAlign w:val="center"/>
          </w:tcPr>
          <w:p w14:paraId="771BAA47">
            <w:pPr>
              <w:pStyle w:val="21"/>
              <w:jc w:val="center"/>
              <w:rPr>
                <w:rFonts w:hint="eastAsia"/>
                <w:color w:val="auto"/>
                <w:sz w:val="21"/>
                <w:szCs w:val="21"/>
              </w:rPr>
            </w:pPr>
            <w:r>
              <w:rPr>
                <w:color w:val="auto"/>
                <w:sz w:val="21"/>
                <w:szCs w:val="21"/>
              </w:rPr>
              <w:t>金额（元）</w:t>
            </w:r>
          </w:p>
        </w:tc>
        <w:tc>
          <w:tcPr>
            <w:tcW w:w="1950" w:type="dxa"/>
            <w:tcBorders>
              <w:top w:val="single" w:color="000000" w:sz="6" w:space="0"/>
              <w:right w:val="single" w:color="000000" w:sz="6" w:space="0"/>
            </w:tcBorders>
            <w:vAlign w:val="center"/>
          </w:tcPr>
          <w:p w14:paraId="7B605668">
            <w:pPr>
              <w:pStyle w:val="21"/>
              <w:jc w:val="center"/>
              <w:rPr>
                <w:rFonts w:hint="eastAsia"/>
                <w:color w:val="auto"/>
                <w:sz w:val="21"/>
                <w:szCs w:val="21"/>
              </w:rPr>
            </w:pPr>
            <w:r>
              <w:rPr>
                <w:color w:val="auto"/>
                <w:sz w:val="21"/>
                <w:szCs w:val="21"/>
              </w:rPr>
              <w:t>备注</w:t>
            </w:r>
          </w:p>
        </w:tc>
      </w:tr>
      <w:tr w14:paraId="5590B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5ADFBBC6">
            <w:pPr>
              <w:jc w:val="center"/>
              <w:rPr>
                <w:color w:val="auto"/>
              </w:rPr>
            </w:pPr>
          </w:p>
        </w:tc>
        <w:tc>
          <w:tcPr>
            <w:tcW w:w="2784" w:type="dxa"/>
            <w:vAlign w:val="center"/>
          </w:tcPr>
          <w:p w14:paraId="5433912A">
            <w:pPr>
              <w:jc w:val="center"/>
              <w:rPr>
                <w:color w:val="auto"/>
              </w:rPr>
            </w:pPr>
          </w:p>
        </w:tc>
        <w:tc>
          <w:tcPr>
            <w:tcW w:w="1215" w:type="dxa"/>
            <w:vAlign w:val="center"/>
          </w:tcPr>
          <w:p w14:paraId="5954EA39">
            <w:pPr>
              <w:jc w:val="center"/>
              <w:rPr>
                <w:color w:val="auto"/>
              </w:rPr>
            </w:pPr>
          </w:p>
        </w:tc>
        <w:tc>
          <w:tcPr>
            <w:tcW w:w="1696" w:type="dxa"/>
            <w:vAlign w:val="center"/>
          </w:tcPr>
          <w:p w14:paraId="29AA711D">
            <w:pPr>
              <w:jc w:val="center"/>
              <w:rPr>
                <w:color w:val="auto"/>
              </w:rPr>
            </w:pPr>
          </w:p>
        </w:tc>
        <w:tc>
          <w:tcPr>
            <w:tcW w:w="1950" w:type="dxa"/>
            <w:tcBorders>
              <w:right w:val="single" w:color="000000" w:sz="6" w:space="0"/>
            </w:tcBorders>
            <w:vAlign w:val="center"/>
          </w:tcPr>
          <w:p w14:paraId="0AC2284D">
            <w:pPr>
              <w:jc w:val="center"/>
              <w:rPr>
                <w:color w:val="auto"/>
              </w:rPr>
            </w:pPr>
          </w:p>
        </w:tc>
      </w:tr>
      <w:tr w14:paraId="6E91F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2D0AC8ED">
            <w:pPr>
              <w:jc w:val="center"/>
              <w:rPr>
                <w:color w:val="auto"/>
              </w:rPr>
            </w:pPr>
          </w:p>
        </w:tc>
        <w:tc>
          <w:tcPr>
            <w:tcW w:w="2784" w:type="dxa"/>
            <w:vAlign w:val="center"/>
          </w:tcPr>
          <w:p w14:paraId="11CAFA07">
            <w:pPr>
              <w:jc w:val="center"/>
              <w:rPr>
                <w:color w:val="auto"/>
              </w:rPr>
            </w:pPr>
          </w:p>
        </w:tc>
        <w:tc>
          <w:tcPr>
            <w:tcW w:w="1215" w:type="dxa"/>
            <w:vAlign w:val="center"/>
          </w:tcPr>
          <w:p w14:paraId="32E68E6C">
            <w:pPr>
              <w:jc w:val="center"/>
              <w:rPr>
                <w:color w:val="auto"/>
              </w:rPr>
            </w:pPr>
          </w:p>
        </w:tc>
        <w:tc>
          <w:tcPr>
            <w:tcW w:w="1696" w:type="dxa"/>
            <w:vAlign w:val="center"/>
          </w:tcPr>
          <w:p w14:paraId="51F2A1B2">
            <w:pPr>
              <w:jc w:val="center"/>
              <w:rPr>
                <w:color w:val="auto"/>
              </w:rPr>
            </w:pPr>
          </w:p>
        </w:tc>
        <w:tc>
          <w:tcPr>
            <w:tcW w:w="1950" w:type="dxa"/>
            <w:tcBorders>
              <w:right w:val="single" w:color="000000" w:sz="6" w:space="0"/>
            </w:tcBorders>
            <w:vAlign w:val="center"/>
          </w:tcPr>
          <w:p w14:paraId="6432090C">
            <w:pPr>
              <w:jc w:val="center"/>
              <w:rPr>
                <w:color w:val="auto"/>
              </w:rPr>
            </w:pPr>
          </w:p>
        </w:tc>
      </w:tr>
      <w:tr w14:paraId="27146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70492611">
            <w:pPr>
              <w:jc w:val="center"/>
              <w:rPr>
                <w:color w:val="auto"/>
              </w:rPr>
            </w:pPr>
          </w:p>
        </w:tc>
        <w:tc>
          <w:tcPr>
            <w:tcW w:w="2784" w:type="dxa"/>
            <w:vAlign w:val="center"/>
          </w:tcPr>
          <w:p w14:paraId="41464433">
            <w:pPr>
              <w:jc w:val="center"/>
              <w:rPr>
                <w:color w:val="auto"/>
              </w:rPr>
            </w:pPr>
          </w:p>
        </w:tc>
        <w:tc>
          <w:tcPr>
            <w:tcW w:w="1215" w:type="dxa"/>
            <w:vAlign w:val="center"/>
          </w:tcPr>
          <w:p w14:paraId="3FB33344">
            <w:pPr>
              <w:jc w:val="center"/>
              <w:rPr>
                <w:color w:val="auto"/>
              </w:rPr>
            </w:pPr>
          </w:p>
        </w:tc>
        <w:tc>
          <w:tcPr>
            <w:tcW w:w="1696" w:type="dxa"/>
            <w:vAlign w:val="center"/>
          </w:tcPr>
          <w:p w14:paraId="58C29044">
            <w:pPr>
              <w:jc w:val="center"/>
              <w:rPr>
                <w:color w:val="auto"/>
              </w:rPr>
            </w:pPr>
          </w:p>
        </w:tc>
        <w:tc>
          <w:tcPr>
            <w:tcW w:w="1950" w:type="dxa"/>
            <w:tcBorders>
              <w:right w:val="single" w:color="000000" w:sz="6" w:space="0"/>
            </w:tcBorders>
            <w:vAlign w:val="center"/>
          </w:tcPr>
          <w:p w14:paraId="3B25755E">
            <w:pPr>
              <w:jc w:val="center"/>
              <w:rPr>
                <w:color w:val="auto"/>
              </w:rPr>
            </w:pPr>
          </w:p>
        </w:tc>
      </w:tr>
      <w:tr w14:paraId="29A3B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63" w:type="dxa"/>
            <w:tcBorders>
              <w:left w:val="single" w:color="000000" w:sz="6" w:space="0"/>
            </w:tcBorders>
            <w:vAlign w:val="center"/>
          </w:tcPr>
          <w:p w14:paraId="552E57DE">
            <w:pPr>
              <w:jc w:val="center"/>
              <w:rPr>
                <w:color w:val="auto"/>
              </w:rPr>
            </w:pPr>
          </w:p>
        </w:tc>
        <w:tc>
          <w:tcPr>
            <w:tcW w:w="2784" w:type="dxa"/>
            <w:vAlign w:val="center"/>
          </w:tcPr>
          <w:p w14:paraId="6DEDC0E7">
            <w:pPr>
              <w:jc w:val="center"/>
              <w:rPr>
                <w:color w:val="auto"/>
              </w:rPr>
            </w:pPr>
          </w:p>
        </w:tc>
        <w:tc>
          <w:tcPr>
            <w:tcW w:w="1215" w:type="dxa"/>
            <w:vAlign w:val="center"/>
          </w:tcPr>
          <w:p w14:paraId="550E5547">
            <w:pPr>
              <w:jc w:val="center"/>
              <w:rPr>
                <w:color w:val="auto"/>
              </w:rPr>
            </w:pPr>
          </w:p>
        </w:tc>
        <w:tc>
          <w:tcPr>
            <w:tcW w:w="1696" w:type="dxa"/>
            <w:vAlign w:val="center"/>
          </w:tcPr>
          <w:p w14:paraId="21EA6C45">
            <w:pPr>
              <w:jc w:val="center"/>
              <w:rPr>
                <w:color w:val="auto"/>
              </w:rPr>
            </w:pPr>
          </w:p>
        </w:tc>
        <w:tc>
          <w:tcPr>
            <w:tcW w:w="1950" w:type="dxa"/>
            <w:tcBorders>
              <w:right w:val="single" w:color="000000" w:sz="6" w:space="0"/>
            </w:tcBorders>
            <w:vAlign w:val="center"/>
          </w:tcPr>
          <w:p w14:paraId="394866FD">
            <w:pPr>
              <w:jc w:val="center"/>
              <w:rPr>
                <w:color w:val="auto"/>
              </w:rPr>
            </w:pPr>
          </w:p>
        </w:tc>
      </w:tr>
      <w:tr w14:paraId="58A65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0976A9AC">
            <w:pPr>
              <w:jc w:val="center"/>
              <w:rPr>
                <w:color w:val="auto"/>
              </w:rPr>
            </w:pPr>
          </w:p>
        </w:tc>
        <w:tc>
          <w:tcPr>
            <w:tcW w:w="2784" w:type="dxa"/>
            <w:vAlign w:val="center"/>
          </w:tcPr>
          <w:p w14:paraId="2857DC1D">
            <w:pPr>
              <w:jc w:val="center"/>
              <w:rPr>
                <w:color w:val="auto"/>
              </w:rPr>
            </w:pPr>
          </w:p>
        </w:tc>
        <w:tc>
          <w:tcPr>
            <w:tcW w:w="1215" w:type="dxa"/>
            <w:vAlign w:val="center"/>
          </w:tcPr>
          <w:p w14:paraId="4DA419F4">
            <w:pPr>
              <w:jc w:val="center"/>
              <w:rPr>
                <w:color w:val="auto"/>
              </w:rPr>
            </w:pPr>
          </w:p>
        </w:tc>
        <w:tc>
          <w:tcPr>
            <w:tcW w:w="1696" w:type="dxa"/>
            <w:vAlign w:val="center"/>
          </w:tcPr>
          <w:p w14:paraId="2B84822E">
            <w:pPr>
              <w:jc w:val="center"/>
              <w:rPr>
                <w:color w:val="auto"/>
              </w:rPr>
            </w:pPr>
          </w:p>
        </w:tc>
        <w:tc>
          <w:tcPr>
            <w:tcW w:w="1950" w:type="dxa"/>
            <w:tcBorders>
              <w:right w:val="single" w:color="000000" w:sz="6" w:space="0"/>
            </w:tcBorders>
            <w:vAlign w:val="center"/>
          </w:tcPr>
          <w:p w14:paraId="1582DEB4">
            <w:pPr>
              <w:jc w:val="center"/>
              <w:rPr>
                <w:color w:val="auto"/>
              </w:rPr>
            </w:pPr>
          </w:p>
        </w:tc>
      </w:tr>
      <w:tr w14:paraId="5AFA8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0078184E">
            <w:pPr>
              <w:jc w:val="center"/>
              <w:rPr>
                <w:color w:val="auto"/>
              </w:rPr>
            </w:pPr>
          </w:p>
        </w:tc>
        <w:tc>
          <w:tcPr>
            <w:tcW w:w="2784" w:type="dxa"/>
            <w:vAlign w:val="center"/>
          </w:tcPr>
          <w:p w14:paraId="1A492867">
            <w:pPr>
              <w:jc w:val="center"/>
              <w:rPr>
                <w:color w:val="auto"/>
              </w:rPr>
            </w:pPr>
          </w:p>
        </w:tc>
        <w:tc>
          <w:tcPr>
            <w:tcW w:w="1215" w:type="dxa"/>
            <w:vAlign w:val="center"/>
          </w:tcPr>
          <w:p w14:paraId="039FB683">
            <w:pPr>
              <w:jc w:val="center"/>
              <w:rPr>
                <w:color w:val="auto"/>
              </w:rPr>
            </w:pPr>
          </w:p>
        </w:tc>
        <w:tc>
          <w:tcPr>
            <w:tcW w:w="1696" w:type="dxa"/>
            <w:vAlign w:val="center"/>
          </w:tcPr>
          <w:p w14:paraId="21297C52">
            <w:pPr>
              <w:jc w:val="center"/>
              <w:rPr>
                <w:color w:val="auto"/>
              </w:rPr>
            </w:pPr>
          </w:p>
        </w:tc>
        <w:tc>
          <w:tcPr>
            <w:tcW w:w="1950" w:type="dxa"/>
            <w:tcBorders>
              <w:right w:val="single" w:color="000000" w:sz="6" w:space="0"/>
            </w:tcBorders>
            <w:vAlign w:val="center"/>
          </w:tcPr>
          <w:p w14:paraId="4F9324E0">
            <w:pPr>
              <w:jc w:val="center"/>
              <w:rPr>
                <w:color w:val="auto"/>
              </w:rPr>
            </w:pPr>
          </w:p>
        </w:tc>
      </w:tr>
      <w:tr w14:paraId="371F7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58357403">
            <w:pPr>
              <w:jc w:val="center"/>
              <w:rPr>
                <w:color w:val="auto"/>
              </w:rPr>
            </w:pPr>
          </w:p>
        </w:tc>
        <w:tc>
          <w:tcPr>
            <w:tcW w:w="2784" w:type="dxa"/>
            <w:vAlign w:val="center"/>
          </w:tcPr>
          <w:p w14:paraId="15B06C96">
            <w:pPr>
              <w:jc w:val="center"/>
              <w:rPr>
                <w:color w:val="auto"/>
              </w:rPr>
            </w:pPr>
          </w:p>
        </w:tc>
        <w:tc>
          <w:tcPr>
            <w:tcW w:w="1215" w:type="dxa"/>
            <w:vAlign w:val="center"/>
          </w:tcPr>
          <w:p w14:paraId="2C4273A3">
            <w:pPr>
              <w:jc w:val="center"/>
              <w:rPr>
                <w:color w:val="auto"/>
              </w:rPr>
            </w:pPr>
          </w:p>
        </w:tc>
        <w:tc>
          <w:tcPr>
            <w:tcW w:w="1696" w:type="dxa"/>
            <w:vAlign w:val="center"/>
          </w:tcPr>
          <w:p w14:paraId="0C5AF016">
            <w:pPr>
              <w:jc w:val="center"/>
              <w:rPr>
                <w:color w:val="auto"/>
              </w:rPr>
            </w:pPr>
          </w:p>
        </w:tc>
        <w:tc>
          <w:tcPr>
            <w:tcW w:w="1950" w:type="dxa"/>
            <w:tcBorders>
              <w:right w:val="single" w:color="000000" w:sz="6" w:space="0"/>
            </w:tcBorders>
            <w:vAlign w:val="center"/>
          </w:tcPr>
          <w:p w14:paraId="17B9347E">
            <w:pPr>
              <w:jc w:val="center"/>
              <w:rPr>
                <w:color w:val="auto"/>
              </w:rPr>
            </w:pPr>
          </w:p>
        </w:tc>
      </w:tr>
      <w:tr w14:paraId="0AE15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4D3C20C4">
            <w:pPr>
              <w:jc w:val="center"/>
              <w:rPr>
                <w:color w:val="auto"/>
              </w:rPr>
            </w:pPr>
          </w:p>
        </w:tc>
        <w:tc>
          <w:tcPr>
            <w:tcW w:w="2784" w:type="dxa"/>
            <w:vAlign w:val="center"/>
          </w:tcPr>
          <w:p w14:paraId="16C1E688">
            <w:pPr>
              <w:jc w:val="center"/>
              <w:rPr>
                <w:color w:val="auto"/>
              </w:rPr>
            </w:pPr>
          </w:p>
        </w:tc>
        <w:tc>
          <w:tcPr>
            <w:tcW w:w="1215" w:type="dxa"/>
            <w:vAlign w:val="center"/>
          </w:tcPr>
          <w:p w14:paraId="27B5B564">
            <w:pPr>
              <w:jc w:val="center"/>
              <w:rPr>
                <w:color w:val="auto"/>
              </w:rPr>
            </w:pPr>
          </w:p>
        </w:tc>
        <w:tc>
          <w:tcPr>
            <w:tcW w:w="1696" w:type="dxa"/>
            <w:vAlign w:val="center"/>
          </w:tcPr>
          <w:p w14:paraId="00FC89D6">
            <w:pPr>
              <w:jc w:val="center"/>
              <w:rPr>
                <w:color w:val="auto"/>
              </w:rPr>
            </w:pPr>
          </w:p>
        </w:tc>
        <w:tc>
          <w:tcPr>
            <w:tcW w:w="1950" w:type="dxa"/>
            <w:tcBorders>
              <w:right w:val="single" w:color="000000" w:sz="6" w:space="0"/>
            </w:tcBorders>
            <w:vAlign w:val="center"/>
          </w:tcPr>
          <w:p w14:paraId="7340754F">
            <w:pPr>
              <w:jc w:val="center"/>
              <w:rPr>
                <w:color w:val="auto"/>
              </w:rPr>
            </w:pPr>
          </w:p>
        </w:tc>
      </w:tr>
      <w:tr w14:paraId="1328D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02970EF7">
            <w:pPr>
              <w:jc w:val="center"/>
              <w:rPr>
                <w:color w:val="auto"/>
              </w:rPr>
            </w:pPr>
          </w:p>
        </w:tc>
        <w:tc>
          <w:tcPr>
            <w:tcW w:w="2784" w:type="dxa"/>
            <w:vAlign w:val="center"/>
          </w:tcPr>
          <w:p w14:paraId="7825D213">
            <w:pPr>
              <w:jc w:val="center"/>
              <w:rPr>
                <w:color w:val="auto"/>
              </w:rPr>
            </w:pPr>
          </w:p>
        </w:tc>
        <w:tc>
          <w:tcPr>
            <w:tcW w:w="1215" w:type="dxa"/>
            <w:vAlign w:val="center"/>
          </w:tcPr>
          <w:p w14:paraId="5DF91385">
            <w:pPr>
              <w:jc w:val="center"/>
              <w:rPr>
                <w:color w:val="auto"/>
              </w:rPr>
            </w:pPr>
          </w:p>
        </w:tc>
        <w:tc>
          <w:tcPr>
            <w:tcW w:w="1696" w:type="dxa"/>
            <w:vAlign w:val="center"/>
          </w:tcPr>
          <w:p w14:paraId="376EC662">
            <w:pPr>
              <w:jc w:val="center"/>
              <w:rPr>
                <w:color w:val="auto"/>
              </w:rPr>
            </w:pPr>
          </w:p>
        </w:tc>
        <w:tc>
          <w:tcPr>
            <w:tcW w:w="1950" w:type="dxa"/>
            <w:tcBorders>
              <w:right w:val="single" w:color="000000" w:sz="6" w:space="0"/>
            </w:tcBorders>
            <w:vAlign w:val="center"/>
          </w:tcPr>
          <w:p w14:paraId="2FBD7B1D">
            <w:pPr>
              <w:jc w:val="center"/>
              <w:rPr>
                <w:color w:val="auto"/>
              </w:rPr>
            </w:pPr>
          </w:p>
        </w:tc>
      </w:tr>
      <w:tr w14:paraId="6BD6F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208F063E">
            <w:pPr>
              <w:jc w:val="center"/>
              <w:rPr>
                <w:color w:val="auto"/>
              </w:rPr>
            </w:pPr>
          </w:p>
        </w:tc>
        <w:tc>
          <w:tcPr>
            <w:tcW w:w="2784" w:type="dxa"/>
            <w:vAlign w:val="center"/>
          </w:tcPr>
          <w:p w14:paraId="29EF32BF">
            <w:pPr>
              <w:jc w:val="center"/>
              <w:rPr>
                <w:color w:val="auto"/>
              </w:rPr>
            </w:pPr>
          </w:p>
        </w:tc>
        <w:tc>
          <w:tcPr>
            <w:tcW w:w="1215" w:type="dxa"/>
            <w:vAlign w:val="center"/>
          </w:tcPr>
          <w:p w14:paraId="587A8208">
            <w:pPr>
              <w:jc w:val="center"/>
              <w:rPr>
                <w:color w:val="auto"/>
              </w:rPr>
            </w:pPr>
          </w:p>
        </w:tc>
        <w:tc>
          <w:tcPr>
            <w:tcW w:w="1696" w:type="dxa"/>
            <w:vAlign w:val="center"/>
          </w:tcPr>
          <w:p w14:paraId="6EDB5308">
            <w:pPr>
              <w:jc w:val="center"/>
              <w:rPr>
                <w:color w:val="auto"/>
              </w:rPr>
            </w:pPr>
          </w:p>
        </w:tc>
        <w:tc>
          <w:tcPr>
            <w:tcW w:w="1950" w:type="dxa"/>
            <w:tcBorders>
              <w:right w:val="single" w:color="000000" w:sz="6" w:space="0"/>
            </w:tcBorders>
            <w:vAlign w:val="center"/>
          </w:tcPr>
          <w:p w14:paraId="6F0D49D9">
            <w:pPr>
              <w:jc w:val="center"/>
              <w:rPr>
                <w:color w:val="auto"/>
              </w:rPr>
            </w:pPr>
          </w:p>
        </w:tc>
      </w:tr>
      <w:tr w14:paraId="43C11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3010F667">
            <w:pPr>
              <w:jc w:val="center"/>
              <w:rPr>
                <w:color w:val="auto"/>
              </w:rPr>
            </w:pPr>
          </w:p>
        </w:tc>
        <w:tc>
          <w:tcPr>
            <w:tcW w:w="2784" w:type="dxa"/>
            <w:vAlign w:val="center"/>
          </w:tcPr>
          <w:p w14:paraId="15C995E0">
            <w:pPr>
              <w:jc w:val="center"/>
              <w:rPr>
                <w:color w:val="auto"/>
              </w:rPr>
            </w:pPr>
          </w:p>
        </w:tc>
        <w:tc>
          <w:tcPr>
            <w:tcW w:w="1215" w:type="dxa"/>
            <w:vAlign w:val="center"/>
          </w:tcPr>
          <w:p w14:paraId="71877EA6">
            <w:pPr>
              <w:jc w:val="center"/>
              <w:rPr>
                <w:color w:val="auto"/>
              </w:rPr>
            </w:pPr>
          </w:p>
        </w:tc>
        <w:tc>
          <w:tcPr>
            <w:tcW w:w="1696" w:type="dxa"/>
            <w:vAlign w:val="center"/>
          </w:tcPr>
          <w:p w14:paraId="7612A30F">
            <w:pPr>
              <w:jc w:val="center"/>
              <w:rPr>
                <w:color w:val="auto"/>
              </w:rPr>
            </w:pPr>
          </w:p>
        </w:tc>
        <w:tc>
          <w:tcPr>
            <w:tcW w:w="1950" w:type="dxa"/>
            <w:tcBorders>
              <w:right w:val="single" w:color="000000" w:sz="6" w:space="0"/>
            </w:tcBorders>
            <w:vAlign w:val="center"/>
          </w:tcPr>
          <w:p w14:paraId="440660EC">
            <w:pPr>
              <w:jc w:val="center"/>
              <w:rPr>
                <w:color w:val="auto"/>
              </w:rPr>
            </w:pPr>
          </w:p>
        </w:tc>
      </w:tr>
      <w:tr w14:paraId="72E84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6258EC92">
            <w:pPr>
              <w:jc w:val="center"/>
              <w:rPr>
                <w:color w:val="auto"/>
              </w:rPr>
            </w:pPr>
          </w:p>
        </w:tc>
        <w:tc>
          <w:tcPr>
            <w:tcW w:w="2784" w:type="dxa"/>
            <w:vAlign w:val="center"/>
          </w:tcPr>
          <w:p w14:paraId="087893F4">
            <w:pPr>
              <w:jc w:val="center"/>
              <w:rPr>
                <w:color w:val="auto"/>
              </w:rPr>
            </w:pPr>
          </w:p>
        </w:tc>
        <w:tc>
          <w:tcPr>
            <w:tcW w:w="1215" w:type="dxa"/>
            <w:vAlign w:val="center"/>
          </w:tcPr>
          <w:p w14:paraId="14D0B53C">
            <w:pPr>
              <w:jc w:val="center"/>
              <w:rPr>
                <w:color w:val="auto"/>
              </w:rPr>
            </w:pPr>
          </w:p>
        </w:tc>
        <w:tc>
          <w:tcPr>
            <w:tcW w:w="1696" w:type="dxa"/>
            <w:vAlign w:val="center"/>
          </w:tcPr>
          <w:p w14:paraId="25C57E1D">
            <w:pPr>
              <w:jc w:val="center"/>
              <w:rPr>
                <w:color w:val="auto"/>
              </w:rPr>
            </w:pPr>
          </w:p>
        </w:tc>
        <w:tc>
          <w:tcPr>
            <w:tcW w:w="1950" w:type="dxa"/>
            <w:tcBorders>
              <w:right w:val="single" w:color="000000" w:sz="6" w:space="0"/>
            </w:tcBorders>
            <w:vAlign w:val="center"/>
          </w:tcPr>
          <w:p w14:paraId="2483E4AC">
            <w:pPr>
              <w:jc w:val="center"/>
              <w:rPr>
                <w:color w:val="auto"/>
              </w:rPr>
            </w:pPr>
          </w:p>
        </w:tc>
      </w:tr>
      <w:tr w14:paraId="6F1FE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551AA701">
            <w:pPr>
              <w:jc w:val="center"/>
              <w:rPr>
                <w:color w:val="auto"/>
              </w:rPr>
            </w:pPr>
          </w:p>
        </w:tc>
        <w:tc>
          <w:tcPr>
            <w:tcW w:w="2784" w:type="dxa"/>
            <w:vAlign w:val="center"/>
          </w:tcPr>
          <w:p w14:paraId="7A85B04B">
            <w:pPr>
              <w:jc w:val="center"/>
              <w:rPr>
                <w:color w:val="auto"/>
              </w:rPr>
            </w:pPr>
          </w:p>
        </w:tc>
        <w:tc>
          <w:tcPr>
            <w:tcW w:w="1215" w:type="dxa"/>
            <w:vAlign w:val="center"/>
          </w:tcPr>
          <w:p w14:paraId="75C932C4">
            <w:pPr>
              <w:jc w:val="center"/>
              <w:rPr>
                <w:color w:val="auto"/>
              </w:rPr>
            </w:pPr>
          </w:p>
        </w:tc>
        <w:tc>
          <w:tcPr>
            <w:tcW w:w="1696" w:type="dxa"/>
            <w:vAlign w:val="center"/>
          </w:tcPr>
          <w:p w14:paraId="42AD7D6B">
            <w:pPr>
              <w:jc w:val="center"/>
              <w:rPr>
                <w:color w:val="auto"/>
              </w:rPr>
            </w:pPr>
          </w:p>
        </w:tc>
        <w:tc>
          <w:tcPr>
            <w:tcW w:w="1950" w:type="dxa"/>
            <w:tcBorders>
              <w:right w:val="single" w:color="000000" w:sz="6" w:space="0"/>
            </w:tcBorders>
            <w:vAlign w:val="center"/>
          </w:tcPr>
          <w:p w14:paraId="14B14139">
            <w:pPr>
              <w:jc w:val="center"/>
              <w:rPr>
                <w:color w:val="auto"/>
              </w:rPr>
            </w:pPr>
          </w:p>
        </w:tc>
      </w:tr>
      <w:tr w14:paraId="3DE6D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36367415">
            <w:pPr>
              <w:jc w:val="center"/>
              <w:rPr>
                <w:color w:val="auto"/>
              </w:rPr>
            </w:pPr>
          </w:p>
        </w:tc>
        <w:tc>
          <w:tcPr>
            <w:tcW w:w="2784" w:type="dxa"/>
            <w:vAlign w:val="center"/>
          </w:tcPr>
          <w:p w14:paraId="621009D7">
            <w:pPr>
              <w:jc w:val="center"/>
              <w:rPr>
                <w:color w:val="auto"/>
              </w:rPr>
            </w:pPr>
          </w:p>
        </w:tc>
        <w:tc>
          <w:tcPr>
            <w:tcW w:w="1215" w:type="dxa"/>
            <w:vAlign w:val="center"/>
          </w:tcPr>
          <w:p w14:paraId="1C56707F">
            <w:pPr>
              <w:jc w:val="center"/>
              <w:rPr>
                <w:color w:val="auto"/>
              </w:rPr>
            </w:pPr>
          </w:p>
        </w:tc>
        <w:tc>
          <w:tcPr>
            <w:tcW w:w="1696" w:type="dxa"/>
            <w:vAlign w:val="center"/>
          </w:tcPr>
          <w:p w14:paraId="3B26877D">
            <w:pPr>
              <w:jc w:val="center"/>
              <w:rPr>
                <w:color w:val="auto"/>
              </w:rPr>
            </w:pPr>
          </w:p>
        </w:tc>
        <w:tc>
          <w:tcPr>
            <w:tcW w:w="1950" w:type="dxa"/>
            <w:tcBorders>
              <w:right w:val="single" w:color="000000" w:sz="6" w:space="0"/>
            </w:tcBorders>
            <w:vAlign w:val="center"/>
          </w:tcPr>
          <w:p w14:paraId="50288799">
            <w:pPr>
              <w:jc w:val="center"/>
              <w:rPr>
                <w:color w:val="auto"/>
              </w:rPr>
            </w:pPr>
          </w:p>
        </w:tc>
      </w:tr>
      <w:tr w14:paraId="3C20A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5B4B8918">
            <w:pPr>
              <w:jc w:val="center"/>
              <w:rPr>
                <w:color w:val="auto"/>
              </w:rPr>
            </w:pPr>
          </w:p>
        </w:tc>
        <w:tc>
          <w:tcPr>
            <w:tcW w:w="2784" w:type="dxa"/>
            <w:vAlign w:val="center"/>
          </w:tcPr>
          <w:p w14:paraId="7BD74A23">
            <w:pPr>
              <w:jc w:val="center"/>
              <w:rPr>
                <w:color w:val="auto"/>
              </w:rPr>
            </w:pPr>
          </w:p>
        </w:tc>
        <w:tc>
          <w:tcPr>
            <w:tcW w:w="1215" w:type="dxa"/>
            <w:vAlign w:val="center"/>
          </w:tcPr>
          <w:p w14:paraId="0D441A8D">
            <w:pPr>
              <w:jc w:val="center"/>
              <w:rPr>
                <w:color w:val="auto"/>
              </w:rPr>
            </w:pPr>
          </w:p>
        </w:tc>
        <w:tc>
          <w:tcPr>
            <w:tcW w:w="1696" w:type="dxa"/>
            <w:vAlign w:val="center"/>
          </w:tcPr>
          <w:p w14:paraId="08BB5430">
            <w:pPr>
              <w:jc w:val="center"/>
              <w:rPr>
                <w:color w:val="auto"/>
              </w:rPr>
            </w:pPr>
          </w:p>
        </w:tc>
        <w:tc>
          <w:tcPr>
            <w:tcW w:w="1950" w:type="dxa"/>
            <w:tcBorders>
              <w:right w:val="single" w:color="000000" w:sz="6" w:space="0"/>
            </w:tcBorders>
            <w:vAlign w:val="center"/>
          </w:tcPr>
          <w:p w14:paraId="15997B6C">
            <w:pPr>
              <w:jc w:val="center"/>
              <w:rPr>
                <w:color w:val="auto"/>
              </w:rPr>
            </w:pPr>
          </w:p>
        </w:tc>
      </w:tr>
      <w:tr w14:paraId="5205D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63" w:type="dxa"/>
            <w:tcBorders>
              <w:left w:val="single" w:color="000000" w:sz="6" w:space="0"/>
            </w:tcBorders>
            <w:vAlign w:val="center"/>
          </w:tcPr>
          <w:p w14:paraId="4C42D998">
            <w:pPr>
              <w:jc w:val="center"/>
              <w:rPr>
                <w:color w:val="auto"/>
              </w:rPr>
            </w:pPr>
          </w:p>
        </w:tc>
        <w:tc>
          <w:tcPr>
            <w:tcW w:w="2784" w:type="dxa"/>
            <w:vAlign w:val="center"/>
          </w:tcPr>
          <w:p w14:paraId="3BA27A41">
            <w:pPr>
              <w:jc w:val="center"/>
              <w:rPr>
                <w:color w:val="auto"/>
              </w:rPr>
            </w:pPr>
          </w:p>
        </w:tc>
        <w:tc>
          <w:tcPr>
            <w:tcW w:w="1215" w:type="dxa"/>
            <w:vAlign w:val="center"/>
          </w:tcPr>
          <w:p w14:paraId="6338E7E1">
            <w:pPr>
              <w:jc w:val="center"/>
              <w:rPr>
                <w:color w:val="auto"/>
              </w:rPr>
            </w:pPr>
          </w:p>
        </w:tc>
        <w:tc>
          <w:tcPr>
            <w:tcW w:w="1696" w:type="dxa"/>
            <w:vAlign w:val="center"/>
          </w:tcPr>
          <w:p w14:paraId="19247B88">
            <w:pPr>
              <w:jc w:val="center"/>
              <w:rPr>
                <w:color w:val="auto"/>
              </w:rPr>
            </w:pPr>
          </w:p>
        </w:tc>
        <w:tc>
          <w:tcPr>
            <w:tcW w:w="1950" w:type="dxa"/>
            <w:tcBorders>
              <w:right w:val="single" w:color="000000" w:sz="6" w:space="0"/>
            </w:tcBorders>
            <w:vAlign w:val="center"/>
          </w:tcPr>
          <w:p w14:paraId="27A3CD40">
            <w:pPr>
              <w:jc w:val="center"/>
              <w:rPr>
                <w:color w:val="auto"/>
              </w:rPr>
            </w:pPr>
          </w:p>
        </w:tc>
      </w:tr>
      <w:tr w14:paraId="6D796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4506E7A7">
            <w:pPr>
              <w:jc w:val="center"/>
              <w:rPr>
                <w:color w:val="auto"/>
              </w:rPr>
            </w:pPr>
          </w:p>
        </w:tc>
        <w:tc>
          <w:tcPr>
            <w:tcW w:w="2784" w:type="dxa"/>
            <w:vAlign w:val="center"/>
          </w:tcPr>
          <w:p w14:paraId="34F1C85C">
            <w:pPr>
              <w:jc w:val="center"/>
              <w:rPr>
                <w:color w:val="auto"/>
              </w:rPr>
            </w:pPr>
          </w:p>
        </w:tc>
        <w:tc>
          <w:tcPr>
            <w:tcW w:w="1215" w:type="dxa"/>
            <w:vAlign w:val="center"/>
          </w:tcPr>
          <w:p w14:paraId="3AA05155">
            <w:pPr>
              <w:jc w:val="center"/>
              <w:rPr>
                <w:color w:val="auto"/>
              </w:rPr>
            </w:pPr>
          </w:p>
        </w:tc>
        <w:tc>
          <w:tcPr>
            <w:tcW w:w="1696" w:type="dxa"/>
            <w:vAlign w:val="center"/>
          </w:tcPr>
          <w:p w14:paraId="335CF08A">
            <w:pPr>
              <w:jc w:val="center"/>
              <w:rPr>
                <w:color w:val="auto"/>
              </w:rPr>
            </w:pPr>
          </w:p>
        </w:tc>
        <w:tc>
          <w:tcPr>
            <w:tcW w:w="1950" w:type="dxa"/>
            <w:tcBorders>
              <w:right w:val="single" w:color="000000" w:sz="6" w:space="0"/>
            </w:tcBorders>
            <w:vAlign w:val="center"/>
          </w:tcPr>
          <w:p w14:paraId="0F849CA0">
            <w:pPr>
              <w:jc w:val="center"/>
              <w:rPr>
                <w:color w:val="auto"/>
              </w:rPr>
            </w:pPr>
          </w:p>
        </w:tc>
      </w:tr>
      <w:tr w14:paraId="494C6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363" w:type="dxa"/>
            <w:tcBorders>
              <w:left w:val="single" w:color="000000" w:sz="6" w:space="0"/>
              <w:bottom w:val="single" w:color="000000" w:sz="6" w:space="0"/>
            </w:tcBorders>
            <w:vAlign w:val="center"/>
          </w:tcPr>
          <w:p w14:paraId="663DDA49">
            <w:pPr>
              <w:jc w:val="center"/>
              <w:rPr>
                <w:color w:val="auto"/>
              </w:rPr>
            </w:pPr>
          </w:p>
        </w:tc>
        <w:tc>
          <w:tcPr>
            <w:tcW w:w="2784" w:type="dxa"/>
            <w:tcBorders>
              <w:bottom w:val="single" w:color="000000" w:sz="6" w:space="0"/>
            </w:tcBorders>
            <w:vAlign w:val="center"/>
          </w:tcPr>
          <w:p w14:paraId="6DEC0174">
            <w:pPr>
              <w:pStyle w:val="21"/>
              <w:jc w:val="center"/>
              <w:rPr>
                <w:rFonts w:hint="eastAsia"/>
                <w:color w:val="auto"/>
                <w:sz w:val="21"/>
                <w:szCs w:val="21"/>
              </w:rPr>
            </w:pPr>
            <w:r>
              <w:rPr>
                <w:b/>
                <w:bCs/>
                <w:color w:val="auto"/>
                <w:sz w:val="21"/>
                <w:szCs w:val="21"/>
              </w:rPr>
              <w:t>合</w:t>
            </w:r>
            <w:r>
              <w:rPr>
                <w:rFonts w:hint="eastAsia"/>
                <w:color w:val="auto"/>
                <w:sz w:val="21"/>
                <w:szCs w:val="21"/>
                <w:lang w:eastAsia="zh-CN"/>
              </w:rPr>
              <w:t>　</w:t>
            </w:r>
            <w:r>
              <w:rPr>
                <w:b/>
                <w:bCs/>
                <w:color w:val="auto"/>
                <w:sz w:val="21"/>
                <w:szCs w:val="21"/>
              </w:rPr>
              <w:t>计</w:t>
            </w:r>
          </w:p>
        </w:tc>
        <w:tc>
          <w:tcPr>
            <w:tcW w:w="1215" w:type="dxa"/>
            <w:tcBorders>
              <w:bottom w:val="single" w:color="000000" w:sz="6" w:space="0"/>
            </w:tcBorders>
            <w:vAlign w:val="center"/>
          </w:tcPr>
          <w:p w14:paraId="12009E4D">
            <w:pPr>
              <w:jc w:val="center"/>
              <w:rPr>
                <w:color w:val="auto"/>
              </w:rPr>
            </w:pPr>
          </w:p>
        </w:tc>
        <w:tc>
          <w:tcPr>
            <w:tcW w:w="1696" w:type="dxa"/>
            <w:tcBorders>
              <w:bottom w:val="single" w:color="000000" w:sz="6" w:space="0"/>
            </w:tcBorders>
            <w:vAlign w:val="center"/>
          </w:tcPr>
          <w:p w14:paraId="3CC5BDD3">
            <w:pPr>
              <w:jc w:val="center"/>
              <w:rPr>
                <w:color w:val="auto"/>
              </w:rPr>
            </w:pPr>
          </w:p>
        </w:tc>
        <w:tc>
          <w:tcPr>
            <w:tcW w:w="1950" w:type="dxa"/>
            <w:tcBorders>
              <w:bottom w:val="single" w:color="000000" w:sz="6" w:space="0"/>
              <w:right w:val="single" w:color="000000" w:sz="6" w:space="0"/>
            </w:tcBorders>
            <w:vAlign w:val="center"/>
          </w:tcPr>
          <w:p w14:paraId="091016EE">
            <w:pPr>
              <w:jc w:val="center"/>
              <w:rPr>
                <w:color w:val="auto"/>
              </w:rPr>
            </w:pPr>
          </w:p>
        </w:tc>
      </w:tr>
    </w:tbl>
    <w:p w14:paraId="12728C39">
      <w:pPr>
        <w:pStyle w:val="8"/>
        <w:rPr>
          <w:color w:val="auto"/>
        </w:rPr>
      </w:pPr>
    </w:p>
    <w:p w14:paraId="4F7A2678">
      <w:pPr>
        <w:rPr>
          <w:color w:val="auto"/>
        </w:rPr>
      </w:pPr>
      <w:r>
        <w:rPr>
          <w:color w:val="auto"/>
        </w:rPr>
        <w:br w:type="page"/>
      </w:r>
    </w:p>
    <w:p w14:paraId="1C22B98A">
      <w:pPr>
        <w:widowControl w:val="0"/>
        <w:kinsoku/>
        <w:wordWrap w:val="0"/>
        <w:topLinePunct/>
        <w:autoSpaceDE/>
        <w:autoSpaceDN/>
        <w:spacing w:line="360" w:lineRule="auto"/>
        <w:jc w:val="center"/>
        <w:rPr>
          <w:rFonts w:hint="eastAsia" w:ascii="宋体" w:hAnsi="宋体" w:eastAsia="宋体" w:cs="宋体"/>
          <w:b/>
          <w:bCs/>
          <w:color w:val="auto"/>
          <w:sz w:val="28"/>
          <w:szCs w:val="28"/>
        </w:rPr>
      </w:pPr>
      <w:r>
        <w:rPr>
          <w:rFonts w:ascii="宋体" w:hAnsi="宋体" w:eastAsia="宋体" w:cs="宋体"/>
          <w:b/>
          <w:bCs/>
          <w:color w:val="auto"/>
          <w:sz w:val="28"/>
          <w:szCs w:val="28"/>
        </w:rPr>
        <w:t>零星工作项目清单</w:t>
      </w:r>
    </w:p>
    <w:p w14:paraId="7B34A4D7">
      <w:pPr>
        <w:spacing w:line="360" w:lineRule="auto"/>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tbl>
      <w:tblPr>
        <w:tblStyle w:val="20"/>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4"/>
        <w:gridCol w:w="2125"/>
        <w:gridCol w:w="2128"/>
        <w:gridCol w:w="1327"/>
        <w:gridCol w:w="1596"/>
        <w:gridCol w:w="1009"/>
      </w:tblGrid>
      <w:tr w14:paraId="2F5D0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824" w:type="dxa"/>
            <w:tcBorders>
              <w:top w:val="single" w:color="000000" w:sz="6" w:space="0"/>
              <w:left w:val="single" w:color="000000" w:sz="6" w:space="0"/>
            </w:tcBorders>
            <w:vAlign w:val="center"/>
          </w:tcPr>
          <w:p w14:paraId="2DA4D7C6">
            <w:pPr>
              <w:pStyle w:val="21"/>
              <w:widowControl w:val="0"/>
              <w:kinsoku/>
              <w:wordWrap w:val="0"/>
              <w:topLinePunct/>
              <w:autoSpaceDE/>
              <w:autoSpaceDN/>
              <w:jc w:val="center"/>
              <w:rPr>
                <w:rFonts w:hint="eastAsia"/>
                <w:color w:val="auto"/>
                <w:sz w:val="21"/>
                <w:szCs w:val="21"/>
              </w:rPr>
            </w:pPr>
            <w:r>
              <w:rPr>
                <w:color w:val="auto"/>
                <w:sz w:val="21"/>
                <w:szCs w:val="21"/>
              </w:rPr>
              <w:t>序号</w:t>
            </w:r>
          </w:p>
        </w:tc>
        <w:tc>
          <w:tcPr>
            <w:tcW w:w="2125" w:type="dxa"/>
            <w:tcBorders>
              <w:top w:val="single" w:color="000000" w:sz="6" w:space="0"/>
            </w:tcBorders>
            <w:vAlign w:val="center"/>
          </w:tcPr>
          <w:p w14:paraId="27F69096">
            <w:pPr>
              <w:pStyle w:val="21"/>
              <w:widowControl w:val="0"/>
              <w:kinsoku/>
              <w:wordWrap w:val="0"/>
              <w:topLinePunct/>
              <w:autoSpaceDE/>
              <w:autoSpaceDN/>
              <w:jc w:val="center"/>
              <w:rPr>
                <w:rFonts w:hint="eastAsia"/>
                <w:color w:val="auto"/>
                <w:sz w:val="21"/>
                <w:szCs w:val="21"/>
              </w:rPr>
            </w:pPr>
            <w:r>
              <w:rPr>
                <w:color w:val="auto"/>
                <w:sz w:val="21"/>
                <w:szCs w:val="21"/>
              </w:rPr>
              <w:t>名称</w:t>
            </w:r>
          </w:p>
        </w:tc>
        <w:tc>
          <w:tcPr>
            <w:tcW w:w="2128" w:type="dxa"/>
            <w:tcBorders>
              <w:top w:val="single" w:color="000000" w:sz="6" w:space="0"/>
            </w:tcBorders>
            <w:vAlign w:val="center"/>
          </w:tcPr>
          <w:p w14:paraId="3915932C">
            <w:pPr>
              <w:pStyle w:val="21"/>
              <w:widowControl w:val="0"/>
              <w:kinsoku/>
              <w:wordWrap w:val="0"/>
              <w:topLinePunct/>
              <w:autoSpaceDE/>
              <w:autoSpaceDN/>
              <w:jc w:val="center"/>
              <w:rPr>
                <w:rFonts w:hint="eastAsia"/>
                <w:color w:val="auto"/>
                <w:sz w:val="21"/>
                <w:szCs w:val="21"/>
              </w:rPr>
            </w:pPr>
            <w:r>
              <w:rPr>
                <w:color w:val="auto"/>
                <w:sz w:val="21"/>
                <w:szCs w:val="21"/>
              </w:rPr>
              <w:t>型号规格</w:t>
            </w:r>
          </w:p>
        </w:tc>
        <w:tc>
          <w:tcPr>
            <w:tcW w:w="1327" w:type="dxa"/>
            <w:tcBorders>
              <w:top w:val="single" w:color="000000" w:sz="6" w:space="0"/>
            </w:tcBorders>
            <w:vAlign w:val="center"/>
          </w:tcPr>
          <w:p w14:paraId="0BBBE02B">
            <w:pPr>
              <w:pStyle w:val="21"/>
              <w:widowControl w:val="0"/>
              <w:kinsoku/>
              <w:wordWrap w:val="0"/>
              <w:topLinePunct/>
              <w:autoSpaceDE/>
              <w:autoSpaceDN/>
              <w:jc w:val="center"/>
              <w:rPr>
                <w:rFonts w:hint="eastAsia"/>
                <w:color w:val="auto"/>
                <w:sz w:val="21"/>
                <w:szCs w:val="21"/>
              </w:rPr>
            </w:pPr>
            <w:r>
              <w:rPr>
                <w:color w:val="auto"/>
                <w:sz w:val="21"/>
                <w:szCs w:val="21"/>
              </w:rPr>
              <w:t>计量单位</w:t>
            </w:r>
          </w:p>
        </w:tc>
        <w:tc>
          <w:tcPr>
            <w:tcW w:w="1596" w:type="dxa"/>
            <w:tcBorders>
              <w:top w:val="single" w:color="000000" w:sz="6" w:space="0"/>
            </w:tcBorders>
            <w:vAlign w:val="center"/>
          </w:tcPr>
          <w:p w14:paraId="41939BA7">
            <w:pPr>
              <w:pStyle w:val="21"/>
              <w:widowControl w:val="0"/>
              <w:kinsoku/>
              <w:wordWrap w:val="0"/>
              <w:topLinePunct/>
              <w:autoSpaceDE/>
              <w:autoSpaceDN/>
              <w:jc w:val="center"/>
              <w:rPr>
                <w:rFonts w:hint="eastAsia"/>
                <w:color w:val="auto"/>
                <w:sz w:val="21"/>
                <w:szCs w:val="21"/>
              </w:rPr>
            </w:pPr>
            <w:r>
              <w:rPr>
                <w:color w:val="auto"/>
                <w:sz w:val="21"/>
                <w:szCs w:val="21"/>
              </w:rPr>
              <w:t>单价（元）</w:t>
            </w:r>
          </w:p>
        </w:tc>
        <w:tc>
          <w:tcPr>
            <w:tcW w:w="1009" w:type="dxa"/>
            <w:tcBorders>
              <w:top w:val="single" w:color="000000" w:sz="6" w:space="0"/>
              <w:right w:val="single" w:color="000000" w:sz="6" w:space="0"/>
            </w:tcBorders>
            <w:vAlign w:val="center"/>
          </w:tcPr>
          <w:p w14:paraId="56C71AD3">
            <w:pPr>
              <w:pStyle w:val="21"/>
              <w:widowControl w:val="0"/>
              <w:kinsoku/>
              <w:wordWrap w:val="0"/>
              <w:topLinePunct/>
              <w:autoSpaceDE/>
              <w:autoSpaceDN/>
              <w:jc w:val="center"/>
              <w:rPr>
                <w:rFonts w:hint="eastAsia"/>
                <w:color w:val="auto"/>
                <w:sz w:val="21"/>
                <w:szCs w:val="21"/>
              </w:rPr>
            </w:pPr>
            <w:r>
              <w:rPr>
                <w:color w:val="auto"/>
                <w:sz w:val="21"/>
                <w:szCs w:val="21"/>
              </w:rPr>
              <w:t>备注</w:t>
            </w:r>
          </w:p>
        </w:tc>
      </w:tr>
      <w:tr w14:paraId="0F6F9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center"/>
          </w:tcPr>
          <w:p w14:paraId="1E5FAA20">
            <w:pPr>
              <w:widowControl w:val="0"/>
              <w:kinsoku/>
              <w:wordWrap w:val="0"/>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1</w:t>
            </w:r>
          </w:p>
        </w:tc>
        <w:tc>
          <w:tcPr>
            <w:tcW w:w="2125" w:type="dxa"/>
            <w:vAlign w:val="center"/>
          </w:tcPr>
          <w:p w14:paraId="570E412D">
            <w:pPr>
              <w:pStyle w:val="21"/>
              <w:widowControl w:val="0"/>
              <w:kinsoku/>
              <w:wordWrap w:val="0"/>
              <w:topLinePunct/>
              <w:autoSpaceDE/>
              <w:autoSpaceDN/>
              <w:jc w:val="center"/>
              <w:rPr>
                <w:rFonts w:hint="eastAsia"/>
                <w:color w:val="auto"/>
                <w:sz w:val="21"/>
                <w:szCs w:val="21"/>
              </w:rPr>
            </w:pPr>
            <w:r>
              <w:rPr>
                <w:color w:val="auto"/>
                <w:sz w:val="21"/>
                <w:szCs w:val="21"/>
              </w:rPr>
              <w:t>人工</w:t>
            </w:r>
          </w:p>
        </w:tc>
        <w:tc>
          <w:tcPr>
            <w:tcW w:w="2128" w:type="dxa"/>
            <w:vAlign w:val="center"/>
          </w:tcPr>
          <w:p w14:paraId="58E733FD">
            <w:pPr>
              <w:widowControl w:val="0"/>
              <w:kinsoku/>
              <w:wordWrap w:val="0"/>
              <w:topLinePunct/>
              <w:autoSpaceDE/>
              <w:autoSpaceDN/>
              <w:jc w:val="center"/>
              <w:rPr>
                <w:color w:val="auto"/>
              </w:rPr>
            </w:pPr>
          </w:p>
        </w:tc>
        <w:tc>
          <w:tcPr>
            <w:tcW w:w="1327" w:type="dxa"/>
            <w:vAlign w:val="center"/>
          </w:tcPr>
          <w:p w14:paraId="38C2462E">
            <w:pPr>
              <w:widowControl w:val="0"/>
              <w:kinsoku/>
              <w:wordWrap w:val="0"/>
              <w:topLinePunct/>
              <w:autoSpaceDE/>
              <w:autoSpaceDN/>
              <w:jc w:val="center"/>
              <w:rPr>
                <w:color w:val="auto"/>
              </w:rPr>
            </w:pPr>
          </w:p>
        </w:tc>
        <w:tc>
          <w:tcPr>
            <w:tcW w:w="1596" w:type="dxa"/>
            <w:vAlign w:val="center"/>
          </w:tcPr>
          <w:p w14:paraId="100B2150">
            <w:pPr>
              <w:widowControl w:val="0"/>
              <w:kinsoku/>
              <w:wordWrap w:val="0"/>
              <w:topLinePunct/>
              <w:autoSpaceDE/>
              <w:autoSpaceDN/>
              <w:jc w:val="center"/>
              <w:rPr>
                <w:color w:val="auto"/>
              </w:rPr>
            </w:pPr>
          </w:p>
        </w:tc>
        <w:tc>
          <w:tcPr>
            <w:tcW w:w="1009" w:type="dxa"/>
            <w:tcBorders>
              <w:right w:val="single" w:color="000000" w:sz="6" w:space="0"/>
            </w:tcBorders>
            <w:vAlign w:val="center"/>
          </w:tcPr>
          <w:p w14:paraId="1609C24C">
            <w:pPr>
              <w:widowControl w:val="0"/>
              <w:kinsoku/>
              <w:wordWrap w:val="0"/>
              <w:topLinePunct/>
              <w:autoSpaceDE/>
              <w:autoSpaceDN/>
              <w:jc w:val="center"/>
              <w:rPr>
                <w:color w:val="auto"/>
              </w:rPr>
            </w:pPr>
          </w:p>
        </w:tc>
      </w:tr>
      <w:tr w14:paraId="5C0BF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center"/>
          </w:tcPr>
          <w:p w14:paraId="46B343F0">
            <w:pPr>
              <w:widowControl w:val="0"/>
              <w:kinsoku/>
              <w:wordWrap w:val="0"/>
              <w:topLinePunct/>
              <w:autoSpaceDE/>
              <w:autoSpaceDN/>
              <w:jc w:val="center"/>
              <w:rPr>
                <w:color w:val="auto"/>
              </w:rPr>
            </w:pPr>
          </w:p>
        </w:tc>
        <w:tc>
          <w:tcPr>
            <w:tcW w:w="2125" w:type="dxa"/>
            <w:vAlign w:val="center"/>
          </w:tcPr>
          <w:p w14:paraId="66423776">
            <w:pPr>
              <w:widowControl w:val="0"/>
              <w:kinsoku/>
              <w:wordWrap w:val="0"/>
              <w:topLinePunct/>
              <w:autoSpaceDE/>
              <w:autoSpaceDN/>
              <w:jc w:val="center"/>
              <w:rPr>
                <w:color w:val="auto"/>
              </w:rPr>
            </w:pPr>
          </w:p>
        </w:tc>
        <w:tc>
          <w:tcPr>
            <w:tcW w:w="2128" w:type="dxa"/>
            <w:vAlign w:val="center"/>
          </w:tcPr>
          <w:p w14:paraId="15568B94">
            <w:pPr>
              <w:widowControl w:val="0"/>
              <w:kinsoku/>
              <w:wordWrap w:val="0"/>
              <w:topLinePunct/>
              <w:autoSpaceDE/>
              <w:autoSpaceDN/>
              <w:jc w:val="center"/>
              <w:rPr>
                <w:color w:val="auto"/>
              </w:rPr>
            </w:pPr>
          </w:p>
        </w:tc>
        <w:tc>
          <w:tcPr>
            <w:tcW w:w="1327" w:type="dxa"/>
            <w:vAlign w:val="center"/>
          </w:tcPr>
          <w:p w14:paraId="34355AD9">
            <w:pPr>
              <w:widowControl w:val="0"/>
              <w:kinsoku/>
              <w:wordWrap w:val="0"/>
              <w:topLinePunct/>
              <w:autoSpaceDE/>
              <w:autoSpaceDN/>
              <w:jc w:val="center"/>
              <w:rPr>
                <w:color w:val="auto"/>
              </w:rPr>
            </w:pPr>
          </w:p>
        </w:tc>
        <w:tc>
          <w:tcPr>
            <w:tcW w:w="1596" w:type="dxa"/>
            <w:vAlign w:val="center"/>
          </w:tcPr>
          <w:p w14:paraId="7DEB0581">
            <w:pPr>
              <w:widowControl w:val="0"/>
              <w:kinsoku/>
              <w:wordWrap w:val="0"/>
              <w:topLinePunct/>
              <w:autoSpaceDE/>
              <w:autoSpaceDN/>
              <w:jc w:val="center"/>
              <w:rPr>
                <w:color w:val="auto"/>
              </w:rPr>
            </w:pPr>
          </w:p>
        </w:tc>
        <w:tc>
          <w:tcPr>
            <w:tcW w:w="1009" w:type="dxa"/>
            <w:tcBorders>
              <w:right w:val="single" w:color="000000" w:sz="6" w:space="0"/>
            </w:tcBorders>
            <w:vAlign w:val="center"/>
          </w:tcPr>
          <w:p w14:paraId="3C3F1B6D">
            <w:pPr>
              <w:widowControl w:val="0"/>
              <w:kinsoku/>
              <w:wordWrap w:val="0"/>
              <w:topLinePunct/>
              <w:autoSpaceDE/>
              <w:autoSpaceDN/>
              <w:jc w:val="center"/>
              <w:rPr>
                <w:color w:val="auto"/>
              </w:rPr>
            </w:pPr>
          </w:p>
        </w:tc>
      </w:tr>
      <w:tr w14:paraId="1A97A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center"/>
          </w:tcPr>
          <w:p w14:paraId="5327209E">
            <w:pPr>
              <w:widowControl w:val="0"/>
              <w:kinsoku/>
              <w:wordWrap w:val="0"/>
              <w:topLinePunct/>
              <w:autoSpaceDE/>
              <w:autoSpaceDN/>
              <w:jc w:val="center"/>
              <w:rPr>
                <w:color w:val="auto"/>
              </w:rPr>
            </w:pPr>
          </w:p>
        </w:tc>
        <w:tc>
          <w:tcPr>
            <w:tcW w:w="2125" w:type="dxa"/>
            <w:vAlign w:val="center"/>
          </w:tcPr>
          <w:p w14:paraId="1F1B2F08">
            <w:pPr>
              <w:widowControl w:val="0"/>
              <w:kinsoku/>
              <w:wordWrap w:val="0"/>
              <w:topLinePunct/>
              <w:autoSpaceDE/>
              <w:autoSpaceDN/>
              <w:jc w:val="center"/>
              <w:rPr>
                <w:color w:val="auto"/>
              </w:rPr>
            </w:pPr>
          </w:p>
        </w:tc>
        <w:tc>
          <w:tcPr>
            <w:tcW w:w="2128" w:type="dxa"/>
            <w:vAlign w:val="center"/>
          </w:tcPr>
          <w:p w14:paraId="70E81361">
            <w:pPr>
              <w:widowControl w:val="0"/>
              <w:kinsoku/>
              <w:wordWrap w:val="0"/>
              <w:topLinePunct/>
              <w:autoSpaceDE/>
              <w:autoSpaceDN/>
              <w:jc w:val="center"/>
              <w:rPr>
                <w:color w:val="auto"/>
              </w:rPr>
            </w:pPr>
          </w:p>
        </w:tc>
        <w:tc>
          <w:tcPr>
            <w:tcW w:w="1327" w:type="dxa"/>
            <w:vAlign w:val="center"/>
          </w:tcPr>
          <w:p w14:paraId="123C6967">
            <w:pPr>
              <w:widowControl w:val="0"/>
              <w:kinsoku/>
              <w:wordWrap w:val="0"/>
              <w:topLinePunct/>
              <w:autoSpaceDE/>
              <w:autoSpaceDN/>
              <w:jc w:val="center"/>
              <w:rPr>
                <w:color w:val="auto"/>
              </w:rPr>
            </w:pPr>
          </w:p>
        </w:tc>
        <w:tc>
          <w:tcPr>
            <w:tcW w:w="1596" w:type="dxa"/>
            <w:vAlign w:val="center"/>
          </w:tcPr>
          <w:p w14:paraId="32A43CF5">
            <w:pPr>
              <w:widowControl w:val="0"/>
              <w:kinsoku/>
              <w:wordWrap w:val="0"/>
              <w:topLinePunct/>
              <w:autoSpaceDE/>
              <w:autoSpaceDN/>
              <w:jc w:val="center"/>
              <w:rPr>
                <w:color w:val="auto"/>
              </w:rPr>
            </w:pPr>
          </w:p>
        </w:tc>
        <w:tc>
          <w:tcPr>
            <w:tcW w:w="1009" w:type="dxa"/>
            <w:tcBorders>
              <w:right w:val="single" w:color="000000" w:sz="6" w:space="0"/>
            </w:tcBorders>
            <w:vAlign w:val="center"/>
          </w:tcPr>
          <w:p w14:paraId="61C340BE">
            <w:pPr>
              <w:widowControl w:val="0"/>
              <w:kinsoku/>
              <w:wordWrap w:val="0"/>
              <w:topLinePunct/>
              <w:autoSpaceDE/>
              <w:autoSpaceDN/>
              <w:jc w:val="center"/>
              <w:rPr>
                <w:color w:val="auto"/>
              </w:rPr>
            </w:pPr>
          </w:p>
        </w:tc>
      </w:tr>
      <w:tr w14:paraId="7F41C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24" w:type="dxa"/>
            <w:tcBorders>
              <w:left w:val="single" w:color="000000" w:sz="6" w:space="0"/>
            </w:tcBorders>
            <w:vAlign w:val="center"/>
          </w:tcPr>
          <w:p w14:paraId="47C6CD78">
            <w:pPr>
              <w:widowControl w:val="0"/>
              <w:kinsoku/>
              <w:wordWrap w:val="0"/>
              <w:topLinePunct/>
              <w:autoSpaceDE/>
              <w:autoSpaceDN/>
              <w:jc w:val="center"/>
              <w:rPr>
                <w:color w:val="auto"/>
              </w:rPr>
            </w:pPr>
          </w:p>
        </w:tc>
        <w:tc>
          <w:tcPr>
            <w:tcW w:w="2125" w:type="dxa"/>
            <w:vAlign w:val="center"/>
          </w:tcPr>
          <w:p w14:paraId="30C54FC8">
            <w:pPr>
              <w:widowControl w:val="0"/>
              <w:kinsoku/>
              <w:wordWrap w:val="0"/>
              <w:topLinePunct/>
              <w:autoSpaceDE/>
              <w:autoSpaceDN/>
              <w:jc w:val="center"/>
              <w:rPr>
                <w:color w:val="auto"/>
              </w:rPr>
            </w:pPr>
          </w:p>
        </w:tc>
        <w:tc>
          <w:tcPr>
            <w:tcW w:w="2128" w:type="dxa"/>
            <w:vAlign w:val="center"/>
          </w:tcPr>
          <w:p w14:paraId="1C9287AC">
            <w:pPr>
              <w:widowControl w:val="0"/>
              <w:kinsoku/>
              <w:wordWrap w:val="0"/>
              <w:topLinePunct/>
              <w:autoSpaceDE/>
              <w:autoSpaceDN/>
              <w:jc w:val="center"/>
              <w:rPr>
                <w:color w:val="auto"/>
              </w:rPr>
            </w:pPr>
          </w:p>
        </w:tc>
        <w:tc>
          <w:tcPr>
            <w:tcW w:w="1327" w:type="dxa"/>
            <w:vAlign w:val="center"/>
          </w:tcPr>
          <w:p w14:paraId="3C6B870F">
            <w:pPr>
              <w:widowControl w:val="0"/>
              <w:kinsoku/>
              <w:wordWrap w:val="0"/>
              <w:topLinePunct/>
              <w:autoSpaceDE/>
              <w:autoSpaceDN/>
              <w:jc w:val="center"/>
              <w:rPr>
                <w:color w:val="auto"/>
              </w:rPr>
            </w:pPr>
          </w:p>
        </w:tc>
        <w:tc>
          <w:tcPr>
            <w:tcW w:w="1596" w:type="dxa"/>
            <w:vAlign w:val="center"/>
          </w:tcPr>
          <w:p w14:paraId="04291F6C">
            <w:pPr>
              <w:widowControl w:val="0"/>
              <w:kinsoku/>
              <w:wordWrap w:val="0"/>
              <w:topLinePunct/>
              <w:autoSpaceDE/>
              <w:autoSpaceDN/>
              <w:jc w:val="center"/>
              <w:rPr>
                <w:color w:val="auto"/>
              </w:rPr>
            </w:pPr>
          </w:p>
        </w:tc>
        <w:tc>
          <w:tcPr>
            <w:tcW w:w="1009" w:type="dxa"/>
            <w:tcBorders>
              <w:right w:val="single" w:color="000000" w:sz="6" w:space="0"/>
            </w:tcBorders>
            <w:vAlign w:val="center"/>
          </w:tcPr>
          <w:p w14:paraId="38A724F6">
            <w:pPr>
              <w:widowControl w:val="0"/>
              <w:kinsoku/>
              <w:wordWrap w:val="0"/>
              <w:topLinePunct/>
              <w:autoSpaceDE/>
              <w:autoSpaceDN/>
              <w:jc w:val="center"/>
              <w:rPr>
                <w:color w:val="auto"/>
              </w:rPr>
            </w:pPr>
          </w:p>
        </w:tc>
      </w:tr>
      <w:tr w14:paraId="47D9F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center"/>
          </w:tcPr>
          <w:p w14:paraId="19F263DE">
            <w:pPr>
              <w:widowControl w:val="0"/>
              <w:kinsoku/>
              <w:wordWrap w:val="0"/>
              <w:topLinePunct/>
              <w:autoSpaceDE/>
              <w:autoSpaceDN/>
              <w:jc w:val="center"/>
              <w:rPr>
                <w:color w:val="auto"/>
              </w:rPr>
            </w:pPr>
          </w:p>
        </w:tc>
        <w:tc>
          <w:tcPr>
            <w:tcW w:w="2125" w:type="dxa"/>
            <w:vAlign w:val="center"/>
          </w:tcPr>
          <w:p w14:paraId="02EE0635">
            <w:pPr>
              <w:widowControl w:val="0"/>
              <w:kinsoku/>
              <w:wordWrap w:val="0"/>
              <w:topLinePunct/>
              <w:autoSpaceDE/>
              <w:autoSpaceDN/>
              <w:jc w:val="center"/>
              <w:rPr>
                <w:color w:val="auto"/>
              </w:rPr>
            </w:pPr>
          </w:p>
        </w:tc>
        <w:tc>
          <w:tcPr>
            <w:tcW w:w="2128" w:type="dxa"/>
            <w:vAlign w:val="center"/>
          </w:tcPr>
          <w:p w14:paraId="0070C878">
            <w:pPr>
              <w:widowControl w:val="0"/>
              <w:kinsoku/>
              <w:wordWrap w:val="0"/>
              <w:topLinePunct/>
              <w:autoSpaceDE/>
              <w:autoSpaceDN/>
              <w:jc w:val="center"/>
              <w:rPr>
                <w:color w:val="auto"/>
              </w:rPr>
            </w:pPr>
          </w:p>
        </w:tc>
        <w:tc>
          <w:tcPr>
            <w:tcW w:w="1327" w:type="dxa"/>
            <w:vAlign w:val="center"/>
          </w:tcPr>
          <w:p w14:paraId="01C75354">
            <w:pPr>
              <w:widowControl w:val="0"/>
              <w:kinsoku/>
              <w:wordWrap w:val="0"/>
              <w:topLinePunct/>
              <w:autoSpaceDE/>
              <w:autoSpaceDN/>
              <w:jc w:val="center"/>
              <w:rPr>
                <w:color w:val="auto"/>
              </w:rPr>
            </w:pPr>
          </w:p>
        </w:tc>
        <w:tc>
          <w:tcPr>
            <w:tcW w:w="1596" w:type="dxa"/>
            <w:vAlign w:val="center"/>
          </w:tcPr>
          <w:p w14:paraId="56D47CAC">
            <w:pPr>
              <w:widowControl w:val="0"/>
              <w:kinsoku/>
              <w:wordWrap w:val="0"/>
              <w:topLinePunct/>
              <w:autoSpaceDE/>
              <w:autoSpaceDN/>
              <w:jc w:val="center"/>
              <w:rPr>
                <w:color w:val="auto"/>
              </w:rPr>
            </w:pPr>
          </w:p>
        </w:tc>
        <w:tc>
          <w:tcPr>
            <w:tcW w:w="1009" w:type="dxa"/>
            <w:tcBorders>
              <w:right w:val="single" w:color="000000" w:sz="6" w:space="0"/>
            </w:tcBorders>
            <w:vAlign w:val="center"/>
          </w:tcPr>
          <w:p w14:paraId="30BFC449">
            <w:pPr>
              <w:widowControl w:val="0"/>
              <w:kinsoku/>
              <w:wordWrap w:val="0"/>
              <w:topLinePunct/>
              <w:autoSpaceDE/>
              <w:autoSpaceDN/>
              <w:jc w:val="center"/>
              <w:rPr>
                <w:color w:val="auto"/>
              </w:rPr>
            </w:pPr>
          </w:p>
        </w:tc>
      </w:tr>
      <w:tr w14:paraId="6A6F7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center"/>
          </w:tcPr>
          <w:p w14:paraId="0F5F13D9">
            <w:pPr>
              <w:widowControl w:val="0"/>
              <w:kinsoku/>
              <w:wordWrap w:val="0"/>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2</w:t>
            </w:r>
          </w:p>
        </w:tc>
        <w:tc>
          <w:tcPr>
            <w:tcW w:w="2125" w:type="dxa"/>
            <w:vAlign w:val="center"/>
          </w:tcPr>
          <w:p w14:paraId="4D8934F6">
            <w:pPr>
              <w:pStyle w:val="21"/>
              <w:widowControl w:val="0"/>
              <w:kinsoku/>
              <w:wordWrap w:val="0"/>
              <w:topLinePunct/>
              <w:autoSpaceDE/>
              <w:autoSpaceDN/>
              <w:jc w:val="center"/>
              <w:rPr>
                <w:rFonts w:hint="eastAsia"/>
                <w:color w:val="auto"/>
                <w:sz w:val="21"/>
                <w:szCs w:val="21"/>
              </w:rPr>
            </w:pPr>
            <w:r>
              <w:rPr>
                <w:color w:val="auto"/>
                <w:sz w:val="21"/>
                <w:szCs w:val="21"/>
              </w:rPr>
              <w:t>材料</w:t>
            </w:r>
          </w:p>
        </w:tc>
        <w:tc>
          <w:tcPr>
            <w:tcW w:w="2128" w:type="dxa"/>
            <w:vAlign w:val="center"/>
          </w:tcPr>
          <w:p w14:paraId="23C1A5FF">
            <w:pPr>
              <w:widowControl w:val="0"/>
              <w:kinsoku/>
              <w:wordWrap w:val="0"/>
              <w:topLinePunct/>
              <w:autoSpaceDE/>
              <w:autoSpaceDN/>
              <w:jc w:val="center"/>
              <w:rPr>
                <w:color w:val="auto"/>
              </w:rPr>
            </w:pPr>
          </w:p>
        </w:tc>
        <w:tc>
          <w:tcPr>
            <w:tcW w:w="1327" w:type="dxa"/>
            <w:vAlign w:val="center"/>
          </w:tcPr>
          <w:p w14:paraId="5709FF4D">
            <w:pPr>
              <w:widowControl w:val="0"/>
              <w:kinsoku/>
              <w:wordWrap w:val="0"/>
              <w:topLinePunct/>
              <w:autoSpaceDE/>
              <w:autoSpaceDN/>
              <w:jc w:val="center"/>
              <w:rPr>
                <w:color w:val="auto"/>
              </w:rPr>
            </w:pPr>
          </w:p>
        </w:tc>
        <w:tc>
          <w:tcPr>
            <w:tcW w:w="1596" w:type="dxa"/>
            <w:vAlign w:val="center"/>
          </w:tcPr>
          <w:p w14:paraId="35941ABE">
            <w:pPr>
              <w:widowControl w:val="0"/>
              <w:kinsoku/>
              <w:wordWrap w:val="0"/>
              <w:topLinePunct/>
              <w:autoSpaceDE/>
              <w:autoSpaceDN/>
              <w:jc w:val="center"/>
              <w:rPr>
                <w:color w:val="auto"/>
              </w:rPr>
            </w:pPr>
          </w:p>
        </w:tc>
        <w:tc>
          <w:tcPr>
            <w:tcW w:w="1009" w:type="dxa"/>
            <w:tcBorders>
              <w:right w:val="single" w:color="000000" w:sz="6" w:space="0"/>
            </w:tcBorders>
            <w:vAlign w:val="center"/>
          </w:tcPr>
          <w:p w14:paraId="0DD2C8D6">
            <w:pPr>
              <w:widowControl w:val="0"/>
              <w:kinsoku/>
              <w:wordWrap w:val="0"/>
              <w:topLinePunct/>
              <w:autoSpaceDE/>
              <w:autoSpaceDN/>
              <w:jc w:val="center"/>
              <w:rPr>
                <w:color w:val="auto"/>
              </w:rPr>
            </w:pPr>
          </w:p>
        </w:tc>
      </w:tr>
      <w:tr w14:paraId="34C39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center"/>
          </w:tcPr>
          <w:p w14:paraId="521F3399">
            <w:pPr>
              <w:widowControl w:val="0"/>
              <w:kinsoku/>
              <w:wordWrap w:val="0"/>
              <w:topLinePunct/>
              <w:autoSpaceDE/>
              <w:autoSpaceDN/>
              <w:jc w:val="center"/>
              <w:rPr>
                <w:color w:val="auto"/>
              </w:rPr>
            </w:pPr>
          </w:p>
        </w:tc>
        <w:tc>
          <w:tcPr>
            <w:tcW w:w="2125" w:type="dxa"/>
            <w:vAlign w:val="center"/>
          </w:tcPr>
          <w:p w14:paraId="120B56AB">
            <w:pPr>
              <w:widowControl w:val="0"/>
              <w:kinsoku/>
              <w:wordWrap w:val="0"/>
              <w:topLinePunct/>
              <w:autoSpaceDE/>
              <w:autoSpaceDN/>
              <w:jc w:val="center"/>
              <w:rPr>
                <w:color w:val="auto"/>
              </w:rPr>
            </w:pPr>
          </w:p>
        </w:tc>
        <w:tc>
          <w:tcPr>
            <w:tcW w:w="2128" w:type="dxa"/>
            <w:vAlign w:val="center"/>
          </w:tcPr>
          <w:p w14:paraId="580888AE">
            <w:pPr>
              <w:widowControl w:val="0"/>
              <w:kinsoku/>
              <w:wordWrap w:val="0"/>
              <w:topLinePunct/>
              <w:autoSpaceDE/>
              <w:autoSpaceDN/>
              <w:jc w:val="center"/>
              <w:rPr>
                <w:color w:val="auto"/>
              </w:rPr>
            </w:pPr>
          </w:p>
        </w:tc>
        <w:tc>
          <w:tcPr>
            <w:tcW w:w="1327" w:type="dxa"/>
            <w:vAlign w:val="center"/>
          </w:tcPr>
          <w:p w14:paraId="5A705BA4">
            <w:pPr>
              <w:widowControl w:val="0"/>
              <w:kinsoku/>
              <w:wordWrap w:val="0"/>
              <w:topLinePunct/>
              <w:autoSpaceDE/>
              <w:autoSpaceDN/>
              <w:jc w:val="center"/>
              <w:rPr>
                <w:color w:val="auto"/>
              </w:rPr>
            </w:pPr>
          </w:p>
        </w:tc>
        <w:tc>
          <w:tcPr>
            <w:tcW w:w="1596" w:type="dxa"/>
            <w:vAlign w:val="center"/>
          </w:tcPr>
          <w:p w14:paraId="23789A04">
            <w:pPr>
              <w:widowControl w:val="0"/>
              <w:kinsoku/>
              <w:wordWrap w:val="0"/>
              <w:topLinePunct/>
              <w:autoSpaceDE/>
              <w:autoSpaceDN/>
              <w:jc w:val="center"/>
              <w:rPr>
                <w:color w:val="auto"/>
              </w:rPr>
            </w:pPr>
          </w:p>
        </w:tc>
        <w:tc>
          <w:tcPr>
            <w:tcW w:w="1009" w:type="dxa"/>
            <w:tcBorders>
              <w:right w:val="single" w:color="000000" w:sz="6" w:space="0"/>
            </w:tcBorders>
            <w:vAlign w:val="center"/>
          </w:tcPr>
          <w:p w14:paraId="64B95375">
            <w:pPr>
              <w:widowControl w:val="0"/>
              <w:kinsoku/>
              <w:wordWrap w:val="0"/>
              <w:topLinePunct/>
              <w:autoSpaceDE/>
              <w:autoSpaceDN/>
              <w:jc w:val="center"/>
              <w:rPr>
                <w:color w:val="auto"/>
              </w:rPr>
            </w:pPr>
          </w:p>
        </w:tc>
      </w:tr>
      <w:tr w14:paraId="59D01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center"/>
          </w:tcPr>
          <w:p w14:paraId="4FAC01C8">
            <w:pPr>
              <w:widowControl w:val="0"/>
              <w:kinsoku/>
              <w:wordWrap w:val="0"/>
              <w:topLinePunct/>
              <w:autoSpaceDE/>
              <w:autoSpaceDN/>
              <w:jc w:val="center"/>
              <w:rPr>
                <w:color w:val="auto"/>
              </w:rPr>
            </w:pPr>
          </w:p>
        </w:tc>
        <w:tc>
          <w:tcPr>
            <w:tcW w:w="2125" w:type="dxa"/>
            <w:vAlign w:val="center"/>
          </w:tcPr>
          <w:p w14:paraId="14CD3DCF">
            <w:pPr>
              <w:widowControl w:val="0"/>
              <w:kinsoku/>
              <w:wordWrap w:val="0"/>
              <w:topLinePunct/>
              <w:autoSpaceDE/>
              <w:autoSpaceDN/>
              <w:jc w:val="center"/>
              <w:rPr>
                <w:color w:val="auto"/>
              </w:rPr>
            </w:pPr>
          </w:p>
        </w:tc>
        <w:tc>
          <w:tcPr>
            <w:tcW w:w="2128" w:type="dxa"/>
            <w:vAlign w:val="center"/>
          </w:tcPr>
          <w:p w14:paraId="20C8F41C">
            <w:pPr>
              <w:widowControl w:val="0"/>
              <w:kinsoku/>
              <w:wordWrap w:val="0"/>
              <w:topLinePunct/>
              <w:autoSpaceDE/>
              <w:autoSpaceDN/>
              <w:jc w:val="center"/>
              <w:rPr>
                <w:color w:val="auto"/>
              </w:rPr>
            </w:pPr>
          </w:p>
        </w:tc>
        <w:tc>
          <w:tcPr>
            <w:tcW w:w="1327" w:type="dxa"/>
            <w:vAlign w:val="center"/>
          </w:tcPr>
          <w:p w14:paraId="58499BB4">
            <w:pPr>
              <w:widowControl w:val="0"/>
              <w:kinsoku/>
              <w:wordWrap w:val="0"/>
              <w:topLinePunct/>
              <w:autoSpaceDE/>
              <w:autoSpaceDN/>
              <w:jc w:val="center"/>
              <w:rPr>
                <w:color w:val="auto"/>
              </w:rPr>
            </w:pPr>
          </w:p>
        </w:tc>
        <w:tc>
          <w:tcPr>
            <w:tcW w:w="1596" w:type="dxa"/>
            <w:vAlign w:val="center"/>
          </w:tcPr>
          <w:p w14:paraId="1AE737D0">
            <w:pPr>
              <w:widowControl w:val="0"/>
              <w:kinsoku/>
              <w:wordWrap w:val="0"/>
              <w:topLinePunct/>
              <w:autoSpaceDE/>
              <w:autoSpaceDN/>
              <w:jc w:val="center"/>
              <w:rPr>
                <w:color w:val="auto"/>
              </w:rPr>
            </w:pPr>
          </w:p>
        </w:tc>
        <w:tc>
          <w:tcPr>
            <w:tcW w:w="1009" w:type="dxa"/>
            <w:tcBorders>
              <w:right w:val="single" w:color="000000" w:sz="6" w:space="0"/>
            </w:tcBorders>
            <w:vAlign w:val="center"/>
          </w:tcPr>
          <w:p w14:paraId="3354DDDC">
            <w:pPr>
              <w:widowControl w:val="0"/>
              <w:kinsoku/>
              <w:wordWrap w:val="0"/>
              <w:topLinePunct/>
              <w:autoSpaceDE/>
              <w:autoSpaceDN/>
              <w:jc w:val="center"/>
              <w:rPr>
                <w:color w:val="auto"/>
              </w:rPr>
            </w:pPr>
          </w:p>
        </w:tc>
      </w:tr>
      <w:tr w14:paraId="32F4BC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center"/>
          </w:tcPr>
          <w:p w14:paraId="1FEA3927">
            <w:pPr>
              <w:widowControl w:val="0"/>
              <w:kinsoku/>
              <w:wordWrap w:val="0"/>
              <w:topLinePunct/>
              <w:autoSpaceDE/>
              <w:autoSpaceDN/>
              <w:jc w:val="center"/>
              <w:rPr>
                <w:color w:val="auto"/>
              </w:rPr>
            </w:pPr>
          </w:p>
        </w:tc>
        <w:tc>
          <w:tcPr>
            <w:tcW w:w="2125" w:type="dxa"/>
            <w:vAlign w:val="center"/>
          </w:tcPr>
          <w:p w14:paraId="779F4822">
            <w:pPr>
              <w:widowControl w:val="0"/>
              <w:kinsoku/>
              <w:wordWrap w:val="0"/>
              <w:topLinePunct/>
              <w:autoSpaceDE/>
              <w:autoSpaceDN/>
              <w:jc w:val="center"/>
              <w:rPr>
                <w:color w:val="auto"/>
              </w:rPr>
            </w:pPr>
          </w:p>
        </w:tc>
        <w:tc>
          <w:tcPr>
            <w:tcW w:w="2128" w:type="dxa"/>
            <w:vAlign w:val="center"/>
          </w:tcPr>
          <w:p w14:paraId="349F3EAF">
            <w:pPr>
              <w:widowControl w:val="0"/>
              <w:kinsoku/>
              <w:wordWrap w:val="0"/>
              <w:topLinePunct/>
              <w:autoSpaceDE/>
              <w:autoSpaceDN/>
              <w:jc w:val="center"/>
              <w:rPr>
                <w:color w:val="auto"/>
              </w:rPr>
            </w:pPr>
          </w:p>
        </w:tc>
        <w:tc>
          <w:tcPr>
            <w:tcW w:w="1327" w:type="dxa"/>
            <w:vAlign w:val="center"/>
          </w:tcPr>
          <w:p w14:paraId="5C347CA4">
            <w:pPr>
              <w:widowControl w:val="0"/>
              <w:kinsoku/>
              <w:wordWrap w:val="0"/>
              <w:topLinePunct/>
              <w:autoSpaceDE/>
              <w:autoSpaceDN/>
              <w:jc w:val="center"/>
              <w:rPr>
                <w:color w:val="auto"/>
              </w:rPr>
            </w:pPr>
          </w:p>
        </w:tc>
        <w:tc>
          <w:tcPr>
            <w:tcW w:w="1596" w:type="dxa"/>
            <w:vAlign w:val="center"/>
          </w:tcPr>
          <w:p w14:paraId="649E7AD7">
            <w:pPr>
              <w:widowControl w:val="0"/>
              <w:kinsoku/>
              <w:wordWrap w:val="0"/>
              <w:topLinePunct/>
              <w:autoSpaceDE/>
              <w:autoSpaceDN/>
              <w:jc w:val="center"/>
              <w:rPr>
                <w:color w:val="auto"/>
              </w:rPr>
            </w:pPr>
          </w:p>
        </w:tc>
        <w:tc>
          <w:tcPr>
            <w:tcW w:w="1009" w:type="dxa"/>
            <w:tcBorders>
              <w:right w:val="single" w:color="000000" w:sz="6" w:space="0"/>
            </w:tcBorders>
            <w:vAlign w:val="center"/>
          </w:tcPr>
          <w:p w14:paraId="2EDB6D16">
            <w:pPr>
              <w:widowControl w:val="0"/>
              <w:kinsoku/>
              <w:wordWrap w:val="0"/>
              <w:topLinePunct/>
              <w:autoSpaceDE/>
              <w:autoSpaceDN/>
              <w:jc w:val="center"/>
              <w:rPr>
                <w:color w:val="auto"/>
              </w:rPr>
            </w:pPr>
          </w:p>
        </w:tc>
      </w:tr>
      <w:tr w14:paraId="2A94B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center"/>
          </w:tcPr>
          <w:p w14:paraId="71FC268A">
            <w:pPr>
              <w:widowControl w:val="0"/>
              <w:kinsoku/>
              <w:wordWrap w:val="0"/>
              <w:topLinePunct/>
              <w:autoSpaceDE/>
              <w:autoSpaceDN/>
              <w:jc w:val="center"/>
              <w:rPr>
                <w:color w:val="auto"/>
              </w:rPr>
            </w:pPr>
          </w:p>
        </w:tc>
        <w:tc>
          <w:tcPr>
            <w:tcW w:w="2125" w:type="dxa"/>
            <w:vAlign w:val="center"/>
          </w:tcPr>
          <w:p w14:paraId="715F7810">
            <w:pPr>
              <w:widowControl w:val="0"/>
              <w:kinsoku/>
              <w:wordWrap w:val="0"/>
              <w:topLinePunct/>
              <w:autoSpaceDE/>
              <w:autoSpaceDN/>
              <w:jc w:val="center"/>
              <w:rPr>
                <w:color w:val="auto"/>
              </w:rPr>
            </w:pPr>
          </w:p>
        </w:tc>
        <w:tc>
          <w:tcPr>
            <w:tcW w:w="2128" w:type="dxa"/>
            <w:vAlign w:val="center"/>
          </w:tcPr>
          <w:p w14:paraId="768DE86F">
            <w:pPr>
              <w:widowControl w:val="0"/>
              <w:kinsoku/>
              <w:wordWrap w:val="0"/>
              <w:topLinePunct/>
              <w:autoSpaceDE/>
              <w:autoSpaceDN/>
              <w:jc w:val="center"/>
              <w:rPr>
                <w:color w:val="auto"/>
              </w:rPr>
            </w:pPr>
          </w:p>
        </w:tc>
        <w:tc>
          <w:tcPr>
            <w:tcW w:w="1327" w:type="dxa"/>
            <w:vAlign w:val="center"/>
          </w:tcPr>
          <w:p w14:paraId="3D1AD672">
            <w:pPr>
              <w:widowControl w:val="0"/>
              <w:kinsoku/>
              <w:wordWrap w:val="0"/>
              <w:topLinePunct/>
              <w:autoSpaceDE/>
              <w:autoSpaceDN/>
              <w:jc w:val="center"/>
              <w:rPr>
                <w:color w:val="auto"/>
              </w:rPr>
            </w:pPr>
          </w:p>
        </w:tc>
        <w:tc>
          <w:tcPr>
            <w:tcW w:w="1596" w:type="dxa"/>
            <w:vAlign w:val="center"/>
          </w:tcPr>
          <w:p w14:paraId="49A1B173">
            <w:pPr>
              <w:widowControl w:val="0"/>
              <w:kinsoku/>
              <w:wordWrap w:val="0"/>
              <w:topLinePunct/>
              <w:autoSpaceDE/>
              <w:autoSpaceDN/>
              <w:jc w:val="center"/>
              <w:rPr>
                <w:color w:val="auto"/>
              </w:rPr>
            </w:pPr>
          </w:p>
        </w:tc>
        <w:tc>
          <w:tcPr>
            <w:tcW w:w="1009" w:type="dxa"/>
            <w:tcBorders>
              <w:right w:val="single" w:color="000000" w:sz="6" w:space="0"/>
            </w:tcBorders>
            <w:vAlign w:val="center"/>
          </w:tcPr>
          <w:p w14:paraId="5B21610B">
            <w:pPr>
              <w:widowControl w:val="0"/>
              <w:kinsoku/>
              <w:wordWrap w:val="0"/>
              <w:topLinePunct/>
              <w:autoSpaceDE/>
              <w:autoSpaceDN/>
              <w:jc w:val="center"/>
              <w:rPr>
                <w:color w:val="auto"/>
              </w:rPr>
            </w:pPr>
          </w:p>
        </w:tc>
      </w:tr>
      <w:tr w14:paraId="548E4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center"/>
          </w:tcPr>
          <w:p w14:paraId="26F4F13A">
            <w:pPr>
              <w:widowControl w:val="0"/>
              <w:kinsoku/>
              <w:wordWrap w:val="0"/>
              <w:topLinePunct/>
              <w:autoSpaceDE/>
              <w:autoSpaceDN/>
              <w:jc w:val="center"/>
              <w:rPr>
                <w:color w:val="auto"/>
              </w:rPr>
            </w:pPr>
          </w:p>
        </w:tc>
        <w:tc>
          <w:tcPr>
            <w:tcW w:w="2125" w:type="dxa"/>
            <w:vAlign w:val="center"/>
          </w:tcPr>
          <w:p w14:paraId="1DD7046E">
            <w:pPr>
              <w:widowControl w:val="0"/>
              <w:kinsoku/>
              <w:wordWrap w:val="0"/>
              <w:topLinePunct/>
              <w:autoSpaceDE/>
              <w:autoSpaceDN/>
              <w:jc w:val="center"/>
              <w:rPr>
                <w:color w:val="auto"/>
              </w:rPr>
            </w:pPr>
          </w:p>
        </w:tc>
        <w:tc>
          <w:tcPr>
            <w:tcW w:w="2128" w:type="dxa"/>
            <w:vAlign w:val="center"/>
          </w:tcPr>
          <w:p w14:paraId="5CD1B8F1">
            <w:pPr>
              <w:widowControl w:val="0"/>
              <w:kinsoku/>
              <w:wordWrap w:val="0"/>
              <w:topLinePunct/>
              <w:autoSpaceDE/>
              <w:autoSpaceDN/>
              <w:jc w:val="center"/>
              <w:rPr>
                <w:color w:val="auto"/>
              </w:rPr>
            </w:pPr>
          </w:p>
        </w:tc>
        <w:tc>
          <w:tcPr>
            <w:tcW w:w="1327" w:type="dxa"/>
            <w:vAlign w:val="center"/>
          </w:tcPr>
          <w:p w14:paraId="74B0CC3D">
            <w:pPr>
              <w:widowControl w:val="0"/>
              <w:kinsoku/>
              <w:wordWrap w:val="0"/>
              <w:topLinePunct/>
              <w:autoSpaceDE/>
              <w:autoSpaceDN/>
              <w:jc w:val="center"/>
              <w:rPr>
                <w:color w:val="auto"/>
              </w:rPr>
            </w:pPr>
          </w:p>
        </w:tc>
        <w:tc>
          <w:tcPr>
            <w:tcW w:w="1596" w:type="dxa"/>
            <w:vAlign w:val="center"/>
          </w:tcPr>
          <w:p w14:paraId="3D98466F">
            <w:pPr>
              <w:widowControl w:val="0"/>
              <w:kinsoku/>
              <w:wordWrap w:val="0"/>
              <w:topLinePunct/>
              <w:autoSpaceDE/>
              <w:autoSpaceDN/>
              <w:jc w:val="center"/>
              <w:rPr>
                <w:color w:val="auto"/>
              </w:rPr>
            </w:pPr>
          </w:p>
        </w:tc>
        <w:tc>
          <w:tcPr>
            <w:tcW w:w="1009" w:type="dxa"/>
            <w:tcBorders>
              <w:right w:val="single" w:color="000000" w:sz="6" w:space="0"/>
            </w:tcBorders>
            <w:vAlign w:val="center"/>
          </w:tcPr>
          <w:p w14:paraId="15D2D6FC">
            <w:pPr>
              <w:widowControl w:val="0"/>
              <w:kinsoku/>
              <w:wordWrap w:val="0"/>
              <w:topLinePunct/>
              <w:autoSpaceDE/>
              <w:autoSpaceDN/>
              <w:jc w:val="center"/>
              <w:rPr>
                <w:color w:val="auto"/>
              </w:rPr>
            </w:pPr>
          </w:p>
        </w:tc>
      </w:tr>
      <w:tr w14:paraId="1B848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center"/>
          </w:tcPr>
          <w:p w14:paraId="703B85D7">
            <w:pPr>
              <w:widowControl w:val="0"/>
              <w:kinsoku/>
              <w:wordWrap w:val="0"/>
              <w:topLinePunct/>
              <w:autoSpaceDE/>
              <w:autoSpaceDN/>
              <w:jc w:val="center"/>
              <w:rPr>
                <w:rFonts w:ascii="Times New Roman" w:hAnsi="Times New Roman" w:eastAsia="Times New Roman" w:cs="Times New Roman"/>
                <w:color w:val="auto"/>
              </w:rPr>
            </w:pPr>
            <w:r>
              <w:rPr>
                <w:rFonts w:ascii="Times New Roman" w:hAnsi="Times New Roman" w:eastAsia="Times New Roman" w:cs="Times New Roman"/>
                <w:color w:val="auto"/>
              </w:rPr>
              <w:t>3</w:t>
            </w:r>
          </w:p>
        </w:tc>
        <w:tc>
          <w:tcPr>
            <w:tcW w:w="2125" w:type="dxa"/>
            <w:vAlign w:val="center"/>
          </w:tcPr>
          <w:p w14:paraId="368A6A83">
            <w:pPr>
              <w:pStyle w:val="21"/>
              <w:widowControl w:val="0"/>
              <w:kinsoku/>
              <w:wordWrap w:val="0"/>
              <w:topLinePunct/>
              <w:autoSpaceDE/>
              <w:autoSpaceDN/>
              <w:jc w:val="center"/>
              <w:rPr>
                <w:rFonts w:hint="eastAsia"/>
                <w:color w:val="auto"/>
                <w:sz w:val="21"/>
                <w:szCs w:val="21"/>
              </w:rPr>
            </w:pPr>
            <w:r>
              <w:rPr>
                <w:color w:val="auto"/>
                <w:sz w:val="21"/>
                <w:szCs w:val="21"/>
              </w:rPr>
              <w:t>机械</w:t>
            </w:r>
          </w:p>
        </w:tc>
        <w:tc>
          <w:tcPr>
            <w:tcW w:w="2128" w:type="dxa"/>
            <w:vAlign w:val="center"/>
          </w:tcPr>
          <w:p w14:paraId="77250285">
            <w:pPr>
              <w:widowControl w:val="0"/>
              <w:kinsoku/>
              <w:wordWrap w:val="0"/>
              <w:topLinePunct/>
              <w:autoSpaceDE/>
              <w:autoSpaceDN/>
              <w:jc w:val="center"/>
              <w:rPr>
                <w:color w:val="auto"/>
              </w:rPr>
            </w:pPr>
          </w:p>
        </w:tc>
        <w:tc>
          <w:tcPr>
            <w:tcW w:w="1327" w:type="dxa"/>
            <w:vAlign w:val="center"/>
          </w:tcPr>
          <w:p w14:paraId="61DEADD6">
            <w:pPr>
              <w:widowControl w:val="0"/>
              <w:kinsoku/>
              <w:wordWrap w:val="0"/>
              <w:topLinePunct/>
              <w:autoSpaceDE/>
              <w:autoSpaceDN/>
              <w:jc w:val="center"/>
              <w:rPr>
                <w:color w:val="auto"/>
              </w:rPr>
            </w:pPr>
          </w:p>
        </w:tc>
        <w:tc>
          <w:tcPr>
            <w:tcW w:w="1596" w:type="dxa"/>
            <w:vAlign w:val="center"/>
          </w:tcPr>
          <w:p w14:paraId="36BFDEF5">
            <w:pPr>
              <w:widowControl w:val="0"/>
              <w:kinsoku/>
              <w:wordWrap w:val="0"/>
              <w:topLinePunct/>
              <w:autoSpaceDE/>
              <w:autoSpaceDN/>
              <w:jc w:val="center"/>
              <w:rPr>
                <w:color w:val="auto"/>
              </w:rPr>
            </w:pPr>
          </w:p>
        </w:tc>
        <w:tc>
          <w:tcPr>
            <w:tcW w:w="1009" w:type="dxa"/>
            <w:tcBorders>
              <w:right w:val="single" w:color="000000" w:sz="6" w:space="0"/>
            </w:tcBorders>
            <w:vAlign w:val="center"/>
          </w:tcPr>
          <w:p w14:paraId="79D92C46">
            <w:pPr>
              <w:widowControl w:val="0"/>
              <w:kinsoku/>
              <w:wordWrap w:val="0"/>
              <w:topLinePunct/>
              <w:autoSpaceDE/>
              <w:autoSpaceDN/>
              <w:jc w:val="center"/>
              <w:rPr>
                <w:color w:val="auto"/>
              </w:rPr>
            </w:pPr>
          </w:p>
        </w:tc>
      </w:tr>
      <w:tr w14:paraId="2240C0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center"/>
          </w:tcPr>
          <w:p w14:paraId="453DC1F6">
            <w:pPr>
              <w:widowControl w:val="0"/>
              <w:kinsoku/>
              <w:wordWrap w:val="0"/>
              <w:topLinePunct/>
              <w:autoSpaceDE/>
              <w:autoSpaceDN/>
              <w:jc w:val="center"/>
              <w:rPr>
                <w:color w:val="auto"/>
              </w:rPr>
            </w:pPr>
          </w:p>
        </w:tc>
        <w:tc>
          <w:tcPr>
            <w:tcW w:w="2125" w:type="dxa"/>
            <w:vAlign w:val="center"/>
          </w:tcPr>
          <w:p w14:paraId="6D46C119">
            <w:pPr>
              <w:widowControl w:val="0"/>
              <w:kinsoku/>
              <w:wordWrap w:val="0"/>
              <w:topLinePunct/>
              <w:autoSpaceDE/>
              <w:autoSpaceDN/>
              <w:jc w:val="center"/>
              <w:rPr>
                <w:color w:val="auto"/>
              </w:rPr>
            </w:pPr>
          </w:p>
        </w:tc>
        <w:tc>
          <w:tcPr>
            <w:tcW w:w="2128" w:type="dxa"/>
            <w:vAlign w:val="center"/>
          </w:tcPr>
          <w:p w14:paraId="4E6AC7E7">
            <w:pPr>
              <w:widowControl w:val="0"/>
              <w:kinsoku/>
              <w:wordWrap w:val="0"/>
              <w:topLinePunct/>
              <w:autoSpaceDE/>
              <w:autoSpaceDN/>
              <w:jc w:val="center"/>
              <w:rPr>
                <w:color w:val="auto"/>
              </w:rPr>
            </w:pPr>
          </w:p>
        </w:tc>
        <w:tc>
          <w:tcPr>
            <w:tcW w:w="1327" w:type="dxa"/>
            <w:vAlign w:val="center"/>
          </w:tcPr>
          <w:p w14:paraId="7183D171">
            <w:pPr>
              <w:widowControl w:val="0"/>
              <w:kinsoku/>
              <w:wordWrap w:val="0"/>
              <w:topLinePunct/>
              <w:autoSpaceDE/>
              <w:autoSpaceDN/>
              <w:jc w:val="center"/>
              <w:rPr>
                <w:color w:val="auto"/>
              </w:rPr>
            </w:pPr>
          </w:p>
        </w:tc>
        <w:tc>
          <w:tcPr>
            <w:tcW w:w="1596" w:type="dxa"/>
            <w:vAlign w:val="center"/>
          </w:tcPr>
          <w:p w14:paraId="6906C4CC">
            <w:pPr>
              <w:widowControl w:val="0"/>
              <w:kinsoku/>
              <w:wordWrap w:val="0"/>
              <w:topLinePunct/>
              <w:autoSpaceDE/>
              <w:autoSpaceDN/>
              <w:jc w:val="center"/>
              <w:rPr>
                <w:color w:val="auto"/>
              </w:rPr>
            </w:pPr>
          </w:p>
        </w:tc>
        <w:tc>
          <w:tcPr>
            <w:tcW w:w="1009" w:type="dxa"/>
            <w:tcBorders>
              <w:right w:val="single" w:color="000000" w:sz="6" w:space="0"/>
            </w:tcBorders>
            <w:vAlign w:val="center"/>
          </w:tcPr>
          <w:p w14:paraId="43B8C3EA">
            <w:pPr>
              <w:widowControl w:val="0"/>
              <w:kinsoku/>
              <w:wordWrap w:val="0"/>
              <w:topLinePunct/>
              <w:autoSpaceDE/>
              <w:autoSpaceDN/>
              <w:jc w:val="center"/>
              <w:rPr>
                <w:color w:val="auto"/>
              </w:rPr>
            </w:pPr>
          </w:p>
        </w:tc>
      </w:tr>
      <w:tr w14:paraId="02C64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center"/>
          </w:tcPr>
          <w:p w14:paraId="29341530">
            <w:pPr>
              <w:widowControl w:val="0"/>
              <w:kinsoku/>
              <w:wordWrap w:val="0"/>
              <w:topLinePunct/>
              <w:autoSpaceDE/>
              <w:autoSpaceDN/>
              <w:jc w:val="center"/>
              <w:rPr>
                <w:color w:val="auto"/>
              </w:rPr>
            </w:pPr>
          </w:p>
        </w:tc>
        <w:tc>
          <w:tcPr>
            <w:tcW w:w="2125" w:type="dxa"/>
            <w:vAlign w:val="center"/>
          </w:tcPr>
          <w:p w14:paraId="4E1D94AC">
            <w:pPr>
              <w:widowControl w:val="0"/>
              <w:kinsoku/>
              <w:wordWrap w:val="0"/>
              <w:topLinePunct/>
              <w:autoSpaceDE/>
              <w:autoSpaceDN/>
              <w:jc w:val="center"/>
              <w:rPr>
                <w:color w:val="auto"/>
              </w:rPr>
            </w:pPr>
          </w:p>
        </w:tc>
        <w:tc>
          <w:tcPr>
            <w:tcW w:w="2128" w:type="dxa"/>
            <w:vAlign w:val="center"/>
          </w:tcPr>
          <w:p w14:paraId="5FDD7A33">
            <w:pPr>
              <w:widowControl w:val="0"/>
              <w:kinsoku/>
              <w:wordWrap w:val="0"/>
              <w:topLinePunct/>
              <w:autoSpaceDE/>
              <w:autoSpaceDN/>
              <w:jc w:val="center"/>
              <w:rPr>
                <w:color w:val="auto"/>
              </w:rPr>
            </w:pPr>
          </w:p>
        </w:tc>
        <w:tc>
          <w:tcPr>
            <w:tcW w:w="1327" w:type="dxa"/>
            <w:vAlign w:val="center"/>
          </w:tcPr>
          <w:p w14:paraId="4EA5F00F">
            <w:pPr>
              <w:widowControl w:val="0"/>
              <w:kinsoku/>
              <w:wordWrap w:val="0"/>
              <w:topLinePunct/>
              <w:autoSpaceDE/>
              <w:autoSpaceDN/>
              <w:jc w:val="center"/>
              <w:rPr>
                <w:color w:val="auto"/>
              </w:rPr>
            </w:pPr>
          </w:p>
        </w:tc>
        <w:tc>
          <w:tcPr>
            <w:tcW w:w="1596" w:type="dxa"/>
            <w:vAlign w:val="center"/>
          </w:tcPr>
          <w:p w14:paraId="4EF7611D">
            <w:pPr>
              <w:widowControl w:val="0"/>
              <w:kinsoku/>
              <w:wordWrap w:val="0"/>
              <w:topLinePunct/>
              <w:autoSpaceDE/>
              <w:autoSpaceDN/>
              <w:jc w:val="center"/>
              <w:rPr>
                <w:color w:val="auto"/>
              </w:rPr>
            </w:pPr>
          </w:p>
        </w:tc>
        <w:tc>
          <w:tcPr>
            <w:tcW w:w="1009" w:type="dxa"/>
            <w:tcBorders>
              <w:right w:val="single" w:color="000000" w:sz="6" w:space="0"/>
            </w:tcBorders>
            <w:vAlign w:val="center"/>
          </w:tcPr>
          <w:p w14:paraId="0355846F">
            <w:pPr>
              <w:widowControl w:val="0"/>
              <w:kinsoku/>
              <w:wordWrap w:val="0"/>
              <w:topLinePunct/>
              <w:autoSpaceDE/>
              <w:autoSpaceDN/>
              <w:jc w:val="center"/>
              <w:rPr>
                <w:color w:val="auto"/>
              </w:rPr>
            </w:pPr>
          </w:p>
        </w:tc>
      </w:tr>
      <w:tr w14:paraId="158D5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center"/>
          </w:tcPr>
          <w:p w14:paraId="0B0D1A87">
            <w:pPr>
              <w:widowControl w:val="0"/>
              <w:kinsoku/>
              <w:wordWrap w:val="0"/>
              <w:topLinePunct/>
              <w:autoSpaceDE/>
              <w:autoSpaceDN/>
              <w:jc w:val="center"/>
              <w:rPr>
                <w:color w:val="auto"/>
              </w:rPr>
            </w:pPr>
          </w:p>
        </w:tc>
        <w:tc>
          <w:tcPr>
            <w:tcW w:w="2125" w:type="dxa"/>
            <w:vAlign w:val="center"/>
          </w:tcPr>
          <w:p w14:paraId="10BF7175">
            <w:pPr>
              <w:widowControl w:val="0"/>
              <w:kinsoku/>
              <w:wordWrap w:val="0"/>
              <w:topLinePunct/>
              <w:autoSpaceDE/>
              <w:autoSpaceDN/>
              <w:jc w:val="center"/>
              <w:rPr>
                <w:color w:val="auto"/>
              </w:rPr>
            </w:pPr>
          </w:p>
        </w:tc>
        <w:tc>
          <w:tcPr>
            <w:tcW w:w="2128" w:type="dxa"/>
            <w:vAlign w:val="center"/>
          </w:tcPr>
          <w:p w14:paraId="1B7059C2">
            <w:pPr>
              <w:widowControl w:val="0"/>
              <w:kinsoku/>
              <w:wordWrap w:val="0"/>
              <w:topLinePunct/>
              <w:autoSpaceDE/>
              <w:autoSpaceDN/>
              <w:jc w:val="center"/>
              <w:rPr>
                <w:color w:val="auto"/>
              </w:rPr>
            </w:pPr>
          </w:p>
        </w:tc>
        <w:tc>
          <w:tcPr>
            <w:tcW w:w="1327" w:type="dxa"/>
            <w:vAlign w:val="center"/>
          </w:tcPr>
          <w:p w14:paraId="40301DEA">
            <w:pPr>
              <w:widowControl w:val="0"/>
              <w:kinsoku/>
              <w:wordWrap w:val="0"/>
              <w:topLinePunct/>
              <w:autoSpaceDE/>
              <w:autoSpaceDN/>
              <w:jc w:val="center"/>
              <w:rPr>
                <w:color w:val="auto"/>
              </w:rPr>
            </w:pPr>
          </w:p>
        </w:tc>
        <w:tc>
          <w:tcPr>
            <w:tcW w:w="1596" w:type="dxa"/>
            <w:vAlign w:val="center"/>
          </w:tcPr>
          <w:p w14:paraId="10F85F35">
            <w:pPr>
              <w:widowControl w:val="0"/>
              <w:kinsoku/>
              <w:wordWrap w:val="0"/>
              <w:topLinePunct/>
              <w:autoSpaceDE/>
              <w:autoSpaceDN/>
              <w:jc w:val="center"/>
              <w:rPr>
                <w:color w:val="auto"/>
              </w:rPr>
            </w:pPr>
          </w:p>
        </w:tc>
        <w:tc>
          <w:tcPr>
            <w:tcW w:w="1009" w:type="dxa"/>
            <w:tcBorders>
              <w:right w:val="single" w:color="000000" w:sz="6" w:space="0"/>
            </w:tcBorders>
            <w:vAlign w:val="center"/>
          </w:tcPr>
          <w:p w14:paraId="23693119">
            <w:pPr>
              <w:widowControl w:val="0"/>
              <w:kinsoku/>
              <w:wordWrap w:val="0"/>
              <w:topLinePunct/>
              <w:autoSpaceDE/>
              <w:autoSpaceDN/>
              <w:jc w:val="center"/>
              <w:rPr>
                <w:color w:val="auto"/>
              </w:rPr>
            </w:pPr>
          </w:p>
        </w:tc>
      </w:tr>
      <w:tr w14:paraId="35582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24" w:type="dxa"/>
            <w:tcBorders>
              <w:left w:val="single" w:color="000000" w:sz="6" w:space="0"/>
            </w:tcBorders>
            <w:vAlign w:val="center"/>
          </w:tcPr>
          <w:p w14:paraId="69A08207">
            <w:pPr>
              <w:widowControl w:val="0"/>
              <w:kinsoku/>
              <w:wordWrap w:val="0"/>
              <w:topLinePunct/>
              <w:autoSpaceDE/>
              <w:autoSpaceDN/>
              <w:jc w:val="center"/>
              <w:rPr>
                <w:color w:val="auto"/>
              </w:rPr>
            </w:pPr>
          </w:p>
        </w:tc>
        <w:tc>
          <w:tcPr>
            <w:tcW w:w="2125" w:type="dxa"/>
            <w:vAlign w:val="center"/>
          </w:tcPr>
          <w:p w14:paraId="4DA94399">
            <w:pPr>
              <w:widowControl w:val="0"/>
              <w:kinsoku/>
              <w:wordWrap w:val="0"/>
              <w:topLinePunct/>
              <w:autoSpaceDE/>
              <w:autoSpaceDN/>
              <w:jc w:val="center"/>
              <w:rPr>
                <w:color w:val="auto"/>
              </w:rPr>
            </w:pPr>
          </w:p>
        </w:tc>
        <w:tc>
          <w:tcPr>
            <w:tcW w:w="2128" w:type="dxa"/>
            <w:vAlign w:val="center"/>
          </w:tcPr>
          <w:p w14:paraId="7193247D">
            <w:pPr>
              <w:widowControl w:val="0"/>
              <w:kinsoku/>
              <w:wordWrap w:val="0"/>
              <w:topLinePunct/>
              <w:autoSpaceDE/>
              <w:autoSpaceDN/>
              <w:jc w:val="center"/>
              <w:rPr>
                <w:color w:val="auto"/>
              </w:rPr>
            </w:pPr>
          </w:p>
        </w:tc>
        <w:tc>
          <w:tcPr>
            <w:tcW w:w="1327" w:type="dxa"/>
            <w:vAlign w:val="center"/>
          </w:tcPr>
          <w:p w14:paraId="34EBBC6F">
            <w:pPr>
              <w:widowControl w:val="0"/>
              <w:kinsoku/>
              <w:wordWrap w:val="0"/>
              <w:topLinePunct/>
              <w:autoSpaceDE/>
              <w:autoSpaceDN/>
              <w:jc w:val="center"/>
              <w:rPr>
                <w:color w:val="auto"/>
              </w:rPr>
            </w:pPr>
          </w:p>
        </w:tc>
        <w:tc>
          <w:tcPr>
            <w:tcW w:w="1596" w:type="dxa"/>
            <w:vAlign w:val="center"/>
          </w:tcPr>
          <w:p w14:paraId="52A8ACE3">
            <w:pPr>
              <w:widowControl w:val="0"/>
              <w:kinsoku/>
              <w:wordWrap w:val="0"/>
              <w:topLinePunct/>
              <w:autoSpaceDE/>
              <w:autoSpaceDN/>
              <w:jc w:val="center"/>
              <w:rPr>
                <w:color w:val="auto"/>
              </w:rPr>
            </w:pPr>
          </w:p>
        </w:tc>
        <w:tc>
          <w:tcPr>
            <w:tcW w:w="1009" w:type="dxa"/>
            <w:tcBorders>
              <w:right w:val="single" w:color="000000" w:sz="6" w:space="0"/>
            </w:tcBorders>
            <w:vAlign w:val="center"/>
          </w:tcPr>
          <w:p w14:paraId="2BFD7401">
            <w:pPr>
              <w:widowControl w:val="0"/>
              <w:kinsoku/>
              <w:wordWrap w:val="0"/>
              <w:topLinePunct/>
              <w:autoSpaceDE/>
              <w:autoSpaceDN/>
              <w:jc w:val="center"/>
              <w:rPr>
                <w:color w:val="auto"/>
              </w:rPr>
            </w:pPr>
          </w:p>
        </w:tc>
      </w:tr>
      <w:tr w14:paraId="58284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center"/>
          </w:tcPr>
          <w:p w14:paraId="11F5EA9E">
            <w:pPr>
              <w:widowControl w:val="0"/>
              <w:kinsoku/>
              <w:wordWrap w:val="0"/>
              <w:topLinePunct/>
              <w:autoSpaceDE/>
              <w:autoSpaceDN/>
              <w:jc w:val="center"/>
              <w:rPr>
                <w:color w:val="auto"/>
              </w:rPr>
            </w:pPr>
          </w:p>
        </w:tc>
        <w:tc>
          <w:tcPr>
            <w:tcW w:w="2125" w:type="dxa"/>
            <w:vAlign w:val="center"/>
          </w:tcPr>
          <w:p w14:paraId="223664AD">
            <w:pPr>
              <w:widowControl w:val="0"/>
              <w:kinsoku/>
              <w:wordWrap w:val="0"/>
              <w:topLinePunct/>
              <w:autoSpaceDE/>
              <w:autoSpaceDN/>
              <w:jc w:val="center"/>
              <w:rPr>
                <w:color w:val="auto"/>
              </w:rPr>
            </w:pPr>
          </w:p>
        </w:tc>
        <w:tc>
          <w:tcPr>
            <w:tcW w:w="2128" w:type="dxa"/>
            <w:vAlign w:val="center"/>
          </w:tcPr>
          <w:p w14:paraId="1BC0F9F2">
            <w:pPr>
              <w:widowControl w:val="0"/>
              <w:kinsoku/>
              <w:wordWrap w:val="0"/>
              <w:topLinePunct/>
              <w:autoSpaceDE/>
              <w:autoSpaceDN/>
              <w:jc w:val="center"/>
              <w:rPr>
                <w:color w:val="auto"/>
              </w:rPr>
            </w:pPr>
          </w:p>
        </w:tc>
        <w:tc>
          <w:tcPr>
            <w:tcW w:w="1327" w:type="dxa"/>
            <w:vAlign w:val="center"/>
          </w:tcPr>
          <w:p w14:paraId="55417C20">
            <w:pPr>
              <w:widowControl w:val="0"/>
              <w:kinsoku/>
              <w:wordWrap w:val="0"/>
              <w:topLinePunct/>
              <w:autoSpaceDE/>
              <w:autoSpaceDN/>
              <w:jc w:val="center"/>
              <w:rPr>
                <w:color w:val="auto"/>
              </w:rPr>
            </w:pPr>
          </w:p>
        </w:tc>
        <w:tc>
          <w:tcPr>
            <w:tcW w:w="1596" w:type="dxa"/>
            <w:vAlign w:val="center"/>
          </w:tcPr>
          <w:p w14:paraId="4C43AED7">
            <w:pPr>
              <w:widowControl w:val="0"/>
              <w:kinsoku/>
              <w:wordWrap w:val="0"/>
              <w:topLinePunct/>
              <w:autoSpaceDE/>
              <w:autoSpaceDN/>
              <w:jc w:val="center"/>
              <w:rPr>
                <w:color w:val="auto"/>
              </w:rPr>
            </w:pPr>
          </w:p>
        </w:tc>
        <w:tc>
          <w:tcPr>
            <w:tcW w:w="1009" w:type="dxa"/>
            <w:tcBorders>
              <w:right w:val="single" w:color="000000" w:sz="6" w:space="0"/>
            </w:tcBorders>
            <w:vAlign w:val="center"/>
          </w:tcPr>
          <w:p w14:paraId="5B97586D">
            <w:pPr>
              <w:widowControl w:val="0"/>
              <w:kinsoku/>
              <w:wordWrap w:val="0"/>
              <w:topLinePunct/>
              <w:autoSpaceDE/>
              <w:autoSpaceDN/>
              <w:jc w:val="center"/>
              <w:rPr>
                <w:color w:val="auto"/>
              </w:rPr>
            </w:pPr>
          </w:p>
        </w:tc>
      </w:tr>
      <w:tr w14:paraId="6DDAA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24" w:type="dxa"/>
            <w:tcBorders>
              <w:left w:val="single" w:color="000000" w:sz="6" w:space="0"/>
              <w:bottom w:val="single" w:color="000000" w:sz="6" w:space="0"/>
            </w:tcBorders>
            <w:vAlign w:val="center"/>
          </w:tcPr>
          <w:p w14:paraId="1BCAB3D4">
            <w:pPr>
              <w:widowControl w:val="0"/>
              <w:kinsoku/>
              <w:wordWrap w:val="0"/>
              <w:topLinePunct/>
              <w:autoSpaceDE/>
              <w:autoSpaceDN/>
              <w:jc w:val="center"/>
              <w:rPr>
                <w:color w:val="auto"/>
              </w:rPr>
            </w:pPr>
          </w:p>
        </w:tc>
        <w:tc>
          <w:tcPr>
            <w:tcW w:w="2125" w:type="dxa"/>
            <w:tcBorders>
              <w:bottom w:val="single" w:color="000000" w:sz="6" w:space="0"/>
            </w:tcBorders>
            <w:vAlign w:val="center"/>
          </w:tcPr>
          <w:p w14:paraId="4A619FEF">
            <w:pPr>
              <w:widowControl w:val="0"/>
              <w:kinsoku/>
              <w:wordWrap w:val="0"/>
              <w:topLinePunct/>
              <w:autoSpaceDE/>
              <w:autoSpaceDN/>
              <w:jc w:val="center"/>
              <w:rPr>
                <w:color w:val="auto"/>
              </w:rPr>
            </w:pPr>
          </w:p>
        </w:tc>
        <w:tc>
          <w:tcPr>
            <w:tcW w:w="2128" w:type="dxa"/>
            <w:tcBorders>
              <w:bottom w:val="single" w:color="000000" w:sz="6" w:space="0"/>
            </w:tcBorders>
            <w:vAlign w:val="center"/>
          </w:tcPr>
          <w:p w14:paraId="1E417E73">
            <w:pPr>
              <w:widowControl w:val="0"/>
              <w:kinsoku/>
              <w:wordWrap w:val="0"/>
              <w:topLinePunct/>
              <w:autoSpaceDE/>
              <w:autoSpaceDN/>
              <w:jc w:val="center"/>
              <w:rPr>
                <w:color w:val="auto"/>
              </w:rPr>
            </w:pPr>
          </w:p>
        </w:tc>
        <w:tc>
          <w:tcPr>
            <w:tcW w:w="1327" w:type="dxa"/>
            <w:tcBorders>
              <w:bottom w:val="single" w:color="000000" w:sz="6" w:space="0"/>
            </w:tcBorders>
            <w:vAlign w:val="center"/>
          </w:tcPr>
          <w:p w14:paraId="519CC776">
            <w:pPr>
              <w:widowControl w:val="0"/>
              <w:kinsoku/>
              <w:wordWrap w:val="0"/>
              <w:topLinePunct/>
              <w:autoSpaceDE/>
              <w:autoSpaceDN/>
              <w:jc w:val="center"/>
              <w:rPr>
                <w:color w:val="auto"/>
              </w:rPr>
            </w:pPr>
          </w:p>
        </w:tc>
        <w:tc>
          <w:tcPr>
            <w:tcW w:w="1596" w:type="dxa"/>
            <w:tcBorders>
              <w:bottom w:val="single" w:color="000000" w:sz="6" w:space="0"/>
            </w:tcBorders>
            <w:vAlign w:val="center"/>
          </w:tcPr>
          <w:p w14:paraId="069CD0DD">
            <w:pPr>
              <w:widowControl w:val="0"/>
              <w:kinsoku/>
              <w:wordWrap w:val="0"/>
              <w:topLinePunct/>
              <w:autoSpaceDE/>
              <w:autoSpaceDN/>
              <w:jc w:val="center"/>
              <w:rPr>
                <w:color w:val="auto"/>
              </w:rPr>
            </w:pPr>
          </w:p>
        </w:tc>
        <w:tc>
          <w:tcPr>
            <w:tcW w:w="1009" w:type="dxa"/>
            <w:tcBorders>
              <w:bottom w:val="single" w:color="000000" w:sz="6" w:space="0"/>
              <w:right w:val="single" w:color="000000" w:sz="6" w:space="0"/>
            </w:tcBorders>
            <w:vAlign w:val="center"/>
          </w:tcPr>
          <w:p w14:paraId="49055D57">
            <w:pPr>
              <w:widowControl w:val="0"/>
              <w:kinsoku/>
              <w:wordWrap w:val="0"/>
              <w:topLinePunct/>
              <w:autoSpaceDE/>
              <w:autoSpaceDN/>
              <w:jc w:val="center"/>
              <w:rPr>
                <w:color w:val="auto"/>
              </w:rPr>
            </w:pPr>
          </w:p>
        </w:tc>
      </w:tr>
    </w:tbl>
    <w:p w14:paraId="797DDE6D">
      <w:pPr>
        <w:spacing w:before="30" w:line="211" w:lineRule="auto"/>
        <w:ind w:left="81"/>
        <w:rPr>
          <w:rFonts w:hint="eastAsia" w:ascii="宋体" w:hAnsi="宋体" w:eastAsia="宋体" w:cs="宋体"/>
          <w:color w:val="auto"/>
          <w:sz w:val="22"/>
          <w:szCs w:val="22"/>
          <w:lang w:eastAsia="zh-CN"/>
        </w:rPr>
      </w:pPr>
      <w:r>
        <w:rPr>
          <w:rFonts w:ascii="宋体" w:hAnsi="宋体" w:eastAsia="宋体" w:cs="宋体"/>
          <w:i/>
          <w:iCs/>
          <w:color w:val="auto"/>
          <w:sz w:val="22"/>
          <w:szCs w:val="22"/>
          <w:lang w:eastAsia="zh-CN"/>
        </w:rPr>
        <w:t>注：无零星工作项目的，本表删除。</w:t>
      </w:r>
    </w:p>
    <w:p w14:paraId="6CCB0098">
      <w:pPr>
        <w:rPr>
          <w:rFonts w:hint="eastAsia" w:ascii="宋体" w:hAnsi="宋体" w:eastAsia="宋体" w:cs="宋体"/>
          <w:color w:val="auto"/>
          <w:sz w:val="22"/>
          <w:szCs w:val="22"/>
          <w:lang w:eastAsia="zh-CN"/>
        </w:rPr>
      </w:pPr>
      <w:r>
        <w:rPr>
          <w:rFonts w:ascii="宋体" w:hAnsi="宋体" w:eastAsia="宋体" w:cs="宋体"/>
          <w:color w:val="auto"/>
          <w:sz w:val="22"/>
          <w:szCs w:val="22"/>
          <w:lang w:eastAsia="zh-CN"/>
        </w:rPr>
        <w:br w:type="page"/>
      </w:r>
    </w:p>
    <w:p w14:paraId="42E2B0F1">
      <w:pPr>
        <w:widowControl w:val="0"/>
        <w:kinsoku/>
        <w:wordWrap w:val="0"/>
        <w:topLinePunct/>
        <w:autoSpaceDE/>
        <w:autoSpaceDN/>
        <w:spacing w:line="360" w:lineRule="auto"/>
        <w:jc w:val="center"/>
        <w:rPr>
          <w:rFonts w:hint="eastAsia" w:ascii="宋体" w:hAnsi="宋体" w:eastAsia="宋体" w:cs="宋体"/>
          <w:b/>
          <w:bCs/>
          <w:color w:val="auto"/>
          <w:sz w:val="28"/>
          <w:szCs w:val="28"/>
          <w:lang w:eastAsia="zh-CN"/>
        </w:rPr>
      </w:pPr>
      <w:r>
        <w:rPr>
          <w:rFonts w:ascii="宋体" w:hAnsi="宋体" w:eastAsia="宋体" w:cs="宋体"/>
          <w:b/>
          <w:bCs/>
          <w:color w:val="auto"/>
          <w:sz w:val="28"/>
          <w:szCs w:val="28"/>
          <w:lang w:eastAsia="zh-CN"/>
        </w:rPr>
        <w:t>招标人供应材料价格表</w:t>
      </w:r>
    </w:p>
    <w:p w14:paraId="0DAAF2C8">
      <w:pPr>
        <w:widowControl w:val="0"/>
        <w:kinsoku/>
        <w:wordWrap w:val="0"/>
        <w:topLinePunct/>
        <w:autoSpaceDE/>
        <w:autoSpaceDN/>
        <w:spacing w:line="360" w:lineRule="auto"/>
        <w:jc w:val="both"/>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tbl>
      <w:tblPr>
        <w:tblStyle w:val="20"/>
        <w:tblW w:w="900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7"/>
        <w:gridCol w:w="1394"/>
        <w:gridCol w:w="1577"/>
        <w:gridCol w:w="1193"/>
        <w:gridCol w:w="1473"/>
        <w:gridCol w:w="1557"/>
        <w:gridCol w:w="987"/>
      </w:tblGrid>
      <w:tr w14:paraId="755BC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827" w:type="dxa"/>
            <w:tcBorders>
              <w:top w:val="single" w:color="000000" w:sz="6" w:space="0"/>
              <w:left w:val="single" w:color="000000" w:sz="6" w:space="0"/>
            </w:tcBorders>
            <w:vAlign w:val="center"/>
          </w:tcPr>
          <w:p w14:paraId="7230A557">
            <w:pPr>
              <w:pStyle w:val="21"/>
              <w:widowControl w:val="0"/>
              <w:kinsoku/>
              <w:wordWrap w:val="0"/>
              <w:topLinePunct/>
              <w:autoSpaceDE/>
              <w:autoSpaceDN/>
              <w:jc w:val="center"/>
              <w:rPr>
                <w:rFonts w:hint="eastAsia"/>
                <w:color w:val="auto"/>
                <w:sz w:val="21"/>
                <w:szCs w:val="21"/>
              </w:rPr>
            </w:pPr>
            <w:r>
              <w:rPr>
                <w:color w:val="auto"/>
                <w:sz w:val="21"/>
                <w:szCs w:val="21"/>
              </w:rPr>
              <w:t>序号</w:t>
            </w:r>
          </w:p>
        </w:tc>
        <w:tc>
          <w:tcPr>
            <w:tcW w:w="1394" w:type="dxa"/>
            <w:tcBorders>
              <w:top w:val="single" w:color="000000" w:sz="6" w:space="0"/>
            </w:tcBorders>
            <w:vAlign w:val="center"/>
          </w:tcPr>
          <w:p w14:paraId="4F43EDC5">
            <w:pPr>
              <w:pStyle w:val="21"/>
              <w:widowControl w:val="0"/>
              <w:kinsoku/>
              <w:wordWrap w:val="0"/>
              <w:topLinePunct/>
              <w:autoSpaceDE/>
              <w:autoSpaceDN/>
              <w:jc w:val="center"/>
              <w:rPr>
                <w:rFonts w:hint="eastAsia"/>
                <w:color w:val="auto"/>
                <w:sz w:val="21"/>
                <w:szCs w:val="21"/>
              </w:rPr>
            </w:pPr>
            <w:r>
              <w:rPr>
                <w:color w:val="auto"/>
                <w:sz w:val="21"/>
                <w:szCs w:val="21"/>
              </w:rPr>
              <w:t>材料名称</w:t>
            </w:r>
          </w:p>
        </w:tc>
        <w:tc>
          <w:tcPr>
            <w:tcW w:w="1577" w:type="dxa"/>
            <w:tcBorders>
              <w:top w:val="single" w:color="000000" w:sz="6" w:space="0"/>
            </w:tcBorders>
            <w:vAlign w:val="center"/>
          </w:tcPr>
          <w:p w14:paraId="7C057F72">
            <w:pPr>
              <w:pStyle w:val="21"/>
              <w:widowControl w:val="0"/>
              <w:kinsoku/>
              <w:wordWrap w:val="0"/>
              <w:topLinePunct/>
              <w:autoSpaceDE/>
              <w:autoSpaceDN/>
              <w:jc w:val="center"/>
              <w:rPr>
                <w:rFonts w:hint="eastAsia"/>
                <w:color w:val="auto"/>
                <w:sz w:val="21"/>
                <w:szCs w:val="21"/>
              </w:rPr>
            </w:pPr>
            <w:r>
              <w:rPr>
                <w:color w:val="auto"/>
                <w:sz w:val="21"/>
                <w:szCs w:val="21"/>
              </w:rPr>
              <w:t>规格型号</w:t>
            </w:r>
          </w:p>
        </w:tc>
        <w:tc>
          <w:tcPr>
            <w:tcW w:w="1193" w:type="dxa"/>
            <w:tcBorders>
              <w:top w:val="single" w:color="000000" w:sz="6" w:space="0"/>
            </w:tcBorders>
            <w:vAlign w:val="center"/>
          </w:tcPr>
          <w:p w14:paraId="79F7334B">
            <w:pPr>
              <w:pStyle w:val="21"/>
              <w:widowControl w:val="0"/>
              <w:kinsoku/>
              <w:wordWrap w:val="0"/>
              <w:topLinePunct/>
              <w:autoSpaceDE/>
              <w:autoSpaceDN/>
              <w:jc w:val="center"/>
              <w:rPr>
                <w:rFonts w:hint="eastAsia"/>
                <w:color w:val="auto"/>
                <w:sz w:val="21"/>
                <w:szCs w:val="21"/>
              </w:rPr>
            </w:pPr>
            <w:r>
              <w:rPr>
                <w:color w:val="auto"/>
                <w:sz w:val="21"/>
                <w:szCs w:val="21"/>
              </w:rPr>
              <w:t>计量单位</w:t>
            </w:r>
          </w:p>
        </w:tc>
        <w:tc>
          <w:tcPr>
            <w:tcW w:w="1473" w:type="dxa"/>
            <w:tcBorders>
              <w:top w:val="single" w:color="000000" w:sz="6" w:space="0"/>
            </w:tcBorders>
            <w:vAlign w:val="center"/>
          </w:tcPr>
          <w:p w14:paraId="1B77C041">
            <w:pPr>
              <w:pStyle w:val="21"/>
              <w:widowControl w:val="0"/>
              <w:kinsoku/>
              <w:wordWrap w:val="0"/>
              <w:topLinePunct/>
              <w:autoSpaceDE/>
              <w:autoSpaceDN/>
              <w:jc w:val="center"/>
              <w:rPr>
                <w:rFonts w:hint="eastAsia"/>
                <w:color w:val="auto"/>
                <w:sz w:val="21"/>
                <w:szCs w:val="21"/>
              </w:rPr>
            </w:pPr>
            <w:r>
              <w:rPr>
                <w:color w:val="auto"/>
                <w:sz w:val="21"/>
                <w:szCs w:val="21"/>
              </w:rPr>
              <w:t>供应价（元）</w:t>
            </w:r>
          </w:p>
        </w:tc>
        <w:tc>
          <w:tcPr>
            <w:tcW w:w="1557" w:type="dxa"/>
            <w:tcBorders>
              <w:top w:val="single" w:color="000000" w:sz="6" w:space="0"/>
            </w:tcBorders>
            <w:vAlign w:val="center"/>
          </w:tcPr>
          <w:p w14:paraId="5C1748C4">
            <w:pPr>
              <w:pStyle w:val="21"/>
              <w:widowControl w:val="0"/>
              <w:kinsoku/>
              <w:wordWrap w:val="0"/>
              <w:topLinePunct/>
              <w:autoSpaceDE/>
              <w:autoSpaceDN/>
              <w:jc w:val="center"/>
              <w:rPr>
                <w:rFonts w:hint="eastAsia"/>
                <w:color w:val="auto"/>
                <w:sz w:val="21"/>
                <w:szCs w:val="21"/>
              </w:rPr>
            </w:pPr>
            <w:r>
              <w:rPr>
                <w:color w:val="auto"/>
                <w:sz w:val="21"/>
                <w:szCs w:val="21"/>
              </w:rPr>
              <w:t>供应条件</w:t>
            </w:r>
          </w:p>
        </w:tc>
        <w:tc>
          <w:tcPr>
            <w:tcW w:w="987" w:type="dxa"/>
            <w:tcBorders>
              <w:top w:val="single" w:color="000000" w:sz="6" w:space="0"/>
              <w:right w:val="single" w:color="000000" w:sz="6" w:space="0"/>
            </w:tcBorders>
            <w:vAlign w:val="center"/>
          </w:tcPr>
          <w:p w14:paraId="044F682A">
            <w:pPr>
              <w:pStyle w:val="21"/>
              <w:widowControl w:val="0"/>
              <w:kinsoku/>
              <w:wordWrap w:val="0"/>
              <w:topLinePunct/>
              <w:autoSpaceDE/>
              <w:autoSpaceDN/>
              <w:jc w:val="center"/>
              <w:rPr>
                <w:rFonts w:hint="eastAsia"/>
                <w:color w:val="auto"/>
                <w:sz w:val="21"/>
                <w:szCs w:val="21"/>
              </w:rPr>
            </w:pPr>
            <w:r>
              <w:rPr>
                <w:color w:val="auto"/>
                <w:sz w:val="21"/>
                <w:szCs w:val="21"/>
              </w:rPr>
              <w:t>备注</w:t>
            </w:r>
          </w:p>
        </w:tc>
      </w:tr>
      <w:tr w14:paraId="1FCC0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center"/>
          </w:tcPr>
          <w:p w14:paraId="5D23291F">
            <w:pPr>
              <w:widowControl w:val="0"/>
              <w:kinsoku/>
              <w:wordWrap w:val="0"/>
              <w:topLinePunct/>
              <w:autoSpaceDE/>
              <w:autoSpaceDN/>
              <w:jc w:val="center"/>
              <w:rPr>
                <w:color w:val="auto"/>
              </w:rPr>
            </w:pPr>
          </w:p>
        </w:tc>
        <w:tc>
          <w:tcPr>
            <w:tcW w:w="1394" w:type="dxa"/>
            <w:vAlign w:val="center"/>
          </w:tcPr>
          <w:p w14:paraId="28ED7C14">
            <w:pPr>
              <w:widowControl w:val="0"/>
              <w:kinsoku/>
              <w:wordWrap w:val="0"/>
              <w:topLinePunct/>
              <w:autoSpaceDE/>
              <w:autoSpaceDN/>
              <w:jc w:val="center"/>
              <w:rPr>
                <w:color w:val="auto"/>
              </w:rPr>
            </w:pPr>
          </w:p>
        </w:tc>
        <w:tc>
          <w:tcPr>
            <w:tcW w:w="1577" w:type="dxa"/>
            <w:vAlign w:val="center"/>
          </w:tcPr>
          <w:p w14:paraId="39BDE1BC">
            <w:pPr>
              <w:widowControl w:val="0"/>
              <w:kinsoku/>
              <w:wordWrap w:val="0"/>
              <w:topLinePunct/>
              <w:autoSpaceDE/>
              <w:autoSpaceDN/>
              <w:jc w:val="center"/>
              <w:rPr>
                <w:color w:val="auto"/>
              </w:rPr>
            </w:pPr>
          </w:p>
        </w:tc>
        <w:tc>
          <w:tcPr>
            <w:tcW w:w="1193" w:type="dxa"/>
            <w:vAlign w:val="center"/>
          </w:tcPr>
          <w:p w14:paraId="4489B44D">
            <w:pPr>
              <w:widowControl w:val="0"/>
              <w:kinsoku/>
              <w:wordWrap w:val="0"/>
              <w:topLinePunct/>
              <w:autoSpaceDE/>
              <w:autoSpaceDN/>
              <w:jc w:val="center"/>
              <w:rPr>
                <w:color w:val="auto"/>
              </w:rPr>
            </w:pPr>
          </w:p>
        </w:tc>
        <w:tc>
          <w:tcPr>
            <w:tcW w:w="1473" w:type="dxa"/>
            <w:vAlign w:val="center"/>
          </w:tcPr>
          <w:p w14:paraId="71D6C0FE">
            <w:pPr>
              <w:widowControl w:val="0"/>
              <w:kinsoku/>
              <w:wordWrap w:val="0"/>
              <w:topLinePunct/>
              <w:autoSpaceDE/>
              <w:autoSpaceDN/>
              <w:jc w:val="center"/>
              <w:rPr>
                <w:color w:val="auto"/>
              </w:rPr>
            </w:pPr>
          </w:p>
        </w:tc>
        <w:tc>
          <w:tcPr>
            <w:tcW w:w="1557" w:type="dxa"/>
            <w:vAlign w:val="center"/>
          </w:tcPr>
          <w:p w14:paraId="56B6B400">
            <w:pPr>
              <w:widowControl w:val="0"/>
              <w:kinsoku/>
              <w:wordWrap w:val="0"/>
              <w:topLinePunct/>
              <w:autoSpaceDE/>
              <w:autoSpaceDN/>
              <w:jc w:val="center"/>
              <w:rPr>
                <w:color w:val="auto"/>
              </w:rPr>
            </w:pPr>
          </w:p>
        </w:tc>
        <w:tc>
          <w:tcPr>
            <w:tcW w:w="987" w:type="dxa"/>
            <w:tcBorders>
              <w:right w:val="single" w:color="000000" w:sz="6" w:space="0"/>
            </w:tcBorders>
            <w:vAlign w:val="center"/>
          </w:tcPr>
          <w:p w14:paraId="3A245B36">
            <w:pPr>
              <w:widowControl w:val="0"/>
              <w:kinsoku/>
              <w:wordWrap w:val="0"/>
              <w:topLinePunct/>
              <w:autoSpaceDE/>
              <w:autoSpaceDN/>
              <w:jc w:val="center"/>
              <w:rPr>
                <w:color w:val="auto"/>
              </w:rPr>
            </w:pPr>
          </w:p>
        </w:tc>
      </w:tr>
      <w:tr w14:paraId="679649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center"/>
          </w:tcPr>
          <w:p w14:paraId="702BFAD2">
            <w:pPr>
              <w:widowControl w:val="0"/>
              <w:kinsoku/>
              <w:wordWrap w:val="0"/>
              <w:topLinePunct/>
              <w:autoSpaceDE/>
              <w:autoSpaceDN/>
              <w:jc w:val="center"/>
              <w:rPr>
                <w:color w:val="auto"/>
              </w:rPr>
            </w:pPr>
          </w:p>
        </w:tc>
        <w:tc>
          <w:tcPr>
            <w:tcW w:w="1394" w:type="dxa"/>
            <w:vAlign w:val="center"/>
          </w:tcPr>
          <w:p w14:paraId="62423848">
            <w:pPr>
              <w:widowControl w:val="0"/>
              <w:kinsoku/>
              <w:wordWrap w:val="0"/>
              <w:topLinePunct/>
              <w:autoSpaceDE/>
              <w:autoSpaceDN/>
              <w:jc w:val="center"/>
              <w:rPr>
                <w:color w:val="auto"/>
              </w:rPr>
            </w:pPr>
          </w:p>
        </w:tc>
        <w:tc>
          <w:tcPr>
            <w:tcW w:w="1577" w:type="dxa"/>
            <w:vAlign w:val="center"/>
          </w:tcPr>
          <w:p w14:paraId="217614E0">
            <w:pPr>
              <w:widowControl w:val="0"/>
              <w:kinsoku/>
              <w:wordWrap w:val="0"/>
              <w:topLinePunct/>
              <w:autoSpaceDE/>
              <w:autoSpaceDN/>
              <w:jc w:val="center"/>
              <w:rPr>
                <w:color w:val="auto"/>
              </w:rPr>
            </w:pPr>
          </w:p>
        </w:tc>
        <w:tc>
          <w:tcPr>
            <w:tcW w:w="1193" w:type="dxa"/>
            <w:vAlign w:val="center"/>
          </w:tcPr>
          <w:p w14:paraId="4A0B8C5F">
            <w:pPr>
              <w:widowControl w:val="0"/>
              <w:kinsoku/>
              <w:wordWrap w:val="0"/>
              <w:topLinePunct/>
              <w:autoSpaceDE/>
              <w:autoSpaceDN/>
              <w:jc w:val="center"/>
              <w:rPr>
                <w:color w:val="auto"/>
              </w:rPr>
            </w:pPr>
          </w:p>
        </w:tc>
        <w:tc>
          <w:tcPr>
            <w:tcW w:w="1473" w:type="dxa"/>
            <w:vAlign w:val="center"/>
          </w:tcPr>
          <w:p w14:paraId="3814FECA">
            <w:pPr>
              <w:widowControl w:val="0"/>
              <w:kinsoku/>
              <w:wordWrap w:val="0"/>
              <w:topLinePunct/>
              <w:autoSpaceDE/>
              <w:autoSpaceDN/>
              <w:jc w:val="center"/>
              <w:rPr>
                <w:color w:val="auto"/>
              </w:rPr>
            </w:pPr>
          </w:p>
        </w:tc>
        <w:tc>
          <w:tcPr>
            <w:tcW w:w="1557" w:type="dxa"/>
            <w:vAlign w:val="center"/>
          </w:tcPr>
          <w:p w14:paraId="187F62E7">
            <w:pPr>
              <w:widowControl w:val="0"/>
              <w:kinsoku/>
              <w:wordWrap w:val="0"/>
              <w:topLinePunct/>
              <w:autoSpaceDE/>
              <w:autoSpaceDN/>
              <w:jc w:val="center"/>
              <w:rPr>
                <w:color w:val="auto"/>
              </w:rPr>
            </w:pPr>
          </w:p>
        </w:tc>
        <w:tc>
          <w:tcPr>
            <w:tcW w:w="987" w:type="dxa"/>
            <w:tcBorders>
              <w:right w:val="single" w:color="000000" w:sz="6" w:space="0"/>
            </w:tcBorders>
            <w:vAlign w:val="center"/>
          </w:tcPr>
          <w:p w14:paraId="6A01F163">
            <w:pPr>
              <w:widowControl w:val="0"/>
              <w:kinsoku/>
              <w:wordWrap w:val="0"/>
              <w:topLinePunct/>
              <w:autoSpaceDE/>
              <w:autoSpaceDN/>
              <w:jc w:val="center"/>
              <w:rPr>
                <w:color w:val="auto"/>
              </w:rPr>
            </w:pPr>
          </w:p>
        </w:tc>
      </w:tr>
      <w:tr w14:paraId="6F992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center"/>
          </w:tcPr>
          <w:p w14:paraId="0B7C076E">
            <w:pPr>
              <w:widowControl w:val="0"/>
              <w:kinsoku/>
              <w:wordWrap w:val="0"/>
              <w:topLinePunct/>
              <w:autoSpaceDE/>
              <w:autoSpaceDN/>
              <w:jc w:val="center"/>
              <w:rPr>
                <w:color w:val="auto"/>
              </w:rPr>
            </w:pPr>
          </w:p>
        </w:tc>
        <w:tc>
          <w:tcPr>
            <w:tcW w:w="1394" w:type="dxa"/>
            <w:vAlign w:val="center"/>
          </w:tcPr>
          <w:p w14:paraId="3035CCCC">
            <w:pPr>
              <w:widowControl w:val="0"/>
              <w:kinsoku/>
              <w:wordWrap w:val="0"/>
              <w:topLinePunct/>
              <w:autoSpaceDE/>
              <w:autoSpaceDN/>
              <w:jc w:val="center"/>
              <w:rPr>
                <w:color w:val="auto"/>
              </w:rPr>
            </w:pPr>
          </w:p>
        </w:tc>
        <w:tc>
          <w:tcPr>
            <w:tcW w:w="1577" w:type="dxa"/>
            <w:vAlign w:val="center"/>
          </w:tcPr>
          <w:p w14:paraId="1AFE6CAD">
            <w:pPr>
              <w:widowControl w:val="0"/>
              <w:kinsoku/>
              <w:wordWrap w:val="0"/>
              <w:topLinePunct/>
              <w:autoSpaceDE/>
              <w:autoSpaceDN/>
              <w:jc w:val="center"/>
              <w:rPr>
                <w:color w:val="auto"/>
              </w:rPr>
            </w:pPr>
          </w:p>
        </w:tc>
        <w:tc>
          <w:tcPr>
            <w:tcW w:w="1193" w:type="dxa"/>
            <w:vAlign w:val="center"/>
          </w:tcPr>
          <w:p w14:paraId="2D9BF606">
            <w:pPr>
              <w:widowControl w:val="0"/>
              <w:kinsoku/>
              <w:wordWrap w:val="0"/>
              <w:topLinePunct/>
              <w:autoSpaceDE/>
              <w:autoSpaceDN/>
              <w:jc w:val="center"/>
              <w:rPr>
                <w:color w:val="auto"/>
              </w:rPr>
            </w:pPr>
          </w:p>
        </w:tc>
        <w:tc>
          <w:tcPr>
            <w:tcW w:w="1473" w:type="dxa"/>
            <w:vAlign w:val="center"/>
          </w:tcPr>
          <w:p w14:paraId="533A2177">
            <w:pPr>
              <w:widowControl w:val="0"/>
              <w:kinsoku/>
              <w:wordWrap w:val="0"/>
              <w:topLinePunct/>
              <w:autoSpaceDE/>
              <w:autoSpaceDN/>
              <w:jc w:val="center"/>
              <w:rPr>
                <w:color w:val="auto"/>
              </w:rPr>
            </w:pPr>
          </w:p>
        </w:tc>
        <w:tc>
          <w:tcPr>
            <w:tcW w:w="1557" w:type="dxa"/>
            <w:vAlign w:val="center"/>
          </w:tcPr>
          <w:p w14:paraId="7822B189">
            <w:pPr>
              <w:widowControl w:val="0"/>
              <w:kinsoku/>
              <w:wordWrap w:val="0"/>
              <w:topLinePunct/>
              <w:autoSpaceDE/>
              <w:autoSpaceDN/>
              <w:jc w:val="center"/>
              <w:rPr>
                <w:color w:val="auto"/>
              </w:rPr>
            </w:pPr>
          </w:p>
        </w:tc>
        <w:tc>
          <w:tcPr>
            <w:tcW w:w="987" w:type="dxa"/>
            <w:tcBorders>
              <w:right w:val="single" w:color="000000" w:sz="6" w:space="0"/>
            </w:tcBorders>
            <w:vAlign w:val="center"/>
          </w:tcPr>
          <w:p w14:paraId="6601D6C5">
            <w:pPr>
              <w:widowControl w:val="0"/>
              <w:kinsoku/>
              <w:wordWrap w:val="0"/>
              <w:topLinePunct/>
              <w:autoSpaceDE/>
              <w:autoSpaceDN/>
              <w:jc w:val="center"/>
              <w:rPr>
                <w:color w:val="auto"/>
              </w:rPr>
            </w:pPr>
          </w:p>
        </w:tc>
      </w:tr>
      <w:tr w14:paraId="510BB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27" w:type="dxa"/>
            <w:tcBorders>
              <w:left w:val="single" w:color="000000" w:sz="6" w:space="0"/>
            </w:tcBorders>
            <w:vAlign w:val="center"/>
          </w:tcPr>
          <w:p w14:paraId="60E4669F">
            <w:pPr>
              <w:widowControl w:val="0"/>
              <w:kinsoku/>
              <w:wordWrap w:val="0"/>
              <w:topLinePunct/>
              <w:autoSpaceDE/>
              <w:autoSpaceDN/>
              <w:jc w:val="center"/>
              <w:rPr>
                <w:color w:val="auto"/>
              </w:rPr>
            </w:pPr>
          </w:p>
        </w:tc>
        <w:tc>
          <w:tcPr>
            <w:tcW w:w="1394" w:type="dxa"/>
            <w:vAlign w:val="center"/>
          </w:tcPr>
          <w:p w14:paraId="3541DB5F">
            <w:pPr>
              <w:widowControl w:val="0"/>
              <w:kinsoku/>
              <w:wordWrap w:val="0"/>
              <w:topLinePunct/>
              <w:autoSpaceDE/>
              <w:autoSpaceDN/>
              <w:jc w:val="center"/>
              <w:rPr>
                <w:color w:val="auto"/>
              </w:rPr>
            </w:pPr>
          </w:p>
        </w:tc>
        <w:tc>
          <w:tcPr>
            <w:tcW w:w="1577" w:type="dxa"/>
            <w:vAlign w:val="center"/>
          </w:tcPr>
          <w:p w14:paraId="3A899DC9">
            <w:pPr>
              <w:widowControl w:val="0"/>
              <w:kinsoku/>
              <w:wordWrap w:val="0"/>
              <w:topLinePunct/>
              <w:autoSpaceDE/>
              <w:autoSpaceDN/>
              <w:jc w:val="center"/>
              <w:rPr>
                <w:color w:val="auto"/>
              </w:rPr>
            </w:pPr>
          </w:p>
        </w:tc>
        <w:tc>
          <w:tcPr>
            <w:tcW w:w="1193" w:type="dxa"/>
            <w:vAlign w:val="center"/>
          </w:tcPr>
          <w:p w14:paraId="4C76EC6E">
            <w:pPr>
              <w:widowControl w:val="0"/>
              <w:kinsoku/>
              <w:wordWrap w:val="0"/>
              <w:topLinePunct/>
              <w:autoSpaceDE/>
              <w:autoSpaceDN/>
              <w:jc w:val="center"/>
              <w:rPr>
                <w:color w:val="auto"/>
              </w:rPr>
            </w:pPr>
          </w:p>
        </w:tc>
        <w:tc>
          <w:tcPr>
            <w:tcW w:w="1473" w:type="dxa"/>
            <w:vAlign w:val="center"/>
          </w:tcPr>
          <w:p w14:paraId="09590B96">
            <w:pPr>
              <w:widowControl w:val="0"/>
              <w:kinsoku/>
              <w:wordWrap w:val="0"/>
              <w:topLinePunct/>
              <w:autoSpaceDE/>
              <w:autoSpaceDN/>
              <w:jc w:val="center"/>
              <w:rPr>
                <w:color w:val="auto"/>
              </w:rPr>
            </w:pPr>
          </w:p>
        </w:tc>
        <w:tc>
          <w:tcPr>
            <w:tcW w:w="1557" w:type="dxa"/>
            <w:vAlign w:val="center"/>
          </w:tcPr>
          <w:p w14:paraId="381E21E1">
            <w:pPr>
              <w:widowControl w:val="0"/>
              <w:kinsoku/>
              <w:wordWrap w:val="0"/>
              <w:topLinePunct/>
              <w:autoSpaceDE/>
              <w:autoSpaceDN/>
              <w:jc w:val="center"/>
              <w:rPr>
                <w:color w:val="auto"/>
              </w:rPr>
            </w:pPr>
          </w:p>
        </w:tc>
        <w:tc>
          <w:tcPr>
            <w:tcW w:w="987" w:type="dxa"/>
            <w:tcBorders>
              <w:right w:val="single" w:color="000000" w:sz="6" w:space="0"/>
            </w:tcBorders>
            <w:vAlign w:val="center"/>
          </w:tcPr>
          <w:p w14:paraId="77068AE7">
            <w:pPr>
              <w:widowControl w:val="0"/>
              <w:kinsoku/>
              <w:wordWrap w:val="0"/>
              <w:topLinePunct/>
              <w:autoSpaceDE/>
              <w:autoSpaceDN/>
              <w:jc w:val="center"/>
              <w:rPr>
                <w:color w:val="auto"/>
              </w:rPr>
            </w:pPr>
          </w:p>
        </w:tc>
      </w:tr>
      <w:tr w14:paraId="22535C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center"/>
          </w:tcPr>
          <w:p w14:paraId="4A2F7E82">
            <w:pPr>
              <w:widowControl w:val="0"/>
              <w:kinsoku/>
              <w:wordWrap w:val="0"/>
              <w:topLinePunct/>
              <w:autoSpaceDE/>
              <w:autoSpaceDN/>
              <w:jc w:val="center"/>
              <w:rPr>
                <w:color w:val="auto"/>
              </w:rPr>
            </w:pPr>
          </w:p>
        </w:tc>
        <w:tc>
          <w:tcPr>
            <w:tcW w:w="1394" w:type="dxa"/>
            <w:vAlign w:val="center"/>
          </w:tcPr>
          <w:p w14:paraId="1B152A6E">
            <w:pPr>
              <w:widowControl w:val="0"/>
              <w:kinsoku/>
              <w:wordWrap w:val="0"/>
              <w:topLinePunct/>
              <w:autoSpaceDE/>
              <w:autoSpaceDN/>
              <w:jc w:val="center"/>
              <w:rPr>
                <w:color w:val="auto"/>
              </w:rPr>
            </w:pPr>
          </w:p>
        </w:tc>
        <w:tc>
          <w:tcPr>
            <w:tcW w:w="1577" w:type="dxa"/>
            <w:vAlign w:val="center"/>
          </w:tcPr>
          <w:p w14:paraId="16097257">
            <w:pPr>
              <w:widowControl w:val="0"/>
              <w:kinsoku/>
              <w:wordWrap w:val="0"/>
              <w:topLinePunct/>
              <w:autoSpaceDE/>
              <w:autoSpaceDN/>
              <w:jc w:val="center"/>
              <w:rPr>
                <w:color w:val="auto"/>
              </w:rPr>
            </w:pPr>
          </w:p>
        </w:tc>
        <w:tc>
          <w:tcPr>
            <w:tcW w:w="1193" w:type="dxa"/>
            <w:vAlign w:val="center"/>
          </w:tcPr>
          <w:p w14:paraId="037425D0">
            <w:pPr>
              <w:widowControl w:val="0"/>
              <w:kinsoku/>
              <w:wordWrap w:val="0"/>
              <w:topLinePunct/>
              <w:autoSpaceDE/>
              <w:autoSpaceDN/>
              <w:jc w:val="center"/>
              <w:rPr>
                <w:color w:val="auto"/>
              </w:rPr>
            </w:pPr>
          </w:p>
        </w:tc>
        <w:tc>
          <w:tcPr>
            <w:tcW w:w="1473" w:type="dxa"/>
            <w:vAlign w:val="center"/>
          </w:tcPr>
          <w:p w14:paraId="19DB4480">
            <w:pPr>
              <w:widowControl w:val="0"/>
              <w:kinsoku/>
              <w:wordWrap w:val="0"/>
              <w:topLinePunct/>
              <w:autoSpaceDE/>
              <w:autoSpaceDN/>
              <w:jc w:val="center"/>
              <w:rPr>
                <w:color w:val="auto"/>
              </w:rPr>
            </w:pPr>
          </w:p>
        </w:tc>
        <w:tc>
          <w:tcPr>
            <w:tcW w:w="1557" w:type="dxa"/>
            <w:vAlign w:val="center"/>
          </w:tcPr>
          <w:p w14:paraId="0BDFB539">
            <w:pPr>
              <w:widowControl w:val="0"/>
              <w:kinsoku/>
              <w:wordWrap w:val="0"/>
              <w:topLinePunct/>
              <w:autoSpaceDE/>
              <w:autoSpaceDN/>
              <w:jc w:val="center"/>
              <w:rPr>
                <w:color w:val="auto"/>
              </w:rPr>
            </w:pPr>
          </w:p>
        </w:tc>
        <w:tc>
          <w:tcPr>
            <w:tcW w:w="987" w:type="dxa"/>
            <w:tcBorders>
              <w:right w:val="single" w:color="000000" w:sz="6" w:space="0"/>
            </w:tcBorders>
            <w:vAlign w:val="center"/>
          </w:tcPr>
          <w:p w14:paraId="20381391">
            <w:pPr>
              <w:widowControl w:val="0"/>
              <w:kinsoku/>
              <w:wordWrap w:val="0"/>
              <w:topLinePunct/>
              <w:autoSpaceDE/>
              <w:autoSpaceDN/>
              <w:jc w:val="center"/>
              <w:rPr>
                <w:color w:val="auto"/>
              </w:rPr>
            </w:pPr>
          </w:p>
        </w:tc>
      </w:tr>
      <w:tr w14:paraId="13C81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center"/>
          </w:tcPr>
          <w:p w14:paraId="73131E09">
            <w:pPr>
              <w:widowControl w:val="0"/>
              <w:kinsoku/>
              <w:wordWrap w:val="0"/>
              <w:topLinePunct/>
              <w:autoSpaceDE/>
              <w:autoSpaceDN/>
              <w:jc w:val="center"/>
              <w:rPr>
                <w:color w:val="auto"/>
              </w:rPr>
            </w:pPr>
          </w:p>
        </w:tc>
        <w:tc>
          <w:tcPr>
            <w:tcW w:w="1394" w:type="dxa"/>
            <w:vAlign w:val="center"/>
          </w:tcPr>
          <w:p w14:paraId="3F7426AC">
            <w:pPr>
              <w:widowControl w:val="0"/>
              <w:kinsoku/>
              <w:wordWrap w:val="0"/>
              <w:topLinePunct/>
              <w:autoSpaceDE/>
              <w:autoSpaceDN/>
              <w:jc w:val="center"/>
              <w:rPr>
                <w:color w:val="auto"/>
              </w:rPr>
            </w:pPr>
          </w:p>
        </w:tc>
        <w:tc>
          <w:tcPr>
            <w:tcW w:w="1577" w:type="dxa"/>
            <w:vAlign w:val="center"/>
          </w:tcPr>
          <w:p w14:paraId="65FC616F">
            <w:pPr>
              <w:widowControl w:val="0"/>
              <w:kinsoku/>
              <w:wordWrap w:val="0"/>
              <w:topLinePunct/>
              <w:autoSpaceDE/>
              <w:autoSpaceDN/>
              <w:jc w:val="center"/>
              <w:rPr>
                <w:color w:val="auto"/>
              </w:rPr>
            </w:pPr>
          </w:p>
        </w:tc>
        <w:tc>
          <w:tcPr>
            <w:tcW w:w="1193" w:type="dxa"/>
            <w:vAlign w:val="center"/>
          </w:tcPr>
          <w:p w14:paraId="1E32CE12">
            <w:pPr>
              <w:widowControl w:val="0"/>
              <w:kinsoku/>
              <w:wordWrap w:val="0"/>
              <w:topLinePunct/>
              <w:autoSpaceDE/>
              <w:autoSpaceDN/>
              <w:jc w:val="center"/>
              <w:rPr>
                <w:color w:val="auto"/>
              </w:rPr>
            </w:pPr>
          </w:p>
        </w:tc>
        <w:tc>
          <w:tcPr>
            <w:tcW w:w="1473" w:type="dxa"/>
            <w:vAlign w:val="center"/>
          </w:tcPr>
          <w:p w14:paraId="1E184DDA">
            <w:pPr>
              <w:widowControl w:val="0"/>
              <w:kinsoku/>
              <w:wordWrap w:val="0"/>
              <w:topLinePunct/>
              <w:autoSpaceDE/>
              <w:autoSpaceDN/>
              <w:jc w:val="center"/>
              <w:rPr>
                <w:color w:val="auto"/>
              </w:rPr>
            </w:pPr>
          </w:p>
        </w:tc>
        <w:tc>
          <w:tcPr>
            <w:tcW w:w="1557" w:type="dxa"/>
            <w:vAlign w:val="center"/>
          </w:tcPr>
          <w:p w14:paraId="256F5859">
            <w:pPr>
              <w:widowControl w:val="0"/>
              <w:kinsoku/>
              <w:wordWrap w:val="0"/>
              <w:topLinePunct/>
              <w:autoSpaceDE/>
              <w:autoSpaceDN/>
              <w:jc w:val="center"/>
              <w:rPr>
                <w:color w:val="auto"/>
              </w:rPr>
            </w:pPr>
          </w:p>
        </w:tc>
        <w:tc>
          <w:tcPr>
            <w:tcW w:w="987" w:type="dxa"/>
            <w:tcBorders>
              <w:right w:val="single" w:color="000000" w:sz="6" w:space="0"/>
            </w:tcBorders>
            <w:vAlign w:val="center"/>
          </w:tcPr>
          <w:p w14:paraId="3B9D11FE">
            <w:pPr>
              <w:widowControl w:val="0"/>
              <w:kinsoku/>
              <w:wordWrap w:val="0"/>
              <w:topLinePunct/>
              <w:autoSpaceDE/>
              <w:autoSpaceDN/>
              <w:jc w:val="center"/>
              <w:rPr>
                <w:color w:val="auto"/>
              </w:rPr>
            </w:pPr>
          </w:p>
        </w:tc>
      </w:tr>
      <w:tr w14:paraId="4A74A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center"/>
          </w:tcPr>
          <w:p w14:paraId="7E4B23C8">
            <w:pPr>
              <w:widowControl w:val="0"/>
              <w:kinsoku/>
              <w:wordWrap w:val="0"/>
              <w:topLinePunct/>
              <w:autoSpaceDE/>
              <w:autoSpaceDN/>
              <w:jc w:val="center"/>
              <w:rPr>
                <w:color w:val="auto"/>
              </w:rPr>
            </w:pPr>
          </w:p>
        </w:tc>
        <w:tc>
          <w:tcPr>
            <w:tcW w:w="1394" w:type="dxa"/>
            <w:vAlign w:val="center"/>
          </w:tcPr>
          <w:p w14:paraId="23A8A871">
            <w:pPr>
              <w:widowControl w:val="0"/>
              <w:kinsoku/>
              <w:wordWrap w:val="0"/>
              <w:topLinePunct/>
              <w:autoSpaceDE/>
              <w:autoSpaceDN/>
              <w:jc w:val="center"/>
              <w:rPr>
                <w:color w:val="auto"/>
              </w:rPr>
            </w:pPr>
          </w:p>
        </w:tc>
        <w:tc>
          <w:tcPr>
            <w:tcW w:w="1577" w:type="dxa"/>
            <w:vAlign w:val="center"/>
          </w:tcPr>
          <w:p w14:paraId="1852C966">
            <w:pPr>
              <w:widowControl w:val="0"/>
              <w:kinsoku/>
              <w:wordWrap w:val="0"/>
              <w:topLinePunct/>
              <w:autoSpaceDE/>
              <w:autoSpaceDN/>
              <w:jc w:val="center"/>
              <w:rPr>
                <w:color w:val="auto"/>
              </w:rPr>
            </w:pPr>
          </w:p>
        </w:tc>
        <w:tc>
          <w:tcPr>
            <w:tcW w:w="1193" w:type="dxa"/>
            <w:vAlign w:val="center"/>
          </w:tcPr>
          <w:p w14:paraId="3B05196F">
            <w:pPr>
              <w:widowControl w:val="0"/>
              <w:kinsoku/>
              <w:wordWrap w:val="0"/>
              <w:topLinePunct/>
              <w:autoSpaceDE/>
              <w:autoSpaceDN/>
              <w:jc w:val="center"/>
              <w:rPr>
                <w:color w:val="auto"/>
              </w:rPr>
            </w:pPr>
          </w:p>
        </w:tc>
        <w:tc>
          <w:tcPr>
            <w:tcW w:w="1473" w:type="dxa"/>
            <w:vAlign w:val="center"/>
          </w:tcPr>
          <w:p w14:paraId="4DAD86D3">
            <w:pPr>
              <w:widowControl w:val="0"/>
              <w:kinsoku/>
              <w:wordWrap w:val="0"/>
              <w:topLinePunct/>
              <w:autoSpaceDE/>
              <w:autoSpaceDN/>
              <w:jc w:val="center"/>
              <w:rPr>
                <w:color w:val="auto"/>
              </w:rPr>
            </w:pPr>
          </w:p>
        </w:tc>
        <w:tc>
          <w:tcPr>
            <w:tcW w:w="1557" w:type="dxa"/>
            <w:vAlign w:val="center"/>
          </w:tcPr>
          <w:p w14:paraId="151A1BC8">
            <w:pPr>
              <w:widowControl w:val="0"/>
              <w:kinsoku/>
              <w:wordWrap w:val="0"/>
              <w:topLinePunct/>
              <w:autoSpaceDE/>
              <w:autoSpaceDN/>
              <w:jc w:val="center"/>
              <w:rPr>
                <w:color w:val="auto"/>
              </w:rPr>
            </w:pPr>
          </w:p>
        </w:tc>
        <w:tc>
          <w:tcPr>
            <w:tcW w:w="987" w:type="dxa"/>
            <w:tcBorders>
              <w:right w:val="single" w:color="000000" w:sz="6" w:space="0"/>
            </w:tcBorders>
            <w:vAlign w:val="center"/>
          </w:tcPr>
          <w:p w14:paraId="25A873F1">
            <w:pPr>
              <w:widowControl w:val="0"/>
              <w:kinsoku/>
              <w:wordWrap w:val="0"/>
              <w:topLinePunct/>
              <w:autoSpaceDE/>
              <w:autoSpaceDN/>
              <w:jc w:val="center"/>
              <w:rPr>
                <w:color w:val="auto"/>
              </w:rPr>
            </w:pPr>
          </w:p>
        </w:tc>
      </w:tr>
      <w:tr w14:paraId="5E07F6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center"/>
          </w:tcPr>
          <w:p w14:paraId="77FB9F10">
            <w:pPr>
              <w:widowControl w:val="0"/>
              <w:kinsoku/>
              <w:wordWrap w:val="0"/>
              <w:topLinePunct/>
              <w:autoSpaceDE/>
              <w:autoSpaceDN/>
              <w:jc w:val="center"/>
              <w:rPr>
                <w:color w:val="auto"/>
              </w:rPr>
            </w:pPr>
          </w:p>
        </w:tc>
        <w:tc>
          <w:tcPr>
            <w:tcW w:w="1394" w:type="dxa"/>
            <w:vAlign w:val="center"/>
          </w:tcPr>
          <w:p w14:paraId="0B121FCD">
            <w:pPr>
              <w:widowControl w:val="0"/>
              <w:kinsoku/>
              <w:wordWrap w:val="0"/>
              <w:topLinePunct/>
              <w:autoSpaceDE/>
              <w:autoSpaceDN/>
              <w:jc w:val="center"/>
              <w:rPr>
                <w:color w:val="auto"/>
              </w:rPr>
            </w:pPr>
          </w:p>
        </w:tc>
        <w:tc>
          <w:tcPr>
            <w:tcW w:w="1577" w:type="dxa"/>
            <w:vAlign w:val="center"/>
          </w:tcPr>
          <w:p w14:paraId="515AC008">
            <w:pPr>
              <w:widowControl w:val="0"/>
              <w:kinsoku/>
              <w:wordWrap w:val="0"/>
              <w:topLinePunct/>
              <w:autoSpaceDE/>
              <w:autoSpaceDN/>
              <w:jc w:val="center"/>
              <w:rPr>
                <w:color w:val="auto"/>
              </w:rPr>
            </w:pPr>
          </w:p>
        </w:tc>
        <w:tc>
          <w:tcPr>
            <w:tcW w:w="1193" w:type="dxa"/>
            <w:vAlign w:val="center"/>
          </w:tcPr>
          <w:p w14:paraId="2185D477">
            <w:pPr>
              <w:widowControl w:val="0"/>
              <w:kinsoku/>
              <w:wordWrap w:val="0"/>
              <w:topLinePunct/>
              <w:autoSpaceDE/>
              <w:autoSpaceDN/>
              <w:jc w:val="center"/>
              <w:rPr>
                <w:color w:val="auto"/>
              </w:rPr>
            </w:pPr>
          </w:p>
        </w:tc>
        <w:tc>
          <w:tcPr>
            <w:tcW w:w="1473" w:type="dxa"/>
            <w:vAlign w:val="center"/>
          </w:tcPr>
          <w:p w14:paraId="26349FBD">
            <w:pPr>
              <w:widowControl w:val="0"/>
              <w:kinsoku/>
              <w:wordWrap w:val="0"/>
              <w:topLinePunct/>
              <w:autoSpaceDE/>
              <w:autoSpaceDN/>
              <w:jc w:val="center"/>
              <w:rPr>
                <w:color w:val="auto"/>
              </w:rPr>
            </w:pPr>
          </w:p>
        </w:tc>
        <w:tc>
          <w:tcPr>
            <w:tcW w:w="1557" w:type="dxa"/>
            <w:vAlign w:val="center"/>
          </w:tcPr>
          <w:p w14:paraId="4BE0EC94">
            <w:pPr>
              <w:widowControl w:val="0"/>
              <w:kinsoku/>
              <w:wordWrap w:val="0"/>
              <w:topLinePunct/>
              <w:autoSpaceDE/>
              <w:autoSpaceDN/>
              <w:jc w:val="center"/>
              <w:rPr>
                <w:color w:val="auto"/>
              </w:rPr>
            </w:pPr>
          </w:p>
        </w:tc>
        <w:tc>
          <w:tcPr>
            <w:tcW w:w="987" w:type="dxa"/>
            <w:tcBorders>
              <w:right w:val="single" w:color="000000" w:sz="6" w:space="0"/>
            </w:tcBorders>
            <w:vAlign w:val="center"/>
          </w:tcPr>
          <w:p w14:paraId="0EE0B838">
            <w:pPr>
              <w:widowControl w:val="0"/>
              <w:kinsoku/>
              <w:wordWrap w:val="0"/>
              <w:topLinePunct/>
              <w:autoSpaceDE/>
              <w:autoSpaceDN/>
              <w:jc w:val="center"/>
              <w:rPr>
                <w:color w:val="auto"/>
              </w:rPr>
            </w:pPr>
          </w:p>
        </w:tc>
      </w:tr>
      <w:tr w14:paraId="3A697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center"/>
          </w:tcPr>
          <w:p w14:paraId="728DB131">
            <w:pPr>
              <w:widowControl w:val="0"/>
              <w:kinsoku/>
              <w:wordWrap w:val="0"/>
              <w:topLinePunct/>
              <w:autoSpaceDE/>
              <w:autoSpaceDN/>
              <w:jc w:val="center"/>
              <w:rPr>
                <w:color w:val="auto"/>
              </w:rPr>
            </w:pPr>
          </w:p>
        </w:tc>
        <w:tc>
          <w:tcPr>
            <w:tcW w:w="1394" w:type="dxa"/>
            <w:vAlign w:val="center"/>
          </w:tcPr>
          <w:p w14:paraId="40D386CF">
            <w:pPr>
              <w:widowControl w:val="0"/>
              <w:kinsoku/>
              <w:wordWrap w:val="0"/>
              <w:topLinePunct/>
              <w:autoSpaceDE/>
              <w:autoSpaceDN/>
              <w:jc w:val="center"/>
              <w:rPr>
                <w:color w:val="auto"/>
              </w:rPr>
            </w:pPr>
          </w:p>
        </w:tc>
        <w:tc>
          <w:tcPr>
            <w:tcW w:w="1577" w:type="dxa"/>
            <w:vAlign w:val="center"/>
          </w:tcPr>
          <w:p w14:paraId="0DE77D28">
            <w:pPr>
              <w:widowControl w:val="0"/>
              <w:kinsoku/>
              <w:wordWrap w:val="0"/>
              <w:topLinePunct/>
              <w:autoSpaceDE/>
              <w:autoSpaceDN/>
              <w:jc w:val="center"/>
              <w:rPr>
                <w:color w:val="auto"/>
              </w:rPr>
            </w:pPr>
          </w:p>
        </w:tc>
        <w:tc>
          <w:tcPr>
            <w:tcW w:w="1193" w:type="dxa"/>
            <w:vAlign w:val="center"/>
          </w:tcPr>
          <w:p w14:paraId="04B925BA">
            <w:pPr>
              <w:widowControl w:val="0"/>
              <w:kinsoku/>
              <w:wordWrap w:val="0"/>
              <w:topLinePunct/>
              <w:autoSpaceDE/>
              <w:autoSpaceDN/>
              <w:jc w:val="center"/>
              <w:rPr>
                <w:color w:val="auto"/>
              </w:rPr>
            </w:pPr>
          </w:p>
        </w:tc>
        <w:tc>
          <w:tcPr>
            <w:tcW w:w="1473" w:type="dxa"/>
            <w:vAlign w:val="center"/>
          </w:tcPr>
          <w:p w14:paraId="4DE8FAE7">
            <w:pPr>
              <w:widowControl w:val="0"/>
              <w:kinsoku/>
              <w:wordWrap w:val="0"/>
              <w:topLinePunct/>
              <w:autoSpaceDE/>
              <w:autoSpaceDN/>
              <w:jc w:val="center"/>
              <w:rPr>
                <w:color w:val="auto"/>
              </w:rPr>
            </w:pPr>
          </w:p>
        </w:tc>
        <w:tc>
          <w:tcPr>
            <w:tcW w:w="1557" w:type="dxa"/>
            <w:vAlign w:val="center"/>
          </w:tcPr>
          <w:p w14:paraId="7DEE61CE">
            <w:pPr>
              <w:widowControl w:val="0"/>
              <w:kinsoku/>
              <w:wordWrap w:val="0"/>
              <w:topLinePunct/>
              <w:autoSpaceDE/>
              <w:autoSpaceDN/>
              <w:jc w:val="center"/>
              <w:rPr>
                <w:color w:val="auto"/>
              </w:rPr>
            </w:pPr>
          </w:p>
        </w:tc>
        <w:tc>
          <w:tcPr>
            <w:tcW w:w="987" w:type="dxa"/>
            <w:tcBorders>
              <w:right w:val="single" w:color="000000" w:sz="6" w:space="0"/>
            </w:tcBorders>
            <w:vAlign w:val="center"/>
          </w:tcPr>
          <w:p w14:paraId="3D2B1FA3">
            <w:pPr>
              <w:widowControl w:val="0"/>
              <w:kinsoku/>
              <w:wordWrap w:val="0"/>
              <w:topLinePunct/>
              <w:autoSpaceDE/>
              <w:autoSpaceDN/>
              <w:jc w:val="center"/>
              <w:rPr>
                <w:color w:val="auto"/>
              </w:rPr>
            </w:pPr>
          </w:p>
        </w:tc>
      </w:tr>
      <w:tr w14:paraId="34BE3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center"/>
          </w:tcPr>
          <w:p w14:paraId="7B0DAD58">
            <w:pPr>
              <w:widowControl w:val="0"/>
              <w:kinsoku/>
              <w:wordWrap w:val="0"/>
              <w:topLinePunct/>
              <w:autoSpaceDE/>
              <w:autoSpaceDN/>
              <w:jc w:val="center"/>
              <w:rPr>
                <w:color w:val="auto"/>
              </w:rPr>
            </w:pPr>
          </w:p>
        </w:tc>
        <w:tc>
          <w:tcPr>
            <w:tcW w:w="1394" w:type="dxa"/>
            <w:vAlign w:val="center"/>
          </w:tcPr>
          <w:p w14:paraId="56C00B6B">
            <w:pPr>
              <w:widowControl w:val="0"/>
              <w:kinsoku/>
              <w:wordWrap w:val="0"/>
              <w:topLinePunct/>
              <w:autoSpaceDE/>
              <w:autoSpaceDN/>
              <w:jc w:val="center"/>
              <w:rPr>
                <w:color w:val="auto"/>
              </w:rPr>
            </w:pPr>
          </w:p>
        </w:tc>
        <w:tc>
          <w:tcPr>
            <w:tcW w:w="1577" w:type="dxa"/>
            <w:vAlign w:val="center"/>
          </w:tcPr>
          <w:p w14:paraId="2082EADB">
            <w:pPr>
              <w:widowControl w:val="0"/>
              <w:kinsoku/>
              <w:wordWrap w:val="0"/>
              <w:topLinePunct/>
              <w:autoSpaceDE/>
              <w:autoSpaceDN/>
              <w:jc w:val="center"/>
              <w:rPr>
                <w:color w:val="auto"/>
              </w:rPr>
            </w:pPr>
          </w:p>
        </w:tc>
        <w:tc>
          <w:tcPr>
            <w:tcW w:w="1193" w:type="dxa"/>
            <w:vAlign w:val="center"/>
          </w:tcPr>
          <w:p w14:paraId="59788503">
            <w:pPr>
              <w:widowControl w:val="0"/>
              <w:kinsoku/>
              <w:wordWrap w:val="0"/>
              <w:topLinePunct/>
              <w:autoSpaceDE/>
              <w:autoSpaceDN/>
              <w:jc w:val="center"/>
              <w:rPr>
                <w:color w:val="auto"/>
              </w:rPr>
            </w:pPr>
          </w:p>
        </w:tc>
        <w:tc>
          <w:tcPr>
            <w:tcW w:w="1473" w:type="dxa"/>
            <w:vAlign w:val="center"/>
          </w:tcPr>
          <w:p w14:paraId="7F93996E">
            <w:pPr>
              <w:widowControl w:val="0"/>
              <w:kinsoku/>
              <w:wordWrap w:val="0"/>
              <w:topLinePunct/>
              <w:autoSpaceDE/>
              <w:autoSpaceDN/>
              <w:jc w:val="center"/>
              <w:rPr>
                <w:color w:val="auto"/>
              </w:rPr>
            </w:pPr>
          </w:p>
        </w:tc>
        <w:tc>
          <w:tcPr>
            <w:tcW w:w="1557" w:type="dxa"/>
            <w:vAlign w:val="center"/>
          </w:tcPr>
          <w:p w14:paraId="5C720CE4">
            <w:pPr>
              <w:widowControl w:val="0"/>
              <w:kinsoku/>
              <w:wordWrap w:val="0"/>
              <w:topLinePunct/>
              <w:autoSpaceDE/>
              <w:autoSpaceDN/>
              <w:jc w:val="center"/>
              <w:rPr>
                <w:color w:val="auto"/>
              </w:rPr>
            </w:pPr>
          </w:p>
        </w:tc>
        <w:tc>
          <w:tcPr>
            <w:tcW w:w="987" w:type="dxa"/>
            <w:tcBorders>
              <w:right w:val="single" w:color="000000" w:sz="6" w:space="0"/>
            </w:tcBorders>
            <w:vAlign w:val="center"/>
          </w:tcPr>
          <w:p w14:paraId="1E657174">
            <w:pPr>
              <w:widowControl w:val="0"/>
              <w:kinsoku/>
              <w:wordWrap w:val="0"/>
              <w:topLinePunct/>
              <w:autoSpaceDE/>
              <w:autoSpaceDN/>
              <w:jc w:val="center"/>
              <w:rPr>
                <w:color w:val="auto"/>
              </w:rPr>
            </w:pPr>
          </w:p>
        </w:tc>
      </w:tr>
      <w:tr w14:paraId="46CF04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center"/>
          </w:tcPr>
          <w:p w14:paraId="7FFD59A4">
            <w:pPr>
              <w:widowControl w:val="0"/>
              <w:kinsoku/>
              <w:wordWrap w:val="0"/>
              <w:topLinePunct/>
              <w:autoSpaceDE/>
              <w:autoSpaceDN/>
              <w:jc w:val="center"/>
              <w:rPr>
                <w:color w:val="auto"/>
              </w:rPr>
            </w:pPr>
          </w:p>
        </w:tc>
        <w:tc>
          <w:tcPr>
            <w:tcW w:w="1394" w:type="dxa"/>
            <w:vAlign w:val="center"/>
          </w:tcPr>
          <w:p w14:paraId="3564E45C">
            <w:pPr>
              <w:widowControl w:val="0"/>
              <w:kinsoku/>
              <w:wordWrap w:val="0"/>
              <w:topLinePunct/>
              <w:autoSpaceDE/>
              <w:autoSpaceDN/>
              <w:jc w:val="center"/>
              <w:rPr>
                <w:color w:val="auto"/>
              </w:rPr>
            </w:pPr>
          </w:p>
        </w:tc>
        <w:tc>
          <w:tcPr>
            <w:tcW w:w="1577" w:type="dxa"/>
            <w:vAlign w:val="center"/>
          </w:tcPr>
          <w:p w14:paraId="7A9979F4">
            <w:pPr>
              <w:widowControl w:val="0"/>
              <w:kinsoku/>
              <w:wordWrap w:val="0"/>
              <w:topLinePunct/>
              <w:autoSpaceDE/>
              <w:autoSpaceDN/>
              <w:jc w:val="center"/>
              <w:rPr>
                <w:color w:val="auto"/>
              </w:rPr>
            </w:pPr>
          </w:p>
        </w:tc>
        <w:tc>
          <w:tcPr>
            <w:tcW w:w="1193" w:type="dxa"/>
            <w:vAlign w:val="center"/>
          </w:tcPr>
          <w:p w14:paraId="6CE8925B">
            <w:pPr>
              <w:widowControl w:val="0"/>
              <w:kinsoku/>
              <w:wordWrap w:val="0"/>
              <w:topLinePunct/>
              <w:autoSpaceDE/>
              <w:autoSpaceDN/>
              <w:jc w:val="center"/>
              <w:rPr>
                <w:color w:val="auto"/>
              </w:rPr>
            </w:pPr>
          </w:p>
        </w:tc>
        <w:tc>
          <w:tcPr>
            <w:tcW w:w="1473" w:type="dxa"/>
            <w:vAlign w:val="center"/>
          </w:tcPr>
          <w:p w14:paraId="31438BB2">
            <w:pPr>
              <w:widowControl w:val="0"/>
              <w:kinsoku/>
              <w:wordWrap w:val="0"/>
              <w:topLinePunct/>
              <w:autoSpaceDE/>
              <w:autoSpaceDN/>
              <w:jc w:val="center"/>
              <w:rPr>
                <w:color w:val="auto"/>
              </w:rPr>
            </w:pPr>
          </w:p>
        </w:tc>
        <w:tc>
          <w:tcPr>
            <w:tcW w:w="1557" w:type="dxa"/>
            <w:vAlign w:val="center"/>
          </w:tcPr>
          <w:p w14:paraId="0752EF07">
            <w:pPr>
              <w:widowControl w:val="0"/>
              <w:kinsoku/>
              <w:wordWrap w:val="0"/>
              <w:topLinePunct/>
              <w:autoSpaceDE/>
              <w:autoSpaceDN/>
              <w:jc w:val="center"/>
              <w:rPr>
                <w:color w:val="auto"/>
              </w:rPr>
            </w:pPr>
          </w:p>
        </w:tc>
        <w:tc>
          <w:tcPr>
            <w:tcW w:w="987" w:type="dxa"/>
            <w:tcBorders>
              <w:right w:val="single" w:color="000000" w:sz="6" w:space="0"/>
            </w:tcBorders>
            <w:vAlign w:val="center"/>
          </w:tcPr>
          <w:p w14:paraId="13A89E56">
            <w:pPr>
              <w:widowControl w:val="0"/>
              <w:kinsoku/>
              <w:wordWrap w:val="0"/>
              <w:topLinePunct/>
              <w:autoSpaceDE/>
              <w:autoSpaceDN/>
              <w:jc w:val="center"/>
              <w:rPr>
                <w:color w:val="auto"/>
              </w:rPr>
            </w:pPr>
          </w:p>
        </w:tc>
      </w:tr>
      <w:tr w14:paraId="3755B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center"/>
          </w:tcPr>
          <w:p w14:paraId="0EFE224B">
            <w:pPr>
              <w:widowControl w:val="0"/>
              <w:kinsoku/>
              <w:wordWrap w:val="0"/>
              <w:topLinePunct/>
              <w:autoSpaceDE/>
              <w:autoSpaceDN/>
              <w:jc w:val="center"/>
              <w:rPr>
                <w:color w:val="auto"/>
              </w:rPr>
            </w:pPr>
          </w:p>
        </w:tc>
        <w:tc>
          <w:tcPr>
            <w:tcW w:w="1394" w:type="dxa"/>
            <w:vAlign w:val="center"/>
          </w:tcPr>
          <w:p w14:paraId="46765151">
            <w:pPr>
              <w:widowControl w:val="0"/>
              <w:kinsoku/>
              <w:wordWrap w:val="0"/>
              <w:topLinePunct/>
              <w:autoSpaceDE/>
              <w:autoSpaceDN/>
              <w:jc w:val="center"/>
              <w:rPr>
                <w:color w:val="auto"/>
              </w:rPr>
            </w:pPr>
          </w:p>
        </w:tc>
        <w:tc>
          <w:tcPr>
            <w:tcW w:w="1577" w:type="dxa"/>
            <w:vAlign w:val="center"/>
          </w:tcPr>
          <w:p w14:paraId="441A6180">
            <w:pPr>
              <w:widowControl w:val="0"/>
              <w:kinsoku/>
              <w:wordWrap w:val="0"/>
              <w:topLinePunct/>
              <w:autoSpaceDE/>
              <w:autoSpaceDN/>
              <w:jc w:val="center"/>
              <w:rPr>
                <w:color w:val="auto"/>
              </w:rPr>
            </w:pPr>
          </w:p>
        </w:tc>
        <w:tc>
          <w:tcPr>
            <w:tcW w:w="1193" w:type="dxa"/>
            <w:vAlign w:val="center"/>
          </w:tcPr>
          <w:p w14:paraId="431B3382">
            <w:pPr>
              <w:widowControl w:val="0"/>
              <w:kinsoku/>
              <w:wordWrap w:val="0"/>
              <w:topLinePunct/>
              <w:autoSpaceDE/>
              <w:autoSpaceDN/>
              <w:jc w:val="center"/>
              <w:rPr>
                <w:color w:val="auto"/>
              </w:rPr>
            </w:pPr>
          </w:p>
        </w:tc>
        <w:tc>
          <w:tcPr>
            <w:tcW w:w="1473" w:type="dxa"/>
            <w:vAlign w:val="center"/>
          </w:tcPr>
          <w:p w14:paraId="0593CB10">
            <w:pPr>
              <w:widowControl w:val="0"/>
              <w:kinsoku/>
              <w:wordWrap w:val="0"/>
              <w:topLinePunct/>
              <w:autoSpaceDE/>
              <w:autoSpaceDN/>
              <w:jc w:val="center"/>
              <w:rPr>
                <w:color w:val="auto"/>
              </w:rPr>
            </w:pPr>
          </w:p>
        </w:tc>
        <w:tc>
          <w:tcPr>
            <w:tcW w:w="1557" w:type="dxa"/>
            <w:vAlign w:val="center"/>
          </w:tcPr>
          <w:p w14:paraId="11E1C735">
            <w:pPr>
              <w:widowControl w:val="0"/>
              <w:kinsoku/>
              <w:wordWrap w:val="0"/>
              <w:topLinePunct/>
              <w:autoSpaceDE/>
              <w:autoSpaceDN/>
              <w:jc w:val="center"/>
              <w:rPr>
                <w:color w:val="auto"/>
              </w:rPr>
            </w:pPr>
          </w:p>
        </w:tc>
        <w:tc>
          <w:tcPr>
            <w:tcW w:w="987" w:type="dxa"/>
            <w:tcBorders>
              <w:right w:val="single" w:color="000000" w:sz="6" w:space="0"/>
            </w:tcBorders>
            <w:vAlign w:val="center"/>
          </w:tcPr>
          <w:p w14:paraId="1DA3FE0B">
            <w:pPr>
              <w:widowControl w:val="0"/>
              <w:kinsoku/>
              <w:wordWrap w:val="0"/>
              <w:topLinePunct/>
              <w:autoSpaceDE/>
              <w:autoSpaceDN/>
              <w:jc w:val="center"/>
              <w:rPr>
                <w:color w:val="auto"/>
              </w:rPr>
            </w:pPr>
          </w:p>
        </w:tc>
      </w:tr>
      <w:tr w14:paraId="432E3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center"/>
          </w:tcPr>
          <w:p w14:paraId="6D96D6D0">
            <w:pPr>
              <w:widowControl w:val="0"/>
              <w:kinsoku/>
              <w:wordWrap w:val="0"/>
              <w:topLinePunct/>
              <w:autoSpaceDE/>
              <w:autoSpaceDN/>
              <w:jc w:val="center"/>
              <w:rPr>
                <w:color w:val="auto"/>
              </w:rPr>
            </w:pPr>
          </w:p>
        </w:tc>
        <w:tc>
          <w:tcPr>
            <w:tcW w:w="1394" w:type="dxa"/>
            <w:vAlign w:val="center"/>
          </w:tcPr>
          <w:p w14:paraId="4EBBD8FB">
            <w:pPr>
              <w:widowControl w:val="0"/>
              <w:kinsoku/>
              <w:wordWrap w:val="0"/>
              <w:topLinePunct/>
              <w:autoSpaceDE/>
              <w:autoSpaceDN/>
              <w:jc w:val="center"/>
              <w:rPr>
                <w:color w:val="auto"/>
              </w:rPr>
            </w:pPr>
          </w:p>
        </w:tc>
        <w:tc>
          <w:tcPr>
            <w:tcW w:w="1577" w:type="dxa"/>
            <w:vAlign w:val="center"/>
          </w:tcPr>
          <w:p w14:paraId="177FF2EC">
            <w:pPr>
              <w:widowControl w:val="0"/>
              <w:kinsoku/>
              <w:wordWrap w:val="0"/>
              <w:topLinePunct/>
              <w:autoSpaceDE/>
              <w:autoSpaceDN/>
              <w:jc w:val="center"/>
              <w:rPr>
                <w:color w:val="auto"/>
              </w:rPr>
            </w:pPr>
          </w:p>
        </w:tc>
        <w:tc>
          <w:tcPr>
            <w:tcW w:w="1193" w:type="dxa"/>
            <w:vAlign w:val="center"/>
          </w:tcPr>
          <w:p w14:paraId="22970421">
            <w:pPr>
              <w:widowControl w:val="0"/>
              <w:kinsoku/>
              <w:wordWrap w:val="0"/>
              <w:topLinePunct/>
              <w:autoSpaceDE/>
              <w:autoSpaceDN/>
              <w:jc w:val="center"/>
              <w:rPr>
                <w:color w:val="auto"/>
              </w:rPr>
            </w:pPr>
          </w:p>
        </w:tc>
        <w:tc>
          <w:tcPr>
            <w:tcW w:w="1473" w:type="dxa"/>
            <w:vAlign w:val="center"/>
          </w:tcPr>
          <w:p w14:paraId="168628E7">
            <w:pPr>
              <w:widowControl w:val="0"/>
              <w:kinsoku/>
              <w:wordWrap w:val="0"/>
              <w:topLinePunct/>
              <w:autoSpaceDE/>
              <w:autoSpaceDN/>
              <w:jc w:val="center"/>
              <w:rPr>
                <w:color w:val="auto"/>
              </w:rPr>
            </w:pPr>
          </w:p>
        </w:tc>
        <w:tc>
          <w:tcPr>
            <w:tcW w:w="1557" w:type="dxa"/>
            <w:vAlign w:val="center"/>
          </w:tcPr>
          <w:p w14:paraId="33DBE143">
            <w:pPr>
              <w:widowControl w:val="0"/>
              <w:kinsoku/>
              <w:wordWrap w:val="0"/>
              <w:topLinePunct/>
              <w:autoSpaceDE/>
              <w:autoSpaceDN/>
              <w:jc w:val="center"/>
              <w:rPr>
                <w:color w:val="auto"/>
              </w:rPr>
            </w:pPr>
          </w:p>
        </w:tc>
        <w:tc>
          <w:tcPr>
            <w:tcW w:w="987" w:type="dxa"/>
            <w:tcBorders>
              <w:right w:val="single" w:color="000000" w:sz="6" w:space="0"/>
            </w:tcBorders>
            <w:vAlign w:val="center"/>
          </w:tcPr>
          <w:p w14:paraId="155D9BC9">
            <w:pPr>
              <w:widowControl w:val="0"/>
              <w:kinsoku/>
              <w:wordWrap w:val="0"/>
              <w:topLinePunct/>
              <w:autoSpaceDE/>
              <w:autoSpaceDN/>
              <w:jc w:val="center"/>
              <w:rPr>
                <w:color w:val="auto"/>
              </w:rPr>
            </w:pPr>
          </w:p>
        </w:tc>
      </w:tr>
      <w:tr w14:paraId="361EF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center"/>
          </w:tcPr>
          <w:p w14:paraId="5FDB47DD">
            <w:pPr>
              <w:widowControl w:val="0"/>
              <w:kinsoku/>
              <w:wordWrap w:val="0"/>
              <w:topLinePunct/>
              <w:autoSpaceDE/>
              <w:autoSpaceDN/>
              <w:jc w:val="center"/>
              <w:rPr>
                <w:color w:val="auto"/>
              </w:rPr>
            </w:pPr>
          </w:p>
        </w:tc>
        <w:tc>
          <w:tcPr>
            <w:tcW w:w="1394" w:type="dxa"/>
            <w:vAlign w:val="center"/>
          </w:tcPr>
          <w:p w14:paraId="7A60C2E5">
            <w:pPr>
              <w:widowControl w:val="0"/>
              <w:kinsoku/>
              <w:wordWrap w:val="0"/>
              <w:topLinePunct/>
              <w:autoSpaceDE/>
              <w:autoSpaceDN/>
              <w:jc w:val="center"/>
              <w:rPr>
                <w:color w:val="auto"/>
              </w:rPr>
            </w:pPr>
          </w:p>
        </w:tc>
        <w:tc>
          <w:tcPr>
            <w:tcW w:w="1577" w:type="dxa"/>
            <w:vAlign w:val="center"/>
          </w:tcPr>
          <w:p w14:paraId="6D21D4AF">
            <w:pPr>
              <w:widowControl w:val="0"/>
              <w:kinsoku/>
              <w:wordWrap w:val="0"/>
              <w:topLinePunct/>
              <w:autoSpaceDE/>
              <w:autoSpaceDN/>
              <w:jc w:val="center"/>
              <w:rPr>
                <w:color w:val="auto"/>
              </w:rPr>
            </w:pPr>
          </w:p>
        </w:tc>
        <w:tc>
          <w:tcPr>
            <w:tcW w:w="1193" w:type="dxa"/>
            <w:vAlign w:val="center"/>
          </w:tcPr>
          <w:p w14:paraId="45E92367">
            <w:pPr>
              <w:widowControl w:val="0"/>
              <w:kinsoku/>
              <w:wordWrap w:val="0"/>
              <w:topLinePunct/>
              <w:autoSpaceDE/>
              <w:autoSpaceDN/>
              <w:jc w:val="center"/>
              <w:rPr>
                <w:color w:val="auto"/>
              </w:rPr>
            </w:pPr>
          </w:p>
        </w:tc>
        <w:tc>
          <w:tcPr>
            <w:tcW w:w="1473" w:type="dxa"/>
            <w:vAlign w:val="center"/>
          </w:tcPr>
          <w:p w14:paraId="1BFFFA91">
            <w:pPr>
              <w:widowControl w:val="0"/>
              <w:kinsoku/>
              <w:wordWrap w:val="0"/>
              <w:topLinePunct/>
              <w:autoSpaceDE/>
              <w:autoSpaceDN/>
              <w:jc w:val="center"/>
              <w:rPr>
                <w:color w:val="auto"/>
              </w:rPr>
            </w:pPr>
          </w:p>
        </w:tc>
        <w:tc>
          <w:tcPr>
            <w:tcW w:w="1557" w:type="dxa"/>
            <w:vAlign w:val="center"/>
          </w:tcPr>
          <w:p w14:paraId="463C3F7A">
            <w:pPr>
              <w:widowControl w:val="0"/>
              <w:kinsoku/>
              <w:wordWrap w:val="0"/>
              <w:topLinePunct/>
              <w:autoSpaceDE/>
              <w:autoSpaceDN/>
              <w:jc w:val="center"/>
              <w:rPr>
                <w:color w:val="auto"/>
              </w:rPr>
            </w:pPr>
          </w:p>
        </w:tc>
        <w:tc>
          <w:tcPr>
            <w:tcW w:w="987" w:type="dxa"/>
            <w:tcBorders>
              <w:right w:val="single" w:color="000000" w:sz="6" w:space="0"/>
            </w:tcBorders>
            <w:vAlign w:val="center"/>
          </w:tcPr>
          <w:p w14:paraId="105C0B02">
            <w:pPr>
              <w:widowControl w:val="0"/>
              <w:kinsoku/>
              <w:wordWrap w:val="0"/>
              <w:topLinePunct/>
              <w:autoSpaceDE/>
              <w:autoSpaceDN/>
              <w:jc w:val="center"/>
              <w:rPr>
                <w:color w:val="auto"/>
              </w:rPr>
            </w:pPr>
          </w:p>
        </w:tc>
      </w:tr>
      <w:tr w14:paraId="73987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center"/>
          </w:tcPr>
          <w:p w14:paraId="5DEF2289">
            <w:pPr>
              <w:widowControl w:val="0"/>
              <w:kinsoku/>
              <w:wordWrap w:val="0"/>
              <w:topLinePunct/>
              <w:autoSpaceDE/>
              <w:autoSpaceDN/>
              <w:jc w:val="center"/>
              <w:rPr>
                <w:color w:val="auto"/>
              </w:rPr>
            </w:pPr>
          </w:p>
        </w:tc>
        <w:tc>
          <w:tcPr>
            <w:tcW w:w="1394" w:type="dxa"/>
            <w:vAlign w:val="center"/>
          </w:tcPr>
          <w:p w14:paraId="3A0CCD38">
            <w:pPr>
              <w:widowControl w:val="0"/>
              <w:kinsoku/>
              <w:wordWrap w:val="0"/>
              <w:topLinePunct/>
              <w:autoSpaceDE/>
              <w:autoSpaceDN/>
              <w:jc w:val="center"/>
              <w:rPr>
                <w:color w:val="auto"/>
              </w:rPr>
            </w:pPr>
          </w:p>
        </w:tc>
        <w:tc>
          <w:tcPr>
            <w:tcW w:w="1577" w:type="dxa"/>
            <w:vAlign w:val="center"/>
          </w:tcPr>
          <w:p w14:paraId="1829A2F4">
            <w:pPr>
              <w:widowControl w:val="0"/>
              <w:kinsoku/>
              <w:wordWrap w:val="0"/>
              <w:topLinePunct/>
              <w:autoSpaceDE/>
              <w:autoSpaceDN/>
              <w:jc w:val="center"/>
              <w:rPr>
                <w:color w:val="auto"/>
              </w:rPr>
            </w:pPr>
          </w:p>
        </w:tc>
        <w:tc>
          <w:tcPr>
            <w:tcW w:w="1193" w:type="dxa"/>
            <w:vAlign w:val="center"/>
          </w:tcPr>
          <w:p w14:paraId="105D3AAB">
            <w:pPr>
              <w:widowControl w:val="0"/>
              <w:kinsoku/>
              <w:wordWrap w:val="0"/>
              <w:topLinePunct/>
              <w:autoSpaceDE/>
              <w:autoSpaceDN/>
              <w:jc w:val="center"/>
              <w:rPr>
                <w:color w:val="auto"/>
              </w:rPr>
            </w:pPr>
          </w:p>
        </w:tc>
        <w:tc>
          <w:tcPr>
            <w:tcW w:w="1473" w:type="dxa"/>
            <w:vAlign w:val="center"/>
          </w:tcPr>
          <w:p w14:paraId="63A0654C">
            <w:pPr>
              <w:widowControl w:val="0"/>
              <w:kinsoku/>
              <w:wordWrap w:val="0"/>
              <w:topLinePunct/>
              <w:autoSpaceDE/>
              <w:autoSpaceDN/>
              <w:jc w:val="center"/>
              <w:rPr>
                <w:color w:val="auto"/>
              </w:rPr>
            </w:pPr>
          </w:p>
        </w:tc>
        <w:tc>
          <w:tcPr>
            <w:tcW w:w="1557" w:type="dxa"/>
            <w:vAlign w:val="center"/>
          </w:tcPr>
          <w:p w14:paraId="1B5AF0C6">
            <w:pPr>
              <w:widowControl w:val="0"/>
              <w:kinsoku/>
              <w:wordWrap w:val="0"/>
              <w:topLinePunct/>
              <w:autoSpaceDE/>
              <w:autoSpaceDN/>
              <w:jc w:val="center"/>
              <w:rPr>
                <w:color w:val="auto"/>
              </w:rPr>
            </w:pPr>
          </w:p>
        </w:tc>
        <w:tc>
          <w:tcPr>
            <w:tcW w:w="987" w:type="dxa"/>
            <w:tcBorders>
              <w:right w:val="single" w:color="000000" w:sz="6" w:space="0"/>
            </w:tcBorders>
            <w:vAlign w:val="center"/>
          </w:tcPr>
          <w:p w14:paraId="0AD39F72">
            <w:pPr>
              <w:widowControl w:val="0"/>
              <w:kinsoku/>
              <w:wordWrap w:val="0"/>
              <w:topLinePunct/>
              <w:autoSpaceDE/>
              <w:autoSpaceDN/>
              <w:jc w:val="center"/>
              <w:rPr>
                <w:color w:val="auto"/>
              </w:rPr>
            </w:pPr>
          </w:p>
        </w:tc>
      </w:tr>
      <w:tr w14:paraId="0814B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27" w:type="dxa"/>
            <w:tcBorders>
              <w:left w:val="single" w:color="000000" w:sz="6" w:space="0"/>
            </w:tcBorders>
            <w:vAlign w:val="center"/>
          </w:tcPr>
          <w:p w14:paraId="3C447222">
            <w:pPr>
              <w:widowControl w:val="0"/>
              <w:kinsoku/>
              <w:wordWrap w:val="0"/>
              <w:topLinePunct/>
              <w:autoSpaceDE/>
              <w:autoSpaceDN/>
              <w:jc w:val="center"/>
              <w:rPr>
                <w:color w:val="auto"/>
              </w:rPr>
            </w:pPr>
          </w:p>
        </w:tc>
        <w:tc>
          <w:tcPr>
            <w:tcW w:w="1394" w:type="dxa"/>
            <w:vAlign w:val="center"/>
          </w:tcPr>
          <w:p w14:paraId="28DB541A">
            <w:pPr>
              <w:widowControl w:val="0"/>
              <w:kinsoku/>
              <w:wordWrap w:val="0"/>
              <w:topLinePunct/>
              <w:autoSpaceDE/>
              <w:autoSpaceDN/>
              <w:jc w:val="center"/>
              <w:rPr>
                <w:color w:val="auto"/>
              </w:rPr>
            </w:pPr>
          </w:p>
        </w:tc>
        <w:tc>
          <w:tcPr>
            <w:tcW w:w="1577" w:type="dxa"/>
            <w:vAlign w:val="center"/>
          </w:tcPr>
          <w:p w14:paraId="01362372">
            <w:pPr>
              <w:widowControl w:val="0"/>
              <w:kinsoku/>
              <w:wordWrap w:val="0"/>
              <w:topLinePunct/>
              <w:autoSpaceDE/>
              <w:autoSpaceDN/>
              <w:jc w:val="center"/>
              <w:rPr>
                <w:color w:val="auto"/>
              </w:rPr>
            </w:pPr>
          </w:p>
        </w:tc>
        <w:tc>
          <w:tcPr>
            <w:tcW w:w="1193" w:type="dxa"/>
            <w:vAlign w:val="center"/>
          </w:tcPr>
          <w:p w14:paraId="14FA7028">
            <w:pPr>
              <w:widowControl w:val="0"/>
              <w:kinsoku/>
              <w:wordWrap w:val="0"/>
              <w:topLinePunct/>
              <w:autoSpaceDE/>
              <w:autoSpaceDN/>
              <w:jc w:val="center"/>
              <w:rPr>
                <w:color w:val="auto"/>
              </w:rPr>
            </w:pPr>
          </w:p>
        </w:tc>
        <w:tc>
          <w:tcPr>
            <w:tcW w:w="1473" w:type="dxa"/>
            <w:vAlign w:val="center"/>
          </w:tcPr>
          <w:p w14:paraId="66AD7AA8">
            <w:pPr>
              <w:widowControl w:val="0"/>
              <w:kinsoku/>
              <w:wordWrap w:val="0"/>
              <w:topLinePunct/>
              <w:autoSpaceDE/>
              <w:autoSpaceDN/>
              <w:jc w:val="center"/>
              <w:rPr>
                <w:color w:val="auto"/>
              </w:rPr>
            </w:pPr>
          </w:p>
        </w:tc>
        <w:tc>
          <w:tcPr>
            <w:tcW w:w="1557" w:type="dxa"/>
            <w:vAlign w:val="center"/>
          </w:tcPr>
          <w:p w14:paraId="2847795A">
            <w:pPr>
              <w:widowControl w:val="0"/>
              <w:kinsoku/>
              <w:wordWrap w:val="0"/>
              <w:topLinePunct/>
              <w:autoSpaceDE/>
              <w:autoSpaceDN/>
              <w:jc w:val="center"/>
              <w:rPr>
                <w:color w:val="auto"/>
              </w:rPr>
            </w:pPr>
          </w:p>
        </w:tc>
        <w:tc>
          <w:tcPr>
            <w:tcW w:w="987" w:type="dxa"/>
            <w:tcBorders>
              <w:right w:val="single" w:color="000000" w:sz="6" w:space="0"/>
            </w:tcBorders>
            <w:vAlign w:val="center"/>
          </w:tcPr>
          <w:p w14:paraId="59074CA8">
            <w:pPr>
              <w:widowControl w:val="0"/>
              <w:kinsoku/>
              <w:wordWrap w:val="0"/>
              <w:topLinePunct/>
              <w:autoSpaceDE/>
              <w:autoSpaceDN/>
              <w:jc w:val="center"/>
              <w:rPr>
                <w:color w:val="auto"/>
              </w:rPr>
            </w:pPr>
          </w:p>
        </w:tc>
      </w:tr>
      <w:tr w14:paraId="7F7E0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center"/>
          </w:tcPr>
          <w:p w14:paraId="1DAA34CD">
            <w:pPr>
              <w:widowControl w:val="0"/>
              <w:kinsoku/>
              <w:wordWrap w:val="0"/>
              <w:topLinePunct/>
              <w:autoSpaceDE/>
              <w:autoSpaceDN/>
              <w:jc w:val="center"/>
              <w:rPr>
                <w:color w:val="auto"/>
              </w:rPr>
            </w:pPr>
          </w:p>
        </w:tc>
        <w:tc>
          <w:tcPr>
            <w:tcW w:w="1394" w:type="dxa"/>
            <w:vAlign w:val="center"/>
          </w:tcPr>
          <w:p w14:paraId="25B87052">
            <w:pPr>
              <w:widowControl w:val="0"/>
              <w:kinsoku/>
              <w:wordWrap w:val="0"/>
              <w:topLinePunct/>
              <w:autoSpaceDE/>
              <w:autoSpaceDN/>
              <w:jc w:val="center"/>
              <w:rPr>
                <w:color w:val="auto"/>
              </w:rPr>
            </w:pPr>
          </w:p>
        </w:tc>
        <w:tc>
          <w:tcPr>
            <w:tcW w:w="1577" w:type="dxa"/>
            <w:vAlign w:val="center"/>
          </w:tcPr>
          <w:p w14:paraId="2FB9B715">
            <w:pPr>
              <w:widowControl w:val="0"/>
              <w:kinsoku/>
              <w:wordWrap w:val="0"/>
              <w:topLinePunct/>
              <w:autoSpaceDE/>
              <w:autoSpaceDN/>
              <w:jc w:val="center"/>
              <w:rPr>
                <w:color w:val="auto"/>
              </w:rPr>
            </w:pPr>
          </w:p>
        </w:tc>
        <w:tc>
          <w:tcPr>
            <w:tcW w:w="1193" w:type="dxa"/>
            <w:vAlign w:val="center"/>
          </w:tcPr>
          <w:p w14:paraId="02B16A70">
            <w:pPr>
              <w:widowControl w:val="0"/>
              <w:kinsoku/>
              <w:wordWrap w:val="0"/>
              <w:topLinePunct/>
              <w:autoSpaceDE/>
              <w:autoSpaceDN/>
              <w:jc w:val="center"/>
              <w:rPr>
                <w:color w:val="auto"/>
              </w:rPr>
            </w:pPr>
          </w:p>
        </w:tc>
        <w:tc>
          <w:tcPr>
            <w:tcW w:w="1473" w:type="dxa"/>
            <w:vAlign w:val="center"/>
          </w:tcPr>
          <w:p w14:paraId="6B4CFAF0">
            <w:pPr>
              <w:widowControl w:val="0"/>
              <w:kinsoku/>
              <w:wordWrap w:val="0"/>
              <w:topLinePunct/>
              <w:autoSpaceDE/>
              <w:autoSpaceDN/>
              <w:jc w:val="center"/>
              <w:rPr>
                <w:color w:val="auto"/>
              </w:rPr>
            </w:pPr>
          </w:p>
        </w:tc>
        <w:tc>
          <w:tcPr>
            <w:tcW w:w="1557" w:type="dxa"/>
            <w:vAlign w:val="center"/>
          </w:tcPr>
          <w:p w14:paraId="0343C87F">
            <w:pPr>
              <w:widowControl w:val="0"/>
              <w:kinsoku/>
              <w:wordWrap w:val="0"/>
              <w:topLinePunct/>
              <w:autoSpaceDE/>
              <w:autoSpaceDN/>
              <w:jc w:val="center"/>
              <w:rPr>
                <w:color w:val="auto"/>
              </w:rPr>
            </w:pPr>
          </w:p>
        </w:tc>
        <w:tc>
          <w:tcPr>
            <w:tcW w:w="987" w:type="dxa"/>
            <w:tcBorders>
              <w:right w:val="single" w:color="000000" w:sz="6" w:space="0"/>
            </w:tcBorders>
            <w:vAlign w:val="center"/>
          </w:tcPr>
          <w:p w14:paraId="5A6F6B8E">
            <w:pPr>
              <w:widowControl w:val="0"/>
              <w:kinsoku/>
              <w:wordWrap w:val="0"/>
              <w:topLinePunct/>
              <w:autoSpaceDE/>
              <w:autoSpaceDN/>
              <w:jc w:val="center"/>
              <w:rPr>
                <w:color w:val="auto"/>
              </w:rPr>
            </w:pPr>
          </w:p>
        </w:tc>
      </w:tr>
      <w:tr w14:paraId="4C606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27" w:type="dxa"/>
            <w:tcBorders>
              <w:left w:val="single" w:color="000000" w:sz="6" w:space="0"/>
              <w:bottom w:val="single" w:color="000000" w:sz="6" w:space="0"/>
            </w:tcBorders>
            <w:vAlign w:val="center"/>
          </w:tcPr>
          <w:p w14:paraId="201F9B8F">
            <w:pPr>
              <w:widowControl w:val="0"/>
              <w:kinsoku/>
              <w:wordWrap w:val="0"/>
              <w:topLinePunct/>
              <w:autoSpaceDE/>
              <w:autoSpaceDN/>
              <w:jc w:val="center"/>
              <w:rPr>
                <w:color w:val="auto"/>
              </w:rPr>
            </w:pPr>
          </w:p>
        </w:tc>
        <w:tc>
          <w:tcPr>
            <w:tcW w:w="1394" w:type="dxa"/>
            <w:tcBorders>
              <w:bottom w:val="single" w:color="000000" w:sz="6" w:space="0"/>
            </w:tcBorders>
            <w:vAlign w:val="center"/>
          </w:tcPr>
          <w:p w14:paraId="779F839B">
            <w:pPr>
              <w:widowControl w:val="0"/>
              <w:kinsoku/>
              <w:wordWrap w:val="0"/>
              <w:topLinePunct/>
              <w:autoSpaceDE/>
              <w:autoSpaceDN/>
              <w:jc w:val="center"/>
              <w:rPr>
                <w:color w:val="auto"/>
              </w:rPr>
            </w:pPr>
          </w:p>
        </w:tc>
        <w:tc>
          <w:tcPr>
            <w:tcW w:w="1577" w:type="dxa"/>
            <w:tcBorders>
              <w:bottom w:val="single" w:color="000000" w:sz="6" w:space="0"/>
            </w:tcBorders>
            <w:vAlign w:val="center"/>
          </w:tcPr>
          <w:p w14:paraId="3D88B62A">
            <w:pPr>
              <w:widowControl w:val="0"/>
              <w:kinsoku/>
              <w:wordWrap w:val="0"/>
              <w:topLinePunct/>
              <w:autoSpaceDE/>
              <w:autoSpaceDN/>
              <w:jc w:val="center"/>
              <w:rPr>
                <w:color w:val="auto"/>
              </w:rPr>
            </w:pPr>
          </w:p>
        </w:tc>
        <w:tc>
          <w:tcPr>
            <w:tcW w:w="1193" w:type="dxa"/>
            <w:tcBorders>
              <w:bottom w:val="single" w:color="000000" w:sz="6" w:space="0"/>
            </w:tcBorders>
            <w:vAlign w:val="center"/>
          </w:tcPr>
          <w:p w14:paraId="40C12F9E">
            <w:pPr>
              <w:widowControl w:val="0"/>
              <w:kinsoku/>
              <w:wordWrap w:val="0"/>
              <w:topLinePunct/>
              <w:autoSpaceDE/>
              <w:autoSpaceDN/>
              <w:jc w:val="center"/>
              <w:rPr>
                <w:color w:val="auto"/>
              </w:rPr>
            </w:pPr>
          </w:p>
        </w:tc>
        <w:tc>
          <w:tcPr>
            <w:tcW w:w="1473" w:type="dxa"/>
            <w:tcBorders>
              <w:bottom w:val="single" w:color="000000" w:sz="6" w:space="0"/>
            </w:tcBorders>
            <w:vAlign w:val="center"/>
          </w:tcPr>
          <w:p w14:paraId="4E4C8961">
            <w:pPr>
              <w:widowControl w:val="0"/>
              <w:kinsoku/>
              <w:wordWrap w:val="0"/>
              <w:topLinePunct/>
              <w:autoSpaceDE/>
              <w:autoSpaceDN/>
              <w:jc w:val="center"/>
              <w:rPr>
                <w:color w:val="auto"/>
              </w:rPr>
            </w:pPr>
          </w:p>
        </w:tc>
        <w:tc>
          <w:tcPr>
            <w:tcW w:w="1557" w:type="dxa"/>
            <w:tcBorders>
              <w:bottom w:val="single" w:color="000000" w:sz="6" w:space="0"/>
            </w:tcBorders>
            <w:vAlign w:val="center"/>
          </w:tcPr>
          <w:p w14:paraId="693F24EE">
            <w:pPr>
              <w:widowControl w:val="0"/>
              <w:kinsoku/>
              <w:wordWrap w:val="0"/>
              <w:topLinePunct/>
              <w:autoSpaceDE/>
              <w:autoSpaceDN/>
              <w:jc w:val="center"/>
              <w:rPr>
                <w:color w:val="auto"/>
              </w:rPr>
            </w:pPr>
          </w:p>
        </w:tc>
        <w:tc>
          <w:tcPr>
            <w:tcW w:w="987" w:type="dxa"/>
            <w:tcBorders>
              <w:bottom w:val="single" w:color="000000" w:sz="6" w:space="0"/>
              <w:right w:val="single" w:color="000000" w:sz="6" w:space="0"/>
            </w:tcBorders>
            <w:vAlign w:val="center"/>
          </w:tcPr>
          <w:p w14:paraId="36789E5F">
            <w:pPr>
              <w:widowControl w:val="0"/>
              <w:kinsoku/>
              <w:wordWrap w:val="0"/>
              <w:topLinePunct/>
              <w:autoSpaceDE/>
              <w:autoSpaceDN/>
              <w:jc w:val="center"/>
              <w:rPr>
                <w:color w:val="auto"/>
              </w:rPr>
            </w:pPr>
          </w:p>
        </w:tc>
      </w:tr>
    </w:tbl>
    <w:p w14:paraId="29AF7B7A">
      <w:pPr>
        <w:spacing w:before="30" w:line="211" w:lineRule="auto"/>
        <w:ind w:left="85"/>
        <w:rPr>
          <w:rFonts w:hint="eastAsia" w:ascii="宋体" w:hAnsi="宋体" w:eastAsia="宋体" w:cs="宋体"/>
          <w:color w:val="auto"/>
          <w:sz w:val="22"/>
          <w:szCs w:val="22"/>
          <w:lang w:eastAsia="zh-CN"/>
        </w:rPr>
      </w:pPr>
      <w:r>
        <w:rPr>
          <w:rFonts w:ascii="宋体" w:hAnsi="宋体" w:eastAsia="宋体" w:cs="宋体"/>
          <w:i/>
          <w:iCs/>
          <w:color w:val="auto"/>
          <w:sz w:val="22"/>
          <w:szCs w:val="22"/>
          <w:lang w:eastAsia="zh-CN"/>
        </w:rPr>
        <w:t>注：招标人不供应材料的，本表删除。</w:t>
      </w:r>
    </w:p>
    <w:p w14:paraId="4C20BD87">
      <w:pPr>
        <w:rPr>
          <w:rFonts w:hint="eastAsia" w:ascii="宋体" w:hAnsi="宋体" w:eastAsia="宋体" w:cs="宋体"/>
          <w:color w:val="auto"/>
          <w:sz w:val="22"/>
          <w:szCs w:val="22"/>
          <w:lang w:eastAsia="zh-CN"/>
        </w:rPr>
      </w:pPr>
      <w:r>
        <w:rPr>
          <w:rFonts w:ascii="宋体" w:hAnsi="宋体" w:eastAsia="宋体" w:cs="宋体"/>
          <w:color w:val="auto"/>
          <w:sz w:val="22"/>
          <w:szCs w:val="22"/>
          <w:lang w:eastAsia="zh-CN"/>
        </w:rPr>
        <w:br w:type="page"/>
      </w:r>
    </w:p>
    <w:p w14:paraId="1F13C574">
      <w:pPr>
        <w:widowControl w:val="0"/>
        <w:kinsoku/>
        <w:wordWrap w:val="0"/>
        <w:topLinePunct/>
        <w:autoSpaceDE/>
        <w:autoSpaceDN/>
        <w:spacing w:line="360" w:lineRule="auto"/>
        <w:jc w:val="center"/>
        <w:rPr>
          <w:rFonts w:hint="eastAsia" w:ascii="宋体" w:hAnsi="宋体" w:eastAsia="宋体" w:cs="宋体"/>
          <w:b/>
          <w:bCs/>
          <w:color w:val="auto"/>
          <w:sz w:val="28"/>
          <w:szCs w:val="28"/>
          <w:lang w:eastAsia="zh-CN"/>
        </w:rPr>
      </w:pPr>
      <w:r>
        <w:rPr>
          <w:rFonts w:ascii="宋体" w:hAnsi="宋体" w:eastAsia="宋体" w:cs="宋体"/>
          <w:b/>
          <w:bCs/>
          <w:color w:val="auto"/>
          <w:sz w:val="28"/>
          <w:szCs w:val="28"/>
          <w:lang w:eastAsia="zh-CN"/>
        </w:rPr>
        <w:t>招标人提供施工设施表</w:t>
      </w:r>
    </w:p>
    <w:p w14:paraId="548AABB6">
      <w:pPr>
        <w:widowControl w:val="0"/>
        <w:kinsoku/>
        <w:wordWrap w:val="0"/>
        <w:topLinePunct/>
        <w:autoSpaceDE/>
        <w:autoSpaceDN/>
        <w:spacing w:line="360" w:lineRule="auto"/>
        <w:rPr>
          <w:rFonts w:hint="eastAsia" w:ascii="宋体" w:hAnsi="宋体" w:eastAsia="宋体" w:cs="宋体"/>
          <w:color w:val="auto"/>
          <w:lang w:eastAsia="zh-CN"/>
        </w:rPr>
      </w:pPr>
      <w:r>
        <w:rPr>
          <w:rFonts w:ascii="宋体" w:hAnsi="宋体" w:eastAsia="宋体" w:cs="宋体"/>
          <w:color w:val="auto"/>
          <w:lang w:eastAsia="zh-CN"/>
        </w:rPr>
        <w:t>项目及标段名称：</w:t>
      </w:r>
      <w:r>
        <w:rPr>
          <w:rFonts w:hint="eastAsia" w:ascii="宋体" w:hAnsi="宋体" w:eastAsia="宋体" w:cs="宋体"/>
          <w:color w:val="auto"/>
          <w:u w:val="single"/>
          <w:lang w:eastAsia="zh-CN"/>
        </w:rPr>
        <w:t>　　　　　　　　　　　　　　　　　　　　</w:t>
      </w:r>
      <w:r>
        <w:rPr>
          <w:rFonts w:hint="eastAsia" w:ascii="宋体" w:hAnsi="宋体" w:eastAsia="宋体" w:cs="宋体"/>
          <w:color w:val="auto"/>
          <w:lang w:eastAsia="zh-CN"/>
        </w:rPr>
        <w:t>　　　　　　　　</w:t>
      </w:r>
      <w:r>
        <w:rPr>
          <w:rFonts w:ascii="宋体" w:hAnsi="宋体" w:eastAsia="宋体" w:cs="宋体"/>
          <w:color w:val="auto"/>
          <w:lang w:eastAsia="zh-CN"/>
        </w:rPr>
        <w:t>第</w:t>
      </w:r>
      <w:r>
        <w:rPr>
          <w:rFonts w:hint="eastAsia" w:ascii="宋体" w:hAnsi="宋体" w:eastAsia="宋体" w:cs="宋体"/>
          <w:color w:val="auto"/>
          <w:lang w:eastAsia="zh-CN"/>
        </w:rPr>
        <w:t>　</w:t>
      </w:r>
      <w:r>
        <w:rPr>
          <w:rFonts w:ascii="宋体" w:hAnsi="宋体" w:eastAsia="宋体" w:cs="宋体"/>
          <w:color w:val="auto"/>
          <w:lang w:eastAsia="zh-CN"/>
        </w:rPr>
        <w:t>页共</w:t>
      </w:r>
      <w:r>
        <w:rPr>
          <w:rFonts w:hint="eastAsia" w:ascii="宋体" w:hAnsi="宋体" w:eastAsia="宋体" w:cs="宋体"/>
          <w:color w:val="auto"/>
          <w:lang w:eastAsia="zh-CN"/>
        </w:rPr>
        <w:t>　</w:t>
      </w:r>
      <w:r>
        <w:rPr>
          <w:rFonts w:ascii="宋体" w:hAnsi="宋体" w:eastAsia="宋体" w:cs="宋体"/>
          <w:color w:val="auto"/>
          <w:lang w:eastAsia="zh-CN"/>
        </w:rPr>
        <w:t>页</w:t>
      </w:r>
    </w:p>
    <w:tbl>
      <w:tblPr>
        <w:tblStyle w:val="20"/>
        <w:tblW w:w="907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3"/>
        <w:gridCol w:w="2784"/>
        <w:gridCol w:w="1215"/>
        <w:gridCol w:w="1696"/>
        <w:gridCol w:w="2012"/>
      </w:tblGrid>
      <w:tr w14:paraId="3E599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1363" w:type="dxa"/>
            <w:tcBorders>
              <w:top w:val="single" w:color="000000" w:sz="6" w:space="0"/>
              <w:left w:val="single" w:color="000000" w:sz="6" w:space="0"/>
            </w:tcBorders>
            <w:vAlign w:val="center"/>
          </w:tcPr>
          <w:p w14:paraId="66EA4446">
            <w:pPr>
              <w:pStyle w:val="21"/>
              <w:widowControl w:val="0"/>
              <w:kinsoku/>
              <w:wordWrap w:val="0"/>
              <w:topLinePunct/>
              <w:autoSpaceDE/>
              <w:autoSpaceDN/>
              <w:jc w:val="center"/>
              <w:rPr>
                <w:rFonts w:hint="eastAsia"/>
                <w:color w:val="auto"/>
                <w:sz w:val="21"/>
                <w:szCs w:val="21"/>
              </w:rPr>
            </w:pPr>
            <w:r>
              <w:rPr>
                <w:color w:val="auto"/>
                <w:sz w:val="21"/>
                <w:szCs w:val="21"/>
              </w:rPr>
              <w:t>序号</w:t>
            </w:r>
          </w:p>
        </w:tc>
        <w:tc>
          <w:tcPr>
            <w:tcW w:w="2784" w:type="dxa"/>
            <w:tcBorders>
              <w:top w:val="single" w:color="000000" w:sz="6" w:space="0"/>
            </w:tcBorders>
            <w:vAlign w:val="center"/>
          </w:tcPr>
          <w:p w14:paraId="444A257E">
            <w:pPr>
              <w:pStyle w:val="21"/>
              <w:widowControl w:val="0"/>
              <w:kinsoku/>
              <w:wordWrap w:val="0"/>
              <w:topLinePunct/>
              <w:autoSpaceDE/>
              <w:autoSpaceDN/>
              <w:jc w:val="center"/>
              <w:rPr>
                <w:rFonts w:hint="eastAsia"/>
                <w:color w:val="auto"/>
                <w:sz w:val="21"/>
                <w:szCs w:val="21"/>
              </w:rPr>
            </w:pPr>
            <w:r>
              <w:rPr>
                <w:color w:val="auto"/>
                <w:sz w:val="21"/>
                <w:szCs w:val="21"/>
              </w:rPr>
              <w:t>项目名称</w:t>
            </w:r>
          </w:p>
        </w:tc>
        <w:tc>
          <w:tcPr>
            <w:tcW w:w="1215" w:type="dxa"/>
            <w:tcBorders>
              <w:top w:val="single" w:color="000000" w:sz="6" w:space="0"/>
            </w:tcBorders>
            <w:vAlign w:val="center"/>
          </w:tcPr>
          <w:p w14:paraId="6B8D3A79">
            <w:pPr>
              <w:pStyle w:val="21"/>
              <w:widowControl w:val="0"/>
              <w:kinsoku/>
              <w:wordWrap w:val="0"/>
              <w:topLinePunct/>
              <w:autoSpaceDE/>
              <w:autoSpaceDN/>
              <w:jc w:val="center"/>
              <w:rPr>
                <w:rFonts w:hint="eastAsia"/>
                <w:color w:val="auto"/>
                <w:sz w:val="21"/>
                <w:szCs w:val="21"/>
              </w:rPr>
            </w:pPr>
            <w:r>
              <w:rPr>
                <w:color w:val="auto"/>
                <w:sz w:val="21"/>
                <w:szCs w:val="21"/>
              </w:rPr>
              <w:t>计量单位</w:t>
            </w:r>
          </w:p>
        </w:tc>
        <w:tc>
          <w:tcPr>
            <w:tcW w:w="1696" w:type="dxa"/>
            <w:tcBorders>
              <w:top w:val="single" w:color="000000" w:sz="6" w:space="0"/>
            </w:tcBorders>
            <w:vAlign w:val="center"/>
          </w:tcPr>
          <w:p w14:paraId="24091CC9">
            <w:pPr>
              <w:pStyle w:val="21"/>
              <w:widowControl w:val="0"/>
              <w:kinsoku/>
              <w:wordWrap w:val="0"/>
              <w:topLinePunct/>
              <w:autoSpaceDE/>
              <w:autoSpaceDN/>
              <w:jc w:val="center"/>
              <w:rPr>
                <w:rFonts w:hint="eastAsia"/>
                <w:color w:val="auto"/>
                <w:sz w:val="21"/>
                <w:szCs w:val="21"/>
              </w:rPr>
            </w:pPr>
            <w:r>
              <w:rPr>
                <w:color w:val="auto"/>
                <w:sz w:val="21"/>
                <w:szCs w:val="21"/>
              </w:rPr>
              <w:t>数量</w:t>
            </w:r>
          </w:p>
        </w:tc>
        <w:tc>
          <w:tcPr>
            <w:tcW w:w="2012" w:type="dxa"/>
            <w:tcBorders>
              <w:top w:val="single" w:color="000000" w:sz="6" w:space="0"/>
              <w:right w:val="single" w:color="000000" w:sz="6" w:space="0"/>
            </w:tcBorders>
            <w:vAlign w:val="center"/>
          </w:tcPr>
          <w:p w14:paraId="0CA202FF">
            <w:pPr>
              <w:pStyle w:val="21"/>
              <w:widowControl w:val="0"/>
              <w:kinsoku/>
              <w:wordWrap w:val="0"/>
              <w:topLinePunct/>
              <w:autoSpaceDE/>
              <w:autoSpaceDN/>
              <w:jc w:val="center"/>
              <w:rPr>
                <w:rFonts w:hint="eastAsia"/>
                <w:color w:val="auto"/>
                <w:sz w:val="21"/>
                <w:szCs w:val="21"/>
              </w:rPr>
            </w:pPr>
            <w:r>
              <w:rPr>
                <w:color w:val="auto"/>
                <w:sz w:val="21"/>
                <w:szCs w:val="21"/>
              </w:rPr>
              <w:t>备注</w:t>
            </w:r>
          </w:p>
        </w:tc>
      </w:tr>
      <w:tr w14:paraId="0EEFC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0E2AF308">
            <w:pPr>
              <w:widowControl w:val="0"/>
              <w:kinsoku/>
              <w:wordWrap w:val="0"/>
              <w:topLinePunct/>
              <w:autoSpaceDE/>
              <w:autoSpaceDN/>
              <w:jc w:val="center"/>
              <w:rPr>
                <w:color w:val="auto"/>
              </w:rPr>
            </w:pPr>
          </w:p>
        </w:tc>
        <w:tc>
          <w:tcPr>
            <w:tcW w:w="2784" w:type="dxa"/>
            <w:vAlign w:val="center"/>
          </w:tcPr>
          <w:p w14:paraId="20BA3840">
            <w:pPr>
              <w:widowControl w:val="0"/>
              <w:kinsoku/>
              <w:wordWrap w:val="0"/>
              <w:topLinePunct/>
              <w:autoSpaceDE/>
              <w:autoSpaceDN/>
              <w:jc w:val="center"/>
              <w:rPr>
                <w:color w:val="auto"/>
              </w:rPr>
            </w:pPr>
          </w:p>
        </w:tc>
        <w:tc>
          <w:tcPr>
            <w:tcW w:w="1215" w:type="dxa"/>
            <w:vAlign w:val="center"/>
          </w:tcPr>
          <w:p w14:paraId="230CA786">
            <w:pPr>
              <w:widowControl w:val="0"/>
              <w:kinsoku/>
              <w:wordWrap w:val="0"/>
              <w:topLinePunct/>
              <w:autoSpaceDE/>
              <w:autoSpaceDN/>
              <w:jc w:val="center"/>
              <w:rPr>
                <w:color w:val="auto"/>
              </w:rPr>
            </w:pPr>
          </w:p>
        </w:tc>
        <w:tc>
          <w:tcPr>
            <w:tcW w:w="1696" w:type="dxa"/>
            <w:vAlign w:val="center"/>
          </w:tcPr>
          <w:p w14:paraId="378382F7">
            <w:pPr>
              <w:widowControl w:val="0"/>
              <w:kinsoku/>
              <w:wordWrap w:val="0"/>
              <w:topLinePunct/>
              <w:autoSpaceDE/>
              <w:autoSpaceDN/>
              <w:jc w:val="center"/>
              <w:rPr>
                <w:color w:val="auto"/>
              </w:rPr>
            </w:pPr>
          </w:p>
        </w:tc>
        <w:tc>
          <w:tcPr>
            <w:tcW w:w="2012" w:type="dxa"/>
            <w:tcBorders>
              <w:right w:val="single" w:color="000000" w:sz="6" w:space="0"/>
            </w:tcBorders>
            <w:vAlign w:val="center"/>
          </w:tcPr>
          <w:p w14:paraId="4B441BEA">
            <w:pPr>
              <w:widowControl w:val="0"/>
              <w:kinsoku/>
              <w:wordWrap w:val="0"/>
              <w:topLinePunct/>
              <w:autoSpaceDE/>
              <w:autoSpaceDN/>
              <w:jc w:val="center"/>
              <w:rPr>
                <w:color w:val="auto"/>
              </w:rPr>
            </w:pPr>
          </w:p>
        </w:tc>
      </w:tr>
      <w:tr w14:paraId="36595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1F93D62B">
            <w:pPr>
              <w:widowControl w:val="0"/>
              <w:kinsoku/>
              <w:wordWrap w:val="0"/>
              <w:topLinePunct/>
              <w:autoSpaceDE/>
              <w:autoSpaceDN/>
              <w:jc w:val="center"/>
              <w:rPr>
                <w:color w:val="auto"/>
              </w:rPr>
            </w:pPr>
          </w:p>
        </w:tc>
        <w:tc>
          <w:tcPr>
            <w:tcW w:w="2784" w:type="dxa"/>
            <w:vAlign w:val="center"/>
          </w:tcPr>
          <w:p w14:paraId="058BED37">
            <w:pPr>
              <w:widowControl w:val="0"/>
              <w:kinsoku/>
              <w:wordWrap w:val="0"/>
              <w:topLinePunct/>
              <w:autoSpaceDE/>
              <w:autoSpaceDN/>
              <w:jc w:val="center"/>
              <w:rPr>
                <w:color w:val="auto"/>
              </w:rPr>
            </w:pPr>
          </w:p>
        </w:tc>
        <w:tc>
          <w:tcPr>
            <w:tcW w:w="1215" w:type="dxa"/>
            <w:vAlign w:val="center"/>
          </w:tcPr>
          <w:p w14:paraId="6418164B">
            <w:pPr>
              <w:widowControl w:val="0"/>
              <w:kinsoku/>
              <w:wordWrap w:val="0"/>
              <w:topLinePunct/>
              <w:autoSpaceDE/>
              <w:autoSpaceDN/>
              <w:jc w:val="center"/>
              <w:rPr>
                <w:color w:val="auto"/>
              </w:rPr>
            </w:pPr>
          </w:p>
        </w:tc>
        <w:tc>
          <w:tcPr>
            <w:tcW w:w="1696" w:type="dxa"/>
            <w:vAlign w:val="center"/>
          </w:tcPr>
          <w:p w14:paraId="0B1C27BF">
            <w:pPr>
              <w:widowControl w:val="0"/>
              <w:kinsoku/>
              <w:wordWrap w:val="0"/>
              <w:topLinePunct/>
              <w:autoSpaceDE/>
              <w:autoSpaceDN/>
              <w:jc w:val="center"/>
              <w:rPr>
                <w:color w:val="auto"/>
              </w:rPr>
            </w:pPr>
          </w:p>
        </w:tc>
        <w:tc>
          <w:tcPr>
            <w:tcW w:w="2012" w:type="dxa"/>
            <w:tcBorders>
              <w:right w:val="single" w:color="000000" w:sz="6" w:space="0"/>
            </w:tcBorders>
            <w:vAlign w:val="center"/>
          </w:tcPr>
          <w:p w14:paraId="522D7E76">
            <w:pPr>
              <w:widowControl w:val="0"/>
              <w:kinsoku/>
              <w:wordWrap w:val="0"/>
              <w:topLinePunct/>
              <w:autoSpaceDE/>
              <w:autoSpaceDN/>
              <w:jc w:val="center"/>
              <w:rPr>
                <w:color w:val="auto"/>
              </w:rPr>
            </w:pPr>
          </w:p>
        </w:tc>
      </w:tr>
      <w:tr w14:paraId="4D801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1C8ED785">
            <w:pPr>
              <w:widowControl w:val="0"/>
              <w:kinsoku/>
              <w:wordWrap w:val="0"/>
              <w:topLinePunct/>
              <w:autoSpaceDE/>
              <w:autoSpaceDN/>
              <w:jc w:val="center"/>
              <w:rPr>
                <w:color w:val="auto"/>
              </w:rPr>
            </w:pPr>
          </w:p>
        </w:tc>
        <w:tc>
          <w:tcPr>
            <w:tcW w:w="2784" w:type="dxa"/>
            <w:vAlign w:val="center"/>
          </w:tcPr>
          <w:p w14:paraId="2EEEDA8A">
            <w:pPr>
              <w:widowControl w:val="0"/>
              <w:kinsoku/>
              <w:wordWrap w:val="0"/>
              <w:topLinePunct/>
              <w:autoSpaceDE/>
              <w:autoSpaceDN/>
              <w:jc w:val="center"/>
              <w:rPr>
                <w:color w:val="auto"/>
              </w:rPr>
            </w:pPr>
          </w:p>
        </w:tc>
        <w:tc>
          <w:tcPr>
            <w:tcW w:w="1215" w:type="dxa"/>
            <w:vAlign w:val="center"/>
          </w:tcPr>
          <w:p w14:paraId="1C42B614">
            <w:pPr>
              <w:widowControl w:val="0"/>
              <w:kinsoku/>
              <w:wordWrap w:val="0"/>
              <w:topLinePunct/>
              <w:autoSpaceDE/>
              <w:autoSpaceDN/>
              <w:jc w:val="center"/>
              <w:rPr>
                <w:color w:val="auto"/>
              </w:rPr>
            </w:pPr>
          </w:p>
        </w:tc>
        <w:tc>
          <w:tcPr>
            <w:tcW w:w="1696" w:type="dxa"/>
            <w:vAlign w:val="center"/>
          </w:tcPr>
          <w:p w14:paraId="464FDDDB">
            <w:pPr>
              <w:widowControl w:val="0"/>
              <w:kinsoku/>
              <w:wordWrap w:val="0"/>
              <w:topLinePunct/>
              <w:autoSpaceDE/>
              <w:autoSpaceDN/>
              <w:jc w:val="center"/>
              <w:rPr>
                <w:color w:val="auto"/>
              </w:rPr>
            </w:pPr>
          </w:p>
        </w:tc>
        <w:tc>
          <w:tcPr>
            <w:tcW w:w="2012" w:type="dxa"/>
            <w:tcBorders>
              <w:right w:val="single" w:color="000000" w:sz="6" w:space="0"/>
            </w:tcBorders>
            <w:vAlign w:val="center"/>
          </w:tcPr>
          <w:p w14:paraId="00FEE411">
            <w:pPr>
              <w:widowControl w:val="0"/>
              <w:kinsoku/>
              <w:wordWrap w:val="0"/>
              <w:topLinePunct/>
              <w:autoSpaceDE/>
              <w:autoSpaceDN/>
              <w:jc w:val="center"/>
              <w:rPr>
                <w:color w:val="auto"/>
              </w:rPr>
            </w:pPr>
          </w:p>
        </w:tc>
      </w:tr>
      <w:tr w14:paraId="0C99FD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63" w:type="dxa"/>
            <w:tcBorders>
              <w:left w:val="single" w:color="000000" w:sz="6" w:space="0"/>
            </w:tcBorders>
            <w:vAlign w:val="center"/>
          </w:tcPr>
          <w:p w14:paraId="469592CC">
            <w:pPr>
              <w:widowControl w:val="0"/>
              <w:kinsoku/>
              <w:wordWrap w:val="0"/>
              <w:topLinePunct/>
              <w:autoSpaceDE/>
              <w:autoSpaceDN/>
              <w:jc w:val="center"/>
              <w:rPr>
                <w:color w:val="auto"/>
              </w:rPr>
            </w:pPr>
          </w:p>
        </w:tc>
        <w:tc>
          <w:tcPr>
            <w:tcW w:w="2784" w:type="dxa"/>
            <w:vAlign w:val="center"/>
          </w:tcPr>
          <w:p w14:paraId="732D70DA">
            <w:pPr>
              <w:widowControl w:val="0"/>
              <w:kinsoku/>
              <w:wordWrap w:val="0"/>
              <w:topLinePunct/>
              <w:autoSpaceDE/>
              <w:autoSpaceDN/>
              <w:jc w:val="center"/>
              <w:rPr>
                <w:color w:val="auto"/>
              </w:rPr>
            </w:pPr>
          </w:p>
        </w:tc>
        <w:tc>
          <w:tcPr>
            <w:tcW w:w="1215" w:type="dxa"/>
            <w:vAlign w:val="center"/>
          </w:tcPr>
          <w:p w14:paraId="314F45BF">
            <w:pPr>
              <w:widowControl w:val="0"/>
              <w:kinsoku/>
              <w:wordWrap w:val="0"/>
              <w:topLinePunct/>
              <w:autoSpaceDE/>
              <w:autoSpaceDN/>
              <w:jc w:val="center"/>
              <w:rPr>
                <w:color w:val="auto"/>
              </w:rPr>
            </w:pPr>
          </w:p>
        </w:tc>
        <w:tc>
          <w:tcPr>
            <w:tcW w:w="1696" w:type="dxa"/>
            <w:vAlign w:val="center"/>
          </w:tcPr>
          <w:p w14:paraId="49336F40">
            <w:pPr>
              <w:widowControl w:val="0"/>
              <w:kinsoku/>
              <w:wordWrap w:val="0"/>
              <w:topLinePunct/>
              <w:autoSpaceDE/>
              <w:autoSpaceDN/>
              <w:jc w:val="center"/>
              <w:rPr>
                <w:color w:val="auto"/>
              </w:rPr>
            </w:pPr>
          </w:p>
        </w:tc>
        <w:tc>
          <w:tcPr>
            <w:tcW w:w="2012" w:type="dxa"/>
            <w:tcBorders>
              <w:right w:val="single" w:color="000000" w:sz="6" w:space="0"/>
            </w:tcBorders>
            <w:vAlign w:val="center"/>
          </w:tcPr>
          <w:p w14:paraId="553FD34C">
            <w:pPr>
              <w:widowControl w:val="0"/>
              <w:kinsoku/>
              <w:wordWrap w:val="0"/>
              <w:topLinePunct/>
              <w:autoSpaceDE/>
              <w:autoSpaceDN/>
              <w:jc w:val="center"/>
              <w:rPr>
                <w:color w:val="auto"/>
              </w:rPr>
            </w:pPr>
          </w:p>
        </w:tc>
      </w:tr>
      <w:tr w14:paraId="459C7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0AA975BE">
            <w:pPr>
              <w:widowControl w:val="0"/>
              <w:kinsoku/>
              <w:wordWrap w:val="0"/>
              <w:topLinePunct/>
              <w:autoSpaceDE/>
              <w:autoSpaceDN/>
              <w:jc w:val="center"/>
              <w:rPr>
                <w:color w:val="auto"/>
              </w:rPr>
            </w:pPr>
          </w:p>
        </w:tc>
        <w:tc>
          <w:tcPr>
            <w:tcW w:w="2784" w:type="dxa"/>
            <w:vAlign w:val="center"/>
          </w:tcPr>
          <w:p w14:paraId="2216A137">
            <w:pPr>
              <w:widowControl w:val="0"/>
              <w:kinsoku/>
              <w:wordWrap w:val="0"/>
              <w:topLinePunct/>
              <w:autoSpaceDE/>
              <w:autoSpaceDN/>
              <w:jc w:val="center"/>
              <w:rPr>
                <w:color w:val="auto"/>
              </w:rPr>
            </w:pPr>
          </w:p>
        </w:tc>
        <w:tc>
          <w:tcPr>
            <w:tcW w:w="1215" w:type="dxa"/>
            <w:vAlign w:val="center"/>
          </w:tcPr>
          <w:p w14:paraId="59336E61">
            <w:pPr>
              <w:widowControl w:val="0"/>
              <w:kinsoku/>
              <w:wordWrap w:val="0"/>
              <w:topLinePunct/>
              <w:autoSpaceDE/>
              <w:autoSpaceDN/>
              <w:jc w:val="center"/>
              <w:rPr>
                <w:color w:val="auto"/>
              </w:rPr>
            </w:pPr>
          </w:p>
        </w:tc>
        <w:tc>
          <w:tcPr>
            <w:tcW w:w="1696" w:type="dxa"/>
            <w:vAlign w:val="center"/>
          </w:tcPr>
          <w:p w14:paraId="251E704F">
            <w:pPr>
              <w:widowControl w:val="0"/>
              <w:kinsoku/>
              <w:wordWrap w:val="0"/>
              <w:topLinePunct/>
              <w:autoSpaceDE/>
              <w:autoSpaceDN/>
              <w:jc w:val="center"/>
              <w:rPr>
                <w:color w:val="auto"/>
              </w:rPr>
            </w:pPr>
          </w:p>
        </w:tc>
        <w:tc>
          <w:tcPr>
            <w:tcW w:w="2012" w:type="dxa"/>
            <w:tcBorders>
              <w:right w:val="single" w:color="000000" w:sz="6" w:space="0"/>
            </w:tcBorders>
            <w:vAlign w:val="center"/>
          </w:tcPr>
          <w:p w14:paraId="1BC73DD9">
            <w:pPr>
              <w:widowControl w:val="0"/>
              <w:kinsoku/>
              <w:wordWrap w:val="0"/>
              <w:topLinePunct/>
              <w:autoSpaceDE/>
              <w:autoSpaceDN/>
              <w:jc w:val="center"/>
              <w:rPr>
                <w:color w:val="auto"/>
              </w:rPr>
            </w:pPr>
          </w:p>
        </w:tc>
      </w:tr>
      <w:tr w14:paraId="45BBE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1F41B7DA">
            <w:pPr>
              <w:widowControl w:val="0"/>
              <w:kinsoku/>
              <w:wordWrap w:val="0"/>
              <w:topLinePunct/>
              <w:autoSpaceDE/>
              <w:autoSpaceDN/>
              <w:jc w:val="center"/>
              <w:rPr>
                <w:color w:val="auto"/>
              </w:rPr>
            </w:pPr>
          </w:p>
        </w:tc>
        <w:tc>
          <w:tcPr>
            <w:tcW w:w="2784" w:type="dxa"/>
            <w:vAlign w:val="center"/>
          </w:tcPr>
          <w:p w14:paraId="3736E06A">
            <w:pPr>
              <w:widowControl w:val="0"/>
              <w:kinsoku/>
              <w:wordWrap w:val="0"/>
              <w:topLinePunct/>
              <w:autoSpaceDE/>
              <w:autoSpaceDN/>
              <w:jc w:val="center"/>
              <w:rPr>
                <w:color w:val="auto"/>
              </w:rPr>
            </w:pPr>
          </w:p>
        </w:tc>
        <w:tc>
          <w:tcPr>
            <w:tcW w:w="1215" w:type="dxa"/>
            <w:vAlign w:val="center"/>
          </w:tcPr>
          <w:p w14:paraId="4F4C2184">
            <w:pPr>
              <w:widowControl w:val="0"/>
              <w:kinsoku/>
              <w:wordWrap w:val="0"/>
              <w:topLinePunct/>
              <w:autoSpaceDE/>
              <w:autoSpaceDN/>
              <w:jc w:val="center"/>
              <w:rPr>
                <w:color w:val="auto"/>
              </w:rPr>
            </w:pPr>
          </w:p>
        </w:tc>
        <w:tc>
          <w:tcPr>
            <w:tcW w:w="1696" w:type="dxa"/>
            <w:vAlign w:val="center"/>
          </w:tcPr>
          <w:p w14:paraId="36AEAB15">
            <w:pPr>
              <w:widowControl w:val="0"/>
              <w:kinsoku/>
              <w:wordWrap w:val="0"/>
              <w:topLinePunct/>
              <w:autoSpaceDE/>
              <w:autoSpaceDN/>
              <w:jc w:val="center"/>
              <w:rPr>
                <w:color w:val="auto"/>
              </w:rPr>
            </w:pPr>
          </w:p>
        </w:tc>
        <w:tc>
          <w:tcPr>
            <w:tcW w:w="2012" w:type="dxa"/>
            <w:tcBorders>
              <w:right w:val="single" w:color="000000" w:sz="6" w:space="0"/>
            </w:tcBorders>
            <w:vAlign w:val="center"/>
          </w:tcPr>
          <w:p w14:paraId="65E60E35">
            <w:pPr>
              <w:widowControl w:val="0"/>
              <w:kinsoku/>
              <w:wordWrap w:val="0"/>
              <w:topLinePunct/>
              <w:autoSpaceDE/>
              <w:autoSpaceDN/>
              <w:jc w:val="center"/>
              <w:rPr>
                <w:color w:val="auto"/>
              </w:rPr>
            </w:pPr>
          </w:p>
        </w:tc>
      </w:tr>
      <w:tr w14:paraId="0CEE2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55D94ED1">
            <w:pPr>
              <w:widowControl w:val="0"/>
              <w:kinsoku/>
              <w:wordWrap w:val="0"/>
              <w:topLinePunct/>
              <w:autoSpaceDE/>
              <w:autoSpaceDN/>
              <w:jc w:val="center"/>
              <w:rPr>
                <w:color w:val="auto"/>
              </w:rPr>
            </w:pPr>
          </w:p>
        </w:tc>
        <w:tc>
          <w:tcPr>
            <w:tcW w:w="2784" w:type="dxa"/>
            <w:vAlign w:val="center"/>
          </w:tcPr>
          <w:p w14:paraId="0CB197F2">
            <w:pPr>
              <w:widowControl w:val="0"/>
              <w:kinsoku/>
              <w:wordWrap w:val="0"/>
              <w:topLinePunct/>
              <w:autoSpaceDE/>
              <w:autoSpaceDN/>
              <w:jc w:val="center"/>
              <w:rPr>
                <w:color w:val="auto"/>
              </w:rPr>
            </w:pPr>
          </w:p>
        </w:tc>
        <w:tc>
          <w:tcPr>
            <w:tcW w:w="1215" w:type="dxa"/>
            <w:vAlign w:val="center"/>
          </w:tcPr>
          <w:p w14:paraId="141EE799">
            <w:pPr>
              <w:widowControl w:val="0"/>
              <w:kinsoku/>
              <w:wordWrap w:val="0"/>
              <w:topLinePunct/>
              <w:autoSpaceDE/>
              <w:autoSpaceDN/>
              <w:jc w:val="center"/>
              <w:rPr>
                <w:color w:val="auto"/>
              </w:rPr>
            </w:pPr>
          </w:p>
        </w:tc>
        <w:tc>
          <w:tcPr>
            <w:tcW w:w="1696" w:type="dxa"/>
            <w:vAlign w:val="center"/>
          </w:tcPr>
          <w:p w14:paraId="00A79368">
            <w:pPr>
              <w:widowControl w:val="0"/>
              <w:kinsoku/>
              <w:wordWrap w:val="0"/>
              <w:topLinePunct/>
              <w:autoSpaceDE/>
              <w:autoSpaceDN/>
              <w:jc w:val="center"/>
              <w:rPr>
                <w:color w:val="auto"/>
              </w:rPr>
            </w:pPr>
          </w:p>
        </w:tc>
        <w:tc>
          <w:tcPr>
            <w:tcW w:w="2012" w:type="dxa"/>
            <w:tcBorders>
              <w:right w:val="single" w:color="000000" w:sz="6" w:space="0"/>
            </w:tcBorders>
            <w:vAlign w:val="center"/>
          </w:tcPr>
          <w:p w14:paraId="37CEA073">
            <w:pPr>
              <w:widowControl w:val="0"/>
              <w:kinsoku/>
              <w:wordWrap w:val="0"/>
              <w:topLinePunct/>
              <w:autoSpaceDE/>
              <w:autoSpaceDN/>
              <w:jc w:val="center"/>
              <w:rPr>
                <w:color w:val="auto"/>
              </w:rPr>
            </w:pPr>
          </w:p>
        </w:tc>
      </w:tr>
      <w:tr w14:paraId="507B7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26726F3B">
            <w:pPr>
              <w:widowControl w:val="0"/>
              <w:kinsoku/>
              <w:wordWrap w:val="0"/>
              <w:topLinePunct/>
              <w:autoSpaceDE/>
              <w:autoSpaceDN/>
              <w:jc w:val="center"/>
              <w:rPr>
                <w:color w:val="auto"/>
              </w:rPr>
            </w:pPr>
          </w:p>
        </w:tc>
        <w:tc>
          <w:tcPr>
            <w:tcW w:w="2784" w:type="dxa"/>
            <w:vAlign w:val="center"/>
          </w:tcPr>
          <w:p w14:paraId="0F21EE52">
            <w:pPr>
              <w:widowControl w:val="0"/>
              <w:kinsoku/>
              <w:wordWrap w:val="0"/>
              <w:topLinePunct/>
              <w:autoSpaceDE/>
              <w:autoSpaceDN/>
              <w:jc w:val="center"/>
              <w:rPr>
                <w:color w:val="auto"/>
              </w:rPr>
            </w:pPr>
          </w:p>
        </w:tc>
        <w:tc>
          <w:tcPr>
            <w:tcW w:w="1215" w:type="dxa"/>
            <w:vAlign w:val="center"/>
          </w:tcPr>
          <w:p w14:paraId="23C088FF">
            <w:pPr>
              <w:widowControl w:val="0"/>
              <w:kinsoku/>
              <w:wordWrap w:val="0"/>
              <w:topLinePunct/>
              <w:autoSpaceDE/>
              <w:autoSpaceDN/>
              <w:jc w:val="center"/>
              <w:rPr>
                <w:color w:val="auto"/>
              </w:rPr>
            </w:pPr>
          </w:p>
        </w:tc>
        <w:tc>
          <w:tcPr>
            <w:tcW w:w="1696" w:type="dxa"/>
            <w:vAlign w:val="center"/>
          </w:tcPr>
          <w:p w14:paraId="2C5463DF">
            <w:pPr>
              <w:widowControl w:val="0"/>
              <w:kinsoku/>
              <w:wordWrap w:val="0"/>
              <w:topLinePunct/>
              <w:autoSpaceDE/>
              <w:autoSpaceDN/>
              <w:jc w:val="center"/>
              <w:rPr>
                <w:color w:val="auto"/>
              </w:rPr>
            </w:pPr>
          </w:p>
        </w:tc>
        <w:tc>
          <w:tcPr>
            <w:tcW w:w="2012" w:type="dxa"/>
            <w:tcBorders>
              <w:right w:val="single" w:color="000000" w:sz="6" w:space="0"/>
            </w:tcBorders>
            <w:vAlign w:val="center"/>
          </w:tcPr>
          <w:p w14:paraId="3C88358F">
            <w:pPr>
              <w:widowControl w:val="0"/>
              <w:kinsoku/>
              <w:wordWrap w:val="0"/>
              <w:topLinePunct/>
              <w:autoSpaceDE/>
              <w:autoSpaceDN/>
              <w:jc w:val="center"/>
              <w:rPr>
                <w:color w:val="auto"/>
              </w:rPr>
            </w:pPr>
          </w:p>
        </w:tc>
      </w:tr>
      <w:tr w14:paraId="7FB70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2B86BE39">
            <w:pPr>
              <w:widowControl w:val="0"/>
              <w:kinsoku/>
              <w:wordWrap w:val="0"/>
              <w:topLinePunct/>
              <w:autoSpaceDE/>
              <w:autoSpaceDN/>
              <w:jc w:val="center"/>
              <w:rPr>
                <w:color w:val="auto"/>
              </w:rPr>
            </w:pPr>
          </w:p>
        </w:tc>
        <w:tc>
          <w:tcPr>
            <w:tcW w:w="2784" w:type="dxa"/>
            <w:vAlign w:val="center"/>
          </w:tcPr>
          <w:p w14:paraId="6B3C65D3">
            <w:pPr>
              <w:widowControl w:val="0"/>
              <w:kinsoku/>
              <w:wordWrap w:val="0"/>
              <w:topLinePunct/>
              <w:autoSpaceDE/>
              <w:autoSpaceDN/>
              <w:jc w:val="center"/>
              <w:rPr>
                <w:color w:val="auto"/>
              </w:rPr>
            </w:pPr>
          </w:p>
        </w:tc>
        <w:tc>
          <w:tcPr>
            <w:tcW w:w="1215" w:type="dxa"/>
            <w:vAlign w:val="center"/>
          </w:tcPr>
          <w:p w14:paraId="071B36AF">
            <w:pPr>
              <w:widowControl w:val="0"/>
              <w:kinsoku/>
              <w:wordWrap w:val="0"/>
              <w:topLinePunct/>
              <w:autoSpaceDE/>
              <w:autoSpaceDN/>
              <w:jc w:val="center"/>
              <w:rPr>
                <w:color w:val="auto"/>
              </w:rPr>
            </w:pPr>
          </w:p>
        </w:tc>
        <w:tc>
          <w:tcPr>
            <w:tcW w:w="1696" w:type="dxa"/>
            <w:vAlign w:val="center"/>
          </w:tcPr>
          <w:p w14:paraId="3A0D81C2">
            <w:pPr>
              <w:widowControl w:val="0"/>
              <w:kinsoku/>
              <w:wordWrap w:val="0"/>
              <w:topLinePunct/>
              <w:autoSpaceDE/>
              <w:autoSpaceDN/>
              <w:jc w:val="center"/>
              <w:rPr>
                <w:color w:val="auto"/>
              </w:rPr>
            </w:pPr>
          </w:p>
        </w:tc>
        <w:tc>
          <w:tcPr>
            <w:tcW w:w="2012" w:type="dxa"/>
            <w:tcBorders>
              <w:right w:val="single" w:color="000000" w:sz="6" w:space="0"/>
            </w:tcBorders>
            <w:vAlign w:val="center"/>
          </w:tcPr>
          <w:p w14:paraId="3337D36F">
            <w:pPr>
              <w:widowControl w:val="0"/>
              <w:kinsoku/>
              <w:wordWrap w:val="0"/>
              <w:topLinePunct/>
              <w:autoSpaceDE/>
              <w:autoSpaceDN/>
              <w:jc w:val="center"/>
              <w:rPr>
                <w:color w:val="auto"/>
              </w:rPr>
            </w:pPr>
          </w:p>
        </w:tc>
      </w:tr>
      <w:tr w14:paraId="7B67E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center"/>
          </w:tcPr>
          <w:p w14:paraId="2BD341B6">
            <w:pPr>
              <w:widowControl w:val="0"/>
              <w:kinsoku/>
              <w:wordWrap w:val="0"/>
              <w:topLinePunct/>
              <w:autoSpaceDE/>
              <w:autoSpaceDN/>
              <w:jc w:val="center"/>
              <w:rPr>
                <w:color w:val="auto"/>
              </w:rPr>
            </w:pPr>
          </w:p>
        </w:tc>
        <w:tc>
          <w:tcPr>
            <w:tcW w:w="2784" w:type="dxa"/>
            <w:vAlign w:val="center"/>
          </w:tcPr>
          <w:p w14:paraId="628CBD8E">
            <w:pPr>
              <w:widowControl w:val="0"/>
              <w:kinsoku/>
              <w:wordWrap w:val="0"/>
              <w:topLinePunct/>
              <w:autoSpaceDE/>
              <w:autoSpaceDN/>
              <w:jc w:val="center"/>
              <w:rPr>
                <w:color w:val="auto"/>
              </w:rPr>
            </w:pPr>
          </w:p>
        </w:tc>
        <w:tc>
          <w:tcPr>
            <w:tcW w:w="1215" w:type="dxa"/>
            <w:vAlign w:val="center"/>
          </w:tcPr>
          <w:p w14:paraId="4C50D3A4">
            <w:pPr>
              <w:widowControl w:val="0"/>
              <w:kinsoku/>
              <w:wordWrap w:val="0"/>
              <w:topLinePunct/>
              <w:autoSpaceDE/>
              <w:autoSpaceDN/>
              <w:jc w:val="center"/>
              <w:rPr>
                <w:color w:val="auto"/>
              </w:rPr>
            </w:pPr>
          </w:p>
        </w:tc>
        <w:tc>
          <w:tcPr>
            <w:tcW w:w="1696" w:type="dxa"/>
            <w:vAlign w:val="center"/>
          </w:tcPr>
          <w:p w14:paraId="53D4195D">
            <w:pPr>
              <w:widowControl w:val="0"/>
              <w:kinsoku/>
              <w:wordWrap w:val="0"/>
              <w:topLinePunct/>
              <w:autoSpaceDE/>
              <w:autoSpaceDN/>
              <w:jc w:val="center"/>
              <w:rPr>
                <w:color w:val="auto"/>
              </w:rPr>
            </w:pPr>
          </w:p>
        </w:tc>
        <w:tc>
          <w:tcPr>
            <w:tcW w:w="2012" w:type="dxa"/>
            <w:tcBorders>
              <w:right w:val="single" w:color="000000" w:sz="6" w:space="0"/>
            </w:tcBorders>
            <w:vAlign w:val="center"/>
          </w:tcPr>
          <w:p w14:paraId="0ADDD603">
            <w:pPr>
              <w:widowControl w:val="0"/>
              <w:kinsoku/>
              <w:wordWrap w:val="0"/>
              <w:topLinePunct/>
              <w:autoSpaceDE/>
              <w:autoSpaceDN/>
              <w:jc w:val="center"/>
              <w:rPr>
                <w:color w:val="auto"/>
              </w:rPr>
            </w:pPr>
          </w:p>
        </w:tc>
      </w:tr>
      <w:tr w14:paraId="7B10B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5B22E712">
            <w:pPr>
              <w:widowControl w:val="0"/>
              <w:kinsoku/>
              <w:wordWrap w:val="0"/>
              <w:topLinePunct/>
              <w:autoSpaceDE/>
              <w:autoSpaceDN/>
              <w:jc w:val="center"/>
              <w:rPr>
                <w:color w:val="auto"/>
              </w:rPr>
            </w:pPr>
          </w:p>
        </w:tc>
        <w:tc>
          <w:tcPr>
            <w:tcW w:w="2784" w:type="dxa"/>
            <w:vAlign w:val="center"/>
          </w:tcPr>
          <w:p w14:paraId="65078D8E">
            <w:pPr>
              <w:widowControl w:val="0"/>
              <w:kinsoku/>
              <w:wordWrap w:val="0"/>
              <w:topLinePunct/>
              <w:autoSpaceDE/>
              <w:autoSpaceDN/>
              <w:jc w:val="center"/>
              <w:rPr>
                <w:color w:val="auto"/>
              </w:rPr>
            </w:pPr>
          </w:p>
        </w:tc>
        <w:tc>
          <w:tcPr>
            <w:tcW w:w="1215" w:type="dxa"/>
            <w:vAlign w:val="center"/>
          </w:tcPr>
          <w:p w14:paraId="6DCE6FA1">
            <w:pPr>
              <w:widowControl w:val="0"/>
              <w:kinsoku/>
              <w:wordWrap w:val="0"/>
              <w:topLinePunct/>
              <w:autoSpaceDE/>
              <w:autoSpaceDN/>
              <w:jc w:val="center"/>
              <w:rPr>
                <w:color w:val="auto"/>
              </w:rPr>
            </w:pPr>
          </w:p>
        </w:tc>
        <w:tc>
          <w:tcPr>
            <w:tcW w:w="1696" w:type="dxa"/>
            <w:vAlign w:val="center"/>
          </w:tcPr>
          <w:p w14:paraId="239D54AC">
            <w:pPr>
              <w:widowControl w:val="0"/>
              <w:kinsoku/>
              <w:wordWrap w:val="0"/>
              <w:topLinePunct/>
              <w:autoSpaceDE/>
              <w:autoSpaceDN/>
              <w:jc w:val="center"/>
              <w:rPr>
                <w:color w:val="auto"/>
              </w:rPr>
            </w:pPr>
          </w:p>
        </w:tc>
        <w:tc>
          <w:tcPr>
            <w:tcW w:w="2012" w:type="dxa"/>
            <w:tcBorders>
              <w:right w:val="single" w:color="000000" w:sz="6" w:space="0"/>
            </w:tcBorders>
            <w:vAlign w:val="center"/>
          </w:tcPr>
          <w:p w14:paraId="65C61496">
            <w:pPr>
              <w:widowControl w:val="0"/>
              <w:kinsoku/>
              <w:wordWrap w:val="0"/>
              <w:topLinePunct/>
              <w:autoSpaceDE/>
              <w:autoSpaceDN/>
              <w:jc w:val="center"/>
              <w:rPr>
                <w:color w:val="auto"/>
              </w:rPr>
            </w:pPr>
          </w:p>
        </w:tc>
      </w:tr>
      <w:tr w14:paraId="40AEA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4A627C01">
            <w:pPr>
              <w:widowControl w:val="0"/>
              <w:kinsoku/>
              <w:wordWrap w:val="0"/>
              <w:topLinePunct/>
              <w:autoSpaceDE/>
              <w:autoSpaceDN/>
              <w:jc w:val="center"/>
              <w:rPr>
                <w:color w:val="auto"/>
              </w:rPr>
            </w:pPr>
          </w:p>
        </w:tc>
        <w:tc>
          <w:tcPr>
            <w:tcW w:w="2784" w:type="dxa"/>
            <w:vAlign w:val="center"/>
          </w:tcPr>
          <w:p w14:paraId="3F3BFEB7">
            <w:pPr>
              <w:widowControl w:val="0"/>
              <w:kinsoku/>
              <w:wordWrap w:val="0"/>
              <w:topLinePunct/>
              <w:autoSpaceDE/>
              <w:autoSpaceDN/>
              <w:jc w:val="center"/>
              <w:rPr>
                <w:color w:val="auto"/>
              </w:rPr>
            </w:pPr>
          </w:p>
        </w:tc>
        <w:tc>
          <w:tcPr>
            <w:tcW w:w="1215" w:type="dxa"/>
            <w:vAlign w:val="center"/>
          </w:tcPr>
          <w:p w14:paraId="7BA78FD6">
            <w:pPr>
              <w:widowControl w:val="0"/>
              <w:kinsoku/>
              <w:wordWrap w:val="0"/>
              <w:topLinePunct/>
              <w:autoSpaceDE/>
              <w:autoSpaceDN/>
              <w:jc w:val="center"/>
              <w:rPr>
                <w:color w:val="auto"/>
              </w:rPr>
            </w:pPr>
          </w:p>
        </w:tc>
        <w:tc>
          <w:tcPr>
            <w:tcW w:w="1696" w:type="dxa"/>
            <w:vAlign w:val="center"/>
          </w:tcPr>
          <w:p w14:paraId="66461161">
            <w:pPr>
              <w:widowControl w:val="0"/>
              <w:kinsoku/>
              <w:wordWrap w:val="0"/>
              <w:topLinePunct/>
              <w:autoSpaceDE/>
              <w:autoSpaceDN/>
              <w:jc w:val="center"/>
              <w:rPr>
                <w:color w:val="auto"/>
              </w:rPr>
            </w:pPr>
          </w:p>
        </w:tc>
        <w:tc>
          <w:tcPr>
            <w:tcW w:w="2012" w:type="dxa"/>
            <w:tcBorders>
              <w:right w:val="single" w:color="000000" w:sz="6" w:space="0"/>
            </w:tcBorders>
            <w:vAlign w:val="center"/>
          </w:tcPr>
          <w:p w14:paraId="2915B432">
            <w:pPr>
              <w:widowControl w:val="0"/>
              <w:kinsoku/>
              <w:wordWrap w:val="0"/>
              <w:topLinePunct/>
              <w:autoSpaceDE/>
              <w:autoSpaceDN/>
              <w:jc w:val="center"/>
              <w:rPr>
                <w:color w:val="auto"/>
              </w:rPr>
            </w:pPr>
          </w:p>
        </w:tc>
      </w:tr>
      <w:tr w14:paraId="71AEB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06A0CFE1">
            <w:pPr>
              <w:widowControl w:val="0"/>
              <w:kinsoku/>
              <w:wordWrap w:val="0"/>
              <w:topLinePunct/>
              <w:autoSpaceDE/>
              <w:autoSpaceDN/>
              <w:jc w:val="center"/>
              <w:rPr>
                <w:color w:val="auto"/>
              </w:rPr>
            </w:pPr>
          </w:p>
        </w:tc>
        <w:tc>
          <w:tcPr>
            <w:tcW w:w="2784" w:type="dxa"/>
            <w:vAlign w:val="center"/>
          </w:tcPr>
          <w:p w14:paraId="6253ADB9">
            <w:pPr>
              <w:widowControl w:val="0"/>
              <w:kinsoku/>
              <w:wordWrap w:val="0"/>
              <w:topLinePunct/>
              <w:autoSpaceDE/>
              <w:autoSpaceDN/>
              <w:jc w:val="center"/>
              <w:rPr>
                <w:color w:val="auto"/>
              </w:rPr>
            </w:pPr>
          </w:p>
        </w:tc>
        <w:tc>
          <w:tcPr>
            <w:tcW w:w="1215" w:type="dxa"/>
            <w:vAlign w:val="center"/>
          </w:tcPr>
          <w:p w14:paraId="3F3C7AE2">
            <w:pPr>
              <w:widowControl w:val="0"/>
              <w:kinsoku/>
              <w:wordWrap w:val="0"/>
              <w:topLinePunct/>
              <w:autoSpaceDE/>
              <w:autoSpaceDN/>
              <w:jc w:val="center"/>
              <w:rPr>
                <w:color w:val="auto"/>
              </w:rPr>
            </w:pPr>
          </w:p>
        </w:tc>
        <w:tc>
          <w:tcPr>
            <w:tcW w:w="1696" w:type="dxa"/>
            <w:vAlign w:val="center"/>
          </w:tcPr>
          <w:p w14:paraId="0E43006E">
            <w:pPr>
              <w:widowControl w:val="0"/>
              <w:kinsoku/>
              <w:wordWrap w:val="0"/>
              <w:topLinePunct/>
              <w:autoSpaceDE/>
              <w:autoSpaceDN/>
              <w:jc w:val="center"/>
              <w:rPr>
                <w:color w:val="auto"/>
              </w:rPr>
            </w:pPr>
          </w:p>
        </w:tc>
        <w:tc>
          <w:tcPr>
            <w:tcW w:w="2012" w:type="dxa"/>
            <w:tcBorders>
              <w:right w:val="single" w:color="000000" w:sz="6" w:space="0"/>
            </w:tcBorders>
            <w:vAlign w:val="center"/>
          </w:tcPr>
          <w:p w14:paraId="3B7424A6">
            <w:pPr>
              <w:widowControl w:val="0"/>
              <w:kinsoku/>
              <w:wordWrap w:val="0"/>
              <w:topLinePunct/>
              <w:autoSpaceDE/>
              <w:autoSpaceDN/>
              <w:jc w:val="center"/>
              <w:rPr>
                <w:color w:val="auto"/>
              </w:rPr>
            </w:pPr>
          </w:p>
        </w:tc>
      </w:tr>
      <w:tr w14:paraId="0AEB3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5807EB8E">
            <w:pPr>
              <w:widowControl w:val="0"/>
              <w:kinsoku/>
              <w:wordWrap w:val="0"/>
              <w:topLinePunct/>
              <w:autoSpaceDE/>
              <w:autoSpaceDN/>
              <w:jc w:val="center"/>
              <w:rPr>
                <w:color w:val="auto"/>
              </w:rPr>
            </w:pPr>
          </w:p>
        </w:tc>
        <w:tc>
          <w:tcPr>
            <w:tcW w:w="2784" w:type="dxa"/>
            <w:vAlign w:val="center"/>
          </w:tcPr>
          <w:p w14:paraId="42E48BAA">
            <w:pPr>
              <w:widowControl w:val="0"/>
              <w:kinsoku/>
              <w:wordWrap w:val="0"/>
              <w:topLinePunct/>
              <w:autoSpaceDE/>
              <w:autoSpaceDN/>
              <w:jc w:val="center"/>
              <w:rPr>
                <w:color w:val="auto"/>
              </w:rPr>
            </w:pPr>
          </w:p>
        </w:tc>
        <w:tc>
          <w:tcPr>
            <w:tcW w:w="1215" w:type="dxa"/>
            <w:vAlign w:val="center"/>
          </w:tcPr>
          <w:p w14:paraId="54CED3DF">
            <w:pPr>
              <w:widowControl w:val="0"/>
              <w:kinsoku/>
              <w:wordWrap w:val="0"/>
              <w:topLinePunct/>
              <w:autoSpaceDE/>
              <w:autoSpaceDN/>
              <w:jc w:val="center"/>
              <w:rPr>
                <w:color w:val="auto"/>
              </w:rPr>
            </w:pPr>
          </w:p>
        </w:tc>
        <w:tc>
          <w:tcPr>
            <w:tcW w:w="1696" w:type="dxa"/>
            <w:vAlign w:val="center"/>
          </w:tcPr>
          <w:p w14:paraId="1DA2E70F">
            <w:pPr>
              <w:widowControl w:val="0"/>
              <w:kinsoku/>
              <w:wordWrap w:val="0"/>
              <w:topLinePunct/>
              <w:autoSpaceDE/>
              <w:autoSpaceDN/>
              <w:jc w:val="center"/>
              <w:rPr>
                <w:color w:val="auto"/>
              </w:rPr>
            </w:pPr>
          </w:p>
        </w:tc>
        <w:tc>
          <w:tcPr>
            <w:tcW w:w="2012" w:type="dxa"/>
            <w:tcBorders>
              <w:right w:val="single" w:color="000000" w:sz="6" w:space="0"/>
            </w:tcBorders>
            <w:vAlign w:val="center"/>
          </w:tcPr>
          <w:p w14:paraId="0D86E426">
            <w:pPr>
              <w:widowControl w:val="0"/>
              <w:kinsoku/>
              <w:wordWrap w:val="0"/>
              <w:topLinePunct/>
              <w:autoSpaceDE/>
              <w:autoSpaceDN/>
              <w:jc w:val="center"/>
              <w:rPr>
                <w:color w:val="auto"/>
              </w:rPr>
            </w:pPr>
          </w:p>
        </w:tc>
      </w:tr>
      <w:tr w14:paraId="595DF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7C3819E1">
            <w:pPr>
              <w:widowControl w:val="0"/>
              <w:kinsoku/>
              <w:wordWrap w:val="0"/>
              <w:topLinePunct/>
              <w:autoSpaceDE/>
              <w:autoSpaceDN/>
              <w:jc w:val="center"/>
              <w:rPr>
                <w:color w:val="auto"/>
              </w:rPr>
            </w:pPr>
          </w:p>
        </w:tc>
        <w:tc>
          <w:tcPr>
            <w:tcW w:w="2784" w:type="dxa"/>
            <w:vAlign w:val="center"/>
          </w:tcPr>
          <w:p w14:paraId="0F45BA10">
            <w:pPr>
              <w:widowControl w:val="0"/>
              <w:kinsoku/>
              <w:wordWrap w:val="0"/>
              <w:topLinePunct/>
              <w:autoSpaceDE/>
              <w:autoSpaceDN/>
              <w:jc w:val="center"/>
              <w:rPr>
                <w:color w:val="auto"/>
              </w:rPr>
            </w:pPr>
          </w:p>
        </w:tc>
        <w:tc>
          <w:tcPr>
            <w:tcW w:w="1215" w:type="dxa"/>
            <w:vAlign w:val="center"/>
          </w:tcPr>
          <w:p w14:paraId="00FFABE4">
            <w:pPr>
              <w:widowControl w:val="0"/>
              <w:kinsoku/>
              <w:wordWrap w:val="0"/>
              <w:topLinePunct/>
              <w:autoSpaceDE/>
              <w:autoSpaceDN/>
              <w:jc w:val="center"/>
              <w:rPr>
                <w:color w:val="auto"/>
              </w:rPr>
            </w:pPr>
          </w:p>
        </w:tc>
        <w:tc>
          <w:tcPr>
            <w:tcW w:w="1696" w:type="dxa"/>
            <w:vAlign w:val="center"/>
          </w:tcPr>
          <w:p w14:paraId="6B720685">
            <w:pPr>
              <w:widowControl w:val="0"/>
              <w:kinsoku/>
              <w:wordWrap w:val="0"/>
              <w:topLinePunct/>
              <w:autoSpaceDE/>
              <w:autoSpaceDN/>
              <w:jc w:val="center"/>
              <w:rPr>
                <w:color w:val="auto"/>
              </w:rPr>
            </w:pPr>
          </w:p>
        </w:tc>
        <w:tc>
          <w:tcPr>
            <w:tcW w:w="2012" w:type="dxa"/>
            <w:tcBorders>
              <w:right w:val="single" w:color="000000" w:sz="6" w:space="0"/>
            </w:tcBorders>
            <w:vAlign w:val="center"/>
          </w:tcPr>
          <w:p w14:paraId="1070FB1B">
            <w:pPr>
              <w:widowControl w:val="0"/>
              <w:kinsoku/>
              <w:wordWrap w:val="0"/>
              <w:topLinePunct/>
              <w:autoSpaceDE/>
              <w:autoSpaceDN/>
              <w:jc w:val="center"/>
              <w:rPr>
                <w:color w:val="auto"/>
              </w:rPr>
            </w:pPr>
          </w:p>
        </w:tc>
      </w:tr>
      <w:tr w14:paraId="6AC5A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63" w:type="dxa"/>
            <w:tcBorders>
              <w:left w:val="single" w:color="000000" w:sz="6" w:space="0"/>
            </w:tcBorders>
            <w:vAlign w:val="center"/>
          </w:tcPr>
          <w:p w14:paraId="03FE3306">
            <w:pPr>
              <w:widowControl w:val="0"/>
              <w:kinsoku/>
              <w:wordWrap w:val="0"/>
              <w:topLinePunct/>
              <w:autoSpaceDE/>
              <w:autoSpaceDN/>
              <w:jc w:val="center"/>
              <w:rPr>
                <w:color w:val="auto"/>
              </w:rPr>
            </w:pPr>
          </w:p>
        </w:tc>
        <w:tc>
          <w:tcPr>
            <w:tcW w:w="2784" w:type="dxa"/>
            <w:vAlign w:val="center"/>
          </w:tcPr>
          <w:p w14:paraId="49F814D1">
            <w:pPr>
              <w:widowControl w:val="0"/>
              <w:kinsoku/>
              <w:wordWrap w:val="0"/>
              <w:topLinePunct/>
              <w:autoSpaceDE/>
              <w:autoSpaceDN/>
              <w:jc w:val="center"/>
              <w:rPr>
                <w:color w:val="auto"/>
              </w:rPr>
            </w:pPr>
          </w:p>
        </w:tc>
        <w:tc>
          <w:tcPr>
            <w:tcW w:w="1215" w:type="dxa"/>
            <w:vAlign w:val="center"/>
          </w:tcPr>
          <w:p w14:paraId="4D437323">
            <w:pPr>
              <w:widowControl w:val="0"/>
              <w:kinsoku/>
              <w:wordWrap w:val="0"/>
              <w:topLinePunct/>
              <w:autoSpaceDE/>
              <w:autoSpaceDN/>
              <w:jc w:val="center"/>
              <w:rPr>
                <w:color w:val="auto"/>
              </w:rPr>
            </w:pPr>
          </w:p>
        </w:tc>
        <w:tc>
          <w:tcPr>
            <w:tcW w:w="1696" w:type="dxa"/>
            <w:vAlign w:val="center"/>
          </w:tcPr>
          <w:p w14:paraId="2FA4DE0E">
            <w:pPr>
              <w:widowControl w:val="0"/>
              <w:kinsoku/>
              <w:wordWrap w:val="0"/>
              <w:topLinePunct/>
              <w:autoSpaceDE/>
              <w:autoSpaceDN/>
              <w:jc w:val="center"/>
              <w:rPr>
                <w:color w:val="auto"/>
              </w:rPr>
            </w:pPr>
          </w:p>
        </w:tc>
        <w:tc>
          <w:tcPr>
            <w:tcW w:w="2012" w:type="dxa"/>
            <w:tcBorders>
              <w:right w:val="single" w:color="000000" w:sz="6" w:space="0"/>
            </w:tcBorders>
            <w:vAlign w:val="center"/>
          </w:tcPr>
          <w:p w14:paraId="62E79ED8">
            <w:pPr>
              <w:widowControl w:val="0"/>
              <w:kinsoku/>
              <w:wordWrap w:val="0"/>
              <w:topLinePunct/>
              <w:autoSpaceDE/>
              <w:autoSpaceDN/>
              <w:jc w:val="center"/>
              <w:rPr>
                <w:color w:val="auto"/>
              </w:rPr>
            </w:pPr>
          </w:p>
        </w:tc>
      </w:tr>
      <w:tr w14:paraId="047738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center"/>
          </w:tcPr>
          <w:p w14:paraId="3B204552">
            <w:pPr>
              <w:widowControl w:val="0"/>
              <w:kinsoku/>
              <w:wordWrap w:val="0"/>
              <w:topLinePunct/>
              <w:autoSpaceDE/>
              <w:autoSpaceDN/>
              <w:jc w:val="center"/>
              <w:rPr>
                <w:color w:val="auto"/>
              </w:rPr>
            </w:pPr>
          </w:p>
        </w:tc>
        <w:tc>
          <w:tcPr>
            <w:tcW w:w="2784" w:type="dxa"/>
            <w:vAlign w:val="center"/>
          </w:tcPr>
          <w:p w14:paraId="6010203F">
            <w:pPr>
              <w:widowControl w:val="0"/>
              <w:kinsoku/>
              <w:wordWrap w:val="0"/>
              <w:topLinePunct/>
              <w:autoSpaceDE/>
              <w:autoSpaceDN/>
              <w:jc w:val="center"/>
              <w:rPr>
                <w:color w:val="auto"/>
              </w:rPr>
            </w:pPr>
          </w:p>
        </w:tc>
        <w:tc>
          <w:tcPr>
            <w:tcW w:w="1215" w:type="dxa"/>
            <w:vAlign w:val="center"/>
          </w:tcPr>
          <w:p w14:paraId="65B1F956">
            <w:pPr>
              <w:widowControl w:val="0"/>
              <w:kinsoku/>
              <w:wordWrap w:val="0"/>
              <w:topLinePunct/>
              <w:autoSpaceDE/>
              <w:autoSpaceDN/>
              <w:jc w:val="center"/>
              <w:rPr>
                <w:color w:val="auto"/>
              </w:rPr>
            </w:pPr>
          </w:p>
        </w:tc>
        <w:tc>
          <w:tcPr>
            <w:tcW w:w="1696" w:type="dxa"/>
            <w:vAlign w:val="center"/>
          </w:tcPr>
          <w:p w14:paraId="77B73A05">
            <w:pPr>
              <w:widowControl w:val="0"/>
              <w:kinsoku/>
              <w:wordWrap w:val="0"/>
              <w:topLinePunct/>
              <w:autoSpaceDE/>
              <w:autoSpaceDN/>
              <w:jc w:val="center"/>
              <w:rPr>
                <w:color w:val="auto"/>
              </w:rPr>
            </w:pPr>
          </w:p>
        </w:tc>
        <w:tc>
          <w:tcPr>
            <w:tcW w:w="2012" w:type="dxa"/>
            <w:tcBorders>
              <w:right w:val="single" w:color="000000" w:sz="6" w:space="0"/>
            </w:tcBorders>
            <w:vAlign w:val="center"/>
          </w:tcPr>
          <w:p w14:paraId="4B39D398">
            <w:pPr>
              <w:widowControl w:val="0"/>
              <w:kinsoku/>
              <w:wordWrap w:val="0"/>
              <w:topLinePunct/>
              <w:autoSpaceDE/>
              <w:autoSpaceDN/>
              <w:jc w:val="center"/>
              <w:rPr>
                <w:color w:val="auto"/>
              </w:rPr>
            </w:pPr>
          </w:p>
        </w:tc>
      </w:tr>
      <w:tr w14:paraId="58937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363" w:type="dxa"/>
            <w:tcBorders>
              <w:left w:val="single" w:color="000000" w:sz="6" w:space="0"/>
              <w:bottom w:val="single" w:color="000000" w:sz="6" w:space="0"/>
            </w:tcBorders>
            <w:vAlign w:val="center"/>
          </w:tcPr>
          <w:p w14:paraId="6CC9D380">
            <w:pPr>
              <w:widowControl w:val="0"/>
              <w:kinsoku/>
              <w:wordWrap w:val="0"/>
              <w:topLinePunct/>
              <w:autoSpaceDE/>
              <w:autoSpaceDN/>
              <w:jc w:val="center"/>
              <w:rPr>
                <w:color w:val="auto"/>
              </w:rPr>
            </w:pPr>
          </w:p>
        </w:tc>
        <w:tc>
          <w:tcPr>
            <w:tcW w:w="2784" w:type="dxa"/>
            <w:tcBorders>
              <w:bottom w:val="single" w:color="000000" w:sz="6" w:space="0"/>
            </w:tcBorders>
            <w:vAlign w:val="center"/>
          </w:tcPr>
          <w:p w14:paraId="15C3D1F5">
            <w:pPr>
              <w:widowControl w:val="0"/>
              <w:kinsoku/>
              <w:wordWrap w:val="0"/>
              <w:topLinePunct/>
              <w:autoSpaceDE/>
              <w:autoSpaceDN/>
              <w:jc w:val="center"/>
              <w:rPr>
                <w:color w:val="auto"/>
              </w:rPr>
            </w:pPr>
          </w:p>
        </w:tc>
        <w:tc>
          <w:tcPr>
            <w:tcW w:w="1215" w:type="dxa"/>
            <w:tcBorders>
              <w:bottom w:val="single" w:color="000000" w:sz="6" w:space="0"/>
            </w:tcBorders>
            <w:vAlign w:val="center"/>
          </w:tcPr>
          <w:p w14:paraId="145A729B">
            <w:pPr>
              <w:widowControl w:val="0"/>
              <w:kinsoku/>
              <w:wordWrap w:val="0"/>
              <w:topLinePunct/>
              <w:autoSpaceDE/>
              <w:autoSpaceDN/>
              <w:jc w:val="center"/>
              <w:rPr>
                <w:color w:val="auto"/>
              </w:rPr>
            </w:pPr>
          </w:p>
        </w:tc>
        <w:tc>
          <w:tcPr>
            <w:tcW w:w="1696" w:type="dxa"/>
            <w:tcBorders>
              <w:bottom w:val="single" w:color="000000" w:sz="6" w:space="0"/>
            </w:tcBorders>
            <w:vAlign w:val="center"/>
          </w:tcPr>
          <w:p w14:paraId="6CEB6C89">
            <w:pPr>
              <w:widowControl w:val="0"/>
              <w:kinsoku/>
              <w:wordWrap w:val="0"/>
              <w:topLinePunct/>
              <w:autoSpaceDE/>
              <w:autoSpaceDN/>
              <w:jc w:val="center"/>
              <w:rPr>
                <w:color w:val="auto"/>
              </w:rPr>
            </w:pPr>
          </w:p>
        </w:tc>
        <w:tc>
          <w:tcPr>
            <w:tcW w:w="2012" w:type="dxa"/>
            <w:tcBorders>
              <w:bottom w:val="single" w:color="000000" w:sz="6" w:space="0"/>
              <w:right w:val="single" w:color="000000" w:sz="6" w:space="0"/>
            </w:tcBorders>
            <w:vAlign w:val="center"/>
          </w:tcPr>
          <w:p w14:paraId="1EAFC7DF">
            <w:pPr>
              <w:widowControl w:val="0"/>
              <w:kinsoku/>
              <w:wordWrap w:val="0"/>
              <w:topLinePunct/>
              <w:autoSpaceDE/>
              <w:autoSpaceDN/>
              <w:jc w:val="center"/>
              <w:rPr>
                <w:color w:val="auto"/>
              </w:rPr>
            </w:pPr>
          </w:p>
        </w:tc>
      </w:tr>
    </w:tbl>
    <w:p w14:paraId="2B9BA291">
      <w:pPr>
        <w:spacing w:before="30" w:line="211" w:lineRule="auto"/>
        <w:ind w:left="92"/>
        <w:rPr>
          <w:rFonts w:hint="eastAsia" w:ascii="宋体" w:hAnsi="宋体" w:eastAsia="宋体" w:cs="宋体"/>
          <w:color w:val="auto"/>
          <w:sz w:val="22"/>
          <w:szCs w:val="22"/>
          <w:lang w:eastAsia="zh-CN"/>
        </w:rPr>
      </w:pPr>
      <w:r>
        <w:rPr>
          <w:rFonts w:ascii="宋体" w:hAnsi="宋体" w:eastAsia="宋体" w:cs="宋体"/>
          <w:i/>
          <w:iCs/>
          <w:color w:val="auto"/>
          <w:sz w:val="22"/>
          <w:szCs w:val="22"/>
          <w:lang w:eastAsia="zh-CN"/>
        </w:rPr>
        <w:t>注：招标人不提供施工设施的，本表删除。</w:t>
      </w:r>
    </w:p>
    <w:p w14:paraId="0CB84BE7">
      <w:pPr>
        <w:rPr>
          <w:rFonts w:hint="eastAsia" w:ascii="宋体" w:hAnsi="宋体" w:eastAsia="宋体" w:cs="宋体"/>
          <w:color w:val="auto"/>
          <w:sz w:val="22"/>
          <w:szCs w:val="22"/>
          <w:lang w:eastAsia="zh-CN"/>
        </w:rPr>
      </w:pPr>
      <w:r>
        <w:rPr>
          <w:rFonts w:ascii="宋体" w:hAnsi="宋体" w:eastAsia="宋体" w:cs="宋体"/>
          <w:color w:val="auto"/>
          <w:sz w:val="22"/>
          <w:szCs w:val="22"/>
          <w:lang w:eastAsia="zh-CN"/>
        </w:rPr>
        <w:br w:type="page"/>
      </w:r>
    </w:p>
    <w:p w14:paraId="15448B60">
      <w:pPr>
        <w:pStyle w:val="8"/>
        <w:spacing w:line="243" w:lineRule="auto"/>
        <w:rPr>
          <w:color w:val="auto"/>
          <w:lang w:eastAsia="zh-CN"/>
        </w:rPr>
      </w:pPr>
    </w:p>
    <w:p w14:paraId="01A3AD08">
      <w:pPr>
        <w:pStyle w:val="8"/>
        <w:spacing w:line="243" w:lineRule="auto"/>
        <w:rPr>
          <w:color w:val="auto"/>
          <w:lang w:eastAsia="zh-CN"/>
        </w:rPr>
      </w:pPr>
    </w:p>
    <w:p w14:paraId="7F31C67F">
      <w:pPr>
        <w:pStyle w:val="8"/>
        <w:spacing w:line="243" w:lineRule="auto"/>
        <w:rPr>
          <w:color w:val="auto"/>
          <w:lang w:eastAsia="zh-CN"/>
        </w:rPr>
      </w:pPr>
    </w:p>
    <w:p w14:paraId="3398F7FD">
      <w:pPr>
        <w:pStyle w:val="8"/>
        <w:spacing w:line="243" w:lineRule="auto"/>
        <w:rPr>
          <w:color w:val="auto"/>
          <w:lang w:eastAsia="zh-CN"/>
        </w:rPr>
      </w:pPr>
    </w:p>
    <w:p w14:paraId="0E6E820D">
      <w:pPr>
        <w:pStyle w:val="8"/>
        <w:spacing w:line="243" w:lineRule="auto"/>
        <w:rPr>
          <w:color w:val="auto"/>
          <w:lang w:eastAsia="zh-CN"/>
        </w:rPr>
      </w:pPr>
    </w:p>
    <w:p w14:paraId="407FD7BB">
      <w:pPr>
        <w:pStyle w:val="8"/>
        <w:spacing w:line="243" w:lineRule="auto"/>
        <w:rPr>
          <w:color w:val="auto"/>
          <w:lang w:eastAsia="zh-CN"/>
        </w:rPr>
      </w:pPr>
    </w:p>
    <w:p w14:paraId="038404D1">
      <w:pPr>
        <w:pStyle w:val="8"/>
        <w:spacing w:line="243" w:lineRule="auto"/>
        <w:rPr>
          <w:color w:val="auto"/>
          <w:lang w:eastAsia="zh-CN"/>
        </w:rPr>
      </w:pPr>
    </w:p>
    <w:p w14:paraId="7AB97E45">
      <w:pPr>
        <w:pStyle w:val="8"/>
        <w:spacing w:line="243" w:lineRule="auto"/>
        <w:rPr>
          <w:color w:val="auto"/>
          <w:lang w:eastAsia="zh-CN"/>
        </w:rPr>
      </w:pPr>
    </w:p>
    <w:p w14:paraId="392E0DAF">
      <w:pPr>
        <w:pStyle w:val="8"/>
        <w:spacing w:line="243" w:lineRule="auto"/>
        <w:rPr>
          <w:color w:val="auto"/>
          <w:lang w:eastAsia="zh-CN"/>
        </w:rPr>
      </w:pPr>
    </w:p>
    <w:p w14:paraId="36CFCCB7">
      <w:pPr>
        <w:pStyle w:val="8"/>
        <w:spacing w:line="243" w:lineRule="auto"/>
        <w:rPr>
          <w:color w:val="auto"/>
          <w:lang w:eastAsia="zh-CN"/>
        </w:rPr>
      </w:pPr>
    </w:p>
    <w:p w14:paraId="5CED4FA9">
      <w:pPr>
        <w:pStyle w:val="8"/>
        <w:spacing w:line="243" w:lineRule="auto"/>
        <w:rPr>
          <w:color w:val="auto"/>
          <w:lang w:eastAsia="zh-CN"/>
        </w:rPr>
      </w:pPr>
    </w:p>
    <w:p w14:paraId="1715F5AA">
      <w:pPr>
        <w:pStyle w:val="8"/>
        <w:spacing w:line="243" w:lineRule="auto"/>
        <w:rPr>
          <w:color w:val="auto"/>
          <w:lang w:eastAsia="zh-CN"/>
        </w:rPr>
      </w:pPr>
    </w:p>
    <w:p w14:paraId="407E4A7B">
      <w:pPr>
        <w:pStyle w:val="8"/>
        <w:spacing w:line="243" w:lineRule="auto"/>
        <w:rPr>
          <w:color w:val="auto"/>
          <w:lang w:eastAsia="zh-CN"/>
        </w:rPr>
      </w:pPr>
    </w:p>
    <w:p w14:paraId="47FC34B6">
      <w:pPr>
        <w:pStyle w:val="8"/>
        <w:spacing w:line="243" w:lineRule="auto"/>
        <w:rPr>
          <w:color w:val="auto"/>
          <w:lang w:eastAsia="zh-CN"/>
        </w:rPr>
      </w:pPr>
    </w:p>
    <w:p w14:paraId="317F16C4">
      <w:pPr>
        <w:pStyle w:val="8"/>
        <w:spacing w:line="243" w:lineRule="auto"/>
        <w:rPr>
          <w:color w:val="auto"/>
          <w:lang w:eastAsia="zh-CN"/>
        </w:rPr>
      </w:pPr>
    </w:p>
    <w:p w14:paraId="73991F36">
      <w:pPr>
        <w:pStyle w:val="8"/>
        <w:spacing w:line="243" w:lineRule="auto"/>
        <w:rPr>
          <w:color w:val="auto"/>
          <w:lang w:eastAsia="zh-CN"/>
        </w:rPr>
      </w:pPr>
    </w:p>
    <w:p w14:paraId="544F5BCB">
      <w:pPr>
        <w:pStyle w:val="8"/>
        <w:spacing w:line="243" w:lineRule="auto"/>
        <w:rPr>
          <w:color w:val="auto"/>
          <w:lang w:eastAsia="zh-CN"/>
        </w:rPr>
      </w:pPr>
    </w:p>
    <w:p w14:paraId="03815A49">
      <w:pPr>
        <w:pStyle w:val="8"/>
        <w:spacing w:line="243" w:lineRule="auto"/>
        <w:rPr>
          <w:color w:val="auto"/>
          <w:lang w:eastAsia="zh-CN"/>
        </w:rPr>
      </w:pPr>
    </w:p>
    <w:p w14:paraId="14714657">
      <w:pPr>
        <w:pStyle w:val="8"/>
        <w:spacing w:line="243" w:lineRule="auto"/>
        <w:rPr>
          <w:color w:val="auto"/>
          <w:lang w:eastAsia="zh-CN"/>
        </w:rPr>
      </w:pPr>
    </w:p>
    <w:p w14:paraId="58A42456">
      <w:pPr>
        <w:pStyle w:val="8"/>
        <w:spacing w:line="243" w:lineRule="auto"/>
        <w:rPr>
          <w:color w:val="auto"/>
          <w:lang w:eastAsia="zh-CN"/>
        </w:rPr>
      </w:pPr>
    </w:p>
    <w:p w14:paraId="2C12E1F1">
      <w:pPr>
        <w:pStyle w:val="8"/>
        <w:spacing w:line="243" w:lineRule="auto"/>
        <w:rPr>
          <w:color w:val="auto"/>
          <w:lang w:eastAsia="zh-CN"/>
        </w:rPr>
      </w:pPr>
    </w:p>
    <w:p w14:paraId="6B72A733">
      <w:pPr>
        <w:pStyle w:val="8"/>
        <w:spacing w:line="243" w:lineRule="auto"/>
        <w:rPr>
          <w:color w:val="auto"/>
          <w:lang w:eastAsia="zh-CN"/>
        </w:rPr>
      </w:pPr>
    </w:p>
    <w:p w14:paraId="288548C3">
      <w:pPr>
        <w:pStyle w:val="8"/>
        <w:spacing w:line="243" w:lineRule="auto"/>
        <w:rPr>
          <w:color w:val="auto"/>
          <w:lang w:eastAsia="zh-CN"/>
        </w:rPr>
      </w:pPr>
    </w:p>
    <w:p w14:paraId="1C4536C9">
      <w:pPr>
        <w:pStyle w:val="8"/>
        <w:spacing w:line="244" w:lineRule="auto"/>
        <w:rPr>
          <w:color w:val="auto"/>
          <w:lang w:eastAsia="zh-CN"/>
        </w:rPr>
      </w:pPr>
    </w:p>
    <w:p w14:paraId="26537D9C">
      <w:pPr>
        <w:pStyle w:val="8"/>
        <w:spacing w:line="244" w:lineRule="auto"/>
        <w:rPr>
          <w:color w:val="auto"/>
          <w:lang w:eastAsia="zh-CN"/>
        </w:rPr>
      </w:pPr>
    </w:p>
    <w:p w14:paraId="6C06932D">
      <w:pPr>
        <w:pStyle w:val="8"/>
        <w:spacing w:line="244" w:lineRule="auto"/>
        <w:rPr>
          <w:color w:val="auto"/>
          <w:lang w:eastAsia="zh-CN"/>
        </w:rPr>
      </w:pPr>
    </w:p>
    <w:p w14:paraId="53490674">
      <w:pPr>
        <w:spacing w:before="156" w:line="222" w:lineRule="auto"/>
        <w:ind w:left="3251"/>
        <w:outlineLvl w:val="0"/>
        <w:rPr>
          <w:rFonts w:hint="eastAsia" w:ascii="黑体" w:hAnsi="黑体" w:eastAsia="黑体" w:cs="黑体"/>
          <w:color w:val="auto"/>
          <w:sz w:val="48"/>
          <w:szCs w:val="48"/>
          <w:lang w:eastAsia="zh-CN"/>
        </w:rPr>
      </w:pPr>
      <w:bookmarkStart w:id="1007" w:name="bookmark393"/>
      <w:bookmarkEnd w:id="1007"/>
      <w:bookmarkStart w:id="1008" w:name="_Toc21457"/>
      <w:bookmarkStart w:id="1009" w:name="_Toc1106"/>
      <w:bookmarkStart w:id="1010" w:name="_Toc29811"/>
      <w:bookmarkStart w:id="1011" w:name="_Toc32638"/>
      <w:r>
        <w:rPr>
          <w:rFonts w:ascii="黑体" w:hAnsi="黑体" w:eastAsia="黑体" w:cs="黑体"/>
          <w:b/>
          <w:bCs/>
          <w:color w:val="auto"/>
          <w:sz w:val="48"/>
          <w:szCs w:val="48"/>
          <w:lang w:eastAsia="zh-CN"/>
        </w:rPr>
        <w:t>第二卷</w:t>
      </w:r>
      <w:bookmarkEnd w:id="1008"/>
      <w:bookmarkEnd w:id="1009"/>
      <w:bookmarkEnd w:id="1010"/>
      <w:bookmarkEnd w:id="1011"/>
    </w:p>
    <w:p w14:paraId="33897991">
      <w:pPr>
        <w:rPr>
          <w:rFonts w:hint="eastAsia" w:ascii="黑体" w:hAnsi="黑体" w:eastAsia="黑体" w:cs="黑体"/>
          <w:color w:val="auto"/>
          <w:sz w:val="48"/>
          <w:szCs w:val="48"/>
          <w:lang w:eastAsia="zh-CN"/>
        </w:rPr>
      </w:pPr>
      <w:r>
        <w:rPr>
          <w:rFonts w:ascii="黑体" w:hAnsi="黑体" w:eastAsia="黑体" w:cs="黑体"/>
          <w:color w:val="auto"/>
          <w:sz w:val="48"/>
          <w:szCs w:val="48"/>
          <w:lang w:eastAsia="zh-CN"/>
        </w:rPr>
        <w:br w:type="page"/>
      </w:r>
    </w:p>
    <w:p w14:paraId="3C0978F5">
      <w:pPr>
        <w:spacing w:before="71" w:line="219" w:lineRule="auto"/>
        <w:ind w:left="1334"/>
        <w:outlineLvl w:val="0"/>
        <w:rPr>
          <w:rFonts w:hint="eastAsia" w:ascii="宋体" w:hAnsi="宋体" w:eastAsia="宋体" w:cs="宋体"/>
          <w:color w:val="auto"/>
          <w:sz w:val="36"/>
          <w:szCs w:val="36"/>
          <w:lang w:eastAsia="zh-CN"/>
        </w:rPr>
      </w:pPr>
      <w:bookmarkStart w:id="1012" w:name="bookmark395"/>
      <w:bookmarkEnd w:id="1012"/>
      <w:bookmarkStart w:id="1013" w:name="bookmark394"/>
      <w:bookmarkEnd w:id="1013"/>
      <w:bookmarkStart w:id="1014" w:name="_Toc90"/>
      <w:bookmarkStart w:id="1015" w:name="_Toc20165"/>
      <w:bookmarkStart w:id="1016" w:name="_Toc30535"/>
      <w:bookmarkStart w:id="1017" w:name="_Toc30004"/>
      <w:r>
        <w:rPr>
          <w:rFonts w:ascii="宋体" w:hAnsi="宋体" w:eastAsia="宋体" w:cs="宋体"/>
          <w:b/>
          <w:bCs/>
          <w:color w:val="auto"/>
          <w:sz w:val="36"/>
          <w:szCs w:val="36"/>
          <w:lang w:eastAsia="zh-CN"/>
        </w:rPr>
        <w:t>第六章</w:t>
      </w:r>
      <w:r>
        <w:rPr>
          <w:rFonts w:hint="eastAsia" w:ascii="宋体" w:hAnsi="宋体" w:eastAsia="宋体" w:cs="宋体"/>
          <w:color w:val="auto"/>
          <w:sz w:val="36"/>
          <w:szCs w:val="36"/>
          <w:lang w:eastAsia="zh-CN"/>
        </w:rPr>
        <w:t>　</w:t>
      </w:r>
      <w:r>
        <w:rPr>
          <w:rFonts w:ascii="宋体" w:hAnsi="宋体" w:eastAsia="宋体" w:cs="宋体"/>
          <w:b/>
          <w:bCs/>
          <w:color w:val="auto"/>
          <w:sz w:val="36"/>
          <w:szCs w:val="36"/>
          <w:lang w:eastAsia="zh-CN"/>
        </w:rPr>
        <w:t>图纸（招标图纸）及其他资料</w:t>
      </w:r>
      <w:bookmarkEnd w:id="1014"/>
      <w:bookmarkEnd w:id="1015"/>
      <w:bookmarkEnd w:id="1016"/>
      <w:bookmarkEnd w:id="1017"/>
    </w:p>
    <w:p w14:paraId="52721B35">
      <w:pPr>
        <w:pStyle w:val="8"/>
        <w:spacing w:line="352" w:lineRule="auto"/>
        <w:rPr>
          <w:color w:val="auto"/>
          <w:lang w:eastAsia="zh-CN"/>
        </w:rPr>
      </w:pPr>
    </w:p>
    <w:p w14:paraId="7E8A8FAD">
      <w:pPr>
        <w:pStyle w:val="8"/>
        <w:spacing w:line="360" w:lineRule="auto"/>
        <w:rPr>
          <w:color w:val="auto"/>
          <w:lang w:eastAsia="zh-CN"/>
        </w:rPr>
      </w:pPr>
    </w:p>
    <w:p w14:paraId="24B6CE5E">
      <w:pPr>
        <w:spacing w:line="360" w:lineRule="auto"/>
        <w:ind w:left="18"/>
        <w:outlineLvl w:val="1"/>
        <w:rPr>
          <w:rFonts w:hint="eastAsia" w:ascii="宋体" w:hAnsi="宋体" w:eastAsia="宋体" w:cs="宋体"/>
          <w:color w:val="auto"/>
          <w:sz w:val="28"/>
          <w:szCs w:val="28"/>
          <w:lang w:eastAsia="zh-CN"/>
        </w:rPr>
      </w:pPr>
      <w:bookmarkStart w:id="1018" w:name="bookmark731"/>
      <w:bookmarkEnd w:id="1018"/>
      <w:bookmarkStart w:id="1019" w:name="_Toc26090"/>
      <w:bookmarkStart w:id="1020" w:name="_Toc23908"/>
      <w:bookmarkStart w:id="1021" w:name="_Toc21740"/>
      <w:bookmarkStart w:id="1022" w:name="_Toc31125"/>
      <w:r>
        <w:rPr>
          <w:rFonts w:ascii="Times New Roman" w:hAnsi="Times New Roman" w:eastAsia="Times New Roman" w:cs="Times New Roman"/>
          <w:b/>
          <w:bCs/>
          <w:color w:val="auto"/>
          <w:sz w:val="28"/>
          <w:szCs w:val="28"/>
          <w:lang w:eastAsia="zh-CN"/>
        </w:rPr>
        <w:t>1</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lang w:eastAsia="zh-CN"/>
        </w:rPr>
        <w:t>说明</w:t>
      </w:r>
      <w:bookmarkEnd w:id="1019"/>
      <w:bookmarkEnd w:id="1020"/>
      <w:bookmarkEnd w:id="1021"/>
      <w:bookmarkEnd w:id="1022"/>
    </w:p>
    <w:p w14:paraId="1417C2FE">
      <w:pPr>
        <w:widowControl w:val="0"/>
        <w:kinsoku/>
        <w:wordWrap w:val="0"/>
        <w:topLinePunct/>
        <w:autoSpaceDE/>
        <w:autoSpaceDN/>
        <w:spacing w:line="360" w:lineRule="auto"/>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本招标文件所附的全部图纸及其它资料均为招标阶段的中间成果，仅供投标人在编制投标文件时使用，不得作为施工的依据。否则，由此而造成的一切后果均由承包人自负。</w:t>
      </w:r>
    </w:p>
    <w:p w14:paraId="6EA051C1">
      <w:pPr>
        <w:spacing w:line="360" w:lineRule="auto"/>
        <w:ind w:left="6"/>
        <w:outlineLvl w:val="1"/>
        <w:rPr>
          <w:rFonts w:hint="eastAsia" w:ascii="宋体" w:hAnsi="宋体" w:eastAsia="宋体" w:cs="宋体"/>
          <w:color w:val="auto"/>
          <w:sz w:val="28"/>
          <w:szCs w:val="28"/>
        </w:rPr>
      </w:pPr>
      <w:bookmarkStart w:id="1023" w:name="bookmark396"/>
      <w:bookmarkEnd w:id="1023"/>
      <w:bookmarkStart w:id="1024" w:name="_Toc8122"/>
      <w:bookmarkStart w:id="1025" w:name="_Toc14337"/>
      <w:bookmarkStart w:id="1026" w:name="_Toc17276"/>
      <w:bookmarkStart w:id="1027" w:name="_Toc27618"/>
      <w:r>
        <w:rPr>
          <w:rFonts w:ascii="Times New Roman" w:hAnsi="Times New Roman" w:eastAsia="Times New Roman" w:cs="Times New Roman"/>
          <w:b/>
          <w:bCs/>
          <w:color w:val="auto"/>
          <w:sz w:val="28"/>
          <w:szCs w:val="28"/>
        </w:rPr>
        <w:t>2</w:t>
      </w:r>
      <w:r>
        <w:rPr>
          <w:rFonts w:hint="eastAsia" w:ascii="Times New Roman" w:hAnsi="Times New Roman" w:eastAsia="宋体" w:cs="Times New Roman"/>
          <w:b/>
          <w:bCs/>
          <w:color w:val="auto"/>
          <w:sz w:val="28"/>
          <w:szCs w:val="28"/>
          <w:lang w:eastAsia="zh-CN"/>
        </w:rPr>
        <w:t>　</w:t>
      </w:r>
      <w:r>
        <w:rPr>
          <w:rFonts w:ascii="宋体" w:hAnsi="宋体" w:eastAsia="宋体" w:cs="宋体"/>
          <w:b/>
          <w:bCs/>
          <w:color w:val="auto"/>
          <w:sz w:val="28"/>
          <w:szCs w:val="28"/>
        </w:rPr>
        <w:t>图纸及其他资料目录</w:t>
      </w:r>
      <w:bookmarkEnd w:id="1024"/>
      <w:bookmarkEnd w:id="1025"/>
      <w:bookmarkEnd w:id="1026"/>
      <w:bookmarkEnd w:id="1027"/>
    </w:p>
    <w:tbl>
      <w:tblPr>
        <w:tblStyle w:val="20"/>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4"/>
        <w:gridCol w:w="2437"/>
        <w:gridCol w:w="2032"/>
        <w:gridCol w:w="2573"/>
        <w:gridCol w:w="1033"/>
      </w:tblGrid>
      <w:tr w14:paraId="25AA5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934" w:type="dxa"/>
            <w:tcBorders>
              <w:top w:val="single" w:color="000000" w:sz="6" w:space="0"/>
              <w:left w:val="single" w:color="000000" w:sz="6" w:space="0"/>
            </w:tcBorders>
          </w:tcPr>
          <w:p w14:paraId="176D3DE5">
            <w:pPr>
              <w:pStyle w:val="21"/>
              <w:spacing w:before="235" w:line="222" w:lineRule="auto"/>
              <w:ind w:left="253"/>
              <w:rPr>
                <w:rFonts w:hint="eastAsia"/>
                <w:color w:val="auto"/>
                <w:sz w:val="21"/>
                <w:szCs w:val="21"/>
              </w:rPr>
            </w:pPr>
            <w:r>
              <w:rPr>
                <w:color w:val="auto"/>
                <w:sz w:val="21"/>
                <w:szCs w:val="21"/>
              </w:rPr>
              <w:t>序号</w:t>
            </w:r>
          </w:p>
        </w:tc>
        <w:tc>
          <w:tcPr>
            <w:tcW w:w="2437" w:type="dxa"/>
            <w:tcBorders>
              <w:top w:val="single" w:color="000000" w:sz="6" w:space="0"/>
            </w:tcBorders>
          </w:tcPr>
          <w:p w14:paraId="54EC3981">
            <w:pPr>
              <w:pStyle w:val="21"/>
              <w:spacing w:before="235" w:line="221" w:lineRule="auto"/>
              <w:ind w:left="505"/>
              <w:rPr>
                <w:rFonts w:hint="eastAsia"/>
                <w:color w:val="auto"/>
                <w:sz w:val="21"/>
                <w:szCs w:val="21"/>
              </w:rPr>
            </w:pPr>
            <w:r>
              <w:rPr>
                <w:color w:val="auto"/>
                <w:sz w:val="21"/>
                <w:szCs w:val="21"/>
              </w:rPr>
              <w:t>图名或资料名称</w:t>
            </w:r>
          </w:p>
        </w:tc>
        <w:tc>
          <w:tcPr>
            <w:tcW w:w="2032" w:type="dxa"/>
            <w:tcBorders>
              <w:top w:val="single" w:color="000000" w:sz="6" w:space="0"/>
            </w:tcBorders>
          </w:tcPr>
          <w:p w14:paraId="0566F65D">
            <w:pPr>
              <w:pStyle w:val="21"/>
              <w:spacing w:before="235" w:line="221" w:lineRule="auto"/>
              <w:ind w:left="305"/>
              <w:rPr>
                <w:rFonts w:hint="eastAsia"/>
                <w:color w:val="auto"/>
                <w:sz w:val="21"/>
                <w:szCs w:val="21"/>
              </w:rPr>
            </w:pPr>
            <w:r>
              <w:rPr>
                <w:color w:val="auto"/>
                <w:sz w:val="21"/>
                <w:szCs w:val="21"/>
              </w:rPr>
              <w:t>图号或资料编号</w:t>
            </w:r>
          </w:p>
        </w:tc>
        <w:tc>
          <w:tcPr>
            <w:tcW w:w="2573" w:type="dxa"/>
            <w:tcBorders>
              <w:top w:val="single" w:color="000000" w:sz="6" w:space="0"/>
            </w:tcBorders>
          </w:tcPr>
          <w:p w14:paraId="5A0601DC">
            <w:pPr>
              <w:pStyle w:val="21"/>
              <w:spacing w:before="235" w:line="221" w:lineRule="auto"/>
              <w:ind w:left="368"/>
              <w:rPr>
                <w:rFonts w:hint="eastAsia"/>
                <w:color w:val="auto"/>
                <w:sz w:val="21"/>
                <w:szCs w:val="21"/>
              </w:rPr>
            </w:pPr>
            <w:r>
              <w:rPr>
                <w:color w:val="auto"/>
                <w:sz w:val="21"/>
                <w:szCs w:val="21"/>
              </w:rPr>
              <w:t>出图日期或资料日期</w:t>
            </w:r>
          </w:p>
        </w:tc>
        <w:tc>
          <w:tcPr>
            <w:tcW w:w="1033" w:type="dxa"/>
            <w:tcBorders>
              <w:top w:val="single" w:color="000000" w:sz="6" w:space="0"/>
              <w:right w:val="single" w:color="000000" w:sz="6" w:space="0"/>
            </w:tcBorders>
          </w:tcPr>
          <w:p w14:paraId="338237FA">
            <w:pPr>
              <w:pStyle w:val="21"/>
              <w:spacing w:before="235" w:line="222" w:lineRule="auto"/>
              <w:ind w:left="314"/>
              <w:rPr>
                <w:rFonts w:hint="eastAsia"/>
                <w:color w:val="auto"/>
                <w:sz w:val="21"/>
                <w:szCs w:val="21"/>
              </w:rPr>
            </w:pPr>
            <w:r>
              <w:rPr>
                <w:color w:val="auto"/>
                <w:sz w:val="21"/>
                <w:szCs w:val="21"/>
              </w:rPr>
              <w:t>备注</w:t>
            </w:r>
          </w:p>
        </w:tc>
      </w:tr>
      <w:tr w14:paraId="6D144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934" w:type="dxa"/>
            <w:tcBorders>
              <w:left w:val="single" w:color="000000" w:sz="6" w:space="0"/>
            </w:tcBorders>
            <w:vAlign w:val="center"/>
          </w:tcPr>
          <w:p w14:paraId="11E31B89">
            <w:pPr>
              <w:jc w:val="center"/>
              <w:rPr>
                <w:color w:val="auto"/>
              </w:rPr>
            </w:pPr>
          </w:p>
        </w:tc>
        <w:tc>
          <w:tcPr>
            <w:tcW w:w="2437" w:type="dxa"/>
            <w:vAlign w:val="center"/>
          </w:tcPr>
          <w:p w14:paraId="50A40659">
            <w:pPr>
              <w:jc w:val="center"/>
              <w:rPr>
                <w:color w:val="auto"/>
              </w:rPr>
            </w:pPr>
          </w:p>
        </w:tc>
        <w:tc>
          <w:tcPr>
            <w:tcW w:w="2032" w:type="dxa"/>
            <w:vAlign w:val="center"/>
          </w:tcPr>
          <w:p w14:paraId="3F946B49">
            <w:pPr>
              <w:jc w:val="center"/>
              <w:rPr>
                <w:color w:val="auto"/>
              </w:rPr>
            </w:pPr>
          </w:p>
        </w:tc>
        <w:tc>
          <w:tcPr>
            <w:tcW w:w="2573" w:type="dxa"/>
            <w:vAlign w:val="center"/>
          </w:tcPr>
          <w:p w14:paraId="3BE49906">
            <w:pPr>
              <w:jc w:val="center"/>
              <w:rPr>
                <w:color w:val="auto"/>
              </w:rPr>
            </w:pPr>
          </w:p>
        </w:tc>
        <w:tc>
          <w:tcPr>
            <w:tcW w:w="1033" w:type="dxa"/>
            <w:tcBorders>
              <w:right w:val="single" w:color="000000" w:sz="6" w:space="0"/>
            </w:tcBorders>
            <w:vAlign w:val="center"/>
          </w:tcPr>
          <w:p w14:paraId="4BCF5C49">
            <w:pPr>
              <w:jc w:val="center"/>
              <w:rPr>
                <w:color w:val="auto"/>
              </w:rPr>
            </w:pPr>
          </w:p>
        </w:tc>
      </w:tr>
      <w:tr w14:paraId="5AE0E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934" w:type="dxa"/>
            <w:tcBorders>
              <w:left w:val="single" w:color="000000" w:sz="6" w:space="0"/>
            </w:tcBorders>
            <w:vAlign w:val="center"/>
          </w:tcPr>
          <w:p w14:paraId="3DCC1E32">
            <w:pPr>
              <w:jc w:val="center"/>
              <w:rPr>
                <w:color w:val="auto"/>
              </w:rPr>
            </w:pPr>
          </w:p>
        </w:tc>
        <w:tc>
          <w:tcPr>
            <w:tcW w:w="2437" w:type="dxa"/>
            <w:vAlign w:val="center"/>
          </w:tcPr>
          <w:p w14:paraId="5AAF3084">
            <w:pPr>
              <w:jc w:val="center"/>
              <w:rPr>
                <w:color w:val="auto"/>
              </w:rPr>
            </w:pPr>
          </w:p>
        </w:tc>
        <w:tc>
          <w:tcPr>
            <w:tcW w:w="2032" w:type="dxa"/>
            <w:vAlign w:val="center"/>
          </w:tcPr>
          <w:p w14:paraId="0DE51551">
            <w:pPr>
              <w:jc w:val="center"/>
              <w:rPr>
                <w:color w:val="auto"/>
              </w:rPr>
            </w:pPr>
          </w:p>
        </w:tc>
        <w:tc>
          <w:tcPr>
            <w:tcW w:w="2573" w:type="dxa"/>
            <w:vAlign w:val="center"/>
          </w:tcPr>
          <w:p w14:paraId="286F8457">
            <w:pPr>
              <w:jc w:val="center"/>
              <w:rPr>
                <w:color w:val="auto"/>
              </w:rPr>
            </w:pPr>
          </w:p>
        </w:tc>
        <w:tc>
          <w:tcPr>
            <w:tcW w:w="1033" w:type="dxa"/>
            <w:tcBorders>
              <w:right w:val="single" w:color="000000" w:sz="6" w:space="0"/>
            </w:tcBorders>
            <w:vAlign w:val="center"/>
          </w:tcPr>
          <w:p w14:paraId="5934D51F">
            <w:pPr>
              <w:jc w:val="center"/>
              <w:rPr>
                <w:color w:val="auto"/>
              </w:rPr>
            </w:pPr>
          </w:p>
        </w:tc>
      </w:tr>
      <w:tr w14:paraId="45F16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934" w:type="dxa"/>
            <w:tcBorders>
              <w:left w:val="single" w:color="000000" w:sz="6" w:space="0"/>
            </w:tcBorders>
            <w:vAlign w:val="center"/>
          </w:tcPr>
          <w:p w14:paraId="00E80CC6">
            <w:pPr>
              <w:jc w:val="center"/>
              <w:rPr>
                <w:color w:val="auto"/>
              </w:rPr>
            </w:pPr>
          </w:p>
        </w:tc>
        <w:tc>
          <w:tcPr>
            <w:tcW w:w="2437" w:type="dxa"/>
            <w:vAlign w:val="center"/>
          </w:tcPr>
          <w:p w14:paraId="613ECA8A">
            <w:pPr>
              <w:jc w:val="center"/>
              <w:rPr>
                <w:color w:val="auto"/>
              </w:rPr>
            </w:pPr>
          </w:p>
        </w:tc>
        <w:tc>
          <w:tcPr>
            <w:tcW w:w="2032" w:type="dxa"/>
            <w:vAlign w:val="center"/>
          </w:tcPr>
          <w:p w14:paraId="40ECFC55">
            <w:pPr>
              <w:jc w:val="center"/>
              <w:rPr>
                <w:color w:val="auto"/>
              </w:rPr>
            </w:pPr>
          </w:p>
        </w:tc>
        <w:tc>
          <w:tcPr>
            <w:tcW w:w="2573" w:type="dxa"/>
            <w:vAlign w:val="center"/>
          </w:tcPr>
          <w:p w14:paraId="5E9912E8">
            <w:pPr>
              <w:jc w:val="center"/>
              <w:rPr>
                <w:color w:val="auto"/>
              </w:rPr>
            </w:pPr>
          </w:p>
        </w:tc>
        <w:tc>
          <w:tcPr>
            <w:tcW w:w="1033" w:type="dxa"/>
            <w:tcBorders>
              <w:right w:val="single" w:color="000000" w:sz="6" w:space="0"/>
            </w:tcBorders>
            <w:vAlign w:val="center"/>
          </w:tcPr>
          <w:p w14:paraId="317739CE">
            <w:pPr>
              <w:jc w:val="center"/>
              <w:rPr>
                <w:color w:val="auto"/>
              </w:rPr>
            </w:pPr>
          </w:p>
        </w:tc>
      </w:tr>
      <w:tr w14:paraId="5551D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934" w:type="dxa"/>
            <w:tcBorders>
              <w:left w:val="single" w:color="000000" w:sz="6" w:space="0"/>
            </w:tcBorders>
            <w:vAlign w:val="center"/>
          </w:tcPr>
          <w:p w14:paraId="580C8E69">
            <w:pPr>
              <w:jc w:val="center"/>
              <w:rPr>
                <w:color w:val="auto"/>
              </w:rPr>
            </w:pPr>
          </w:p>
        </w:tc>
        <w:tc>
          <w:tcPr>
            <w:tcW w:w="2437" w:type="dxa"/>
            <w:vAlign w:val="center"/>
          </w:tcPr>
          <w:p w14:paraId="74C02C0E">
            <w:pPr>
              <w:jc w:val="center"/>
              <w:rPr>
                <w:color w:val="auto"/>
              </w:rPr>
            </w:pPr>
          </w:p>
        </w:tc>
        <w:tc>
          <w:tcPr>
            <w:tcW w:w="2032" w:type="dxa"/>
            <w:vAlign w:val="center"/>
          </w:tcPr>
          <w:p w14:paraId="0B671418">
            <w:pPr>
              <w:jc w:val="center"/>
              <w:rPr>
                <w:color w:val="auto"/>
              </w:rPr>
            </w:pPr>
          </w:p>
        </w:tc>
        <w:tc>
          <w:tcPr>
            <w:tcW w:w="2573" w:type="dxa"/>
            <w:vAlign w:val="center"/>
          </w:tcPr>
          <w:p w14:paraId="0C7A8BB4">
            <w:pPr>
              <w:jc w:val="center"/>
              <w:rPr>
                <w:color w:val="auto"/>
              </w:rPr>
            </w:pPr>
          </w:p>
        </w:tc>
        <w:tc>
          <w:tcPr>
            <w:tcW w:w="1033" w:type="dxa"/>
            <w:tcBorders>
              <w:right w:val="single" w:color="000000" w:sz="6" w:space="0"/>
            </w:tcBorders>
            <w:vAlign w:val="center"/>
          </w:tcPr>
          <w:p w14:paraId="544E2798">
            <w:pPr>
              <w:jc w:val="center"/>
              <w:rPr>
                <w:color w:val="auto"/>
              </w:rPr>
            </w:pPr>
          </w:p>
        </w:tc>
      </w:tr>
      <w:tr w14:paraId="2A65C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934" w:type="dxa"/>
            <w:tcBorders>
              <w:left w:val="single" w:color="000000" w:sz="6" w:space="0"/>
            </w:tcBorders>
            <w:vAlign w:val="center"/>
          </w:tcPr>
          <w:p w14:paraId="408C5069">
            <w:pPr>
              <w:jc w:val="center"/>
              <w:rPr>
                <w:color w:val="auto"/>
              </w:rPr>
            </w:pPr>
          </w:p>
        </w:tc>
        <w:tc>
          <w:tcPr>
            <w:tcW w:w="2437" w:type="dxa"/>
            <w:vAlign w:val="center"/>
          </w:tcPr>
          <w:p w14:paraId="61F5AB60">
            <w:pPr>
              <w:jc w:val="center"/>
              <w:rPr>
                <w:color w:val="auto"/>
              </w:rPr>
            </w:pPr>
          </w:p>
        </w:tc>
        <w:tc>
          <w:tcPr>
            <w:tcW w:w="2032" w:type="dxa"/>
            <w:vAlign w:val="center"/>
          </w:tcPr>
          <w:p w14:paraId="28BC7CE9">
            <w:pPr>
              <w:jc w:val="center"/>
              <w:rPr>
                <w:color w:val="auto"/>
              </w:rPr>
            </w:pPr>
          </w:p>
        </w:tc>
        <w:tc>
          <w:tcPr>
            <w:tcW w:w="2573" w:type="dxa"/>
            <w:vAlign w:val="center"/>
          </w:tcPr>
          <w:p w14:paraId="6210B3DC">
            <w:pPr>
              <w:jc w:val="center"/>
              <w:rPr>
                <w:color w:val="auto"/>
              </w:rPr>
            </w:pPr>
          </w:p>
        </w:tc>
        <w:tc>
          <w:tcPr>
            <w:tcW w:w="1033" w:type="dxa"/>
            <w:tcBorders>
              <w:right w:val="single" w:color="000000" w:sz="6" w:space="0"/>
            </w:tcBorders>
            <w:vAlign w:val="center"/>
          </w:tcPr>
          <w:p w14:paraId="35D0E81F">
            <w:pPr>
              <w:jc w:val="center"/>
              <w:rPr>
                <w:color w:val="auto"/>
              </w:rPr>
            </w:pPr>
          </w:p>
        </w:tc>
      </w:tr>
      <w:tr w14:paraId="6F039B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934" w:type="dxa"/>
            <w:tcBorders>
              <w:left w:val="single" w:color="000000" w:sz="6" w:space="0"/>
            </w:tcBorders>
            <w:vAlign w:val="center"/>
          </w:tcPr>
          <w:p w14:paraId="1DB68091">
            <w:pPr>
              <w:jc w:val="center"/>
              <w:rPr>
                <w:color w:val="auto"/>
              </w:rPr>
            </w:pPr>
          </w:p>
        </w:tc>
        <w:tc>
          <w:tcPr>
            <w:tcW w:w="2437" w:type="dxa"/>
            <w:vAlign w:val="center"/>
          </w:tcPr>
          <w:p w14:paraId="7D6F08F9">
            <w:pPr>
              <w:jc w:val="center"/>
              <w:rPr>
                <w:color w:val="auto"/>
              </w:rPr>
            </w:pPr>
          </w:p>
        </w:tc>
        <w:tc>
          <w:tcPr>
            <w:tcW w:w="2032" w:type="dxa"/>
            <w:vAlign w:val="center"/>
          </w:tcPr>
          <w:p w14:paraId="27B8318B">
            <w:pPr>
              <w:jc w:val="center"/>
              <w:rPr>
                <w:color w:val="auto"/>
              </w:rPr>
            </w:pPr>
          </w:p>
        </w:tc>
        <w:tc>
          <w:tcPr>
            <w:tcW w:w="2573" w:type="dxa"/>
            <w:vAlign w:val="center"/>
          </w:tcPr>
          <w:p w14:paraId="6051695A">
            <w:pPr>
              <w:jc w:val="center"/>
              <w:rPr>
                <w:color w:val="auto"/>
              </w:rPr>
            </w:pPr>
          </w:p>
        </w:tc>
        <w:tc>
          <w:tcPr>
            <w:tcW w:w="1033" w:type="dxa"/>
            <w:tcBorders>
              <w:right w:val="single" w:color="000000" w:sz="6" w:space="0"/>
            </w:tcBorders>
            <w:vAlign w:val="center"/>
          </w:tcPr>
          <w:p w14:paraId="2E4382F4">
            <w:pPr>
              <w:jc w:val="center"/>
              <w:rPr>
                <w:color w:val="auto"/>
              </w:rPr>
            </w:pPr>
          </w:p>
        </w:tc>
      </w:tr>
      <w:tr w14:paraId="26BB30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934" w:type="dxa"/>
            <w:tcBorders>
              <w:left w:val="single" w:color="000000" w:sz="6" w:space="0"/>
            </w:tcBorders>
            <w:vAlign w:val="center"/>
          </w:tcPr>
          <w:p w14:paraId="7876A39D">
            <w:pPr>
              <w:jc w:val="center"/>
              <w:rPr>
                <w:color w:val="auto"/>
              </w:rPr>
            </w:pPr>
          </w:p>
        </w:tc>
        <w:tc>
          <w:tcPr>
            <w:tcW w:w="2437" w:type="dxa"/>
            <w:vAlign w:val="center"/>
          </w:tcPr>
          <w:p w14:paraId="7A6FB159">
            <w:pPr>
              <w:jc w:val="center"/>
              <w:rPr>
                <w:color w:val="auto"/>
              </w:rPr>
            </w:pPr>
          </w:p>
        </w:tc>
        <w:tc>
          <w:tcPr>
            <w:tcW w:w="2032" w:type="dxa"/>
            <w:vAlign w:val="center"/>
          </w:tcPr>
          <w:p w14:paraId="29F39227">
            <w:pPr>
              <w:jc w:val="center"/>
              <w:rPr>
                <w:color w:val="auto"/>
              </w:rPr>
            </w:pPr>
          </w:p>
        </w:tc>
        <w:tc>
          <w:tcPr>
            <w:tcW w:w="2573" w:type="dxa"/>
            <w:vAlign w:val="center"/>
          </w:tcPr>
          <w:p w14:paraId="003AAE86">
            <w:pPr>
              <w:jc w:val="center"/>
              <w:rPr>
                <w:color w:val="auto"/>
              </w:rPr>
            </w:pPr>
          </w:p>
        </w:tc>
        <w:tc>
          <w:tcPr>
            <w:tcW w:w="1033" w:type="dxa"/>
            <w:tcBorders>
              <w:right w:val="single" w:color="000000" w:sz="6" w:space="0"/>
            </w:tcBorders>
            <w:vAlign w:val="center"/>
          </w:tcPr>
          <w:p w14:paraId="664601AD">
            <w:pPr>
              <w:jc w:val="center"/>
              <w:rPr>
                <w:color w:val="auto"/>
              </w:rPr>
            </w:pPr>
          </w:p>
        </w:tc>
      </w:tr>
      <w:tr w14:paraId="59420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934" w:type="dxa"/>
            <w:tcBorders>
              <w:left w:val="single" w:color="000000" w:sz="6" w:space="0"/>
            </w:tcBorders>
            <w:vAlign w:val="center"/>
          </w:tcPr>
          <w:p w14:paraId="76322186">
            <w:pPr>
              <w:jc w:val="center"/>
              <w:rPr>
                <w:color w:val="auto"/>
              </w:rPr>
            </w:pPr>
          </w:p>
        </w:tc>
        <w:tc>
          <w:tcPr>
            <w:tcW w:w="2437" w:type="dxa"/>
            <w:vAlign w:val="center"/>
          </w:tcPr>
          <w:p w14:paraId="7C3D1314">
            <w:pPr>
              <w:jc w:val="center"/>
              <w:rPr>
                <w:color w:val="auto"/>
              </w:rPr>
            </w:pPr>
          </w:p>
        </w:tc>
        <w:tc>
          <w:tcPr>
            <w:tcW w:w="2032" w:type="dxa"/>
            <w:vAlign w:val="center"/>
          </w:tcPr>
          <w:p w14:paraId="4E11DAC7">
            <w:pPr>
              <w:jc w:val="center"/>
              <w:rPr>
                <w:color w:val="auto"/>
              </w:rPr>
            </w:pPr>
          </w:p>
        </w:tc>
        <w:tc>
          <w:tcPr>
            <w:tcW w:w="2573" w:type="dxa"/>
            <w:vAlign w:val="center"/>
          </w:tcPr>
          <w:p w14:paraId="1E02EF85">
            <w:pPr>
              <w:jc w:val="center"/>
              <w:rPr>
                <w:color w:val="auto"/>
              </w:rPr>
            </w:pPr>
          </w:p>
        </w:tc>
        <w:tc>
          <w:tcPr>
            <w:tcW w:w="1033" w:type="dxa"/>
            <w:tcBorders>
              <w:right w:val="single" w:color="000000" w:sz="6" w:space="0"/>
            </w:tcBorders>
            <w:vAlign w:val="center"/>
          </w:tcPr>
          <w:p w14:paraId="71AB7204">
            <w:pPr>
              <w:jc w:val="center"/>
              <w:rPr>
                <w:color w:val="auto"/>
              </w:rPr>
            </w:pPr>
          </w:p>
        </w:tc>
      </w:tr>
      <w:tr w14:paraId="6DADA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934" w:type="dxa"/>
            <w:tcBorders>
              <w:left w:val="single" w:color="000000" w:sz="6" w:space="0"/>
              <w:bottom w:val="single" w:color="000000" w:sz="6" w:space="0"/>
            </w:tcBorders>
            <w:vAlign w:val="center"/>
          </w:tcPr>
          <w:p w14:paraId="54F4D161">
            <w:pPr>
              <w:jc w:val="center"/>
              <w:rPr>
                <w:color w:val="auto"/>
              </w:rPr>
            </w:pPr>
          </w:p>
        </w:tc>
        <w:tc>
          <w:tcPr>
            <w:tcW w:w="2437" w:type="dxa"/>
            <w:tcBorders>
              <w:bottom w:val="single" w:color="000000" w:sz="6" w:space="0"/>
            </w:tcBorders>
            <w:vAlign w:val="center"/>
          </w:tcPr>
          <w:p w14:paraId="4F1163EF">
            <w:pPr>
              <w:jc w:val="center"/>
              <w:rPr>
                <w:color w:val="auto"/>
              </w:rPr>
            </w:pPr>
          </w:p>
        </w:tc>
        <w:tc>
          <w:tcPr>
            <w:tcW w:w="2032" w:type="dxa"/>
            <w:tcBorders>
              <w:bottom w:val="single" w:color="000000" w:sz="6" w:space="0"/>
            </w:tcBorders>
            <w:vAlign w:val="center"/>
          </w:tcPr>
          <w:p w14:paraId="69339EAA">
            <w:pPr>
              <w:jc w:val="center"/>
              <w:rPr>
                <w:color w:val="auto"/>
              </w:rPr>
            </w:pPr>
          </w:p>
        </w:tc>
        <w:tc>
          <w:tcPr>
            <w:tcW w:w="2573" w:type="dxa"/>
            <w:tcBorders>
              <w:bottom w:val="single" w:color="000000" w:sz="6" w:space="0"/>
            </w:tcBorders>
            <w:vAlign w:val="center"/>
          </w:tcPr>
          <w:p w14:paraId="7C5ACD99">
            <w:pPr>
              <w:jc w:val="center"/>
              <w:rPr>
                <w:color w:val="auto"/>
              </w:rPr>
            </w:pPr>
          </w:p>
        </w:tc>
        <w:tc>
          <w:tcPr>
            <w:tcW w:w="1033" w:type="dxa"/>
            <w:tcBorders>
              <w:bottom w:val="single" w:color="000000" w:sz="6" w:space="0"/>
              <w:right w:val="single" w:color="000000" w:sz="6" w:space="0"/>
            </w:tcBorders>
            <w:vAlign w:val="center"/>
          </w:tcPr>
          <w:p w14:paraId="428E71B9">
            <w:pPr>
              <w:jc w:val="center"/>
              <w:rPr>
                <w:color w:val="auto"/>
              </w:rPr>
            </w:pPr>
          </w:p>
        </w:tc>
      </w:tr>
    </w:tbl>
    <w:p w14:paraId="3AA7E999">
      <w:pPr>
        <w:pStyle w:val="8"/>
        <w:spacing w:line="241" w:lineRule="auto"/>
        <w:rPr>
          <w:color w:val="auto"/>
        </w:rPr>
      </w:pPr>
    </w:p>
    <w:p w14:paraId="56B96D05">
      <w:pPr>
        <w:pStyle w:val="8"/>
        <w:spacing w:line="241" w:lineRule="auto"/>
        <w:rPr>
          <w:color w:val="auto"/>
        </w:rPr>
      </w:pPr>
    </w:p>
    <w:p w14:paraId="22983BE0">
      <w:pPr>
        <w:spacing w:line="360" w:lineRule="auto"/>
        <w:ind w:left="6"/>
        <w:outlineLvl w:val="1"/>
        <w:rPr>
          <w:rFonts w:ascii="Times New Roman" w:hAnsi="Times New Roman" w:eastAsia="Times New Roman" w:cs="Times New Roman"/>
          <w:b/>
          <w:bCs/>
          <w:color w:val="auto"/>
          <w:sz w:val="28"/>
          <w:szCs w:val="28"/>
        </w:rPr>
      </w:pPr>
      <w:bookmarkStart w:id="1028" w:name="bookmark397"/>
      <w:bookmarkEnd w:id="1028"/>
      <w:bookmarkStart w:id="1029" w:name="_Toc17900"/>
      <w:bookmarkStart w:id="1030" w:name="_Toc29745"/>
      <w:bookmarkStart w:id="1031" w:name="_Toc24518"/>
      <w:bookmarkStart w:id="1032" w:name="_Toc23790"/>
      <w:r>
        <w:rPr>
          <w:rFonts w:ascii="Times New Roman" w:hAnsi="Times New Roman" w:eastAsia="Times New Roman" w:cs="Times New Roman"/>
          <w:b/>
          <w:bCs/>
          <w:color w:val="auto"/>
          <w:sz w:val="28"/>
          <w:szCs w:val="28"/>
        </w:rPr>
        <w:t>3</w:t>
      </w:r>
      <w:r>
        <w:rPr>
          <w:rFonts w:hint="eastAsia" w:ascii="Times New Roman" w:hAnsi="Times New Roman" w:eastAsia="Times New Roman" w:cs="Times New Roman"/>
          <w:b/>
          <w:bCs/>
          <w:color w:val="auto"/>
          <w:sz w:val="28"/>
          <w:szCs w:val="28"/>
          <w:lang w:eastAsia="zh-CN"/>
        </w:rPr>
        <w:t>　</w:t>
      </w:r>
      <w:r>
        <w:rPr>
          <w:rFonts w:ascii="Times New Roman" w:hAnsi="Times New Roman" w:eastAsia="Times New Roman" w:cs="Times New Roman"/>
          <w:b/>
          <w:bCs/>
          <w:color w:val="auto"/>
          <w:sz w:val="28"/>
          <w:szCs w:val="28"/>
        </w:rPr>
        <w:t>图纸及其他资料</w:t>
      </w:r>
      <w:bookmarkEnd w:id="1029"/>
      <w:bookmarkEnd w:id="1030"/>
      <w:bookmarkEnd w:id="1031"/>
      <w:bookmarkEnd w:id="1032"/>
    </w:p>
    <w:p w14:paraId="453DB8CC">
      <w:pPr>
        <w:spacing w:before="78" w:line="221" w:lineRule="auto"/>
        <w:ind w:left="495"/>
        <w:rPr>
          <w:rFonts w:hint="eastAsia" w:ascii="宋体" w:hAnsi="宋体" w:eastAsia="宋体" w:cs="宋体"/>
          <w:color w:val="auto"/>
          <w:sz w:val="24"/>
          <w:szCs w:val="24"/>
        </w:rPr>
      </w:pPr>
      <w:r>
        <w:rPr>
          <w:rFonts w:ascii="宋体" w:hAnsi="宋体" w:eastAsia="宋体" w:cs="宋体"/>
          <w:color w:val="auto"/>
          <w:sz w:val="24"/>
          <w:szCs w:val="24"/>
        </w:rPr>
        <w:t>另册。</w:t>
      </w:r>
    </w:p>
    <w:p w14:paraId="6BE73B54">
      <w:pPr>
        <w:rPr>
          <w:rFonts w:hint="eastAsia" w:ascii="宋体" w:hAnsi="宋体" w:eastAsia="宋体" w:cs="宋体"/>
          <w:color w:val="auto"/>
          <w:sz w:val="24"/>
          <w:szCs w:val="24"/>
        </w:rPr>
      </w:pPr>
      <w:r>
        <w:rPr>
          <w:rFonts w:ascii="宋体" w:hAnsi="宋体" w:eastAsia="宋体" w:cs="宋体"/>
          <w:color w:val="auto"/>
          <w:sz w:val="24"/>
          <w:szCs w:val="24"/>
        </w:rPr>
        <w:br w:type="page"/>
      </w:r>
    </w:p>
    <w:p w14:paraId="20DC01D3">
      <w:pPr>
        <w:pStyle w:val="8"/>
        <w:spacing w:line="243" w:lineRule="auto"/>
        <w:rPr>
          <w:color w:val="auto"/>
        </w:rPr>
      </w:pPr>
    </w:p>
    <w:p w14:paraId="333EBC51">
      <w:pPr>
        <w:pStyle w:val="8"/>
        <w:spacing w:line="243" w:lineRule="auto"/>
        <w:rPr>
          <w:color w:val="auto"/>
        </w:rPr>
      </w:pPr>
    </w:p>
    <w:p w14:paraId="08CB3FE7">
      <w:pPr>
        <w:pStyle w:val="8"/>
        <w:spacing w:line="243" w:lineRule="auto"/>
        <w:rPr>
          <w:color w:val="auto"/>
        </w:rPr>
      </w:pPr>
    </w:p>
    <w:p w14:paraId="785F378A">
      <w:pPr>
        <w:pStyle w:val="8"/>
        <w:spacing w:line="243" w:lineRule="auto"/>
        <w:rPr>
          <w:color w:val="auto"/>
        </w:rPr>
      </w:pPr>
    </w:p>
    <w:p w14:paraId="77E292EE">
      <w:pPr>
        <w:pStyle w:val="8"/>
        <w:spacing w:line="243" w:lineRule="auto"/>
        <w:rPr>
          <w:color w:val="auto"/>
        </w:rPr>
      </w:pPr>
    </w:p>
    <w:p w14:paraId="4A2BA095">
      <w:pPr>
        <w:pStyle w:val="8"/>
        <w:spacing w:line="243" w:lineRule="auto"/>
        <w:rPr>
          <w:color w:val="auto"/>
        </w:rPr>
      </w:pPr>
    </w:p>
    <w:p w14:paraId="06BC522B">
      <w:pPr>
        <w:pStyle w:val="8"/>
        <w:spacing w:line="243" w:lineRule="auto"/>
        <w:rPr>
          <w:color w:val="auto"/>
        </w:rPr>
      </w:pPr>
    </w:p>
    <w:p w14:paraId="01A8ED87">
      <w:pPr>
        <w:pStyle w:val="8"/>
        <w:spacing w:line="243" w:lineRule="auto"/>
        <w:rPr>
          <w:color w:val="auto"/>
        </w:rPr>
      </w:pPr>
    </w:p>
    <w:p w14:paraId="48AD0678">
      <w:pPr>
        <w:pStyle w:val="8"/>
        <w:spacing w:line="243" w:lineRule="auto"/>
        <w:rPr>
          <w:color w:val="auto"/>
        </w:rPr>
      </w:pPr>
    </w:p>
    <w:p w14:paraId="30DE0CCD">
      <w:pPr>
        <w:pStyle w:val="8"/>
        <w:spacing w:line="243" w:lineRule="auto"/>
        <w:rPr>
          <w:color w:val="auto"/>
        </w:rPr>
      </w:pPr>
    </w:p>
    <w:p w14:paraId="519DE64B">
      <w:pPr>
        <w:pStyle w:val="8"/>
        <w:spacing w:line="243" w:lineRule="auto"/>
        <w:rPr>
          <w:color w:val="auto"/>
        </w:rPr>
      </w:pPr>
    </w:p>
    <w:p w14:paraId="3198B293">
      <w:pPr>
        <w:pStyle w:val="8"/>
        <w:spacing w:line="243" w:lineRule="auto"/>
        <w:rPr>
          <w:color w:val="auto"/>
        </w:rPr>
      </w:pPr>
    </w:p>
    <w:p w14:paraId="4A077763">
      <w:pPr>
        <w:pStyle w:val="8"/>
        <w:spacing w:line="243" w:lineRule="auto"/>
        <w:rPr>
          <w:color w:val="auto"/>
        </w:rPr>
      </w:pPr>
    </w:p>
    <w:p w14:paraId="1B7BDD78">
      <w:pPr>
        <w:pStyle w:val="8"/>
        <w:spacing w:line="243" w:lineRule="auto"/>
        <w:rPr>
          <w:color w:val="auto"/>
        </w:rPr>
      </w:pPr>
    </w:p>
    <w:p w14:paraId="79EC0986">
      <w:pPr>
        <w:pStyle w:val="8"/>
        <w:spacing w:line="243" w:lineRule="auto"/>
        <w:rPr>
          <w:color w:val="auto"/>
        </w:rPr>
      </w:pPr>
    </w:p>
    <w:p w14:paraId="6F365E13">
      <w:pPr>
        <w:pStyle w:val="8"/>
        <w:spacing w:line="243" w:lineRule="auto"/>
        <w:rPr>
          <w:color w:val="auto"/>
        </w:rPr>
      </w:pPr>
    </w:p>
    <w:p w14:paraId="13C3FD9C">
      <w:pPr>
        <w:pStyle w:val="8"/>
        <w:spacing w:line="243" w:lineRule="auto"/>
        <w:rPr>
          <w:color w:val="auto"/>
        </w:rPr>
      </w:pPr>
    </w:p>
    <w:p w14:paraId="60E50324">
      <w:pPr>
        <w:pStyle w:val="8"/>
        <w:spacing w:line="243" w:lineRule="auto"/>
        <w:rPr>
          <w:color w:val="auto"/>
        </w:rPr>
      </w:pPr>
    </w:p>
    <w:p w14:paraId="4CB66221">
      <w:pPr>
        <w:pStyle w:val="8"/>
        <w:spacing w:line="243" w:lineRule="auto"/>
        <w:rPr>
          <w:color w:val="auto"/>
        </w:rPr>
      </w:pPr>
    </w:p>
    <w:p w14:paraId="0BDF74F7">
      <w:pPr>
        <w:pStyle w:val="8"/>
        <w:spacing w:line="243" w:lineRule="auto"/>
        <w:rPr>
          <w:color w:val="auto"/>
        </w:rPr>
      </w:pPr>
    </w:p>
    <w:p w14:paraId="1696ED91">
      <w:pPr>
        <w:pStyle w:val="8"/>
        <w:spacing w:line="243" w:lineRule="auto"/>
        <w:rPr>
          <w:color w:val="auto"/>
        </w:rPr>
      </w:pPr>
    </w:p>
    <w:p w14:paraId="3724923E">
      <w:pPr>
        <w:pStyle w:val="8"/>
        <w:spacing w:line="243" w:lineRule="auto"/>
        <w:rPr>
          <w:color w:val="auto"/>
        </w:rPr>
      </w:pPr>
    </w:p>
    <w:p w14:paraId="110B21B4">
      <w:pPr>
        <w:pStyle w:val="8"/>
        <w:spacing w:line="243" w:lineRule="auto"/>
        <w:rPr>
          <w:color w:val="auto"/>
        </w:rPr>
      </w:pPr>
    </w:p>
    <w:p w14:paraId="7318AD4F">
      <w:pPr>
        <w:pStyle w:val="8"/>
        <w:spacing w:line="244" w:lineRule="auto"/>
        <w:rPr>
          <w:color w:val="auto"/>
        </w:rPr>
      </w:pPr>
    </w:p>
    <w:p w14:paraId="14BDB560">
      <w:pPr>
        <w:pStyle w:val="8"/>
        <w:spacing w:line="244" w:lineRule="auto"/>
        <w:rPr>
          <w:color w:val="auto"/>
        </w:rPr>
      </w:pPr>
    </w:p>
    <w:p w14:paraId="4CE3D926">
      <w:pPr>
        <w:pStyle w:val="8"/>
        <w:spacing w:line="244" w:lineRule="auto"/>
        <w:rPr>
          <w:color w:val="auto"/>
        </w:rPr>
      </w:pPr>
    </w:p>
    <w:p w14:paraId="5C0E6643">
      <w:pPr>
        <w:spacing w:before="156" w:line="222" w:lineRule="auto"/>
        <w:ind w:left="3251"/>
        <w:outlineLvl w:val="0"/>
        <w:rPr>
          <w:rFonts w:hint="eastAsia" w:ascii="黑体" w:hAnsi="黑体" w:eastAsia="黑体" w:cs="黑体"/>
          <w:color w:val="auto"/>
          <w:sz w:val="48"/>
          <w:szCs w:val="48"/>
        </w:rPr>
      </w:pPr>
      <w:bookmarkStart w:id="1033" w:name="bookmark398"/>
      <w:bookmarkEnd w:id="1033"/>
      <w:bookmarkStart w:id="1034" w:name="_Toc28505"/>
      <w:bookmarkStart w:id="1035" w:name="_Toc6041"/>
      <w:bookmarkStart w:id="1036" w:name="_Toc19511"/>
      <w:bookmarkStart w:id="1037" w:name="_Toc14404"/>
      <w:r>
        <w:rPr>
          <w:rFonts w:ascii="黑体" w:hAnsi="黑体" w:eastAsia="黑体" w:cs="黑体"/>
          <w:b/>
          <w:bCs/>
          <w:color w:val="auto"/>
          <w:sz w:val="48"/>
          <w:szCs w:val="48"/>
        </w:rPr>
        <w:t>第三卷</w:t>
      </w:r>
      <w:bookmarkEnd w:id="1034"/>
      <w:bookmarkEnd w:id="1035"/>
      <w:bookmarkEnd w:id="1036"/>
      <w:bookmarkEnd w:id="1037"/>
    </w:p>
    <w:p w14:paraId="2F7601EA">
      <w:pPr>
        <w:rPr>
          <w:rFonts w:hint="eastAsia" w:ascii="黑体" w:hAnsi="黑体" w:eastAsia="黑体" w:cs="黑体"/>
          <w:color w:val="auto"/>
          <w:sz w:val="48"/>
          <w:szCs w:val="48"/>
        </w:rPr>
      </w:pPr>
      <w:r>
        <w:rPr>
          <w:rFonts w:ascii="黑体" w:hAnsi="黑体" w:eastAsia="黑体" w:cs="黑体"/>
          <w:color w:val="auto"/>
          <w:sz w:val="48"/>
          <w:szCs w:val="48"/>
        </w:rPr>
        <w:br w:type="page"/>
      </w:r>
    </w:p>
    <w:p w14:paraId="5D344539">
      <w:pPr>
        <w:spacing w:before="71" w:line="219" w:lineRule="auto"/>
        <w:ind w:left="955"/>
        <w:outlineLvl w:val="0"/>
        <w:rPr>
          <w:rFonts w:hint="eastAsia" w:ascii="宋体" w:hAnsi="宋体" w:eastAsia="宋体" w:cs="宋体"/>
          <w:color w:val="auto"/>
          <w:sz w:val="36"/>
          <w:szCs w:val="36"/>
          <w:lang w:eastAsia="zh-CN"/>
        </w:rPr>
      </w:pPr>
      <w:bookmarkStart w:id="1038" w:name="bookmark400"/>
      <w:bookmarkEnd w:id="1038"/>
      <w:bookmarkStart w:id="1039" w:name="bookmark399"/>
      <w:bookmarkEnd w:id="1039"/>
      <w:bookmarkStart w:id="1040" w:name="bookmark401"/>
      <w:bookmarkEnd w:id="1040"/>
      <w:bookmarkStart w:id="1041" w:name="_Toc13365"/>
      <w:bookmarkStart w:id="1042" w:name="_Toc6647"/>
      <w:bookmarkStart w:id="1043" w:name="_Toc4627"/>
      <w:bookmarkStart w:id="1044" w:name="_Toc19072"/>
      <w:r>
        <w:rPr>
          <w:rFonts w:ascii="宋体" w:hAnsi="宋体" w:eastAsia="宋体" w:cs="宋体"/>
          <w:b/>
          <w:bCs/>
          <w:color w:val="auto"/>
          <w:sz w:val="36"/>
          <w:szCs w:val="36"/>
          <w:lang w:eastAsia="zh-CN"/>
        </w:rPr>
        <w:t>第七章</w:t>
      </w:r>
      <w:r>
        <w:rPr>
          <w:rFonts w:hint="eastAsia" w:ascii="宋体" w:hAnsi="宋体" w:eastAsia="宋体" w:cs="宋体"/>
          <w:color w:val="auto"/>
          <w:sz w:val="36"/>
          <w:szCs w:val="36"/>
          <w:lang w:eastAsia="zh-CN"/>
        </w:rPr>
        <w:t>　</w:t>
      </w:r>
      <w:r>
        <w:rPr>
          <w:rFonts w:ascii="宋体" w:hAnsi="宋体" w:eastAsia="宋体" w:cs="宋体"/>
          <w:b/>
          <w:bCs/>
          <w:color w:val="auto"/>
          <w:sz w:val="36"/>
          <w:szCs w:val="36"/>
          <w:lang w:eastAsia="zh-CN"/>
        </w:rPr>
        <w:t>技术标准和要求（合同技术条款）</w:t>
      </w:r>
      <w:bookmarkEnd w:id="1041"/>
      <w:bookmarkEnd w:id="1042"/>
    </w:p>
    <w:p w14:paraId="39508608">
      <w:pPr>
        <w:widowControl w:val="0"/>
        <w:kinsoku/>
        <w:topLinePunct/>
        <w:autoSpaceDE/>
        <w:autoSpaceDN/>
        <w:spacing w:line="520" w:lineRule="exact"/>
        <w:jc w:val="center"/>
        <w:outlineLvl w:val="1"/>
        <w:rPr>
          <w:rFonts w:hint="eastAsia" w:ascii="宋体" w:hAnsi="宋体" w:eastAsia="宋体" w:cs="宋体"/>
          <w:color w:val="auto"/>
          <w:sz w:val="28"/>
          <w:szCs w:val="28"/>
          <w:lang w:eastAsia="zh-CN"/>
        </w:rPr>
      </w:pPr>
      <w:bookmarkStart w:id="1045" w:name="_Toc19040"/>
      <w:bookmarkStart w:id="1046" w:name="_Toc25996"/>
      <w:bookmarkStart w:id="1047" w:name="_Toc12839"/>
      <w:r>
        <w:rPr>
          <w:rFonts w:hint="eastAsia" w:ascii="宋体" w:hAnsi="宋体" w:eastAsia="宋体" w:cs="宋体"/>
          <w:b/>
          <w:bCs/>
          <w:color w:val="auto"/>
          <w:spacing w:val="-9"/>
          <w:sz w:val="28"/>
          <w:szCs w:val="28"/>
          <w:lang w:eastAsia="zh-CN"/>
        </w:rPr>
        <w:t>1</w:t>
      </w:r>
      <w:r>
        <w:rPr>
          <w:rFonts w:hint="eastAsia" w:ascii="宋体" w:hAnsi="宋体" w:eastAsia="宋体" w:cs="宋体"/>
          <w:b/>
          <w:bCs/>
          <w:color w:val="auto"/>
          <w:spacing w:val="8"/>
          <w:sz w:val="28"/>
          <w:szCs w:val="28"/>
          <w:lang w:eastAsia="zh-CN"/>
        </w:rPr>
        <w:t xml:space="preserve"> </w:t>
      </w:r>
      <w:r>
        <w:rPr>
          <w:rFonts w:hint="eastAsia" w:ascii="宋体" w:hAnsi="宋体" w:eastAsia="宋体" w:cs="宋体"/>
          <w:b/>
          <w:bCs/>
          <w:color w:val="auto"/>
          <w:spacing w:val="-9"/>
          <w:sz w:val="28"/>
          <w:szCs w:val="28"/>
          <w:lang w:eastAsia="zh-CN"/>
        </w:rPr>
        <w:t>一般规定</w:t>
      </w:r>
      <w:bookmarkEnd w:id="1045"/>
      <w:bookmarkEnd w:id="1046"/>
      <w:bookmarkEnd w:id="1047"/>
    </w:p>
    <w:p w14:paraId="6132B114">
      <w:pPr>
        <w:widowControl w:val="0"/>
        <w:kinsoku/>
        <w:topLinePunct/>
        <w:autoSpaceDE/>
        <w:autoSpaceDN/>
        <w:spacing w:line="520" w:lineRule="exact"/>
        <w:jc w:val="both"/>
        <w:outlineLvl w:val="2"/>
        <w:rPr>
          <w:rFonts w:hint="eastAsia" w:ascii="宋体" w:hAnsi="宋体" w:eastAsia="宋体" w:cs="宋体"/>
          <w:color w:val="auto"/>
          <w:sz w:val="24"/>
          <w:szCs w:val="24"/>
          <w:lang w:eastAsia="zh-CN"/>
        </w:rPr>
      </w:pPr>
      <w:bookmarkStart w:id="1048" w:name="_Toc23092"/>
      <w:bookmarkStart w:id="1049" w:name="_Toc19361"/>
      <w:bookmarkStart w:id="1050" w:name="_Toc25325"/>
      <w:r>
        <w:rPr>
          <w:rFonts w:hint="eastAsia" w:ascii="宋体" w:hAnsi="宋体" w:eastAsia="宋体" w:cs="宋体"/>
          <w:b/>
          <w:bCs/>
          <w:color w:val="auto"/>
          <w:spacing w:val="-5"/>
          <w:sz w:val="24"/>
          <w:szCs w:val="24"/>
          <w:lang w:eastAsia="zh-CN"/>
        </w:rPr>
        <w:t>1.1</w:t>
      </w:r>
      <w:r>
        <w:rPr>
          <w:rFonts w:hint="eastAsia" w:ascii="宋体" w:hAnsi="宋体" w:eastAsia="宋体" w:cs="宋体"/>
          <w:b/>
          <w:bCs/>
          <w:color w:val="auto"/>
          <w:spacing w:val="6"/>
          <w:sz w:val="24"/>
          <w:szCs w:val="24"/>
          <w:lang w:eastAsia="zh-CN"/>
        </w:rPr>
        <w:t xml:space="preserve"> </w:t>
      </w:r>
      <w:r>
        <w:rPr>
          <w:rFonts w:hint="eastAsia" w:ascii="宋体" w:hAnsi="宋体" w:eastAsia="宋体" w:cs="宋体"/>
          <w:b/>
          <w:bCs/>
          <w:color w:val="auto"/>
          <w:spacing w:val="-5"/>
          <w:sz w:val="24"/>
          <w:szCs w:val="24"/>
          <w:lang w:eastAsia="zh-CN"/>
        </w:rPr>
        <w:t>工程说明</w:t>
      </w:r>
      <w:bookmarkEnd w:id="1048"/>
      <w:bookmarkEnd w:id="1049"/>
      <w:bookmarkEnd w:id="1050"/>
    </w:p>
    <w:p w14:paraId="70C033BD">
      <w:pPr>
        <w:widowControl w:val="0"/>
        <w:kinsoku/>
        <w:topLinePunct/>
        <w:autoSpaceDE/>
        <w:autoSpaceDN/>
        <w:spacing w:line="520" w:lineRule="exact"/>
        <w:ind w:left="12"/>
        <w:jc w:val="both"/>
        <w:outlineLvl w:val="3"/>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1.1.1</w:t>
      </w:r>
      <w:r>
        <w:rPr>
          <w:rFonts w:hint="eastAsia" w:ascii="宋体" w:hAnsi="宋体" w:eastAsia="宋体" w:cs="宋体"/>
          <w:color w:val="auto"/>
          <w:spacing w:val="9"/>
          <w:sz w:val="24"/>
          <w:szCs w:val="24"/>
          <w:lang w:eastAsia="zh-CN"/>
        </w:rPr>
        <w:t xml:space="preserve"> </w:t>
      </w:r>
      <w:r>
        <w:rPr>
          <w:rFonts w:hint="eastAsia" w:ascii="宋体" w:hAnsi="宋体" w:eastAsia="宋体" w:cs="宋体"/>
          <w:color w:val="auto"/>
          <w:spacing w:val="-5"/>
          <w:sz w:val="24"/>
          <w:szCs w:val="24"/>
          <w:lang w:eastAsia="zh-CN"/>
        </w:rPr>
        <w:t>工程概况</w:t>
      </w:r>
    </w:p>
    <w:p w14:paraId="188DD3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本工程位于绍兴市柯桥区马鞍、华舍街道。工程任务以防洪排涝为主，兼顾区域水生态改善。工程主要建设内容及规模：1.水利部分：新建新三江闸排涝泵站1座，设计排涝流量300m</w:t>
      </w:r>
      <w:r>
        <w:rPr>
          <w:rFonts w:hint="eastAsia" w:ascii="宋体" w:hAnsi="宋体" w:eastAsia="宋体" w:cs="宋体"/>
          <w:color w:val="auto"/>
          <w:sz w:val="24"/>
          <w:szCs w:val="24"/>
          <w:vertAlign w:val="superscript"/>
          <w:lang w:eastAsia="zh-CN"/>
        </w:rPr>
        <w:t>3</w:t>
      </w:r>
      <w:r>
        <w:rPr>
          <w:rFonts w:hint="eastAsia" w:ascii="宋体" w:hAnsi="宋体" w:eastAsia="宋体" w:cs="宋体"/>
          <w:color w:val="auto"/>
          <w:sz w:val="24"/>
          <w:szCs w:val="24"/>
          <w:lang w:eastAsia="zh-CN"/>
        </w:rPr>
        <w:t>/s；拓浚大坂湖直江6.7km，其中拓宽段0.64km；整治余渚桥涵卡口0.42km，疏浚三江大河2.63km；新建水利管理房1座（建筑面积1786m</w:t>
      </w:r>
      <w:r>
        <w:rPr>
          <w:rFonts w:hint="eastAsia" w:ascii="宋体" w:hAnsi="宋体" w:eastAsia="宋体" w:cs="宋体"/>
          <w:color w:val="auto"/>
          <w:sz w:val="24"/>
          <w:szCs w:val="24"/>
          <w:vertAlign w:val="superscript"/>
          <w:lang w:eastAsia="zh-CN"/>
        </w:rPr>
        <w:t>2</w:t>
      </w:r>
      <w:r>
        <w:rPr>
          <w:rFonts w:hint="eastAsia" w:ascii="宋体" w:hAnsi="宋体" w:eastAsia="宋体" w:cs="宋体"/>
          <w:color w:val="auto"/>
          <w:sz w:val="24"/>
          <w:szCs w:val="24"/>
          <w:lang w:eastAsia="zh-CN"/>
        </w:rPr>
        <w:t>）。2.非水利部分：绿化苗木及种植约15400m</w:t>
      </w:r>
      <w:r>
        <w:rPr>
          <w:rFonts w:hint="eastAsia" w:ascii="宋体" w:hAnsi="宋体" w:eastAsia="宋体" w:cs="宋体"/>
          <w:color w:val="auto"/>
          <w:sz w:val="24"/>
          <w:szCs w:val="24"/>
          <w:vertAlign w:val="superscript"/>
          <w:lang w:eastAsia="zh-CN"/>
        </w:rPr>
        <w:t>2</w:t>
      </w:r>
      <w:r>
        <w:rPr>
          <w:rFonts w:hint="eastAsia" w:ascii="宋体" w:hAnsi="宋体" w:eastAsia="宋体" w:cs="宋体"/>
          <w:color w:val="auto"/>
          <w:sz w:val="24"/>
          <w:szCs w:val="24"/>
          <w:lang w:eastAsia="zh-CN"/>
        </w:rPr>
        <w:t>，铺装平台2500m</w:t>
      </w:r>
      <w:r>
        <w:rPr>
          <w:rFonts w:hint="eastAsia" w:ascii="宋体" w:hAnsi="宋体" w:eastAsia="宋体" w:cs="宋体"/>
          <w:color w:val="auto"/>
          <w:sz w:val="24"/>
          <w:szCs w:val="24"/>
          <w:vertAlign w:val="superscript"/>
          <w:lang w:eastAsia="zh-CN"/>
        </w:rPr>
        <w:t>2</w:t>
      </w:r>
      <w:r>
        <w:rPr>
          <w:rFonts w:hint="eastAsia" w:ascii="宋体" w:hAnsi="宋体" w:eastAsia="宋体" w:cs="宋体"/>
          <w:color w:val="auto"/>
          <w:sz w:val="24"/>
          <w:szCs w:val="24"/>
          <w:lang w:eastAsia="zh-CN"/>
        </w:rPr>
        <w:t>等。本工程等别为Ⅰ等。排涝泵站主要建筑物级别为1级，设计洪水标准为100年一遇，校核洪水标准为300年一遇；进水渠建筑物级别为3级，设计洪水标准30年一遇；河道护岸建筑物级别为4级，设计洪水标准为20年一遇。</w:t>
      </w:r>
    </w:p>
    <w:p w14:paraId="1408AF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标段的新三江闸排涝泵站位于三江大河口门处、现状新三江闸右岸。工程区从左向右依次为现状新三江闸、排涝泵站、规划船闸。泵站工程主要建筑物包括进水建筑物(含进水明渠、清污机桥、进水池)、主泵房、出水建筑物(含出水池、出水渠)。泵站工程轴线与现状新三江闸轴线夹角约为6°。进水明渠上游侧与三江大河主河槽平顺衔接，并向右岸拓宽，右岸岸线转弯后的进水直段长度为168.00m。进水渠末端设置清污机桥，宽度为16.00m。清污机桥下游侧接进水池，长度为63.00m，含交通桥宽度15.00m；交通桥与现状水闸交通桥连接，作为厂区内部道路及泵站入场通道。</w:t>
      </w:r>
    </w:p>
    <w:p w14:paraId="2C3517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主泵房长度为55.60m，宽度为79.70m，共布置6台竖井贯流泵，单机流量为50m/s。安装场和副厂房分置于主泵房两侧，安装场宽18.00m，布置于主泵房右侧，副厂房宽23.00m，布置于主泵房左侧。</w:t>
      </w:r>
    </w:p>
    <w:p w14:paraId="0BC164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泵房下游侧为出水池和出水渠道,其中出水池长度为24.00m，出水渠中心线长度约为109.56m。</w:t>
      </w:r>
    </w:p>
    <w:p w14:paraId="1548A0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此外，泵站工程用地红线内生态修复与水利功能相结合，水利设施和休闲空间相交融，打造一个使用功能与观赏效果并举的生态改善工程。其中，植物护坡约15400m</w:t>
      </w:r>
      <w:r>
        <w:rPr>
          <w:rFonts w:hint="eastAsia" w:ascii="宋体" w:hAnsi="宋体" w:eastAsia="宋体" w:cs="宋体"/>
          <w:color w:val="auto"/>
          <w:sz w:val="24"/>
          <w:szCs w:val="24"/>
          <w:vertAlign w:val="superscript"/>
          <w:lang w:eastAsia="zh-CN"/>
        </w:rPr>
        <w:t>2</w:t>
      </w:r>
      <w:r>
        <w:rPr>
          <w:rFonts w:hint="eastAsia" w:ascii="宋体" w:hAnsi="宋体" w:eastAsia="宋体" w:cs="宋体"/>
          <w:color w:val="auto"/>
          <w:sz w:val="24"/>
          <w:szCs w:val="24"/>
          <w:lang w:eastAsia="zh-CN"/>
        </w:rPr>
        <w:t>，硬化铺装约2500m</w:t>
      </w:r>
      <w:r>
        <w:rPr>
          <w:rFonts w:hint="eastAsia" w:ascii="宋体" w:hAnsi="宋体" w:eastAsia="宋体" w:cs="宋体"/>
          <w:color w:val="auto"/>
          <w:sz w:val="24"/>
          <w:szCs w:val="24"/>
          <w:vertAlign w:val="superscript"/>
          <w:lang w:eastAsia="zh-CN"/>
        </w:rPr>
        <w:t>2</w:t>
      </w:r>
      <w:r>
        <w:rPr>
          <w:rFonts w:hint="eastAsia" w:ascii="宋体" w:hAnsi="宋体" w:eastAsia="宋体" w:cs="宋体"/>
          <w:color w:val="auto"/>
          <w:sz w:val="24"/>
          <w:szCs w:val="24"/>
          <w:lang w:eastAsia="zh-CN"/>
        </w:rPr>
        <w:t>等。新三江闸排涝泵站位于三江大河口门处、现状新三江闸右岸。工程区从左向右依次为现状新三江闸、排涝泵站、规划船闸。</w:t>
      </w:r>
    </w:p>
    <w:p w14:paraId="1E544CF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1.1.2 水文气象和工程地质资料</w:t>
      </w:r>
    </w:p>
    <w:p w14:paraId="231A92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）水文气象</w:t>
      </w:r>
    </w:p>
    <w:p w14:paraId="4D77E2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区域属亚热带季风气候区，总的气候特征是，冬夏季风交替显著，年温适中，四季分明，雨量丰沛，日照充足。降水量时空分布不均，年际、年内变化大。每年3月、4月是西北季风减退和东南季风开始增强，冷暖空气交绥，形成绵绵春雨。春末夏初时，夏季风的暖气流与南下的冷空气相遇，本地有持续时间较长的锋面雨，阴雨连绵，俗称梅雨。梅雨期大暴雨通常发生在6月份。夏秋季本地常受副高压脊控制，降水主要为台风暴雨和局部雷阵雨。受台风和热带风暴影响的时间大多集中在8月份、9月份。台风暴雨不仅降水量大，而且历时短，强度大。夏秋季受台风和热带风暴影响较少时，则易造成高温干旱。11月至翌年2月，本地受冷高压控制，天气以晴冷为主，雨量较少。</w:t>
      </w:r>
    </w:p>
    <w:p w14:paraId="0B3D56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计流域多年平均年降水量为1200mm～1800mm。根据柯桥站统计分析，年平均气温16.5℃，最高月平均29.23℃（七月），最低月平均气温4.62℃（1月），月极端最高气温42.5℃（8月），极端最低气温-10.2℃（12月）。多年平均气压1016hPa，多年平均水汽压17.2hPa，多年平均相对湿度78.4%，多年平均水面蒸发量927mm（20cm蒸发皿观测值）；多年平均风速2.1m/s，年最大风速多年平均值为12.9m/s，最大风速21.7m/s，相应风向WNW。</w:t>
      </w:r>
    </w:p>
    <w:p w14:paraId="4B27D4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）工程地质</w:t>
      </w:r>
    </w:p>
    <w:p w14:paraId="51FDF5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位于曹娥江流域下游左岸的绍虞平原，场地属杭州湾南岸萧（山）～绍（兴）平原地貌，地基土属萧绍平原海湾～河流相沉积物。绍虞平原地势南高北低，南部为山丘区，北部为平原。场地内河流纵横交错相通，水流较平缓，水流冲刷作用较弱，局部河道坍落较多。绍虞平原除南部山丘区外的地面高程大多在4.0m～5.5m间，地面坡降平缓。由于河道两侧为居民区、厂区为主，局部河道淤积较为严重。河道区域水深一般在1m～3m左右，河水位标高在3.80m～4.00m左右，河水位变化一般在1.0m左右。</w:t>
      </w:r>
    </w:p>
    <w:p w14:paraId="16D30F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泵站址位于新三江闸右岸，右岸上游现状为林地，表部为回填的碎块石，地面较平整，下游为塘闸管理区内部空地，地面较平整。右岸场地整体较平整、宽阔，地表无其他构筑物，老益线公路从场地东侧穿过。</w:t>
      </w:r>
    </w:p>
    <w:p w14:paraId="39FC0A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根据勘探成果揭露，主泵房场地地基由10层人工填土、1</w:t>
      </w:r>
      <w:r>
        <w:rPr>
          <w:rFonts w:hint="eastAsia" w:ascii="宋体" w:hAnsi="宋体" w:eastAsia="宋体" w:cs="宋体"/>
          <w:color w:val="auto"/>
          <w:sz w:val="24"/>
          <w:szCs w:val="24"/>
          <w:vertAlign w:val="subscript"/>
          <w:lang w:eastAsia="zh-CN"/>
        </w:rPr>
        <w:t>1</w:t>
      </w:r>
      <w:r>
        <w:rPr>
          <w:rFonts w:hint="eastAsia" w:ascii="宋体" w:hAnsi="宋体" w:eastAsia="宋体" w:cs="宋体"/>
          <w:color w:val="auto"/>
          <w:sz w:val="24"/>
          <w:szCs w:val="24"/>
          <w:lang w:eastAsia="zh-CN"/>
        </w:rPr>
        <w:t>层人工填土、Ⅱ</w:t>
      </w:r>
      <w:r>
        <w:rPr>
          <w:rFonts w:hint="eastAsia" w:ascii="宋体" w:hAnsi="宋体" w:eastAsia="宋体" w:cs="宋体"/>
          <w:color w:val="auto"/>
          <w:sz w:val="24"/>
          <w:szCs w:val="24"/>
          <w:vertAlign w:val="subscript"/>
          <w:lang w:eastAsia="zh-CN"/>
        </w:rPr>
        <w:t>2</w:t>
      </w:r>
      <w:r>
        <w:rPr>
          <w:rFonts w:hint="eastAsia" w:ascii="宋体" w:hAnsi="宋体" w:eastAsia="宋体" w:cs="宋体"/>
          <w:color w:val="auto"/>
          <w:sz w:val="24"/>
          <w:szCs w:val="24"/>
          <w:lang w:eastAsia="zh-CN"/>
        </w:rPr>
        <w:t>层砂质粉土、Ⅱ</w:t>
      </w:r>
      <w:r>
        <w:rPr>
          <w:rFonts w:hint="eastAsia" w:ascii="宋体" w:hAnsi="宋体" w:eastAsia="宋体" w:cs="宋体"/>
          <w:color w:val="auto"/>
          <w:sz w:val="24"/>
          <w:szCs w:val="24"/>
          <w:vertAlign w:val="subscript"/>
          <w:lang w:eastAsia="zh-CN"/>
        </w:rPr>
        <w:t>3</w:t>
      </w:r>
      <w:r>
        <w:rPr>
          <w:rFonts w:hint="eastAsia" w:ascii="宋体" w:hAnsi="宋体" w:eastAsia="宋体" w:cs="宋体"/>
          <w:color w:val="auto"/>
          <w:sz w:val="24"/>
          <w:szCs w:val="24"/>
          <w:lang w:eastAsia="zh-CN"/>
        </w:rPr>
        <w:t>层含泥粉砂、Ⅲ</w:t>
      </w:r>
      <w:r>
        <w:rPr>
          <w:rFonts w:hint="eastAsia" w:ascii="宋体" w:hAnsi="宋体" w:eastAsia="宋体" w:cs="宋体"/>
          <w:color w:val="auto"/>
          <w:sz w:val="24"/>
          <w:szCs w:val="24"/>
          <w:vertAlign w:val="subscript"/>
          <w:lang w:eastAsia="zh-CN"/>
        </w:rPr>
        <w:t>2</w:t>
      </w:r>
      <w:r>
        <w:rPr>
          <w:rFonts w:hint="eastAsia" w:ascii="宋体" w:hAnsi="宋体" w:eastAsia="宋体" w:cs="宋体"/>
          <w:color w:val="auto"/>
          <w:sz w:val="24"/>
          <w:szCs w:val="24"/>
          <w:lang w:eastAsia="zh-CN"/>
        </w:rPr>
        <w:t>层淤泥质粉质粘土混粉土(粉砂)、Ⅲ</w:t>
      </w:r>
      <w:r>
        <w:rPr>
          <w:rFonts w:hint="eastAsia" w:ascii="宋体" w:hAnsi="宋体" w:eastAsia="宋体" w:cs="宋体"/>
          <w:color w:val="auto"/>
          <w:sz w:val="24"/>
          <w:szCs w:val="24"/>
          <w:vertAlign w:val="subscript"/>
          <w:lang w:eastAsia="zh-CN"/>
        </w:rPr>
        <w:t>3</w:t>
      </w:r>
      <w:r>
        <w:rPr>
          <w:rFonts w:hint="eastAsia" w:ascii="宋体" w:hAnsi="宋体" w:eastAsia="宋体" w:cs="宋体"/>
          <w:color w:val="auto"/>
          <w:sz w:val="24"/>
          <w:szCs w:val="24"/>
          <w:lang w:eastAsia="zh-CN"/>
        </w:rPr>
        <w:t>层淤泥质粉质粘土、IV</w:t>
      </w:r>
      <w:r>
        <w:rPr>
          <w:rFonts w:hint="eastAsia" w:ascii="宋体" w:hAnsi="宋体" w:eastAsia="宋体" w:cs="宋体"/>
          <w:color w:val="auto"/>
          <w:sz w:val="24"/>
          <w:szCs w:val="24"/>
          <w:vertAlign w:val="subscript"/>
          <w:lang w:eastAsia="zh-CN"/>
        </w:rPr>
        <w:t>1</w:t>
      </w:r>
      <w:r>
        <w:rPr>
          <w:rFonts w:hint="eastAsia" w:ascii="宋体" w:hAnsi="宋体" w:eastAsia="宋体" w:cs="宋体"/>
          <w:color w:val="auto"/>
          <w:sz w:val="24"/>
          <w:szCs w:val="24"/>
          <w:lang w:eastAsia="zh-CN"/>
        </w:rPr>
        <w:t>层粉质粘土、VI层淤泥质粉质粘土及粉质粘土、Ⅶ层粉质粘土、Ⅷ</w:t>
      </w:r>
      <w:r>
        <w:rPr>
          <w:rFonts w:hint="eastAsia" w:ascii="宋体" w:hAnsi="宋体" w:eastAsia="宋体" w:cs="宋体"/>
          <w:color w:val="auto"/>
          <w:sz w:val="24"/>
          <w:szCs w:val="24"/>
          <w:vertAlign w:val="subscript"/>
          <w:lang w:eastAsia="zh-CN"/>
        </w:rPr>
        <w:t>1</w:t>
      </w:r>
      <w:r>
        <w:rPr>
          <w:rFonts w:hint="eastAsia" w:ascii="宋体" w:hAnsi="宋体" w:eastAsia="宋体" w:cs="宋体"/>
          <w:color w:val="auto"/>
          <w:sz w:val="24"/>
          <w:szCs w:val="24"/>
          <w:lang w:eastAsia="zh-CN"/>
        </w:rPr>
        <w:t>层含泥中细砂、X层粉质粘土Ⅺ层含砂粉质粘土及Ⅻ层泥质砂砾岩与泥质粉砂岩互层组成。</w:t>
      </w:r>
    </w:p>
    <w:p w14:paraId="1539EE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泵站地基土体为多元结构，I层填土厚度较薄，性质差异变化大，工程地质条件一般；Ⅱ</w:t>
      </w:r>
      <w:r>
        <w:rPr>
          <w:rFonts w:hint="eastAsia" w:ascii="宋体" w:hAnsi="宋体" w:eastAsia="宋体" w:cs="宋体"/>
          <w:color w:val="auto"/>
          <w:sz w:val="24"/>
          <w:szCs w:val="24"/>
          <w:vertAlign w:val="subscript"/>
          <w:lang w:eastAsia="zh-CN"/>
        </w:rPr>
        <w:t>2</w:t>
      </w:r>
      <w:r>
        <w:rPr>
          <w:rFonts w:hint="eastAsia" w:ascii="宋体" w:hAnsi="宋体" w:eastAsia="宋体" w:cs="宋体"/>
          <w:color w:val="auto"/>
          <w:sz w:val="24"/>
          <w:szCs w:val="24"/>
          <w:lang w:eastAsia="zh-CN"/>
        </w:rPr>
        <w:t>层砂质粉土、Ⅱ</w:t>
      </w:r>
      <w:r>
        <w:rPr>
          <w:rFonts w:hint="eastAsia" w:ascii="宋体" w:hAnsi="宋体" w:eastAsia="宋体" w:cs="宋体"/>
          <w:color w:val="auto"/>
          <w:sz w:val="24"/>
          <w:szCs w:val="24"/>
          <w:vertAlign w:val="subscript"/>
          <w:lang w:eastAsia="zh-CN"/>
        </w:rPr>
        <w:t>3</w:t>
      </w:r>
      <w:r>
        <w:rPr>
          <w:rFonts w:hint="eastAsia" w:ascii="宋体" w:hAnsi="宋体" w:eastAsia="宋体" w:cs="宋体"/>
          <w:color w:val="auto"/>
          <w:sz w:val="24"/>
          <w:szCs w:val="24"/>
          <w:lang w:eastAsia="zh-CN"/>
        </w:rPr>
        <w:t>层含泥粉砂，松散～稍密，厚度大，工程地质条件较好但厚度分布不均，性质有一定变化：Ⅲ</w:t>
      </w:r>
      <w:r>
        <w:rPr>
          <w:rFonts w:hint="eastAsia" w:ascii="宋体" w:hAnsi="宋体" w:eastAsia="宋体" w:cs="宋体"/>
          <w:color w:val="auto"/>
          <w:sz w:val="24"/>
          <w:szCs w:val="24"/>
          <w:vertAlign w:val="subscript"/>
          <w:lang w:eastAsia="zh-CN"/>
        </w:rPr>
        <w:t>2</w:t>
      </w:r>
      <w:r>
        <w:rPr>
          <w:rFonts w:hint="eastAsia" w:ascii="宋体" w:hAnsi="宋体" w:eastAsia="宋体" w:cs="宋体"/>
          <w:color w:val="auto"/>
          <w:sz w:val="24"/>
          <w:szCs w:val="24"/>
          <w:lang w:eastAsia="zh-CN"/>
        </w:rPr>
        <w:t>层淤泥质粉质粘土混粉土、粉砂，土质不均，性质差异变化大，厚度一般；Ⅲ</w:t>
      </w:r>
      <w:r>
        <w:rPr>
          <w:rFonts w:hint="eastAsia" w:ascii="宋体" w:hAnsi="宋体" w:eastAsia="宋体" w:cs="宋体"/>
          <w:color w:val="auto"/>
          <w:sz w:val="24"/>
          <w:szCs w:val="24"/>
          <w:vertAlign w:val="subscript"/>
          <w:lang w:eastAsia="zh-CN"/>
        </w:rPr>
        <w:t>3</w:t>
      </w:r>
      <w:r>
        <w:rPr>
          <w:rFonts w:hint="eastAsia" w:ascii="宋体" w:hAnsi="宋体" w:eastAsia="宋体" w:cs="宋体"/>
          <w:color w:val="auto"/>
          <w:sz w:val="24"/>
          <w:szCs w:val="24"/>
          <w:lang w:eastAsia="zh-CN"/>
        </w:rPr>
        <w:t>层淤泥质粉质粘土，为高含水量、低强度的高压缩性软土，物理力学性质差，厚度一般，局部缺失；Ⅲ</w:t>
      </w:r>
      <w:r>
        <w:rPr>
          <w:rFonts w:hint="eastAsia" w:ascii="宋体" w:hAnsi="宋体" w:eastAsia="宋体" w:cs="宋体"/>
          <w:color w:val="auto"/>
          <w:sz w:val="24"/>
          <w:szCs w:val="24"/>
          <w:vertAlign w:val="subscript"/>
          <w:lang w:eastAsia="zh-CN"/>
        </w:rPr>
        <w:t>2</w:t>
      </w:r>
      <w:r>
        <w:rPr>
          <w:rFonts w:hint="eastAsia" w:ascii="宋体" w:hAnsi="宋体" w:eastAsia="宋体" w:cs="宋体"/>
          <w:color w:val="auto"/>
          <w:sz w:val="24"/>
          <w:szCs w:val="24"/>
          <w:lang w:eastAsia="zh-CN"/>
        </w:rPr>
        <w:t>层、Ⅲ</w:t>
      </w:r>
      <w:r>
        <w:rPr>
          <w:rFonts w:hint="eastAsia" w:ascii="宋体" w:hAnsi="宋体" w:eastAsia="宋体" w:cs="宋体"/>
          <w:color w:val="auto"/>
          <w:sz w:val="24"/>
          <w:szCs w:val="24"/>
          <w:vertAlign w:val="subscript"/>
          <w:lang w:eastAsia="zh-CN"/>
        </w:rPr>
        <w:t>3</w:t>
      </w:r>
      <w:r>
        <w:rPr>
          <w:rFonts w:hint="eastAsia" w:ascii="宋体" w:hAnsi="宋体" w:eastAsia="宋体" w:cs="宋体"/>
          <w:color w:val="auto"/>
          <w:sz w:val="24"/>
          <w:szCs w:val="24"/>
          <w:lang w:eastAsia="zh-CN"/>
        </w:rPr>
        <w:t>层是建筑物沉降和稳定的控制层，设计须进行沉降和稳定验算；IV</w:t>
      </w:r>
      <w:r>
        <w:rPr>
          <w:rFonts w:hint="eastAsia" w:ascii="宋体" w:hAnsi="宋体" w:eastAsia="宋体" w:cs="宋体"/>
          <w:color w:val="auto"/>
          <w:sz w:val="24"/>
          <w:szCs w:val="24"/>
          <w:vertAlign w:val="subscript"/>
          <w:lang w:eastAsia="zh-CN"/>
        </w:rPr>
        <w:t>1</w:t>
      </w:r>
      <w:r>
        <w:rPr>
          <w:rFonts w:hint="eastAsia" w:ascii="宋体" w:hAnsi="宋体" w:eastAsia="宋体" w:cs="宋体"/>
          <w:color w:val="auto"/>
          <w:sz w:val="24"/>
          <w:szCs w:val="24"/>
          <w:lang w:eastAsia="zh-CN"/>
        </w:rPr>
        <w:t>层粉质粘土，物理力学性质较好，但厚度一般，局部缺失；VI层淤泥质粉质粘土及粉质粘土为高含水量、高压缩性、低强度的软土，局部夹细砂，性质有一定变化，物理力学性质差，厚度一般，埋藏较深，建议进行必要的沉降验算：Ⅶ层粉质粘土，物理力学性质较好，厚度一般，局部缺失；Ⅷ</w:t>
      </w:r>
      <w:r>
        <w:rPr>
          <w:rFonts w:hint="eastAsia" w:ascii="宋体" w:hAnsi="宋体" w:eastAsia="宋体" w:cs="宋体"/>
          <w:color w:val="auto"/>
          <w:sz w:val="24"/>
          <w:szCs w:val="24"/>
          <w:vertAlign w:val="subscript"/>
          <w:lang w:eastAsia="zh-CN"/>
        </w:rPr>
        <w:t>1</w:t>
      </w:r>
      <w:r>
        <w:rPr>
          <w:rFonts w:hint="eastAsia" w:ascii="宋体" w:hAnsi="宋体" w:eastAsia="宋体" w:cs="宋体"/>
          <w:color w:val="auto"/>
          <w:sz w:val="24"/>
          <w:szCs w:val="24"/>
          <w:lang w:eastAsia="zh-CN"/>
        </w:rPr>
        <w:t>层含泥中细砂，松散～中密，性质较好，分布稳定，厚度一般；X层粉质粘土，可塑，中等压缩性，物理力学性质较好，分布稳定，厚度大；Ⅺ层含砂粉质粘土，可塑，中等压缩性，性质较好，厚度薄，局部缺失。Ⅻ层基岩为泥质砂砾岩、粉砂岩，胶结差，抗压强度低，软化系数低，遇水易崩解。</w:t>
      </w:r>
    </w:p>
    <w:p w14:paraId="6A907CE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根据地震液化判别，Ⅱ</w:t>
      </w:r>
      <w:r>
        <w:rPr>
          <w:rFonts w:hint="eastAsia" w:ascii="宋体" w:hAnsi="宋体" w:eastAsia="宋体" w:cs="宋体"/>
          <w:color w:val="auto"/>
          <w:sz w:val="24"/>
          <w:szCs w:val="24"/>
          <w:vertAlign w:val="subscript"/>
          <w:lang w:eastAsia="zh-CN"/>
        </w:rPr>
        <w:t>2</w:t>
      </w:r>
      <w:r>
        <w:rPr>
          <w:rFonts w:hint="eastAsia" w:ascii="宋体" w:hAnsi="宋体" w:eastAsia="宋体" w:cs="宋体"/>
          <w:color w:val="auto"/>
          <w:sz w:val="24"/>
          <w:szCs w:val="24"/>
          <w:lang w:eastAsia="zh-CN"/>
        </w:rPr>
        <w:t>层砂质粉土、Ⅱ</w:t>
      </w:r>
      <w:r>
        <w:rPr>
          <w:rFonts w:hint="eastAsia" w:ascii="宋体" w:hAnsi="宋体" w:eastAsia="宋体" w:cs="宋体"/>
          <w:color w:val="auto"/>
          <w:sz w:val="24"/>
          <w:szCs w:val="24"/>
          <w:vertAlign w:val="subscript"/>
          <w:lang w:eastAsia="zh-CN"/>
        </w:rPr>
        <w:t>3</w:t>
      </w:r>
      <w:r>
        <w:rPr>
          <w:rFonts w:hint="eastAsia" w:ascii="宋体" w:hAnsi="宋体" w:eastAsia="宋体" w:cs="宋体"/>
          <w:color w:val="auto"/>
          <w:sz w:val="24"/>
          <w:szCs w:val="24"/>
          <w:lang w:eastAsia="zh-CN"/>
        </w:rPr>
        <w:t>层含泥粉砂，大部分为可液化土，液化指数轻微～严重，受振动易产生液化，且直接位于基底之下，考虑到泵站运行的振动工况，建议提前对基底砂性土采取振冲挤密等工程措施，防止因液化导致的底板与地基脱空。</w:t>
      </w:r>
    </w:p>
    <w:p w14:paraId="44146C3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 施工条件</w:t>
      </w:r>
    </w:p>
    <w:p w14:paraId="5E88E3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）交通条件</w:t>
      </w:r>
    </w:p>
    <w:p w14:paraId="449658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地处绍兴市柯桥区北部地区，工程所在地临近104国道、杭甬铁路、杭甬高速公路、萧绍运河，329国道、金柯桥大道、柯海公路等，对外水、陆交通十分方便。工程建设所需的各种建筑材料、施工机械均可以通过上述水、陆交通线方便地运送到施工工地。</w:t>
      </w:r>
    </w:p>
    <w:p w14:paraId="56CEFE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）发包人按本技术条款第</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章提供的施工临时工程和临时设施</w:t>
      </w:r>
    </w:p>
    <w:p w14:paraId="5E0EC437">
      <w:pPr>
        <w:widowControl w:val="0"/>
        <w:kinsoku/>
        <w:topLinePunct/>
        <w:autoSpaceDE/>
        <w:autoSpaceDN/>
        <w:spacing w:line="520" w:lineRule="exact"/>
        <w:ind w:firstLine="480" w:firstLineChars="200"/>
        <w:jc w:val="both"/>
        <w:rPr>
          <w:rFonts w:hint="eastAsia" w:ascii="宋体" w:hAnsi="宋体" w:eastAsia="宋体" w:cs="宋体"/>
          <w:color w:val="auto"/>
          <w:sz w:val="25"/>
          <w:szCs w:val="25"/>
          <w:lang w:eastAsia="zh-CN"/>
        </w:rPr>
      </w:pPr>
      <w:r>
        <w:rPr>
          <w:rFonts w:hint="eastAsia" w:ascii="Times New Roman" w:hAnsi="Times New Roman" w:eastAsia="宋体" w:cs="Times New Roman"/>
          <w:i/>
          <w:iCs/>
          <w:color w:val="auto"/>
          <w:sz w:val="24"/>
          <w:szCs w:val="24"/>
          <w:lang w:eastAsia="zh-CN"/>
        </w:rPr>
        <w:t>无</w:t>
      </w:r>
    </w:p>
    <w:p w14:paraId="778A56F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51" w:name="_Toc9234"/>
      <w:bookmarkStart w:id="1052" w:name="_Toc24628"/>
      <w:bookmarkStart w:id="1053" w:name="_Toc18354"/>
      <w:r>
        <w:rPr>
          <w:rFonts w:hint="eastAsia" w:ascii="宋体" w:hAnsi="宋体" w:eastAsia="宋体" w:cs="宋体"/>
          <w:b/>
          <w:bCs/>
          <w:color w:val="auto"/>
          <w:sz w:val="24"/>
          <w:szCs w:val="24"/>
          <w:lang w:eastAsia="zh-CN"/>
        </w:rPr>
        <w:t>1.2 主体工程项目及其工作内容</w:t>
      </w:r>
      <w:bookmarkEnd w:id="1051"/>
      <w:bookmarkEnd w:id="1052"/>
      <w:bookmarkEnd w:id="1053"/>
    </w:p>
    <w:p w14:paraId="1137D5B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1.2.1 本合同承包人承担的主体工程项目及其工作内容</w:t>
      </w:r>
    </w:p>
    <w:p w14:paraId="260DC0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本标段招标范围为</w:t>
      </w:r>
      <w:r>
        <w:rPr>
          <w:rFonts w:hint="eastAsia" w:ascii="宋体" w:hAnsi="宋体" w:eastAsia="宋体" w:cs="宋体"/>
          <w:color w:val="auto"/>
          <w:sz w:val="24"/>
          <w:szCs w:val="24"/>
          <w:u w:val="single"/>
          <w:lang w:eastAsia="zh-CN"/>
        </w:rPr>
        <w:t>泵站土建工程、生态改善工程，机电、金属结构等设备的采购制作安装（其中拦污设备、泵组设备、启闭机和起重机设备等另行采购），具体以工程量清单为准</w:t>
      </w:r>
      <w:r>
        <w:rPr>
          <w:rFonts w:hint="eastAsia" w:ascii="宋体" w:hAnsi="宋体" w:eastAsia="宋体" w:cs="宋体"/>
          <w:color w:val="auto"/>
          <w:sz w:val="24"/>
          <w:szCs w:val="24"/>
          <w:lang w:eastAsia="zh-CN"/>
        </w:rPr>
        <w:t>。</w:t>
      </w:r>
    </w:p>
    <w:p w14:paraId="78A054C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1.2.2 发包人（包括其他承包人）承担的相关工程项目及其工作内容</w:t>
      </w:r>
    </w:p>
    <w:p w14:paraId="39E17704">
      <w:pPr>
        <w:widowControl w:val="0"/>
        <w:kinsoku/>
        <w:topLinePunct/>
        <w:autoSpaceDE/>
        <w:autoSpaceDN/>
        <w:spacing w:line="520" w:lineRule="exact"/>
        <w:ind w:firstLine="500" w:firstLineChars="200"/>
        <w:jc w:val="both"/>
        <w:rPr>
          <w:rFonts w:hint="eastAsia" w:ascii="宋体" w:hAnsi="宋体" w:eastAsia="宋体" w:cs="宋体"/>
          <w:i/>
          <w:iCs/>
          <w:color w:val="auto"/>
          <w:sz w:val="25"/>
          <w:szCs w:val="25"/>
          <w:lang w:eastAsia="zh-CN"/>
        </w:rPr>
      </w:pPr>
      <w:r>
        <w:rPr>
          <w:rFonts w:hint="eastAsia" w:ascii="宋体" w:hAnsi="宋体" w:eastAsia="宋体" w:cs="宋体"/>
          <w:i/>
          <w:iCs/>
          <w:color w:val="auto"/>
          <w:sz w:val="25"/>
          <w:szCs w:val="25"/>
          <w:lang w:eastAsia="zh-CN"/>
        </w:rPr>
        <w:t>无</w:t>
      </w:r>
    </w:p>
    <w:p w14:paraId="199F9FC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54" w:name="_Toc19269"/>
      <w:bookmarkStart w:id="1055" w:name="_Toc26567"/>
      <w:bookmarkStart w:id="1056" w:name="_Toc3988"/>
      <w:r>
        <w:rPr>
          <w:rFonts w:hint="eastAsia" w:ascii="宋体" w:hAnsi="宋体" w:eastAsia="宋体" w:cs="宋体"/>
          <w:b/>
          <w:bCs/>
          <w:color w:val="auto"/>
          <w:sz w:val="24"/>
          <w:szCs w:val="24"/>
          <w:lang w:eastAsia="zh-CN"/>
        </w:rPr>
        <w:t>1.3 发包人提供的施工图纸和文件</w:t>
      </w:r>
      <w:bookmarkEnd w:id="1054"/>
      <w:bookmarkEnd w:id="1055"/>
      <w:bookmarkEnd w:id="1056"/>
    </w:p>
    <w:p w14:paraId="1BC09E0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1.3.1 发包人负责提供的施工图纸和文件</w:t>
      </w:r>
    </w:p>
    <w:p w14:paraId="477A85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）由发包人负责设计的工程项目，应由监理人按本章第</w:t>
      </w:r>
      <w:r>
        <w:rPr>
          <w:rFonts w:ascii="Times New Roman" w:hAnsi="Times New Roman" w:eastAsia="Times New Roman" w:cs="Times New Roman"/>
          <w:color w:val="auto"/>
          <w:sz w:val="24"/>
          <w:szCs w:val="24"/>
          <w:lang w:eastAsia="zh-CN"/>
        </w:rPr>
        <w:t>1.3.2</w:t>
      </w:r>
      <w:r>
        <w:rPr>
          <w:rFonts w:ascii="宋体" w:hAnsi="宋体" w:eastAsia="宋体" w:cs="宋体"/>
          <w:color w:val="auto"/>
          <w:sz w:val="24"/>
          <w:szCs w:val="24"/>
          <w:lang w:eastAsia="zh-CN"/>
        </w:rPr>
        <w:t>项签订的供图计划提供施工图纸给承包人。</w:t>
      </w:r>
    </w:p>
    <w:p w14:paraId="427273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）发包人按合同约定向承包人提供的设计基本资料、材料样品、试验成果，以及根据合同要求提供的录像、照片、会议纪要等所有图纸、文件（包括软件、移动硬盘）和影像资料等，发包人不再另行收取费用。</w:t>
      </w:r>
    </w:p>
    <w:p w14:paraId="3BCE915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1.3.2 发包人供图计划</w:t>
      </w:r>
    </w:p>
    <w:p w14:paraId="7EAAB0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）发包人应在发出开工通知后</w:t>
      </w:r>
      <w:r>
        <w:rPr>
          <w:rFonts w:hint="eastAsia" w:ascii="宋体" w:hAnsi="宋体" w:eastAsia="宋体" w:cs="宋体"/>
          <w:color w:val="auto"/>
          <w:sz w:val="24"/>
          <w:szCs w:val="24"/>
          <w:u w:val="single"/>
          <w:lang w:eastAsia="zh-CN"/>
        </w:rPr>
        <w:t xml:space="preserve"> 7 </w:t>
      </w:r>
      <w:r>
        <w:rPr>
          <w:rFonts w:ascii="宋体" w:hAnsi="宋体" w:eastAsia="宋体" w:cs="宋体"/>
          <w:color w:val="auto"/>
          <w:sz w:val="24"/>
          <w:szCs w:val="24"/>
          <w:lang w:eastAsia="zh-CN"/>
        </w:rPr>
        <w:t>天内，与承包人共同商签发包人供图计划，经合同双方签订的供图计划作为合同的补充文件。</w:t>
      </w:r>
    </w:p>
    <w:p w14:paraId="75455F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）每年第四季度末，监理人应根据上述供图计划，提供详细的下年度供图计划给承包人。</w:t>
      </w:r>
    </w:p>
    <w:p w14:paraId="017193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）不论何种原因调整和修订了合同进度计划，监理人应及时与承包人共同修订供图计划，并作为执行合同进度计划的补充文件。</w:t>
      </w:r>
    </w:p>
    <w:p w14:paraId="7D3664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）发包人应向承包人提供</w:t>
      </w:r>
      <w:r>
        <w:rPr>
          <w:rFonts w:hint="eastAsia" w:ascii="宋体" w:hAnsi="宋体" w:eastAsia="宋体" w:cs="宋体"/>
          <w:color w:val="auto"/>
          <w:sz w:val="24"/>
          <w:szCs w:val="24"/>
          <w:u w:val="single"/>
          <w:lang w:eastAsia="zh-CN"/>
        </w:rPr>
        <w:t xml:space="preserve"> 4 </w:t>
      </w:r>
      <w:r>
        <w:rPr>
          <w:rFonts w:ascii="宋体" w:hAnsi="宋体" w:eastAsia="宋体" w:cs="宋体"/>
          <w:color w:val="auto"/>
          <w:sz w:val="24"/>
          <w:szCs w:val="24"/>
          <w:lang w:eastAsia="zh-CN"/>
        </w:rPr>
        <w:t>份各类施工图纸（包括设计修改图）。承包人可根据施工需要，要求增加提供图纸份数，并为增供的图纸支付费用。</w:t>
      </w:r>
    </w:p>
    <w:p w14:paraId="2AC44CD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1.3.3 发包人提供施工图纸的期限</w:t>
      </w:r>
    </w:p>
    <w:p w14:paraId="47C44B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）用于承包人编制施工进度计划和施工总布置所需的工程枢纽总布置图和主要工程建筑物布置图在签署合同协议后</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28</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天内提供给承包人。</w:t>
      </w:r>
    </w:p>
    <w:p w14:paraId="507F99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）用于各工程项目施工的工程建筑物结构布置图、体形图等施工图纸，应在该项目工程施工前</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14</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天提供给承包人。</w:t>
      </w:r>
    </w:p>
    <w:p w14:paraId="4A28CA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）用于工程施工的开挖支护图、配筋图、细部设计图和浇筑图等施工图纸，应在该部位施工前</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14</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天提供给承包人。</w:t>
      </w:r>
    </w:p>
    <w:p w14:paraId="19E225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）用于机电设备安装的安装总图及其有关的图纸和技术文件（包括由设备供货商提交的图纸和技术文件）应在机电设备安装开始前</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28</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天提供给承包人。用于机电设备安装的埋设件图纸应在安装埋设前</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28</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天提供给承包人。</w:t>
      </w:r>
    </w:p>
    <w:p w14:paraId="13CC30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）用于金属结构的制作和安装（如压力钢管、钢结构的制作和安装以及闸门和启闭机的安装等）的安装总图、分件图、安装说明书等图纸和文件，应在开始制作安装前</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28</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天提供给承包人。</w:t>
      </w:r>
    </w:p>
    <w:p w14:paraId="1B61B98B">
      <w:pPr>
        <w:widowControl w:val="0"/>
        <w:tabs>
          <w:tab w:val="left" w:pos="479"/>
        </w:tabs>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）用于安装监测仪器安装和埋设的施工图纸和技术文件应在</w:t>
      </w:r>
      <w:r>
        <w:rPr>
          <w:rFonts w:ascii="宋体" w:hAnsi="宋体" w:eastAsia="宋体" w:cs="宋体"/>
          <w:color w:val="auto"/>
          <w:spacing w:val="-20"/>
          <w:sz w:val="24"/>
          <w:szCs w:val="24"/>
          <w:lang w:eastAsia="zh-CN"/>
        </w:rPr>
        <w:t>开始安装埋设前</w:t>
      </w:r>
      <w:r>
        <w:rPr>
          <w:rFonts w:hint="eastAsia" w:ascii="宋体" w:hAnsi="宋体" w:eastAsia="宋体" w:cs="宋体"/>
          <w:color w:val="auto"/>
          <w:spacing w:val="-20"/>
          <w:sz w:val="24"/>
          <w:szCs w:val="24"/>
          <w:u w:val="single"/>
          <w:lang w:eastAsia="zh-CN"/>
        </w:rPr>
        <w:t xml:space="preserve"> </w:t>
      </w:r>
      <w:r>
        <w:rPr>
          <w:rFonts w:hint="eastAsia" w:ascii="宋体" w:hAnsi="宋体" w:eastAsia="宋体" w:cs="宋体"/>
          <w:b/>
          <w:bCs/>
          <w:color w:val="auto"/>
          <w:spacing w:val="-20"/>
          <w:sz w:val="24"/>
          <w:szCs w:val="24"/>
          <w:u w:val="single"/>
          <w:lang w:eastAsia="zh-CN"/>
        </w:rPr>
        <w:t>28</w:t>
      </w:r>
      <w:r>
        <w:rPr>
          <w:rFonts w:hint="eastAsia" w:ascii="宋体" w:hAnsi="宋体" w:eastAsia="宋体" w:cs="宋体"/>
          <w:color w:val="auto"/>
          <w:spacing w:val="-20"/>
          <w:sz w:val="24"/>
          <w:szCs w:val="24"/>
          <w:u w:val="single"/>
          <w:lang w:eastAsia="zh-CN"/>
        </w:rPr>
        <w:t xml:space="preserve"> </w:t>
      </w:r>
      <w:r>
        <w:rPr>
          <w:rFonts w:ascii="宋体" w:hAnsi="宋体" w:eastAsia="宋体" w:cs="宋体"/>
          <w:color w:val="auto"/>
          <w:spacing w:val="-20"/>
          <w:sz w:val="24"/>
          <w:szCs w:val="24"/>
          <w:lang w:eastAsia="zh-CN"/>
        </w:rPr>
        <w:t>天提供给承包人</w:t>
      </w:r>
      <w:r>
        <w:rPr>
          <w:rFonts w:ascii="宋体" w:hAnsi="宋体" w:eastAsia="宋体" w:cs="宋体"/>
          <w:color w:val="auto"/>
          <w:sz w:val="24"/>
          <w:szCs w:val="24"/>
          <w:lang w:eastAsia="zh-CN"/>
        </w:rPr>
        <w:t>。</w:t>
      </w:r>
    </w:p>
    <w:p w14:paraId="0F17D90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1.3.4 施工图纸的修改</w:t>
      </w:r>
    </w:p>
    <w:p w14:paraId="20EC7D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）承包人收到发包人按上述第</w:t>
      </w:r>
      <w:r>
        <w:rPr>
          <w:rFonts w:ascii="Times New Roman" w:hAnsi="Times New Roman" w:eastAsia="Times New Roman" w:cs="Times New Roman"/>
          <w:color w:val="auto"/>
          <w:sz w:val="24"/>
          <w:szCs w:val="24"/>
          <w:lang w:eastAsia="zh-CN"/>
        </w:rPr>
        <w:t>1.3.3</w:t>
      </w:r>
      <w:r>
        <w:rPr>
          <w:rFonts w:ascii="宋体" w:hAnsi="宋体" w:eastAsia="宋体" w:cs="宋体"/>
          <w:color w:val="auto"/>
          <w:sz w:val="24"/>
          <w:szCs w:val="24"/>
          <w:lang w:eastAsia="zh-CN"/>
        </w:rPr>
        <w:t>项的规定提交施工图纸后，应进行详细检查，若发现错误或表达不清楚时，应在收到图纸后的</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7</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天内书面通知监理人。若监理人确认需要作出修改或补充时，应在接件后</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7</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天内将修改和补充后的施工图纸重新提供给承包人。</w:t>
      </w:r>
    </w:p>
    <w:p w14:paraId="2BA174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）监理人发出施工图纸后，需要对某些工程设计进行修改和补充时，应在该部位开始施工</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14</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天前及时签发设计修改图。</w:t>
      </w:r>
    </w:p>
    <w:p w14:paraId="6BFEA0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）若因施工情况紧急，监理人无法在上述规定的时间内签发修改施工图纸，可以临时发出施工图修改通知单，但应在此后的合理时限内补发正式施工图纸。</w:t>
      </w:r>
    </w:p>
    <w:p w14:paraId="225868F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57" w:name="_Toc27729"/>
      <w:bookmarkStart w:id="1058" w:name="_Toc3861"/>
      <w:bookmarkStart w:id="1059" w:name="_Toc4670"/>
      <w:r>
        <w:rPr>
          <w:rFonts w:hint="eastAsia" w:ascii="宋体" w:hAnsi="宋体" w:eastAsia="宋体" w:cs="宋体"/>
          <w:b/>
          <w:bCs/>
          <w:color w:val="auto"/>
          <w:sz w:val="24"/>
          <w:szCs w:val="24"/>
          <w:lang w:eastAsia="zh-CN"/>
        </w:rPr>
        <w:t>1.4 承包人提交的文件</w:t>
      </w:r>
      <w:bookmarkEnd w:id="1057"/>
      <w:bookmarkEnd w:id="1058"/>
      <w:bookmarkEnd w:id="1059"/>
    </w:p>
    <w:p w14:paraId="34C0829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 承包人文件的提交计划</w:t>
      </w:r>
    </w:p>
    <w:p w14:paraId="585F66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承包人应在签署协议书后</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28</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天内，根据监理人批准的合同进度计划，编制一份由项目负责人签署的承包人文件提交计划，提交监理人审批，监理人应在收到该提交计划后的</w:t>
      </w:r>
      <w:r>
        <w:rPr>
          <w:rFonts w:ascii="Times New Roman" w:hAnsi="Times New Roman" w:eastAsia="Times New Roman" w:cs="Times New Roman"/>
          <w:color w:val="auto"/>
          <w:sz w:val="24"/>
          <w:szCs w:val="24"/>
          <w:lang w:eastAsia="zh-CN"/>
        </w:rPr>
        <w:t>28</w:t>
      </w:r>
      <w:r>
        <w:rPr>
          <w:rFonts w:ascii="宋体" w:hAnsi="宋体" w:eastAsia="宋体" w:cs="宋体"/>
          <w:color w:val="auto"/>
          <w:sz w:val="24"/>
          <w:szCs w:val="24"/>
          <w:lang w:eastAsia="zh-CN"/>
        </w:rPr>
        <w:t>天内批复承包人。承包人文件的内容应包括本章第</w:t>
      </w:r>
      <w:r>
        <w:rPr>
          <w:rFonts w:ascii="Times New Roman" w:hAnsi="Times New Roman" w:eastAsia="Times New Roman" w:cs="Times New Roman"/>
          <w:color w:val="auto"/>
          <w:sz w:val="24"/>
          <w:szCs w:val="24"/>
          <w:lang w:eastAsia="zh-CN"/>
        </w:rPr>
        <w:t>1.4.2</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1.4.5</w:t>
      </w:r>
      <w:r>
        <w:rPr>
          <w:rFonts w:ascii="宋体" w:hAnsi="宋体" w:eastAsia="宋体" w:cs="宋体"/>
          <w:color w:val="auto"/>
          <w:sz w:val="24"/>
          <w:szCs w:val="24"/>
          <w:lang w:eastAsia="zh-CN"/>
        </w:rPr>
        <w:t>项规定的各项提交件，以及按合同约定应由承包人提交的其他图纸和文件。</w:t>
      </w:r>
    </w:p>
    <w:p w14:paraId="5EE08FF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1.4.2 承包人负责设计的临时工程图纸和文件</w:t>
      </w:r>
    </w:p>
    <w:p w14:paraId="67FFBD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）由承包人负责设计的临时工程项目，应在该项目开工前</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14</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天，提交该项目的总布置图、结构详图及其设计依据，以及监理人认为需要提交的其他图纸和文件，提交监理人批准。</w:t>
      </w:r>
    </w:p>
    <w:p w14:paraId="591A03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）承包人提交的上述临时工程项目的基本资料、试验成果、施工样品，以及所有图纸、文件和影像资料等，其所需的费用均包括在相关项目的报价中，发包人不另行支付。</w:t>
      </w:r>
    </w:p>
    <w:p w14:paraId="5602732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1.4.3 施工总进度计划</w:t>
      </w:r>
    </w:p>
    <w:p w14:paraId="37091B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）承包人按本合同通用合同条款第</w:t>
      </w:r>
      <w:r>
        <w:rPr>
          <w:rFonts w:ascii="Times New Roman" w:hAnsi="Times New Roman" w:eastAsia="Times New Roman" w:cs="Times New Roman"/>
          <w:color w:val="auto"/>
          <w:sz w:val="24"/>
          <w:szCs w:val="24"/>
          <w:lang w:eastAsia="zh-CN"/>
        </w:rPr>
        <w:t>10.1</w:t>
      </w:r>
      <w:r>
        <w:rPr>
          <w:rFonts w:ascii="宋体" w:hAnsi="宋体" w:eastAsia="宋体" w:cs="宋体"/>
          <w:color w:val="auto"/>
          <w:sz w:val="24"/>
          <w:szCs w:val="24"/>
          <w:lang w:eastAsia="zh-CN"/>
        </w:rPr>
        <w:t>款要求提交的施工总进度计划，应采用关键线路法编制网络图。网络图应包括以下各项数据和内容，表述全部工程施工作业间的逻辑关系：</w:t>
      </w:r>
    </w:p>
    <w:p w14:paraId="73637B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）作业和相应节点编号。</w:t>
      </w:r>
    </w:p>
    <w:p w14:paraId="4A8724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）各项施工作业间的衔接逻辑和协调关系。</w:t>
      </w:r>
    </w:p>
    <w:p w14:paraId="3D9D1F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）持续时间。</w:t>
      </w:r>
    </w:p>
    <w:p w14:paraId="4FCE51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）最早开工及最早完工日期。</w:t>
      </w:r>
    </w:p>
    <w:p w14:paraId="39216F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）最迟开工及最迟完工日期。</w:t>
      </w:r>
    </w:p>
    <w:p w14:paraId="52B717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）总时差和自由时差。</w:t>
      </w:r>
    </w:p>
    <w:p w14:paraId="551C4D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）主要项目施工强度曲线。</w:t>
      </w:r>
    </w:p>
    <w:p w14:paraId="39D754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）附需要的资源和说明。</w:t>
      </w:r>
    </w:p>
    <w:p w14:paraId="14C1CF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）承包人编制的施工总进度计划应满足本合同约定的各工程施工控制节点工期要求。</w:t>
      </w:r>
    </w:p>
    <w:p w14:paraId="6A45E0D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1.4.4 施工总布置设计</w:t>
      </w:r>
    </w:p>
    <w:p w14:paraId="15D09F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）承包人应在收到开工通知后的</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7</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天内，将本合同工程的施工总布置设计文件，提交监理人批准。监理人应在签收后</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7</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天内批复承包人。</w:t>
      </w:r>
    </w:p>
    <w:p w14:paraId="7F70DA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）承包人提交的施工总布置设计文件，其内容应包括施工总平面布置图、主要剖面图和设计说明书。承包人应按本技术条款第</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节所列各项临时设施的设计和使用要求进行总平面布置，施工总布置的占地范围不得超过发包人划定的界线。</w:t>
      </w:r>
    </w:p>
    <w:p w14:paraId="278CAA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）承包人应按本技术条款第</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节有关“施工安全文明措施”和第</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节“环境保护和水土保持”的要求，保护好临时设施周围的边坡、冲沟、河道、河岸的稳定和安全。</w:t>
      </w:r>
    </w:p>
    <w:p w14:paraId="5A78541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 主要施工方法和措施</w:t>
      </w:r>
    </w:p>
    <w:p w14:paraId="553FDB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）承包人应在每项工程开始施工或安装前</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7</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天，编制各工程项目的施工方法和措施，提交监理人批准。监理人应在收到文件后的</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7</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天内批复承包人。</w:t>
      </w:r>
    </w:p>
    <w:p w14:paraId="0DDEB2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）承包人按监理人指示提交的施工方法和措施，应包括施工需要的浇筑图、车间加工图和安装图等施工文件。</w:t>
      </w:r>
    </w:p>
    <w:p w14:paraId="336005B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1.4.6 承包人文件的审批</w:t>
      </w:r>
    </w:p>
    <w:p w14:paraId="05C720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）除合同另有约定外，凡须经监理人审批的承包人文件，应在收到文件后</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15</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天内批复承包人，逾期不批复，则视为已经监理人批准。监理人的审批意见包括：</w:t>
      </w:r>
    </w:p>
    <w:p w14:paraId="433CA0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）同意按此执行；或</w:t>
      </w:r>
      <w:r>
        <w:rPr>
          <w:rFonts w:hint="eastAsia" w:ascii="宋体" w:hAnsi="宋体" w:eastAsia="宋体" w:cs="宋体"/>
          <w:color w:val="auto"/>
          <w:sz w:val="24"/>
          <w:szCs w:val="24"/>
          <w:u w:val="single"/>
          <w:lang w:eastAsia="zh-CN"/>
        </w:rPr>
        <w:t xml:space="preserve"> / </w:t>
      </w:r>
      <w:r>
        <w:rPr>
          <w:rFonts w:ascii="宋体" w:hAnsi="宋体" w:eastAsia="宋体" w:cs="宋体"/>
          <w:color w:val="auto"/>
          <w:sz w:val="24"/>
          <w:szCs w:val="24"/>
          <w:lang w:eastAsia="zh-CN"/>
        </w:rPr>
        <w:t>。</w:t>
      </w:r>
    </w:p>
    <w:p w14:paraId="07DAB6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）按修改意见执行；或</w:t>
      </w:r>
      <w:r>
        <w:rPr>
          <w:rFonts w:hint="eastAsia" w:ascii="宋体" w:hAnsi="宋体" w:eastAsia="宋体" w:cs="宋体"/>
          <w:color w:val="auto"/>
          <w:sz w:val="24"/>
          <w:szCs w:val="24"/>
          <w:u w:val="single"/>
          <w:lang w:eastAsia="zh-CN"/>
        </w:rPr>
        <w:t xml:space="preserve"> / </w:t>
      </w:r>
      <w:r>
        <w:rPr>
          <w:rFonts w:ascii="宋体" w:hAnsi="宋体" w:eastAsia="宋体" w:cs="宋体"/>
          <w:color w:val="auto"/>
          <w:sz w:val="24"/>
          <w:szCs w:val="24"/>
          <w:lang w:eastAsia="zh-CN"/>
        </w:rPr>
        <w:t>。</w:t>
      </w:r>
    </w:p>
    <w:p w14:paraId="6C8C64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Times New Roman" w:hAnsi="Times New Roman" w:eastAsia="Times New Roman" w:cs="Times New Roman"/>
          <w:color w:val="auto"/>
          <w:sz w:val="24"/>
          <w:szCs w:val="24"/>
        </w:rPr>
        <w:t>3</w:t>
      </w:r>
      <w:r>
        <w:rPr>
          <w:rFonts w:ascii="宋体" w:hAnsi="宋体" w:eastAsia="宋体" w:cs="宋体"/>
          <w:color w:val="auto"/>
          <w:sz w:val="24"/>
          <w:szCs w:val="24"/>
        </w:rPr>
        <w:t>）修改后重新提交；或</w:t>
      </w:r>
      <w:r>
        <w:rPr>
          <w:rFonts w:hint="eastAsia" w:ascii="宋体" w:hAnsi="宋体" w:eastAsia="宋体" w:cs="宋体"/>
          <w:color w:val="auto"/>
          <w:sz w:val="24"/>
          <w:szCs w:val="24"/>
          <w:u w:val="single"/>
          <w:lang w:eastAsia="zh-CN"/>
        </w:rPr>
        <w:t xml:space="preserve"> / </w:t>
      </w:r>
      <w:r>
        <w:rPr>
          <w:rFonts w:ascii="宋体" w:hAnsi="宋体" w:eastAsia="宋体" w:cs="宋体"/>
          <w:color w:val="auto"/>
          <w:sz w:val="24"/>
          <w:szCs w:val="24"/>
        </w:rPr>
        <w:t>。</w:t>
      </w:r>
    </w:p>
    <w:p w14:paraId="60FFD3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）不予批准。</w:t>
      </w:r>
    </w:p>
    <w:p w14:paraId="517163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）凡标有“按修改意见执行”或“修改后重新提交”的图纸和文件，应由承包人在收到批复件后</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7</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作出相应修改。所有修改都应由承包人在修改的图纸和文件上标明编号、日期以及说明的修改范围和内容，并由承包人项目负责人签字后，重新提交监理人批复，监理人应在图纸的角签部位和文件的签署栏签注处理意见后，发还承包人执行。</w:t>
      </w:r>
    </w:p>
    <w:p w14:paraId="0615D2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）凡合同约定由承包人提交监理人批准的图纸和文件，必须由项目负责人或其授权代表签名，否则均属无效。凡未经监理人按上述第（</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）项规定签署的图纸和文件，均属无效。</w:t>
      </w:r>
    </w:p>
    <w:p w14:paraId="0E3F202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60" w:name="_Toc3999"/>
      <w:bookmarkStart w:id="1061" w:name="_Toc418"/>
      <w:bookmarkStart w:id="1062" w:name="_Toc11288"/>
      <w:r>
        <w:rPr>
          <w:rFonts w:hint="eastAsia" w:ascii="宋体" w:hAnsi="宋体" w:eastAsia="宋体" w:cs="宋体"/>
          <w:b/>
          <w:bCs/>
          <w:color w:val="auto"/>
          <w:sz w:val="24"/>
          <w:szCs w:val="24"/>
          <w:lang w:eastAsia="zh-CN"/>
        </w:rPr>
        <w:t>1.5 发包人提供的材料和工程设备</w:t>
      </w:r>
      <w:bookmarkEnd w:id="1060"/>
      <w:bookmarkEnd w:id="1061"/>
      <w:bookmarkEnd w:id="1062"/>
    </w:p>
    <w:p w14:paraId="26C1E0B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1.5.1 发包人提供的材料</w:t>
      </w:r>
    </w:p>
    <w:p w14:paraId="76D7D2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）材料供应计划</w:t>
      </w:r>
    </w:p>
    <w:p w14:paraId="50A164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承包人应编制一份发包人供应材料的需用计划，提交监理人审批。承包人应在每年</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月末的</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30</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天前、每季度末的</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15</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天前和每月末的</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10</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天前，向监理人提交下一年度、季度和下一月的材料需用计划。经监理人确认后作为发包人分期供应材料的依据。</w:t>
      </w:r>
    </w:p>
    <w:p w14:paraId="5A8C38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）材料交货验收</w:t>
      </w:r>
    </w:p>
    <w:p w14:paraId="504F76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本合同约定，对发包人指定供货单位供应的材料质量、数量和品种进行检查、检验和验收，并及时将材料的检验结果提交监理人。若材料质量不合格，承包人有权拒绝使用，但必须向监理人提供能证明材料不合格的试验和检验资料。</w:t>
      </w:r>
    </w:p>
    <w:p w14:paraId="136F0D6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1.5.2 发包人提供的工程设备</w:t>
      </w:r>
    </w:p>
    <w:p w14:paraId="266231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）承包人应提交一份满足工程设备安装进度的交货日期计划，提交监理人批准。监理人应在收到承包人提交件后的</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14</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天内批复承包人。</w:t>
      </w:r>
    </w:p>
    <w:p w14:paraId="2001FE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）由发包人提供承包人安装的工程设备，应按监理人批准的交货日期交货，承包人可允许发包人比原定计划提前</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7</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天内到货。提前超过</w:t>
      </w:r>
      <w:r>
        <w:rPr>
          <w:rFonts w:hint="eastAsia" w:ascii="宋体" w:hAnsi="宋体" w:eastAsia="宋体" w:cs="宋体"/>
          <w:color w:val="auto"/>
          <w:sz w:val="24"/>
          <w:szCs w:val="24"/>
          <w:u w:val="single"/>
          <w:lang w:eastAsia="zh-CN"/>
        </w:rPr>
        <w:t xml:space="preserve"> 7 </w:t>
      </w:r>
      <w:r>
        <w:rPr>
          <w:rFonts w:ascii="宋体" w:hAnsi="宋体" w:eastAsia="宋体" w:cs="宋体"/>
          <w:color w:val="auto"/>
          <w:sz w:val="24"/>
          <w:szCs w:val="24"/>
          <w:lang w:eastAsia="zh-CN"/>
        </w:rPr>
        <w:t>天，应由发包人支付提前到货的仓管费用。</w:t>
      </w:r>
    </w:p>
    <w:p w14:paraId="079992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）监理人应在设备到达卸货地点的</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24</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小时前通知承包人，承包人应在接到监理人通知（到货后）</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48</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小时内卸货，否则，应由承包人支付卸货地点的逾期保管费用。</w:t>
      </w:r>
    </w:p>
    <w:p w14:paraId="2990A5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由于施工安装进度延误，修订了合同进度计划，承包人可根据监理人批准的修订进度计划，要求变更工程设备的交货日期，但由于承包人原因造成进度计划延误而变更交货日期时，承包人应自费保管按原定交货日期到达的工程设备。由于发包人要求变更交货日期，影响承包人的安装工作进度时，承包人有权要求延长工期和（或）要求发包人支付增加的费用。</w:t>
      </w:r>
    </w:p>
    <w:p w14:paraId="2D2E82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）工程设备的交货验收：</w:t>
      </w:r>
    </w:p>
    <w:p w14:paraId="6C45DC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）由发包人提供的工程设备，应由发包人、监理人与承包人共同进行交货验收。</w:t>
      </w:r>
    </w:p>
    <w:p w14:paraId="4F2E01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若合同约定由承包人直接在制造厂提货，则应由发包人、监理人与承包人共同参加出厂检验后，由双方办理正式移交手续，并经承包人验点接收后自行发运至工地。承包人应对工程设备在运输中造成的损失和损坏承担全部责任。</w:t>
      </w:r>
    </w:p>
    <w:p w14:paraId="32F1E7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若合同约定由发包人（或供货商）发运至工地交货，则应由发包人、供货商代表、监理人与承包人共同进行现场开箱检验，并经承包人验收清点后办理正式移交手续。此时，应由发包人对工程设备在运输中造成的损失和损坏承担责任。从设备开箱验收完毕起，承包人应对工程设备的维护和保管承担责任。</w:t>
      </w:r>
    </w:p>
    <w:p w14:paraId="055AA75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63" w:name="_Toc16832"/>
      <w:bookmarkStart w:id="1064" w:name="_Toc15039"/>
      <w:bookmarkStart w:id="1065" w:name="_Toc18576"/>
      <w:r>
        <w:rPr>
          <w:rFonts w:hint="eastAsia" w:ascii="宋体" w:hAnsi="宋体" w:eastAsia="宋体" w:cs="宋体"/>
          <w:b/>
          <w:bCs/>
          <w:color w:val="auto"/>
          <w:sz w:val="24"/>
          <w:szCs w:val="24"/>
          <w:lang w:eastAsia="zh-CN"/>
        </w:rPr>
        <w:t>1.6 承包人提供的材料和设备</w:t>
      </w:r>
      <w:bookmarkEnd w:id="1063"/>
      <w:bookmarkEnd w:id="1064"/>
      <w:bookmarkEnd w:id="1065"/>
    </w:p>
    <w:p w14:paraId="01D1A7D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1.6.1 承包人提供的材料</w:t>
      </w:r>
    </w:p>
    <w:p w14:paraId="631FCB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）承包人提供的材料应由监理人按以下程序进行检查和验收：</w:t>
      </w:r>
    </w:p>
    <w:p w14:paraId="55C162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）查验证件：承包人应按供货合同的要求查验每批材料的发货单、计量单、装箱材料的合格证书、化验单以及其他有关图纸、文件和证件，并应将上述图纸，以及文件、证件的复印件提交监理人。</w:t>
      </w:r>
    </w:p>
    <w:p w14:paraId="76FCDA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）抽样检验：承包人应会同监理人按本合同约定和技术条款各章的有关规定进行材料抽样检验，检验结果应提交监理人。并对每批材料是否合格作出鉴定。</w:t>
      </w:r>
    </w:p>
    <w:p w14:paraId="5D5F76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）材料验收：经鉴定合格的材料方能验收，承包人应与监理人共同核对每批材料的品名、规格、数量，并作好记录，共同验点入库。</w:t>
      </w:r>
    </w:p>
    <w:p w14:paraId="324A16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）不合格材料的处理</w:t>
      </w:r>
    </w:p>
    <w:p w14:paraId="5F5F64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经监理人查库发现的不合格材料，应禁止使用，并清除出场。承包人违约使用了不合格材料，应按本合同约定予以清除或返工至合格为止。</w:t>
      </w:r>
    </w:p>
    <w:p w14:paraId="69942F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）代用材料</w:t>
      </w:r>
    </w:p>
    <w:p w14:paraId="74F7D0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承包人申请代用材料，应将代用材料的技术标准、质量证明书和试验报告提交监理人。经监理人批准后，才能采用代用材料。</w:t>
      </w:r>
    </w:p>
    <w:p w14:paraId="620D827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1.6.2 承包人提供的工程设备</w:t>
      </w:r>
    </w:p>
    <w:p w14:paraId="3B5224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按合同约定由承包人负责采购和安装的工程设备，应由承包人将工程设备的订货清单提交监理人批准。承包人应按监理人批准的工程设备订货清单办理订货，并应将订货协议副本提交监理人。承包人应承担工程设备的采购、验收、运输和保管的责任。</w:t>
      </w:r>
    </w:p>
    <w:p w14:paraId="5941FD1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1.6.3 承包人施工设备</w:t>
      </w:r>
    </w:p>
    <w:p w14:paraId="5396CD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）承包人应在签署合同协议书后</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14</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天内，提交一份为完成本合同各项工作所需的施工设备清单，提交监理人批准。施工设备清单的内容应包括：</w:t>
      </w:r>
    </w:p>
    <w:p w14:paraId="5B5084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）新购设备的生产厂家、品名、型号、规格、主要性能、数量和预计进场时间，承包人应向监理人提交新购置主要施工设备的订货协议复印件。</w:t>
      </w:r>
    </w:p>
    <w:p w14:paraId="3AE7EE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）旧施工设备的购置时间、残值、运行和检修记录以及维修保养证书等。</w:t>
      </w:r>
    </w:p>
    <w:p w14:paraId="6EBC1C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）租赁设备的购置时间、租赁期限、租赁价格、运行检修记录以及维修保养证书等。</w:t>
      </w:r>
    </w:p>
    <w:p w14:paraId="419FD5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）承包人配置的旧施工设备（包括租赁的旧设备），应由监理人进行检查，并须进行试运行，确认其符合使用要求后方可投人使用。</w:t>
      </w:r>
    </w:p>
    <w:p w14:paraId="2BBEB0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施工设备进场后，监理人应按承包人提供的施工设备清单，仔细核查进场施工设备的数量、规格和性能是否符合施工进度计划和质量控制的要求，监理人有权索取必要的施工设备资料，如发现进场的施工设备不能满足施工要求时，监理人有权责令撤换。</w:t>
      </w:r>
    </w:p>
    <w:p w14:paraId="4D7463E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1.6.4 不合格的材料和工程设备的处理</w:t>
      </w:r>
    </w:p>
    <w:p w14:paraId="052A2A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由于承包人使用了不合格材料和工程设备造成了工程损害，监理人可要求承包人立即采取措施进行补救，直至彻底清除工程的不合格部位以及不合格的材料或工程设备，由此增加的费用和工期延误责任由承包人承担。</w:t>
      </w:r>
    </w:p>
    <w:p w14:paraId="3DBF954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66" w:name="_Toc1776"/>
      <w:bookmarkStart w:id="1067" w:name="_Toc15595"/>
      <w:bookmarkStart w:id="1068" w:name="_Toc22753"/>
      <w:r>
        <w:rPr>
          <w:rFonts w:hint="eastAsia" w:ascii="宋体" w:hAnsi="宋体" w:eastAsia="宋体" w:cs="宋体"/>
          <w:b/>
          <w:bCs/>
          <w:color w:val="auto"/>
          <w:sz w:val="24"/>
          <w:szCs w:val="24"/>
          <w:lang w:eastAsia="zh-CN"/>
        </w:rPr>
        <w:t>1.7 进度计划的实施</w:t>
      </w:r>
      <w:bookmarkEnd w:id="1066"/>
      <w:bookmarkEnd w:id="1067"/>
      <w:bookmarkEnd w:id="1068"/>
    </w:p>
    <w:p w14:paraId="79CECA8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1.7.1 施工总进度实施措施</w:t>
      </w:r>
    </w:p>
    <w:p w14:paraId="0D3CF2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承包人应按监理人根据本章第</w:t>
      </w:r>
      <w:r>
        <w:rPr>
          <w:rFonts w:ascii="Times New Roman" w:hAnsi="Times New Roman" w:eastAsia="Times New Roman" w:cs="Times New Roman"/>
          <w:color w:val="auto"/>
          <w:sz w:val="24"/>
          <w:szCs w:val="24"/>
          <w:lang w:eastAsia="zh-CN"/>
        </w:rPr>
        <w:t>1.4.3</w:t>
      </w:r>
      <w:r>
        <w:rPr>
          <w:rFonts w:ascii="宋体" w:hAnsi="宋体" w:eastAsia="宋体" w:cs="宋体"/>
          <w:color w:val="auto"/>
          <w:sz w:val="24"/>
          <w:szCs w:val="24"/>
          <w:lang w:eastAsia="zh-CN"/>
        </w:rPr>
        <w:t>项要求批准的施工总进度实施计划，编制详细的施工总进度计划的实施措施，提交监理人批准。实施措施应说明以下内容：</w:t>
      </w:r>
    </w:p>
    <w:p w14:paraId="763917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）各永久工程和临时工程项目按期完成的年、月工程量计划和各年度形象面貌。</w:t>
      </w:r>
    </w:p>
    <w:p w14:paraId="075A7B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）主要物资材料（如钢材、钢筋、木材、水泥、粉煤灰、外加剂、砂石骨料、土料和石料、炸药、柴油、用水和用电等）使用计划及主要材料订货安排。</w:t>
      </w:r>
    </w:p>
    <w:p w14:paraId="3543FD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）施工现场各类人员配备和劳务计划。</w:t>
      </w:r>
    </w:p>
    <w:p w14:paraId="0C5AAFE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）工程设备的订货、交货计划。</w:t>
      </w:r>
    </w:p>
    <w:p w14:paraId="0E1AD4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）其他说明。</w:t>
      </w:r>
    </w:p>
    <w:p w14:paraId="3651A40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1.7.2 年进度计划</w:t>
      </w:r>
    </w:p>
    <w:p w14:paraId="750EEC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承包人应在每年</w:t>
      </w:r>
      <w:r>
        <w:rPr>
          <w:rFonts w:hint="eastAsia" w:ascii="Times New Roman" w:hAnsi="Times New Roman" w:eastAsia="宋体" w:cs="Times New Roman"/>
          <w:color w:val="auto"/>
          <w:sz w:val="24"/>
          <w:szCs w:val="24"/>
          <w:u w:val="single"/>
          <w:lang w:eastAsia="zh-CN"/>
        </w:rPr>
        <w:t xml:space="preserve"> </w:t>
      </w:r>
      <w:r>
        <w:rPr>
          <w:rFonts w:ascii="Times New Roman" w:hAnsi="Times New Roman" w:eastAsia="Times New Roman" w:cs="Times New Roman"/>
          <w:color w:val="auto"/>
          <w:sz w:val="24"/>
          <w:szCs w:val="24"/>
          <w:u w:val="single"/>
          <w:lang w:eastAsia="zh-CN"/>
        </w:rPr>
        <w:t>1</w:t>
      </w:r>
      <w:r>
        <w:rPr>
          <w:rFonts w:hint="eastAsia" w:ascii="Times New Roman" w:hAnsi="Times New Roman" w:eastAsia="宋体" w:cs="Times New Roman"/>
          <w:color w:val="auto"/>
          <w:sz w:val="24"/>
          <w:szCs w:val="24"/>
          <w:u w:val="single"/>
          <w:lang w:eastAsia="zh-CN"/>
        </w:rPr>
        <w:t xml:space="preserve">1 </w:t>
      </w:r>
      <w:r>
        <w:rPr>
          <w:rFonts w:ascii="宋体" w:hAnsi="宋体" w:eastAsia="宋体" w:cs="宋体"/>
          <w:color w:val="auto"/>
          <w:sz w:val="24"/>
          <w:szCs w:val="24"/>
          <w:lang w:eastAsia="zh-CN"/>
        </w:rPr>
        <w:t>月，将下年度的进度计划，提交监理人批准，其内容包括：</w:t>
      </w:r>
    </w:p>
    <w:p w14:paraId="58968E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）计划完成的年工程量及其施工面貌。</w:t>
      </w:r>
    </w:p>
    <w:p w14:paraId="22D95F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）该年施工所需的机具、设备、材料的数量和需要补充采购的计划。</w:t>
      </w:r>
    </w:p>
    <w:p w14:paraId="082B64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）要求发包人提供的施工图纸计划。</w:t>
      </w:r>
    </w:p>
    <w:p w14:paraId="03B298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）提出发包人和其他承包人提供工程设备预埋件的计划要求。</w:t>
      </w:r>
    </w:p>
    <w:p w14:paraId="759E27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）该年施工工作面移交计划日期和要求其他承包人提供工作面的计划日期。</w:t>
      </w:r>
    </w:p>
    <w:p w14:paraId="4F6035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）该年各施工工程项目的试验检验计划。</w:t>
      </w:r>
    </w:p>
    <w:p w14:paraId="39026A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）工程安全措施实施计划等。</w:t>
      </w:r>
    </w:p>
    <w:p w14:paraId="2CAED02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1.7.3 季、月进度计划</w:t>
      </w:r>
    </w:p>
    <w:p w14:paraId="49734E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监理人认为有必要时，可要求承包人向监理人提交季、月进度计划，其内容包括：</w:t>
      </w:r>
    </w:p>
    <w:p w14:paraId="67A27C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宋体" w:hAnsi="宋体" w:eastAsia="宋体" w:cs="宋体"/>
          <w:color w:val="auto"/>
          <w:sz w:val="24"/>
          <w:szCs w:val="24"/>
        </w:rPr>
        <w:t>（</w:t>
      </w:r>
      <w:r>
        <w:rPr>
          <w:rFonts w:ascii="Times New Roman" w:hAnsi="Times New Roman" w:eastAsia="Times New Roman" w:cs="Times New Roman"/>
          <w:color w:val="auto"/>
          <w:sz w:val="24"/>
          <w:szCs w:val="24"/>
        </w:rPr>
        <w:t>1</w:t>
      </w:r>
      <w:r>
        <w:rPr>
          <w:rFonts w:ascii="宋体" w:hAnsi="宋体" w:eastAsia="宋体" w:cs="宋体"/>
          <w:color w:val="auto"/>
          <w:sz w:val="24"/>
          <w:szCs w:val="24"/>
        </w:rPr>
        <w:t>）季、月工程量及其施工面貌。</w:t>
      </w:r>
    </w:p>
    <w:p w14:paraId="5F8331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）该季、月所需施工设备数量及材料用量。</w:t>
      </w:r>
    </w:p>
    <w:p w14:paraId="470923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）该季、月发包人应提供的施工图纸目录等。</w:t>
      </w:r>
    </w:p>
    <w:p w14:paraId="44A2309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1.7.4 月、周进度报告</w:t>
      </w:r>
    </w:p>
    <w:p w14:paraId="1D2E2E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）承包人应在每月底按批准的格式，向监理人提交月进度实施报告，其内容包括：</w:t>
      </w:r>
    </w:p>
    <w:p w14:paraId="0FBCA5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）月完成工程量和累计完成工程量（包括永久工程和临时工程）。</w:t>
      </w:r>
    </w:p>
    <w:p w14:paraId="531599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）月完成的工程面貌图。</w:t>
      </w:r>
    </w:p>
    <w:p w14:paraId="7EA233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）材料实际进货、消耗和库存量。</w:t>
      </w:r>
    </w:p>
    <w:p w14:paraId="2FAF10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）现场施工设备的投运数量和运行状况。</w:t>
      </w:r>
    </w:p>
    <w:p w14:paraId="6A17B1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）工程设备的到货情况。</w:t>
      </w:r>
    </w:p>
    <w:p w14:paraId="2A09CF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）劳动力数量（本月及预计未来</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个月劳动力的数量）。</w:t>
      </w:r>
    </w:p>
    <w:p w14:paraId="55753A1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）当前影响施工进度计划的因素和采取的改进措施。</w:t>
      </w:r>
    </w:p>
    <w:p w14:paraId="0D4290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）质量事故和质量缺陷处理记录，质量状况评价。</w:t>
      </w:r>
    </w:p>
    <w:p w14:paraId="4D9BFF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）安全施工措施实施情况（包括安全事故处理情况）。</w:t>
      </w:r>
    </w:p>
    <w:p w14:paraId="74B27D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）环境保护及水土保持措施实施情况。</w:t>
      </w:r>
    </w:p>
    <w:p w14:paraId="7E8279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月进度报告应附有一组充分显示工程施工面貌与实际进度相对应的定点摄影照片。</w:t>
      </w:r>
    </w:p>
    <w:p w14:paraId="6E78C7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）承包人应在每周进度会议上按批准的格式，向监理人提交周进度报表，其内容包括：</w:t>
      </w:r>
    </w:p>
    <w:p w14:paraId="2A9C8E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）上周之前合同进度计划要求、实际完成工程量和累计完成工程量统计。</w:t>
      </w:r>
    </w:p>
    <w:p w14:paraId="53014B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）上周实际完成工程量统计。</w:t>
      </w:r>
    </w:p>
    <w:p w14:paraId="73C121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）下周计划完成的工程量。</w:t>
      </w:r>
    </w:p>
    <w:p w14:paraId="5328B2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）要求监理人协调解决的主要问题。</w:t>
      </w:r>
    </w:p>
    <w:p w14:paraId="5B6395C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1.7.5 进度会议</w:t>
      </w:r>
    </w:p>
    <w:p w14:paraId="167652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）监理人应在每周的某一日和每月末定期召开周、月进度会议，检查承包人合同进度计划的执行情况，协调解决工程施工中发生的工程变更、质量缺陷处理等问题，以及与其它承包人的相互干扰和矛盾。</w:t>
      </w:r>
    </w:p>
    <w:p w14:paraId="54509C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）承包人应在每周、月进度会议上按规定的格式提交周、月进度报表。</w:t>
      </w:r>
    </w:p>
    <w:p w14:paraId="338E399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69" w:name="_Toc23271"/>
      <w:bookmarkStart w:id="1070" w:name="_Toc9162"/>
      <w:bookmarkStart w:id="1071" w:name="_Toc28831"/>
      <w:r>
        <w:rPr>
          <w:rFonts w:hint="eastAsia" w:ascii="宋体" w:hAnsi="宋体" w:eastAsia="宋体" w:cs="宋体"/>
          <w:b/>
          <w:bCs/>
          <w:color w:val="auto"/>
          <w:sz w:val="24"/>
          <w:szCs w:val="24"/>
          <w:lang w:eastAsia="zh-CN"/>
        </w:rPr>
        <w:t>1.8 工程质量的检查、检验和验收</w:t>
      </w:r>
      <w:bookmarkEnd w:id="1069"/>
      <w:bookmarkEnd w:id="1070"/>
      <w:bookmarkEnd w:id="1071"/>
    </w:p>
    <w:p w14:paraId="724566C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1.8.1 承包人的质量自检</w:t>
      </w:r>
    </w:p>
    <w:p w14:paraId="6B8578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）承包人应在收到开工通知后的</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14</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天内，向监理人提交本工程质量保证措施文件，其内容包括：</w:t>
      </w:r>
    </w:p>
    <w:p w14:paraId="7A67D3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）质量检查机构的组织框图。</w:t>
      </w:r>
    </w:p>
    <w:p w14:paraId="7C35C3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）质量检查的岗位设置及检查人员名单。</w:t>
      </w:r>
    </w:p>
    <w:p w14:paraId="35A494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）各主要工程建筑物施工，以及各施工工种的质量检查程序。</w:t>
      </w:r>
    </w:p>
    <w:p w14:paraId="05EDE2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）隐蔽工程和工程隐蔽部位的质量检查程序。</w:t>
      </w:r>
    </w:p>
    <w:p w14:paraId="121A1A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）质量检查记录及验收单格式。</w:t>
      </w:r>
    </w:p>
    <w:p w14:paraId="0E7CB5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）承包人应按监理人指示和批准的格式，编制工程质量报表，定期提交监理人。</w:t>
      </w:r>
    </w:p>
    <w:p w14:paraId="6138E6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）工程发生质量事故时，承包人应约请监理人共同对工程质量事故进行检查，做好质量事故检查的同期记录和事故处理的自检报告。自检报告应提交监理人。</w:t>
      </w:r>
    </w:p>
    <w:p w14:paraId="5EF8D8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1.8.2</w:t>
      </w:r>
      <w:r>
        <w:rPr>
          <w:rFonts w:hint="eastAsia" w:ascii="Times New Roman" w:hAnsi="Times New Roman" w:eastAsia="宋体" w:cs="Times New Roman"/>
          <w:color w:val="auto"/>
          <w:sz w:val="24"/>
          <w:szCs w:val="24"/>
          <w:lang w:eastAsia="zh-CN"/>
        </w:rPr>
        <w:t xml:space="preserve"> </w:t>
      </w:r>
      <w:r>
        <w:rPr>
          <w:rFonts w:ascii="宋体" w:hAnsi="宋体" w:eastAsia="宋体" w:cs="宋体"/>
          <w:color w:val="auto"/>
          <w:sz w:val="24"/>
          <w:szCs w:val="24"/>
          <w:lang w:eastAsia="zh-CN"/>
        </w:rPr>
        <w:t>监理人的质量检查</w:t>
      </w:r>
    </w:p>
    <w:p w14:paraId="0BA0DD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）监理人为检查工程和工程设备质量的需要，可要求承包人提交材料质量和设备出厂合格证、材料试验和设备检测成果、施工和安装记录等，承包人应及时予以提供。</w:t>
      </w:r>
    </w:p>
    <w:p w14:paraId="356E97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）监理人有权要求承包人按合同约定提供试验用的材料样品或在现场钻取试件，并使用承包人的测试设备进行试验检验；监理人还可要求承包人进行补充试验检验。</w:t>
      </w:r>
    </w:p>
    <w:p w14:paraId="6EAB720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72" w:name="_Toc8627"/>
      <w:bookmarkStart w:id="1073" w:name="_Toc4524"/>
      <w:bookmarkStart w:id="1074" w:name="_Toc1335"/>
      <w:r>
        <w:rPr>
          <w:rFonts w:hint="eastAsia" w:ascii="宋体" w:hAnsi="宋体" w:eastAsia="宋体" w:cs="宋体"/>
          <w:b/>
          <w:bCs/>
          <w:color w:val="auto"/>
          <w:sz w:val="24"/>
          <w:szCs w:val="24"/>
          <w:lang w:eastAsia="zh-CN"/>
        </w:rPr>
        <w:t>1.9 验收</w:t>
      </w:r>
      <w:bookmarkEnd w:id="1072"/>
      <w:bookmarkEnd w:id="1073"/>
      <w:bookmarkEnd w:id="1074"/>
    </w:p>
    <w:p w14:paraId="4241F24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 分部工程验收</w:t>
      </w:r>
    </w:p>
    <w:p w14:paraId="76F833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）分部工程验收应遵守《水利工程建设项目验收管理规定》（水利部令第</w:t>
      </w:r>
      <w:r>
        <w:rPr>
          <w:rFonts w:ascii="Times New Roman" w:hAnsi="Times New Roman" w:eastAsia="Times New Roman" w:cs="Times New Roman"/>
          <w:color w:val="auto"/>
          <w:sz w:val="24"/>
          <w:szCs w:val="24"/>
          <w:lang w:eastAsia="zh-CN"/>
        </w:rPr>
        <w:t>30</w:t>
      </w:r>
      <w:r>
        <w:rPr>
          <w:rFonts w:ascii="宋体" w:hAnsi="宋体" w:eastAsia="宋体" w:cs="宋体"/>
          <w:color w:val="auto"/>
          <w:sz w:val="24"/>
          <w:szCs w:val="24"/>
          <w:lang w:eastAsia="zh-CN"/>
        </w:rPr>
        <w:t>号）和《水利水电建设工程验收规程》（</w:t>
      </w:r>
      <w:r>
        <w:rPr>
          <w:rFonts w:hint="eastAsia" w:ascii="Times New Roman" w:hAnsi="Times New Roman" w:eastAsia="宋体" w:cs="Times New Roman"/>
          <w:color w:val="auto"/>
          <w:sz w:val="24"/>
          <w:szCs w:val="24"/>
          <w:lang w:eastAsia="zh-CN"/>
        </w:rPr>
        <w:t>SL/T</w:t>
      </w:r>
      <w:r>
        <w:rPr>
          <w:rFonts w:hint="eastAsia" w:ascii="仿宋" w:hAnsi="仿宋" w:eastAsia="仿宋" w:cs="仿宋"/>
          <w:color w:val="auto"/>
          <w:sz w:val="24"/>
          <w:szCs w:val="24"/>
          <w:lang w:eastAsia="zh-CN"/>
        </w:rPr>
        <w:t xml:space="preserve"> </w:t>
      </w:r>
      <w:r>
        <w:rPr>
          <w:rFonts w:hint="eastAsia" w:ascii="Times New Roman" w:hAnsi="Times New Roman" w:eastAsia="宋体" w:cs="Times New Roman"/>
          <w:color w:val="auto"/>
          <w:sz w:val="24"/>
          <w:szCs w:val="24"/>
          <w:lang w:eastAsia="zh-CN"/>
        </w:rPr>
        <w:t>223-2025</w:t>
      </w:r>
      <w:r>
        <w:rPr>
          <w:rFonts w:ascii="宋体" w:hAnsi="宋体" w:eastAsia="宋体" w:cs="宋体"/>
          <w:color w:val="auto"/>
          <w:sz w:val="24"/>
          <w:szCs w:val="24"/>
          <w:lang w:eastAsia="zh-CN"/>
        </w:rPr>
        <w:t>）的规定。</w:t>
      </w:r>
    </w:p>
    <w:p w14:paraId="2AE75D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）分部工程验收应根据合同约定由发包人或发包人委托监理人主持。验收工作组由发包人以及合同工程有关的勘测、设计、监理、施工、主要设备（供应）商</w:t>
      </w:r>
      <w:r>
        <w:rPr>
          <w:rFonts w:hint="eastAsia" w:ascii="宋体" w:hAnsi="宋体" w:eastAsia="宋体" w:cs="宋体"/>
          <w:color w:val="auto"/>
          <w:sz w:val="24"/>
          <w:szCs w:val="24"/>
          <w:lang w:eastAsia="zh-CN"/>
        </w:rPr>
        <w:t>（项目法人采购时）、运行管理（施工阶段已有时）</w:t>
      </w:r>
      <w:r>
        <w:rPr>
          <w:rFonts w:ascii="宋体" w:hAnsi="宋体" w:eastAsia="宋体" w:cs="宋体"/>
          <w:color w:val="auto"/>
          <w:sz w:val="24"/>
          <w:szCs w:val="24"/>
          <w:lang w:eastAsia="zh-CN"/>
        </w:rPr>
        <w:t>等单位代表组成，</w:t>
      </w:r>
      <w:r>
        <w:rPr>
          <w:rFonts w:hint="eastAsia" w:ascii="宋体" w:hAnsi="宋体" w:eastAsia="宋体" w:cs="宋体"/>
          <w:color w:val="auto"/>
          <w:sz w:val="24"/>
          <w:szCs w:val="24"/>
          <w:lang w:eastAsia="zh-CN"/>
        </w:rPr>
        <w:t>必要时，可邀请其他单位的专家参加。</w:t>
      </w:r>
      <w:r>
        <w:rPr>
          <w:rFonts w:ascii="宋体" w:hAnsi="宋体" w:eastAsia="宋体" w:cs="宋体"/>
          <w:color w:val="auto"/>
          <w:sz w:val="24"/>
          <w:szCs w:val="24"/>
          <w:lang w:eastAsia="zh-CN"/>
        </w:rPr>
        <w:t>可根据情况邀请运行管理单位人员参加。验收工作组成员应具有相应的专业知识或执业资格。参加分部工程验收的每个单位代表人数不宜超过</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名。</w:t>
      </w:r>
    </w:p>
    <w:p w14:paraId="08E848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分部工程具备验收条件时，施工单位应通过监理单位向项目法人提交验收申请，项目法人应自收到验收申请报告之日起10个工作日内决定是否同意验收，并通知相关单位和质量监督机构。</w:t>
      </w:r>
    </w:p>
    <w:p w14:paraId="5240C5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）分部工程验收应具备的条件、验收主要内容和验收程序分别按《水利水电建设工程验收规程》（</w:t>
      </w:r>
      <w:r>
        <w:rPr>
          <w:rFonts w:hint="eastAsia" w:ascii="Times New Roman" w:hAnsi="Times New Roman" w:eastAsia="宋体" w:cs="Times New Roman"/>
          <w:color w:val="auto"/>
          <w:sz w:val="24"/>
          <w:szCs w:val="24"/>
          <w:lang w:eastAsia="zh-CN"/>
        </w:rPr>
        <w:t>SL/T 223-2025</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第5章5.2.3条、5.2.5条和5.2.7条</w:t>
      </w:r>
      <w:r>
        <w:rPr>
          <w:rFonts w:ascii="宋体" w:hAnsi="宋体" w:eastAsia="宋体" w:cs="宋体"/>
          <w:color w:val="auto"/>
          <w:sz w:val="24"/>
          <w:szCs w:val="24"/>
          <w:lang w:eastAsia="zh-CN"/>
        </w:rPr>
        <w:t>要求进行。</w:t>
      </w:r>
    </w:p>
    <w:p w14:paraId="19D9C0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）发包人应在分部工程验收通过之日起</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个工作日内，将验收质量结论和相关资料报质量监督机构备案。</w:t>
      </w:r>
    </w:p>
    <w:p w14:paraId="51B6A32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1.9.2 单位工程验收</w:t>
      </w:r>
    </w:p>
    <w:p w14:paraId="669D0A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）单位工程验收应遵守《水利工程建设项目验收管理规定》（水利部令第</w:t>
      </w:r>
      <w:r>
        <w:rPr>
          <w:rFonts w:ascii="Times New Roman" w:hAnsi="Times New Roman" w:eastAsia="Times New Roman" w:cs="Times New Roman"/>
          <w:color w:val="auto"/>
          <w:sz w:val="24"/>
          <w:szCs w:val="24"/>
          <w:lang w:eastAsia="zh-CN"/>
        </w:rPr>
        <w:t>30</w:t>
      </w:r>
      <w:r>
        <w:rPr>
          <w:rFonts w:ascii="宋体" w:hAnsi="宋体" w:eastAsia="宋体" w:cs="宋体"/>
          <w:color w:val="auto"/>
          <w:sz w:val="24"/>
          <w:szCs w:val="24"/>
          <w:lang w:eastAsia="zh-CN"/>
        </w:rPr>
        <w:t>号）和《水利水电建设工程验收规程》（</w:t>
      </w:r>
      <w:r>
        <w:rPr>
          <w:rFonts w:hint="eastAsia" w:ascii="Times New Roman" w:hAnsi="Times New Roman" w:eastAsia="宋体" w:cs="Times New Roman"/>
          <w:color w:val="auto"/>
          <w:sz w:val="24"/>
          <w:szCs w:val="24"/>
          <w:lang w:eastAsia="zh-CN"/>
        </w:rPr>
        <w:t>SL/T 223-2025</w:t>
      </w:r>
      <w:r>
        <w:rPr>
          <w:rFonts w:ascii="宋体" w:hAnsi="宋体" w:eastAsia="宋体" w:cs="宋体"/>
          <w:color w:val="auto"/>
          <w:sz w:val="24"/>
          <w:szCs w:val="24"/>
          <w:lang w:eastAsia="zh-CN"/>
        </w:rPr>
        <w:t>）的规定。</w:t>
      </w:r>
    </w:p>
    <w:p w14:paraId="31B8C2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单位工程验收应由发包人主持。验收工作组由发包人以及合同工程有关的勘测、设计、监理、施工、主要设备（供应）商、运行管理等单位代表组成，必要时，可邀请上述单位以外的相关专家参加。验收工作组成员应具有中级及以上技术职称或相应执业资格，每个单位代表人数不宜超过</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名。</w:t>
      </w:r>
    </w:p>
    <w:p w14:paraId="1812F5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单位工程验收前，项目法人应组织勘察、设计、监理、施工、运行管理(施工阶段已有时等单位组成工程外观质量验收组，现场进行工程外观质量验收。参加工程外观质量验收的人员应具有中级及以上技术职称或相应执业资格。工程外观质量验收组人数应不少乎5人，大型水利水电建设工程和1级、2级堤防工程不宜少于7人。水利水电建设工程单位工程外观质量验收应符合《水利水电建设工程验收规程》（SL/T 223-2025）附录D的规定。</w:t>
      </w:r>
    </w:p>
    <w:p w14:paraId="2A61BF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）单位工程完工并具备验收条件时，施工单位应向发包人提出验收申请报告，发包人应在收到验收申请报告之日起</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个工作日内决定是否同意验收。</w:t>
      </w:r>
    </w:p>
    <w:p w14:paraId="0301C5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）单位工程验收应具备的条件、验收主要内容和验收程序分别按《水利水电建设工程验收规程》（</w:t>
      </w:r>
      <w:r>
        <w:rPr>
          <w:rFonts w:hint="eastAsia" w:ascii="Times New Roman" w:hAnsi="Times New Roman" w:eastAsia="宋体" w:cs="Times New Roman"/>
          <w:color w:val="auto"/>
          <w:sz w:val="24"/>
          <w:szCs w:val="24"/>
          <w:lang w:eastAsia="zh-CN"/>
        </w:rPr>
        <w:t>SL/T 223-2025</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第5章5.3.3条、5.3.5条和5.3.7条</w:t>
      </w:r>
      <w:r>
        <w:rPr>
          <w:rFonts w:ascii="宋体" w:hAnsi="宋体" w:eastAsia="宋体" w:cs="宋体"/>
          <w:color w:val="auto"/>
          <w:sz w:val="24"/>
          <w:szCs w:val="24"/>
          <w:lang w:eastAsia="zh-CN"/>
        </w:rPr>
        <w:t>要求进行。</w:t>
      </w:r>
    </w:p>
    <w:p w14:paraId="76077D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需提前投入使用的单位工程应进行单位工程投入使用验收。单位工程投入使用验收应由发包人主持，根据工程具体情况，经竣工验收主持单位同意，单位工程投入使用验收也可由竣工验收主持单位或其委托的单位主持。</w:t>
      </w:r>
    </w:p>
    <w:p w14:paraId="18599FA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1.9.3 合同工程完工验收</w:t>
      </w:r>
    </w:p>
    <w:p w14:paraId="414DDF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）合同工程完工验收应遵守《水利工程建设项目验收管理规定》（水利部令第</w:t>
      </w:r>
      <w:r>
        <w:rPr>
          <w:rFonts w:ascii="Times New Roman" w:hAnsi="Times New Roman" w:eastAsia="Times New Roman" w:cs="Times New Roman"/>
          <w:color w:val="auto"/>
          <w:sz w:val="24"/>
          <w:szCs w:val="24"/>
          <w:lang w:eastAsia="zh-CN"/>
        </w:rPr>
        <w:t>30</w:t>
      </w:r>
      <w:r>
        <w:rPr>
          <w:rFonts w:ascii="宋体" w:hAnsi="宋体" w:eastAsia="宋体" w:cs="宋体"/>
          <w:color w:val="auto"/>
          <w:sz w:val="24"/>
          <w:szCs w:val="24"/>
          <w:lang w:eastAsia="zh-CN"/>
        </w:rPr>
        <w:t>号）和《水利水电建设工程验收规程》（</w:t>
      </w:r>
      <w:r>
        <w:rPr>
          <w:rFonts w:hint="eastAsia" w:ascii="Times New Roman" w:hAnsi="Times New Roman" w:eastAsia="宋体" w:cs="Times New Roman"/>
          <w:color w:val="auto"/>
          <w:sz w:val="24"/>
          <w:szCs w:val="24"/>
          <w:lang w:eastAsia="zh-CN"/>
        </w:rPr>
        <w:t>SL/T 223-2025</w:t>
      </w:r>
      <w:r>
        <w:rPr>
          <w:rFonts w:ascii="宋体" w:hAnsi="宋体" w:eastAsia="宋体" w:cs="宋体"/>
          <w:color w:val="auto"/>
          <w:sz w:val="24"/>
          <w:szCs w:val="24"/>
          <w:lang w:eastAsia="zh-CN"/>
        </w:rPr>
        <w:t>）的规定。</w:t>
      </w:r>
    </w:p>
    <w:p w14:paraId="6383D6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）施工合同约定的建设内容全部完成后，应进行合同工程完工验收。当合同工程仅包含一个单位工程（分部工程）时，宜将单位工程（分部工程）验收与合同完工验收一并进行，但应同时满足相应的验收条件。</w:t>
      </w:r>
    </w:p>
    <w:p w14:paraId="53BDD5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）合同工程完工验收由发包人主持。验收工作组由发包人以及合同工程有关的勘测、设计、监理、施工、主要设备（供应）商等单位代表组成。</w:t>
      </w:r>
    </w:p>
    <w:p w14:paraId="34C66A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）合同工程具备验收条件时，施工单位应向发包人提出验收申请报告，发包人应在收到验收申请报告之日起</w:t>
      </w:r>
      <w:r>
        <w:rPr>
          <w:rFonts w:hint="eastAsia" w:ascii="Times New Roman" w:hAnsi="Times New Roman" w:eastAsia="宋体" w:cs="Times New Roman"/>
          <w:color w:val="auto"/>
          <w:sz w:val="24"/>
          <w:szCs w:val="24"/>
          <w:lang w:eastAsia="zh-CN"/>
        </w:rPr>
        <w:t>1</w:t>
      </w:r>
      <w:r>
        <w:rPr>
          <w:rFonts w:ascii="Times New Roman" w:hAnsi="Times New Roman" w:eastAsia="Times New Roman" w:cs="Times New Roman"/>
          <w:color w:val="auto"/>
          <w:sz w:val="24"/>
          <w:szCs w:val="24"/>
          <w:lang w:eastAsia="zh-CN"/>
        </w:rPr>
        <w:t>0</w:t>
      </w:r>
      <w:r>
        <w:rPr>
          <w:rFonts w:ascii="宋体" w:hAnsi="宋体" w:eastAsia="宋体" w:cs="宋体"/>
          <w:color w:val="auto"/>
          <w:sz w:val="24"/>
          <w:szCs w:val="24"/>
          <w:lang w:eastAsia="zh-CN"/>
        </w:rPr>
        <w:t>个工作日内决定是否同意进行验收。</w:t>
      </w:r>
    </w:p>
    <w:p w14:paraId="3AF84C8A">
      <w:pPr>
        <w:widowControl w:val="0"/>
        <w:kinsoku/>
        <w:topLinePunct/>
        <w:autoSpaceDE/>
        <w:autoSpaceDN/>
        <w:spacing w:line="520" w:lineRule="exact"/>
        <w:ind w:firstLine="400" w:firstLineChars="200"/>
        <w:jc w:val="both"/>
        <w:rPr>
          <w:rFonts w:hint="eastAsia" w:ascii="宋体" w:hAnsi="宋体" w:eastAsia="宋体" w:cs="宋体"/>
          <w:color w:val="auto"/>
          <w:spacing w:val="-20"/>
          <w:sz w:val="24"/>
          <w:szCs w:val="24"/>
          <w:lang w:eastAsia="zh-CN"/>
        </w:rPr>
      </w:pPr>
      <w:r>
        <w:rPr>
          <w:rFonts w:ascii="宋体" w:hAnsi="宋体" w:eastAsia="宋体" w:cs="宋体"/>
          <w:color w:val="auto"/>
          <w:spacing w:val="-20"/>
          <w:sz w:val="24"/>
          <w:szCs w:val="24"/>
          <w:lang w:eastAsia="zh-CN"/>
        </w:rPr>
        <w:t>（</w:t>
      </w:r>
      <w:r>
        <w:rPr>
          <w:rFonts w:ascii="Times New Roman" w:hAnsi="Times New Roman" w:eastAsia="Times New Roman" w:cs="Times New Roman"/>
          <w:color w:val="auto"/>
          <w:spacing w:val="-20"/>
          <w:sz w:val="24"/>
          <w:szCs w:val="24"/>
          <w:lang w:eastAsia="zh-CN"/>
        </w:rPr>
        <w:t>5</w:t>
      </w:r>
      <w:r>
        <w:rPr>
          <w:rFonts w:ascii="宋体" w:hAnsi="宋体" w:eastAsia="宋体" w:cs="宋体"/>
          <w:color w:val="auto"/>
          <w:spacing w:val="-20"/>
          <w:sz w:val="24"/>
          <w:szCs w:val="24"/>
          <w:lang w:eastAsia="zh-CN"/>
        </w:rPr>
        <w:t>）合同工程完工验收应具备的条件按《水利水电建设工程验收规程》（</w:t>
      </w:r>
      <w:r>
        <w:rPr>
          <w:rFonts w:hint="eastAsia" w:ascii="Times New Roman" w:hAnsi="Times New Roman" w:eastAsia="宋体" w:cs="Times New Roman"/>
          <w:color w:val="auto"/>
          <w:spacing w:val="-20"/>
          <w:sz w:val="24"/>
          <w:szCs w:val="24"/>
          <w:lang w:eastAsia="zh-CN"/>
        </w:rPr>
        <w:t>SL/T 223-2025</w:t>
      </w:r>
      <w:r>
        <w:rPr>
          <w:rFonts w:ascii="宋体" w:hAnsi="宋体" w:eastAsia="宋体" w:cs="宋体"/>
          <w:color w:val="auto"/>
          <w:spacing w:val="-20"/>
          <w:sz w:val="24"/>
          <w:szCs w:val="24"/>
          <w:lang w:eastAsia="zh-CN"/>
        </w:rPr>
        <w:t>）</w:t>
      </w:r>
      <w:r>
        <w:rPr>
          <w:rFonts w:hint="eastAsia" w:ascii="宋体" w:hAnsi="宋体" w:eastAsia="宋体" w:cs="宋体"/>
          <w:color w:val="auto"/>
          <w:spacing w:val="-20"/>
          <w:sz w:val="24"/>
          <w:szCs w:val="24"/>
          <w:lang w:eastAsia="zh-CN"/>
        </w:rPr>
        <w:t>第6章6.0.4条</w:t>
      </w:r>
      <w:r>
        <w:rPr>
          <w:rFonts w:ascii="宋体" w:hAnsi="宋体" w:eastAsia="宋体" w:cs="宋体"/>
          <w:color w:val="auto"/>
          <w:spacing w:val="-20"/>
          <w:sz w:val="24"/>
          <w:szCs w:val="24"/>
          <w:lang w:eastAsia="zh-CN"/>
        </w:rPr>
        <w:t>要求进行。</w:t>
      </w:r>
    </w:p>
    <w:p w14:paraId="629D191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1.9.4 阶段验收</w:t>
      </w:r>
    </w:p>
    <w:p w14:paraId="3FD90B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）阶段验收应遵守《水利工程建设项目验收管理规定》（水利部令第</w:t>
      </w:r>
      <w:r>
        <w:rPr>
          <w:rFonts w:ascii="Times New Roman" w:hAnsi="Times New Roman" w:eastAsia="Times New Roman" w:cs="Times New Roman"/>
          <w:color w:val="auto"/>
          <w:sz w:val="24"/>
          <w:szCs w:val="24"/>
          <w:lang w:eastAsia="zh-CN"/>
        </w:rPr>
        <w:t>30</w:t>
      </w:r>
      <w:r>
        <w:rPr>
          <w:rFonts w:ascii="宋体" w:hAnsi="宋体" w:eastAsia="宋体" w:cs="宋体"/>
          <w:color w:val="auto"/>
          <w:sz w:val="24"/>
          <w:szCs w:val="24"/>
          <w:lang w:eastAsia="zh-CN"/>
        </w:rPr>
        <w:t>号）和《水利水电建设工程验收规程》（</w:t>
      </w:r>
      <w:r>
        <w:rPr>
          <w:rFonts w:hint="eastAsia" w:ascii="Times New Roman" w:hAnsi="Times New Roman" w:eastAsia="宋体" w:cs="Times New Roman"/>
          <w:color w:val="auto"/>
          <w:sz w:val="24"/>
          <w:szCs w:val="24"/>
          <w:lang w:eastAsia="zh-CN"/>
        </w:rPr>
        <w:t>SL/T 223-2025</w:t>
      </w:r>
      <w:r>
        <w:rPr>
          <w:rFonts w:ascii="宋体" w:hAnsi="宋体" w:eastAsia="宋体" w:cs="宋体"/>
          <w:color w:val="auto"/>
          <w:sz w:val="24"/>
          <w:szCs w:val="24"/>
          <w:lang w:eastAsia="zh-CN"/>
        </w:rPr>
        <w:t>）的规定。</w:t>
      </w:r>
    </w:p>
    <w:p w14:paraId="04A9A6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）根据国家对工程施工过程的安全管理需要，水利工程应进行以下项目的阶段验收：</w:t>
      </w:r>
    </w:p>
    <w:p w14:paraId="7B5B0A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）枢纽工程导（截）流验收。</w:t>
      </w:r>
    </w:p>
    <w:p w14:paraId="6E9DDF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）水库下闸蓄水验收。</w:t>
      </w:r>
    </w:p>
    <w:p w14:paraId="399339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）引（调）排水工程的通水验收。</w:t>
      </w:r>
    </w:p>
    <w:p w14:paraId="6007C4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）水电站（泵站）机组启动验收。</w:t>
      </w:r>
    </w:p>
    <w:p w14:paraId="251CB9A3">
      <w:pPr>
        <w:widowControl w:val="0"/>
        <w:kinsoku/>
        <w:topLinePunct/>
        <w:autoSpaceDE/>
        <w:autoSpaceDN/>
        <w:spacing w:line="520" w:lineRule="exact"/>
        <w:ind w:firstLine="480" w:firstLineChars="200"/>
        <w:jc w:val="both"/>
        <w:rPr>
          <w:rFonts w:hint="eastAsia" w:ascii="宋体" w:hAnsi="宋体" w:eastAsia="宋体" w:cs="宋体"/>
          <w:strike/>
          <w:color w:val="auto"/>
          <w:sz w:val="24"/>
          <w:szCs w:val="24"/>
          <w:lang w:eastAsia="zh-CN"/>
        </w:rPr>
      </w:pPr>
      <w:r>
        <w:rPr>
          <w:rFonts w:ascii="Times New Roman" w:hAnsi="Times New Roman" w:eastAsia="Times New Roman" w:cs="Times New Roman"/>
          <w:strike/>
          <w:color w:val="auto"/>
          <w:sz w:val="24"/>
          <w:szCs w:val="24"/>
          <w:lang w:eastAsia="zh-CN"/>
        </w:rPr>
        <w:t>5</w:t>
      </w:r>
      <w:r>
        <w:rPr>
          <w:rFonts w:ascii="宋体" w:hAnsi="宋体" w:eastAsia="宋体" w:cs="宋体"/>
          <w:strike/>
          <w:color w:val="auto"/>
          <w:sz w:val="24"/>
          <w:szCs w:val="24"/>
          <w:lang w:eastAsia="zh-CN"/>
        </w:rPr>
        <w:t>）部分工程投入使用验收。</w:t>
      </w:r>
    </w:p>
    <w:p w14:paraId="5A0A5D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）工程建设需要增加的其他验收。</w:t>
      </w:r>
    </w:p>
    <w:p w14:paraId="5AB6EB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）阶段验收应由竣工验收主持单位或其委托的单位主持。阶段验收委员会应由验收主持单位、质量和安全监督机构、运行管理单位的代表和有关专家组成；必要时，可邀请地方人民政府以及有关部门参加。</w:t>
      </w:r>
    </w:p>
    <w:p w14:paraId="366C5A4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1.9.5 专项验收</w:t>
      </w:r>
    </w:p>
    <w:p w14:paraId="75CF65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）工程竣工验收前，应按有关规定进行专项验收。专项验收主持单位应按国家和有关行业的有关规定确定。</w:t>
      </w:r>
    </w:p>
    <w:p w14:paraId="3077A8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）专项验收是指与国家和地方有关的对外永久交通、移民安置、环境保护、水土保待及通航等的专项工程验收。</w:t>
      </w:r>
    </w:p>
    <w:p w14:paraId="7980FA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）项目法人应按国家和相关行业主管部门的规定，向有关部门提出专项验收申请报告，并做好准备和配合工作。</w:t>
      </w:r>
    </w:p>
    <w:p w14:paraId="6404A6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）专项验收成果性文件应是工程竣工验收成果性文件的组成部分，其工程竣工验收资料的整编内容可参照本章第</w:t>
      </w:r>
      <w:r>
        <w:rPr>
          <w:rFonts w:ascii="Times New Roman" w:hAnsi="Times New Roman" w:eastAsia="Times New Roman" w:cs="Times New Roman"/>
          <w:color w:val="auto"/>
          <w:sz w:val="24"/>
          <w:szCs w:val="24"/>
          <w:lang w:eastAsia="zh-CN"/>
        </w:rPr>
        <w:t>1.9.6</w:t>
      </w:r>
      <w:r>
        <w:rPr>
          <w:rFonts w:ascii="宋体" w:hAnsi="宋体" w:eastAsia="宋体" w:cs="宋体"/>
          <w:color w:val="auto"/>
          <w:sz w:val="24"/>
          <w:szCs w:val="24"/>
          <w:lang w:eastAsia="zh-CN"/>
        </w:rPr>
        <w:t>项的要求进行。</w:t>
      </w:r>
    </w:p>
    <w:p w14:paraId="217ED7A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1.9.6 工程竣工验收</w:t>
      </w:r>
    </w:p>
    <w:p w14:paraId="1A2477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）工程竣工验收应遵守《水利工程建设项目验收管理规定》（水利部令第</w:t>
      </w:r>
      <w:r>
        <w:rPr>
          <w:rFonts w:ascii="Times New Roman" w:hAnsi="Times New Roman" w:eastAsia="Times New Roman" w:cs="Times New Roman"/>
          <w:color w:val="auto"/>
          <w:sz w:val="24"/>
          <w:szCs w:val="24"/>
          <w:lang w:eastAsia="zh-CN"/>
        </w:rPr>
        <w:t>30</w:t>
      </w:r>
      <w:r>
        <w:rPr>
          <w:rFonts w:ascii="宋体" w:hAnsi="宋体" w:eastAsia="宋体" w:cs="宋体"/>
          <w:color w:val="auto"/>
          <w:sz w:val="24"/>
          <w:szCs w:val="24"/>
          <w:lang w:eastAsia="zh-CN"/>
        </w:rPr>
        <w:t>号）和《水利水电建设工程验收规程》（</w:t>
      </w:r>
      <w:r>
        <w:rPr>
          <w:rFonts w:hint="eastAsia" w:ascii="Times New Roman" w:hAnsi="Times New Roman" w:eastAsia="宋体" w:cs="Times New Roman"/>
          <w:color w:val="auto"/>
          <w:sz w:val="24"/>
          <w:szCs w:val="24"/>
          <w:lang w:eastAsia="zh-CN"/>
        </w:rPr>
        <w:t>SL/T 223-2025</w:t>
      </w:r>
      <w:r>
        <w:rPr>
          <w:rFonts w:ascii="宋体" w:hAnsi="宋体" w:eastAsia="宋体" w:cs="宋体"/>
          <w:color w:val="auto"/>
          <w:sz w:val="24"/>
          <w:szCs w:val="24"/>
          <w:lang w:eastAsia="zh-CN"/>
        </w:rPr>
        <w:t>）的规定。</w:t>
      </w:r>
    </w:p>
    <w:p w14:paraId="0409C5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）工程竣工验收前，承包人应积极配合发包人整编以下竣工验收资料提交发包人，其内容包括（但不限于）：</w:t>
      </w:r>
    </w:p>
    <w:p w14:paraId="05F890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）验收工程的各项施工材料的试验检验成果。</w:t>
      </w:r>
    </w:p>
    <w:p w14:paraId="2BDF34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）监理人对验收工程及其工程设备的质量检查记录。</w:t>
      </w:r>
    </w:p>
    <w:p w14:paraId="2CF645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）施工过程中，本项工程及其工程设备的变更文件及资料。</w:t>
      </w:r>
    </w:p>
    <w:p w14:paraId="7ED5CE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）质量事故记录以及工程及其工程设备的缺陷处理报告。</w:t>
      </w:r>
    </w:p>
    <w:p w14:paraId="6B6077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）施工过程中，对验收工程质量的专题评定报告。</w:t>
      </w:r>
    </w:p>
    <w:p w14:paraId="6ED7D8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）质量监督机构签认的质量鉴定报告和有关文件。</w:t>
      </w:r>
    </w:p>
    <w:p w14:paraId="69A53C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）验收工程施工期的安全监测成果，以及工程设备的试运行检测成果。</w:t>
      </w:r>
    </w:p>
    <w:p w14:paraId="031519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）监理人指示提交的其他竣工验收资料。</w:t>
      </w:r>
    </w:p>
    <w:p w14:paraId="5B8F8C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）工程竣工验收应在工程建设项目全部完成，各单位工程、分部工程和单项工程的验收全部合格，并已满足一定运行条件后</w:t>
      </w:r>
      <w:r>
        <w:rPr>
          <w:rFonts w:hint="eastAsia" w:ascii="Times New Roman" w:hAnsi="Times New Roman" w:eastAsia="宋体" w:cs="Times New Roman"/>
          <w:color w:val="auto"/>
          <w:sz w:val="24"/>
          <w:szCs w:val="24"/>
          <w:lang w:eastAsia="zh-CN"/>
        </w:rPr>
        <w:t>1</w:t>
      </w:r>
      <w:r>
        <w:rPr>
          <w:rFonts w:ascii="宋体" w:hAnsi="宋体" w:eastAsia="宋体" w:cs="宋体"/>
          <w:color w:val="auto"/>
          <w:sz w:val="24"/>
          <w:szCs w:val="24"/>
          <w:lang w:eastAsia="zh-CN"/>
        </w:rPr>
        <w:t>年内进行。</w:t>
      </w:r>
    </w:p>
    <w:p w14:paraId="2CFDE1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）工程竣工验收应由发包人向国家主管部门提出工程竣工验收申请，并经国家主管部门批准后，由国家主管部门主持、发包人组织进行。</w:t>
      </w:r>
    </w:p>
    <w:p w14:paraId="22B9A92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75" w:name="_Toc30095"/>
      <w:bookmarkStart w:id="1076" w:name="_Toc13945"/>
      <w:bookmarkStart w:id="1077" w:name="_Toc17474"/>
      <w:r>
        <w:rPr>
          <w:rFonts w:hint="eastAsia" w:ascii="宋体" w:hAnsi="宋体" w:eastAsia="宋体" w:cs="宋体"/>
          <w:b/>
          <w:bCs/>
          <w:color w:val="auto"/>
          <w:sz w:val="24"/>
          <w:szCs w:val="24"/>
          <w:lang w:eastAsia="zh-CN"/>
        </w:rPr>
        <w:t>1.10 工程量计算</w:t>
      </w:r>
      <w:bookmarkEnd w:id="1075"/>
      <w:bookmarkEnd w:id="1076"/>
      <w:bookmarkEnd w:id="1077"/>
    </w:p>
    <w:p w14:paraId="479C31D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1.10.1 说明</w:t>
      </w:r>
    </w:p>
    <w:p w14:paraId="4E31B1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）本合同工程项目应按本合同通用和专用合同条款第</w:t>
      </w:r>
      <w:r>
        <w:rPr>
          <w:rFonts w:ascii="Times New Roman" w:hAnsi="Times New Roman" w:eastAsia="Times New Roman" w:cs="Times New Roman"/>
          <w:color w:val="auto"/>
          <w:sz w:val="24"/>
          <w:szCs w:val="24"/>
          <w:lang w:eastAsia="zh-CN"/>
        </w:rPr>
        <w:t>17</w:t>
      </w:r>
      <w:r>
        <w:rPr>
          <w:rFonts w:ascii="宋体" w:hAnsi="宋体" w:eastAsia="宋体" w:cs="宋体"/>
          <w:color w:val="auto"/>
          <w:sz w:val="24"/>
          <w:szCs w:val="24"/>
          <w:lang w:eastAsia="zh-CN"/>
        </w:rPr>
        <w:t>条的约定进行计量。计量方法应符合本技术条款各章的有关规定。</w:t>
      </w:r>
    </w:p>
    <w:p w14:paraId="636790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）承包人应保证自供的一切计量设备和用具符合国家度量衡标准的精度要求。</w:t>
      </w:r>
    </w:p>
    <w:p w14:paraId="1726EC1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）除合同另有约定外，凡超出施工图纸所示和合同技术条款规定的有效工程量以外的超挖、超填工程量，施工附加量，加工、运输损耗量等均不予计量。</w:t>
      </w:r>
    </w:p>
    <w:p w14:paraId="4B3BBF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根据合同完成的有效工程量，由承包人按施工图纸计算，或采用标准的计量设备进行称量，并经监理人签认后，列入承包人的每月完成工程量报表。当分次结算累计工程量与按完成施工图纸所示及合同文件规定计算的有效工程量不一致时，以按完成施工图纸所示及合同文件规定计算的有效工程量为准。</w:t>
      </w:r>
    </w:p>
    <w:p w14:paraId="4E2655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）分次结算工程量的测量工作，应在监理人在场的情况下，由承包人负责。必要时，监理人有权指示承包人对结算工程量重新进行复核测量，并由监理人核查确认。</w:t>
      </w:r>
    </w:p>
    <w:p w14:paraId="2FB16E8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1.10.2 重量计算</w:t>
      </w:r>
    </w:p>
    <w:p w14:paraId="44E99F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）按施工图纸所示计算的有效重量以吨或千克为单位计量。</w:t>
      </w:r>
    </w:p>
    <w:p w14:paraId="51908B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）凡以重量计量并需称量的材料，由承包人合格的测量人员使用经国家计量监督部门检验合格的称量设备，根据合同约定，在监理人指定的地点进行称量。</w:t>
      </w:r>
    </w:p>
    <w:p w14:paraId="3143F75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1.10.3 面积计量</w:t>
      </w:r>
    </w:p>
    <w:p w14:paraId="17741E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按施工图纸所示施工轮廓尺寸或结构物尺寸计算的有效面积以平方米为单位计量。</w:t>
      </w:r>
    </w:p>
    <w:p w14:paraId="5CD0095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1.10.4 体积计量</w:t>
      </w:r>
    </w:p>
    <w:p w14:paraId="3402B2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按施工图纸所示施工轮廓尺寸或结构物尺寸计算的有效体积以立方米为单位计量。</w:t>
      </w:r>
    </w:p>
    <w:p w14:paraId="6689DA8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1.10.5 长度计量</w:t>
      </w:r>
    </w:p>
    <w:p w14:paraId="5190D2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按施工图纸所示施工轮廓尺寸或结构物尺寸计算的有效长度以米为单位计量。</w:t>
      </w:r>
    </w:p>
    <w:p w14:paraId="3BE346E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78" w:name="_Toc11488"/>
      <w:bookmarkStart w:id="1079" w:name="_Toc3412"/>
      <w:bookmarkStart w:id="1080" w:name="_Toc4291"/>
      <w:r>
        <w:rPr>
          <w:rFonts w:hint="eastAsia" w:ascii="宋体" w:hAnsi="宋体" w:eastAsia="宋体" w:cs="宋体"/>
          <w:b/>
          <w:bCs/>
          <w:color w:val="auto"/>
          <w:sz w:val="24"/>
          <w:szCs w:val="24"/>
          <w:lang w:eastAsia="zh-CN"/>
        </w:rPr>
        <w:t>1.11 引用技术标准和规程规范的规定</w:t>
      </w:r>
      <w:bookmarkEnd w:id="1078"/>
      <w:bookmarkEnd w:id="1079"/>
      <w:bookmarkEnd w:id="1080"/>
    </w:p>
    <w:p w14:paraId="1922DA5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1.11.1 遵守国家和行业标准的强制性规定</w:t>
      </w:r>
    </w:p>
    <w:p w14:paraId="691F02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技术条款中有关工程等级、防洪标准和工程安全鉴定标准等涉及工程安全的施工安装技术要求及其验收标准，必须严格遵守国家和行业标准中的强制性规定。遇有矛盾时，应由监理人按国家和行业标准的强制性规定进行修正。</w:t>
      </w:r>
    </w:p>
    <w:p w14:paraId="65B7E86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1.11.2 引用标准和规程规范以最新版本为准</w:t>
      </w:r>
    </w:p>
    <w:p w14:paraId="5B5C24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本技术条款中引用的标准和规程规范均标有出版年代，引用截止期为</w:t>
      </w:r>
      <w:r>
        <w:rPr>
          <w:rFonts w:ascii="Times New Roman" w:hAnsi="Times New Roman" w:eastAsia="Times New Roman" w:cs="Times New Roman"/>
          <w:color w:val="auto"/>
          <w:sz w:val="24"/>
          <w:szCs w:val="24"/>
          <w:lang w:eastAsia="zh-CN"/>
        </w:rPr>
        <w:t>2023</w:t>
      </w:r>
      <w:r>
        <w:rPr>
          <w:rFonts w:ascii="宋体" w:hAnsi="宋体" w:eastAsia="宋体" w:cs="宋体"/>
          <w:color w:val="auto"/>
          <w:sz w:val="24"/>
          <w:szCs w:val="24"/>
          <w:lang w:eastAsia="zh-CN"/>
        </w:rPr>
        <w:t>年</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月，应用时应执行国家和各行业最新出版的有效版本。</w:t>
      </w:r>
    </w:p>
    <w:p w14:paraId="78F9642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81" w:name="_Toc25007"/>
      <w:bookmarkStart w:id="1082" w:name="_Toc21175"/>
      <w:bookmarkStart w:id="1083" w:name="_Toc3434"/>
      <w:r>
        <w:rPr>
          <w:rFonts w:hint="eastAsia" w:ascii="宋体" w:hAnsi="宋体" w:eastAsia="宋体" w:cs="宋体"/>
          <w:b/>
          <w:bCs/>
          <w:color w:val="auto"/>
          <w:sz w:val="24"/>
          <w:szCs w:val="24"/>
          <w:lang w:eastAsia="zh-CN"/>
        </w:rPr>
        <w:t>1.12 工程保险</w:t>
      </w:r>
      <w:bookmarkEnd w:id="1081"/>
      <w:bookmarkEnd w:id="1082"/>
      <w:bookmarkEnd w:id="1083"/>
    </w:p>
    <w:p w14:paraId="12835C8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1.12.1 投保险种</w:t>
      </w:r>
    </w:p>
    <w:p w14:paraId="548131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发包人和承包人应按本合同通用合同条款第</w:t>
      </w:r>
      <w:r>
        <w:rPr>
          <w:rFonts w:ascii="Times New Roman" w:hAnsi="Times New Roman" w:eastAsia="Times New Roman" w:cs="Times New Roman"/>
          <w:color w:val="auto"/>
          <w:sz w:val="24"/>
          <w:szCs w:val="24"/>
          <w:lang w:eastAsia="zh-CN"/>
        </w:rPr>
        <w:t>20</w:t>
      </w:r>
      <w:r>
        <w:rPr>
          <w:rFonts w:ascii="宋体" w:hAnsi="宋体" w:eastAsia="宋体" w:cs="宋体"/>
          <w:color w:val="auto"/>
          <w:sz w:val="24"/>
          <w:szCs w:val="24"/>
          <w:lang w:eastAsia="zh-CN"/>
        </w:rPr>
        <w:t>条的约定投保以下险种：</w:t>
      </w:r>
    </w:p>
    <w:p w14:paraId="7B41F9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）建筑安装工程的一切险（包括材料和工程设备，以发包人和承包人共同名义投保）。</w:t>
      </w:r>
    </w:p>
    <w:p w14:paraId="2D12A8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）人员工伤事故险（按各自管辖的人员投保）。</w:t>
      </w:r>
    </w:p>
    <w:p w14:paraId="3FE557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）人身意外伤害险（按各自管辖的人员投保）。</w:t>
      </w:r>
    </w:p>
    <w:p w14:paraId="5C6B85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安全生产责任保险（由承包人负责投保）</w:t>
      </w:r>
      <w:r>
        <w:rPr>
          <w:rFonts w:ascii="宋体" w:hAnsi="宋体" w:eastAsia="宋体" w:cs="宋体"/>
          <w:color w:val="auto"/>
          <w:sz w:val="24"/>
          <w:szCs w:val="24"/>
          <w:lang w:eastAsia="zh-CN"/>
        </w:rPr>
        <w:t>。</w:t>
      </w:r>
    </w:p>
    <w:p w14:paraId="23F60D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）施工设备险（由承包人负责投保）。</w:t>
      </w:r>
    </w:p>
    <w:p w14:paraId="317E69D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1.12.2 保险费用</w:t>
      </w:r>
    </w:p>
    <w:p w14:paraId="59B045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）若本合同约定由承包人负责投保建筑安装工程一切险，承包人应按本合同通用合同条款第</w:t>
      </w:r>
      <w:r>
        <w:rPr>
          <w:rFonts w:ascii="Times New Roman" w:hAnsi="Times New Roman" w:eastAsia="Times New Roman" w:cs="Times New Roman"/>
          <w:color w:val="auto"/>
          <w:sz w:val="24"/>
          <w:szCs w:val="24"/>
          <w:lang w:eastAsia="zh-CN"/>
        </w:rPr>
        <w:t>20.1</w:t>
      </w:r>
      <w:r>
        <w:rPr>
          <w:rFonts w:ascii="宋体" w:hAnsi="宋体" w:eastAsia="宋体" w:cs="宋体"/>
          <w:color w:val="auto"/>
          <w:sz w:val="24"/>
          <w:szCs w:val="24"/>
          <w:lang w:eastAsia="zh-CN"/>
        </w:rPr>
        <w:t>款约定的责任和内容，在本章工程量清单中专项列报。</w:t>
      </w:r>
    </w:p>
    <w:p w14:paraId="5A5EE0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若本合同约定由发包人负责投保建筑安装工程一切险，则承包人不需列报。</w:t>
      </w:r>
    </w:p>
    <w:p w14:paraId="04E9C0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）承包人人员的工伤事故险和人身意外伤害险应由承包人按本合同通用合同条款第</w:t>
      </w:r>
      <w:r>
        <w:rPr>
          <w:rFonts w:ascii="Times New Roman" w:hAnsi="Times New Roman" w:eastAsia="Times New Roman" w:cs="Times New Roman"/>
          <w:color w:val="auto"/>
          <w:sz w:val="24"/>
          <w:szCs w:val="24"/>
          <w:lang w:eastAsia="zh-CN"/>
        </w:rPr>
        <w:t>20.2</w:t>
      </w:r>
      <w:r>
        <w:rPr>
          <w:rFonts w:ascii="宋体" w:hAnsi="宋体" w:eastAsia="宋体" w:cs="宋体"/>
          <w:color w:val="auto"/>
          <w:sz w:val="24"/>
          <w:szCs w:val="24"/>
          <w:lang w:eastAsia="zh-CN"/>
        </w:rPr>
        <w:t>款、第</w:t>
      </w:r>
      <w:r>
        <w:rPr>
          <w:rFonts w:ascii="Times New Roman" w:hAnsi="Times New Roman" w:eastAsia="Times New Roman" w:cs="Times New Roman"/>
          <w:color w:val="auto"/>
          <w:sz w:val="24"/>
          <w:szCs w:val="24"/>
          <w:lang w:eastAsia="zh-CN"/>
        </w:rPr>
        <w:t>20.3</w:t>
      </w:r>
      <w:r>
        <w:rPr>
          <w:rFonts w:ascii="宋体" w:hAnsi="宋体" w:eastAsia="宋体" w:cs="宋体"/>
          <w:color w:val="auto"/>
          <w:sz w:val="24"/>
          <w:szCs w:val="24"/>
          <w:lang w:eastAsia="zh-CN"/>
        </w:rPr>
        <w:t>款约定的责任和内容，为全部现场施工人员办理保险，其费用包含在《工程量清单》项目的工程单价中，发包人不另行支付。</w:t>
      </w:r>
    </w:p>
    <w:p w14:paraId="1686B9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w:t>
      </w:r>
      <w:r>
        <w:rPr>
          <w:rFonts w:hint="eastAsia" w:ascii="宋体" w:hAnsi="宋体" w:eastAsia="宋体" w:cs="宋体"/>
          <w:color w:val="auto"/>
          <w:spacing w:val="-20"/>
          <w:sz w:val="24"/>
          <w:szCs w:val="24"/>
          <w:lang w:eastAsia="zh-CN"/>
        </w:rPr>
        <w:t>安全生产责任保险应由承包人按，根据本合同通用合同条款第20.4款约定的责任和内容办理保险，其保险费用在安全生产措施费中列支，发包人不另行支付。</w:t>
      </w:r>
    </w:p>
    <w:p w14:paraId="4996E3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）施工设备险由承包人负责投保，保险费用包括在施工设备运行费内。</w:t>
      </w:r>
    </w:p>
    <w:p w14:paraId="3CA6817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84" w:name="_Toc24119"/>
      <w:bookmarkStart w:id="1085" w:name="_Toc3918"/>
      <w:bookmarkStart w:id="1086" w:name="_Toc20613"/>
      <w:r>
        <w:rPr>
          <w:rFonts w:hint="eastAsia" w:ascii="宋体" w:hAnsi="宋体" w:eastAsia="宋体" w:cs="宋体"/>
          <w:b/>
          <w:bCs/>
          <w:color w:val="auto"/>
          <w:sz w:val="24"/>
          <w:szCs w:val="24"/>
          <w:lang w:eastAsia="zh-CN"/>
        </w:rPr>
        <w:t>1.13 工程价款支付方法</w:t>
      </w:r>
      <w:bookmarkEnd w:id="1084"/>
      <w:bookmarkEnd w:id="1085"/>
      <w:bookmarkEnd w:id="1086"/>
    </w:p>
    <w:p w14:paraId="5AC2332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1.13.1 单价支付项目</w:t>
      </w:r>
    </w:p>
    <w:p w14:paraId="67317F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除合同另有约定外，承包人在《工程量清单》以单价形式列报的所有工程项目，发包人均按《工程量清单》相应项目的工程单价支付。</w:t>
      </w:r>
    </w:p>
    <w:p w14:paraId="7101392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1.13.2 一般总价支付项目</w:t>
      </w:r>
    </w:p>
    <w:p w14:paraId="56FBAC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除合同另有约定外，承包人在《工程量清单》以总价形式列报的所有工程项目，发包人均按《工程量清单》相应项目（不包括以总价形式列报的预留金额）的总价支付。</w:t>
      </w:r>
    </w:p>
    <w:p w14:paraId="1006F86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1.13.3 特殊约定的总价支付项目</w:t>
      </w:r>
    </w:p>
    <w:p w14:paraId="76746A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）进场费</w:t>
      </w:r>
    </w:p>
    <w:p w14:paraId="6B3102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除合同另有约定外，承包人完成合同项目施工所需人员、施工设备和周转性材料的调遣费用等，均应包含在《工程量清单》项目的工程单价中，发包人不另行支付。</w:t>
      </w:r>
    </w:p>
    <w:p w14:paraId="522F2B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）退场费</w:t>
      </w:r>
    </w:p>
    <w:p w14:paraId="76B35B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除合同另有约定外，工程完工验收后，承包人完工清场，撤退人员、施工设备和周转性材料等所需费用，均应包含在《工程量清单》项目的工程单价中，发包人不另行支付。</w:t>
      </w:r>
    </w:p>
    <w:p w14:paraId="59CD65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）保险费</w:t>
      </w:r>
    </w:p>
    <w:p w14:paraId="37B062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发包人按本章第</w:t>
      </w:r>
      <w:r>
        <w:rPr>
          <w:rFonts w:ascii="Times New Roman" w:hAnsi="Times New Roman" w:eastAsia="Times New Roman" w:cs="Times New Roman"/>
          <w:color w:val="auto"/>
          <w:sz w:val="24"/>
          <w:szCs w:val="24"/>
          <w:lang w:eastAsia="zh-CN"/>
        </w:rPr>
        <w:t>1.12</w:t>
      </w:r>
      <w:r>
        <w:rPr>
          <w:rFonts w:ascii="宋体" w:hAnsi="宋体" w:eastAsia="宋体" w:cs="宋体"/>
          <w:color w:val="auto"/>
          <w:sz w:val="24"/>
          <w:szCs w:val="24"/>
          <w:lang w:eastAsia="zh-CN"/>
        </w:rPr>
        <w:t>款规定以承包人提交保单的金额为限进行支付，且建筑安装工程一切险</w:t>
      </w:r>
      <w:r>
        <w:rPr>
          <w:rFonts w:ascii="宋体" w:hAnsi="宋体" w:eastAsia="宋体" w:cs="宋体"/>
          <w:strike/>
          <w:color w:val="auto"/>
          <w:sz w:val="24"/>
          <w:szCs w:val="24"/>
          <w:lang w:eastAsia="zh-CN"/>
        </w:rPr>
        <w:t>和第三者责任险</w:t>
      </w:r>
      <w:r>
        <w:rPr>
          <w:rFonts w:ascii="宋体" w:hAnsi="宋体" w:eastAsia="宋体" w:cs="宋体"/>
          <w:color w:val="auto"/>
          <w:sz w:val="24"/>
          <w:szCs w:val="24"/>
          <w:lang w:eastAsia="zh-CN"/>
        </w:rPr>
        <w:t>的支付限额不应超过已标价工程量清单中相应项目列报的保险费用。</w:t>
      </w:r>
    </w:p>
    <w:p w14:paraId="04B8A2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）其他费用</w:t>
      </w:r>
    </w:p>
    <w:p w14:paraId="3A4D69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承包人按本章规定完成各项工作所发生的其他费用，均包含在《工程量清单》有关项目的工程单价或总价中，发包人不另行支付。</w:t>
      </w:r>
    </w:p>
    <w:p w14:paraId="46CEA251">
      <w:pPr>
        <w:widowControl w:val="0"/>
        <w:kinsoku/>
        <w:topLinePunct/>
        <w:autoSpaceDE/>
        <w:autoSpaceDN/>
        <w:spacing w:line="520" w:lineRule="exact"/>
        <w:ind w:firstLine="560" w:firstLineChars="200"/>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0035DF5C">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087" w:name="_Toc10150"/>
      <w:bookmarkStart w:id="1088" w:name="_Toc7234"/>
      <w:bookmarkStart w:id="1089" w:name="_Toc8545"/>
      <w:r>
        <w:rPr>
          <w:rFonts w:ascii="Times New Roman" w:hAnsi="Times New Roman" w:eastAsia="Times New Roman" w:cs="Times New Roman"/>
          <w:b/>
          <w:bCs/>
          <w:color w:val="auto"/>
          <w:sz w:val="28"/>
          <w:szCs w:val="28"/>
          <w:lang w:eastAsia="zh-CN"/>
        </w:rPr>
        <w:t>2</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施工临时设施</w:t>
      </w:r>
      <w:bookmarkEnd w:id="1087"/>
      <w:bookmarkEnd w:id="1088"/>
      <w:bookmarkEnd w:id="1089"/>
    </w:p>
    <w:p w14:paraId="2DC68F6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90" w:name="_Toc24541"/>
      <w:bookmarkStart w:id="1091" w:name="_Toc10996"/>
      <w:bookmarkStart w:id="1092" w:name="_Toc7299"/>
      <w:r>
        <w:rPr>
          <w:rFonts w:hint="eastAsia" w:ascii="宋体" w:hAnsi="宋体" w:eastAsia="宋体" w:cs="宋体"/>
          <w:b/>
          <w:bCs/>
          <w:color w:val="auto"/>
          <w:sz w:val="24"/>
          <w:szCs w:val="24"/>
          <w:lang w:eastAsia="zh-CN"/>
        </w:rPr>
        <w:t>2.1 一般规定</w:t>
      </w:r>
      <w:bookmarkEnd w:id="1090"/>
      <w:bookmarkEnd w:id="1091"/>
      <w:bookmarkEnd w:id="1092"/>
    </w:p>
    <w:p w14:paraId="3578717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2.1.1 应用范围</w:t>
      </w:r>
    </w:p>
    <w:p w14:paraId="68A574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工程施工临时设施的设计、施工及其附属设备的采购和配置、安装、运行、维护、管理和拆除等全部工作。其工作项目包括：施工交通、施工场外供电、施工房屋建筑工程、现场施工测量、现场试验、场内施工及生活供电、施工照明、施工及生活供水、施工供风、施工通信、砂石料生产系统、混凝土生产系统、附属加工厂及生产用房、弃渣场以及其他临时设施等。</w:t>
      </w:r>
    </w:p>
    <w:p w14:paraId="2E682C3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2.1.2 承包人责任</w:t>
      </w:r>
    </w:p>
    <w:p w14:paraId="6D75D3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）承包人应负责修建完成本章第</w:t>
      </w:r>
      <w:r>
        <w:rPr>
          <w:rFonts w:ascii="Times New Roman" w:hAnsi="Times New Roman" w:eastAsia="Times New Roman" w:cs="Times New Roman"/>
          <w:color w:val="auto"/>
          <w:sz w:val="24"/>
          <w:szCs w:val="24"/>
          <w:lang w:eastAsia="zh-CN"/>
        </w:rPr>
        <w:t>2.2</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2.4</w:t>
      </w:r>
      <w:r>
        <w:rPr>
          <w:rFonts w:ascii="宋体" w:hAnsi="宋体" w:eastAsia="宋体" w:cs="宋体"/>
          <w:color w:val="auto"/>
          <w:sz w:val="24"/>
          <w:szCs w:val="24"/>
          <w:lang w:eastAsia="zh-CN"/>
        </w:rPr>
        <w:t>款及第</w:t>
      </w:r>
      <w:r>
        <w:rPr>
          <w:rFonts w:ascii="Times New Roman" w:hAnsi="Times New Roman" w:eastAsia="Times New Roman" w:cs="Times New Roman"/>
          <w:color w:val="auto"/>
          <w:sz w:val="24"/>
          <w:szCs w:val="24"/>
          <w:lang w:eastAsia="zh-CN"/>
        </w:rPr>
        <w:t>2.7</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2.14</w:t>
      </w:r>
      <w:r>
        <w:rPr>
          <w:rFonts w:ascii="宋体" w:hAnsi="宋体" w:eastAsia="宋体" w:cs="宋体"/>
          <w:color w:val="auto"/>
          <w:sz w:val="24"/>
          <w:szCs w:val="24"/>
          <w:lang w:eastAsia="zh-CN"/>
        </w:rPr>
        <w:t>款所列的各项施工临时设施，并在各项永久工程建筑物施工前，完成全部施工临时设施及其附属设备的安装和试运行。</w:t>
      </w:r>
    </w:p>
    <w:p w14:paraId="5C4D85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）承包人应按发包人提供的施工交通规划及本章第</w:t>
      </w:r>
      <w:r>
        <w:rPr>
          <w:rFonts w:ascii="Times New Roman" w:hAnsi="Times New Roman" w:eastAsia="Times New Roman" w:cs="Times New Roman"/>
          <w:color w:val="auto"/>
          <w:sz w:val="24"/>
          <w:szCs w:val="24"/>
          <w:lang w:eastAsia="zh-CN"/>
        </w:rPr>
        <w:t>2.2</w:t>
      </w:r>
      <w:r>
        <w:rPr>
          <w:rFonts w:ascii="宋体" w:hAnsi="宋体" w:eastAsia="宋体" w:cs="宋体"/>
          <w:color w:val="auto"/>
          <w:sz w:val="24"/>
          <w:szCs w:val="24"/>
          <w:lang w:eastAsia="zh-CN"/>
        </w:rPr>
        <w:t>款的规定，负责场外公共交通和场内施工临时道路及其交通设施、设备的设计、施工、采购和配置、安装、运行和维护。</w:t>
      </w:r>
    </w:p>
    <w:p w14:paraId="25074C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2.3</w:t>
      </w:r>
      <w:r>
        <w:rPr>
          <w:rFonts w:ascii="宋体" w:hAnsi="宋体" w:eastAsia="宋体" w:cs="宋体"/>
          <w:color w:val="auto"/>
          <w:sz w:val="24"/>
          <w:szCs w:val="24"/>
          <w:lang w:eastAsia="zh-CN"/>
        </w:rPr>
        <w:t>款的规定，负责施工场外供电设施、设备的设计、施工、采购和配置、安装、运行和维护。</w:t>
      </w:r>
    </w:p>
    <w:p w14:paraId="241286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2.4</w:t>
      </w:r>
      <w:r>
        <w:rPr>
          <w:rFonts w:ascii="宋体" w:hAnsi="宋体" w:eastAsia="宋体" w:cs="宋体"/>
          <w:color w:val="auto"/>
          <w:sz w:val="24"/>
          <w:szCs w:val="24"/>
          <w:lang w:eastAsia="zh-CN"/>
        </w:rPr>
        <w:t>款的规定，负责施工房屋建筑工程的规划、布置、设计、施工和维护，并应对现场办公和生活建筑物的使用安全负责。</w:t>
      </w:r>
    </w:p>
    <w:p w14:paraId="75B59B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2.5</w:t>
      </w:r>
      <w:r>
        <w:rPr>
          <w:rFonts w:ascii="宋体" w:hAnsi="宋体" w:eastAsia="宋体" w:cs="宋体"/>
          <w:color w:val="auto"/>
          <w:sz w:val="24"/>
          <w:szCs w:val="24"/>
          <w:lang w:eastAsia="zh-CN"/>
        </w:rPr>
        <w:t>款、第</w:t>
      </w:r>
      <w:r>
        <w:rPr>
          <w:rFonts w:ascii="Times New Roman" w:hAnsi="Times New Roman" w:eastAsia="Times New Roman" w:cs="Times New Roman"/>
          <w:color w:val="auto"/>
          <w:sz w:val="24"/>
          <w:szCs w:val="24"/>
          <w:lang w:eastAsia="zh-CN"/>
        </w:rPr>
        <w:t>2.6</w:t>
      </w:r>
      <w:r>
        <w:rPr>
          <w:rFonts w:ascii="宋体" w:hAnsi="宋体" w:eastAsia="宋体" w:cs="宋体"/>
          <w:color w:val="auto"/>
          <w:sz w:val="24"/>
          <w:szCs w:val="24"/>
          <w:lang w:eastAsia="zh-CN"/>
        </w:rPr>
        <w:t>款的规定，负责本工程的现场施工测量和现场试验工作。并对其提供的测量和试验成果负全部责任。</w:t>
      </w:r>
    </w:p>
    <w:p w14:paraId="5325AF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2.7</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2.10</w:t>
      </w:r>
      <w:r>
        <w:rPr>
          <w:rFonts w:ascii="宋体" w:hAnsi="宋体" w:eastAsia="宋体" w:cs="宋体"/>
          <w:color w:val="auto"/>
          <w:sz w:val="24"/>
          <w:szCs w:val="24"/>
          <w:lang w:eastAsia="zh-CN"/>
        </w:rPr>
        <w:t>款的规定，负责设计和配置场内施工及生活供电、施工照明、供水、供风、通信等施工临时设施。</w:t>
      </w:r>
    </w:p>
    <w:p w14:paraId="67D73B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2.11</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2.14</w:t>
      </w:r>
      <w:r>
        <w:rPr>
          <w:rFonts w:ascii="宋体" w:hAnsi="宋体" w:eastAsia="宋体" w:cs="宋体"/>
          <w:color w:val="auto"/>
          <w:sz w:val="24"/>
          <w:szCs w:val="24"/>
          <w:lang w:eastAsia="zh-CN"/>
        </w:rPr>
        <w:t>款的规定，负责设计、建造、运行和维护砂石料生产系统、混凝土生产系统、附属加工厂及生产用房、弃渣场以及其它临时设施。</w:t>
      </w:r>
    </w:p>
    <w:p w14:paraId="4704E03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2.1.3 主要提交件</w:t>
      </w:r>
    </w:p>
    <w:p w14:paraId="2119AB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承包人应按本技术条款第</w:t>
      </w:r>
      <w:r>
        <w:rPr>
          <w:rFonts w:ascii="Times New Roman" w:hAnsi="Times New Roman" w:eastAsia="Times New Roman" w:cs="Times New Roman"/>
          <w:color w:val="auto"/>
          <w:sz w:val="24"/>
          <w:szCs w:val="24"/>
          <w:lang w:eastAsia="zh-CN"/>
        </w:rPr>
        <w:t>1.4.2</w:t>
      </w:r>
      <w:r>
        <w:rPr>
          <w:rFonts w:ascii="宋体" w:hAnsi="宋体" w:eastAsia="宋体" w:cs="宋体"/>
          <w:color w:val="auto"/>
          <w:sz w:val="24"/>
          <w:szCs w:val="24"/>
          <w:lang w:eastAsia="zh-CN"/>
        </w:rPr>
        <w:t>项，以及批准的施工总布置设计和本章第</w:t>
      </w:r>
      <w:r>
        <w:rPr>
          <w:rFonts w:ascii="Times New Roman" w:hAnsi="Times New Roman" w:eastAsia="Times New Roman" w:cs="Times New Roman"/>
          <w:color w:val="auto"/>
          <w:spacing w:val="-20"/>
          <w:sz w:val="24"/>
          <w:szCs w:val="24"/>
          <w:lang w:eastAsia="zh-CN"/>
        </w:rPr>
        <w:t>2.2</w:t>
      </w:r>
      <w:r>
        <w:rPr>
          <w:rFonts w:ascii="宋体" w:hAnsi="宋体" w:eastAsia="宋体" w:cs="宋体"/>
          <w:color w:val="auto"/>
          <w:spacing w:val="-20"/>
          <w:sz w:val="24"/>
          <w:szCs w:val="24"/>
          <w:lang w:eastAsia="zh-CN"/>
        </w:rPr>
        <w:t>～</w:t>
      </w:r>
      <w:r>
        <w:rPr>
          <w:rFonts w:ascii="Times New Roman" w:hAnsi="Times New Roman" w:eastAsia="Times New Roman" w:cs="Times New Roman"/>
          <w:color w:val="auto"/>
          <w:spacing w:val="-20"/>
          <w:sz w:val="24"/>
          <w:szCs w:val="24"/>
          <w:lang w:eastAsia="zh-CN"/>
        </w:rPr>
        <w:t>2.4</w:t>
      </w:r>
      <w:r>
        <w:rPr>
          <w:rFonts w:ascii="宋体" w:hAnsi="宋体" w:eastAsia="宋体" w:cs="宋体"/>
          <w:color w:val="auto"/>
          <w:sz w:val="24"/>
          <w:szCs w:val="24"/>
          <w:lang w:eastAsia="zh-CN"/>
        </w:rPr>
        <w:t>款及第</w:t>
      </w:r>
      <w:r>
        <w:rPr>
          <w:rFonts w:ascii="Times New Roman" w:hAnsi="Times New Roman" w:eastAsia="Times New Roman" w:cs="Times New Roman"/>
          <w:color w:val="auto"/>
          <w:sz w:val="24"/>
          <w:szCs w:val="24"/>
          <w:lang w:eastAsia="zh-CN"/>
        </w:rPr>
        <w:t>2.7</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2.14</w:t>
      </w:r>
      <w:r>
        <w:rPr>
          <w:rFonts w:ascii="宋体" w:hAnsi="宋体" w:eastAsia="宋体" w:cs="宋体"/>
          <w:color w:val="auto"/>
          <w:sz w:val="24"/>
          <w:szCs w:val="24"/>
          <w:lang w:eastAsia="zh-CN"/>
        </w:rPr>
        <w:t>款的规定，编制各项施工临时设施的设计文件，提交监理人批准。其内容包括：</w:t>
      </w:r>
    </w:p>
    <w:p w14:paraId="70CC26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）施工临时设施布置图。</w:t>
      </w:r>
    </w:p>
    <w:p w14:paraId="62DB71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）施工工艺流程和（或）施工程序说明。</w:t>
      </w:r>
    </w:p>
    <w:p w14:paraId="179459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）安全和环境保护措施。</w:t>
      </w:r>
    </w:p>
    <w:p w14:paraId="312FC9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）施工期运行管理方式。</w:t>
      </w:r>
    </w:p>
    <w:p w14:paraId="115805B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2.1.4 引用标准</w:t>
      </w:r>
    </w:p>
    <w:p w14:paraId="78E086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）《生活饮用水卫生标准》（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5749-2022</w:t>
      </w:r>
      <w:r>
        <w:rPr>
          <w:rFonts w:ascii="宋体" w:hAnsi="宋体" w:eastAsia="宋体" w:cs="宋体"/>
          <w:color w:val="auto"/>
          <w:sz w:val="24"/>
          <w:szCs w:val="24"/>
          <w:lang w:eastAsia="zh-CN"/>
        </w:rPr>
        <w:t>）。</w:t>
      </w:r>
    </w:p>
    <w:p w14:paraId="588C96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）《水工建筑物地下开挖工程施工规范》（</w:t>
      </w:r>
      <w:r>
        <w:rPr>
          <w:rFonts w:hint="eastAsia" w:ascii="Times New Roman" w:hAnsi="Times New Roman" w:eastAsia="宋体" w:cs="Times New Roman"/>
          <w:color w:val="auto"/>
          <w:sz w:val="24"/>
          <w:szCs w:val="24"/>
          <w:lang w:eastAsia="zh-CN"/>
        </w:rPr>
        <w:t xml:space="preserve"> SL 378-2007</w:t>
      </w:r>
      <w:r>
        <w:rPr>
          <w:rFonts w:ascii="宋体" w:hAnsi="宋体" w:eastAsia="宋体" w:cs="宋体"/>
          <w:color w:val="auto"/>
          <w:sz w:val="24"/>
          <w:szCs w:val="24"/>
          <w:lang w:eastAsia="zh-CN"/>
        </w:rPr>
        <w:t>）。</w:t>
      </w:r>
    </w:p>
    <w:p w14:paraId="2486FE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）《水利水电工程施工组织设计规范》（</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w:t>
      </w:r>
    </w:p>
    <w:p w14:paraId="69DA9C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）《水利水电工程施工测量规范》（</w:t>
      </w:r>
      <w:r>
        <w:rPr>
          <w:rFonts w:hint="eastAsia" w:ascii="Times New Roman" w:hAnsi="Times New Roman" w:eastAsia="宋体" w:cs="Times New Roman"/>
          <w:color w:val="auto"/>
          <w:sz w:val="24"/>
          <w:szCs w:val="24"/>
          <w:lang w:eastAsia="zh-CN"/>
        </w:rPr>
        <w:t>SL 52-2015</w:t>
      </w:r>
      <w:r>
        <w:rPr>
          <w:rFonts w:ascii="宋体" w:hAnsi="宋体" w:eastAsia="宋体" w:cs="宋体"/>
          <w:color w:val="auto"/>
          <w:sz w:val="24"/>
          <w:szCs w:val="24"/>
          <w:lang w:eastAsia="zh-CN"/>
        </w:rPr>
        <w:t>）。</w:t>
      </w:r>
    </w:p>
    <w:p w14:paraId="02ADB20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93" w:name="_Toc21104"/>
      <w:bookmarkStart w:id="1094" w:name="_Toc11463"/>
      <w:bookmarkStart w:id="1095" w:name="_Toc22521"/>
      <w:r>
        <w:rPr>
          <w:rFonts w:hint="eastAsia" w:ascii="宋体" w:hAnsi="宋体" w:eastAsia="宋体" w:cs="宋体"/>
          <w:b/>
          <w:bCs/>
          <w:color w:val="auto"/>
          <w:sz w:val="24"/>
          <w:szCs w:val="24"/>
          <w:lang w:eastAsia="zh-CN"/>
        </w:rPr>
        <w:t>2.2 施工交通</w:t>
      </w:r>
      <w:bookmarkEnd w:id="1093"/>
      <w:bookmarkEnd w:id="1094"/>
      <w:bookmarkEnd w:id="1095"/>
    </w:p>
    <w:p w14:paraId="5C93248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 场内施工道路</w:t>
      </w:r>
    </w:p>
    <w:p w14:paraId="13EE6B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本合同约定由发包人提供的施工道路外，承包人应负责修建本合同施工区内自发包人提供的道路至各施工点的全部施工道路、桥涵、交通隧道和停车场，并在合同实施期间负责管理和维护（包括管理和维护发包人提供的施工道路）。</w:t>
      </w:r>
    </w:p>
    <w:p w14:paraId="3C9A222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2.2.2 场外公共交通</w:t>
      </w:r>
    </w:p>
    <w:p w14:paraId="001D42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承包人应按本合同通用合同条款第</w:t>
      </w:r>
      <w:r>
        <w:rPr>
          <w:rFonts w:ascii="Times New Roman" w:hAnsi="Times New Roman" w:eastAsia="Times New Roman" w:cs="Times New Roman"/>
          <w:color w:val="auto"/>
          <w:sz w:val="24"/>
          <w:szCs w:val="24"/>
          <w:lang w:eastAsia="zh-CN"/>
        </w:rPr>
        <w:t>7.3</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7.5</w:t>
      </w:r>
      <w:r>
        <w:rPr>
          <w:rFonts w:ascii="宋体" w:hAnsi="宋体" w:eastAsia="宋体" w:cs="宋体"/>
          <w:color w:val="auto"/>
          <w:sz w:val="24"/>
          <w:szCs w:val="24"/>
          <w:lang w:eastAsia="zh-CN"/>
        </w:rPr>
        <w:t>款的规定执行。</w:t>
      </w:r>
    </w:p>
    <w:p w14:paraId="7D7AFD2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96" w:name="_Toc6225"/>
      <w:bookmarkStart w:id="1097" w:name="_Toc22165"/>
      <w:bookmarkStart w:id="1098" w:name="_Toc24275"/>
      <w:r>
        <w:rPr>
          <w:rFonts w:hint="eastAsia" w:ascii="宋体" w:hAnsi="宋体" w:eastAsia="宋体" w:cs="宋体"/>
          <w:b/>
          <w:bCs/>
          <w:color w:val="auto"/>
          <w:sz w:val="24"/>
          <w:szCs w:val="24"/>
          <w:lang w:eastAsia="zh-CN"/>
        </w:rPr>
        <w:t>2.3 施工场外供电</w:t>
      </w:r>
      <w:bookmarkEnd w:id="1096"/>
      <w:bookmarkEnd w:id="1097"/>
      <w:bookmarkEnd w:id="1098"/>
    </w:p>
    <w:p w14:paraId="724EAF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除合同另有约定外，承包人应负责从施工场外现有电网接入的一切手续，包括接入设施、设备的设计、施工、采购和配置、安装、运行和维护，并向接口归属部门缴纳电费。</w:t>
      </w:r>
    </w:p>
    <w:p w14:paraId="4FB3F83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099" w:name="_Toc24654"/>
      <w:bookmarkStart w:id="1100" w:name="_Toc703"/>
      <w:bookmarkStart w:id="1101" w:name="_Toc31871"/>
      <w:r>
        <w:rPr>
          <w:rFonts w:hint="eastAsia" w:ascii="宋体" w:hAnsi="宋体" w:eastAsia="宋体" w:cs="宋体"/>
          <w:b/>
          <w:bCs/>
          <w:color w:val="auto"/>
          <w:sz w:val="24"/>
          <w:szCs w:val="24"/>
          <w:lang w:eastAsia="zh-CN"/>
        </w:rPr>
        <w:t>2.4 施工房屋建筑工程</w:t>
      </w:r>
      <w:bookmarkEnd w:id="1099"/>
      <w:bookmarkEnd w:id="1100"/>
      <w:bookmarkEnd w:id="1101"/>
    </w:p>
    <w:p w14:paraId="464662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施工房屋建筑工程是指工程在建设过程中建造的临时房屋，包括施工仓库，办公、生活及文化福利建筑及所需的配套设施工程。其中施工仓库，指为施工而临时兴建的设备、材料、工器具等仓库建筑工程；办公、生活及文化福利建筑，指承包人、发包人、监理人及设计代表在工程建设期所需的办公室、宿舍和其他文化福利设施等房屋建筑工程。</w:t>
      </w:r>
    </w:p>
    <w:p w14:paraId="154245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临时房屋建筑工程不包括列入临时设施和其他临时工程项目内的风、水、电、通信系统，砂石料系统，混凝土拌和系统及浇筑系统，木工、钢筋、机修等辅助工厂，混凝土预制构件厂，混凝土制冷、供热系统，施工排水等生产用房。</w:t>
      </w:r>
    </w:p>
    <w:p w14:paraId="2A6894A1">
      <w:pPr>
        <w:widowControl w:val="0"/>
        <w:kinsoku/>
        <w:topLinePunct/>
        <w:autoSpaceDE/>
        <w:autoSpaceDN/>
        <w:spacing w:line="520" w:lineRule="exact"/>
        <w:jc w:val="both"/>
        <w:outlineLvl w:val="3"/>
        <w:rPr>
          <w:rFonts w:hint="eastAsia" w:ascii="宋体" w:hAnsi="宋体" w:eastAsia="宋体" w:cs="宋体"/>
          <w:b/>
          <w:bCs/>
          <w:color w:val="auto"/>
          <w:sz w:val="24"/>
          <w:szCs w:val="24"/>
        </w:rPr>
      </w:pPr>
      <w:r>
        <w:rPr>
          <w:rFonts w:hint="eastAsia" w:ascii="宋体" w:hAnsi="宋体" w:eastAsia="宋体" w:cs="宋体"/>
          <w:b/>
          <w:bCs/>
          <w:color w:val="auto"/>
          <w:sz w:val="24"/>
          <w:szCs w:val="24"/>
        </w:rPr>
        <w:t>2.4.1</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rPr>
        <w:t>承包人自建施工房屋建筑</w:t>
      </w:r>
    </w:p>
    <w:p w14:paraId="091AA4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）除合同另有约定外，承包人应负责其施工需要的临时房屋建筑工程的设计、建造及其设备的采购、安装、管理和维护等。</w:t>
      </w:r>
    </w:p>
    <w:p w14:paraId="5E193B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）承包人应在收到开工通知后的</w:t>
      </w:r>
      <w:r>
        <w:rPr>
          <w:rFonts w:hint="eastAsia" w:ascii="宋体" w:hAnsi="宋体" w:eastAsia="宋体" w:cs="宋体"/>
          <w:color w:val="auto"/>
          <w:sz w:val="24"/>
          <w:szCs w:val="24"/>
          <w:u w:val="single"/>
          <w:lang w:eastAsia="zh-CN"/>
        </w:rPr>
        <w:t xml:space="preserve"> 14 </w:t>
      </w:r>
      <w:r>
        <w:rPr>
          <w:rFonts w:ascii="宋体" w:hAnsi="宋体" w:eastAsia="宋体" w:cs="宋体"/>
          <w:color w:val="auto"/>
          <w:sz w:val="24"/>
          <w:szCs w:val="24"/>
          <w:lang w:eastAsia="zh-CN"/>
        </w:rPr>
        <w:t>天内，按发包人批准的施工规划总布置，向监理人编制一份临时房屋建筑工程的布置和房屋建筑物设计的图纸和文件提交监理人批准。</w:t>
      </w:r>
    </w:p>
    <w:p w14:paraId="0905A4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）除合同另有约定外，储存炸药、雷管和油料等特殊材料仓库应按监理人批准的地点进行布置和修建，并应严格遵守国家有关安全管理的规定。</w:t>
      </w:r>
    </w:p>
    <w:p w14:paraId="38973C7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 发包人提供临时房屋建筑</w:t>
      </w:r>
    </w:p>
    <w:p w14:paraId="1CF7E1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发包人可将已建成的办公管理和生活房屋建筑及其设施提供给承包人使用。具体管理办法由发包人和承包人另行签订协议。</w:t>
      </w:r>
    </w:p>
    <w:p w14:paraId="6C92A26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02" w:name="_Toc11775"/>
      <w:bookmarkStart w:id="1103" w:name="_Toc10467"/>
      <w:bookmarkStart w:id="1104" w:name="_Toc7025"/>
      <w:r>
        <w:rPr>
          <w:rFonts w:hint="eastAsia" w:ascii="宋体" w:hAnsi="宋体" w:eastAsia="宋体" w:cs="宋体"/>
          <w:b/>
          <w:bCs/>
          <w:color w:val="auto"/>
          <w:sz w:val="24"/>
          <w:szCs w:val="24"/>
          <w:lang w:eastAsia="zh-CN"/>
        </w:rPr>
        <w:t>2.5 现场施工测量</w:t>
      </w:r>
      <w:bookmarkEnd w:id="1102"/>
      <w:bookmarkEnd w:id="1103"/>
      <w:bookmarkEnd w:id="1104"/>
    </w:p>
    <w:p w14:paraId="506DE8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承包人应按本合同通用合同条款第</w:t>
      </w:r>
      <w:r>
        <w:rPr>
          <w:rFonts w:ascii="Times New Roman" w:hAnsi="Times New Roman" w:eastAsia="Times New Roman" w:cs="Times New Roman"/>
          <w:color w:val="auto"/>
          <w:sz w:val="24"/>
          <w:szCs w:val="24"/>
          <w:lang w:eastAsia="zh-CN"/>
        </w:rPr>
        <w:t>8.1</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8.4</w:t>
      </w:r>
      <w:r>
        <w:rPr>
          <w:rFonts w:ascii="宋体" w:hAnsi="宋体" w:eastAsia="宋体" w:cs="宋体"/>
          <w:color w:val="auto"/>
          <w:sz w:val="24"/>
          <w:szCs w:val="24"/>
          <w:lang w:eastAsia="zh-CN"/>
        </w:rPr>
        <w:t>款的规定执行。</w:t>
      </w:r>
    </w:p>
    <w:p w14:paraId="237EF823">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05" w:name="_Toc25840"/>
      <w:bookmarkStart w:id="1106" w:name="_Toc27730"/>
      <w:bookmarkStart w:id="1107" w:name="_Toc22100"/>
      <w:r>
        <w:rPr>
          <w:rFonts w:hint="eastAsia" w:ascii="宋体" w:hAnsi="宋体" w:eastAsia="宋体" w:cs="宋体"/>
          <w:b/>
          <w:bCs/>
          <w:color w:val="auto"/>
          <w:sz w:val="24"/>
          <w:szCs w:val="24"/>
          <w:lang w:eastAsia="zh-CN"/>
        </w:rPr>
        <w:t>2.6 现场试验</w:t>
      </w:r>
      <w:bookmarkEnd w:id="1105"/>
      <w:bookmarkEnd w:id="1106"/>
      <w:bookmarkEnd w:id="1107"/>
    </w:p>
    <w:p w14:paraId="59020F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承包人应按本合同通用合同条款第</w:t>
      </w:r>
      <w:r>
        <w:rPr>
          <w:rFonts w:ascii="Times New Roman" w:hAnsi="Times New Roman" w:eastAsia="Times New Roman" w:cs="Times New Roman"/>
          <w:color w:val="auto"/>
          <w:sz w:val="24"/>
          <w:szCs w:val="24"/>
          <w:lang w:eastAsia="zh-CN"/>
        </w:rPr>
        <w:t>14.2</w:t>
      </w:r>
      <w:r>
        <w:rPr>
          <w:rFonts w:ascii="宋体" w:hAnsi="宋体" w:eastAsia="宋体" w:cs="宋体"/>
          <w:color w:val="auto"/>
          <w:sz w:val="24"/>
          <w:szCs w:val="24"/>
          <w:lang w:eastAsia="zh-CN"/>
        </w:rPr>
        <w:t>款、第</w:t>
      </w:r>
      <w:r>
        <w:rPr>
          <w:rFonts w:ascii="Times New Roman" w:hAnsi="Times New Roman" w:eastAsia="Times New Roman" w:cs="Times New Roman"/>
          <w:color w:val="auto"/>
          <w:sz w:val="24"/>
          <w:szCs w:val="24"/>
          <w:lang w:eastAsia="zh-CN"/>
        </w:rPr>
        <w:t>14.3</w:t>
      </w:r>
      <w:r>
        <w:rPr>
          <w:rFonts w:ascii="宋体" w:hAnsi="宋体" w:eastAsia="宋体" w:cs="宋体"/>
          <w:color w:val="auto"/>
          <w:sz w:val="24"/>
          <w:szCs w:val="24"/>
          <w:lang w:eastAsia="zh-CN"/>
        </w:rPr>
        <w:t>款的规定执行。</w:t>
      </w:r>
    </w:p>
    <w:p w14:paraId="3F2561C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08" w:name="_Toc7980"/>
      <w:bookmarkStart w:id="1109" w:name="_Toc10976"/>
      <w:bookmarkStart w:id="1110" w:name="_Toc25095"/>
      <w:r>
        <w:rPr>
          <w:rFonts w:hint="eastAsia" w:ascii="宋体" w:hAnsi="宋体" w:eastAsia="宋体" w:cs="宋体"/>
          <w:b/>
          <w:bCs/>
          <w:color w:val="auto"/>
          <w:sz w:val="24"/>
          <w:szCs w:val="24"/>
          <w:lang w:eastAsia="zh-CN"/>
        </w:rPr>
        <w:t>2.7 场内施工及生活供电、施工照明</w:t>
      </w:r>
      <w:bookmarkEnd w:id="1108"/>
      <w:bookmarkEnd w:id="1109"/>
      <w:bookmarkEnd w:id="1110"/>
    </w:p>
    <w:p w14:paraId="1824C0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）承包人应负责设计、施工、采购、安装、调试、管理和维修由发包人施工电源输出端或场外电网的接口处至所有施工区和生活区的输电线路、配电所及其全部配电装置和功率补偿装置。</w:t>
      </w:r>
    </w:p>
    <w:p w14:paraId="54EC35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负责设计、施工、采购、安装、管理和维修其工程所有施工作业区、办公区和生活区以及相关的道路、桥涵、交通隧道（包括施工支洞）在内的施工区照明线路和照明设施。各地下洞室施工作业区照明度应符合《水工建筑物地下开挖工程施工规范》（</w:t>
      </w:r>
      <w:r>
        <w:rPr>
          <w:rFonts w:hint="eastAsia" w:ascii="Times New Roman" w:hAnsi="Times New Roman" w:eastAsia="宋体" w:cs="Times New Roman"/>
          <w:color w:val="auto"/>
          <w:sz w:val="24"/>
          <w:szCs w:val="24"/>
          <w:lang w:eastAsia="zh-CN"/>
        </w:rPr>
        <w:t xml:space="preserve"> SL 378-2007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12.3.10</w:t>
      </w:r>
      <w:r>
        <w:rPr>
          <w:rFonts w:ascii="宋体" w:hAnsi="宋体" w:eastAsia="宋体" w:cs="宋体"/>
          <w:color w:val="auto"/>
          <w:sz w:val="24"/>
          <w:szCs w:val="24"/>
          <w:lang w:eastAsia="zh-CN"/>
        </w:rPr>
        <w:t>条的规定。</w:t>
      </w:r>
    </w:p>
    <w:p w14:paraId="04D770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为其出现停电事故后急需恢复用电的重要工程部位（如地下工程照明和排水、基坑抽水、补救中断的混凝土浇筑、混凝土温控冷却水、办公和生活区的安全照明等）配备一定容量的事故备用电源，为紧急供电之用。</w:t>
      </w:r>
    </w:p>
    <w:p w14:paraId="57FEFA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）承包人应按监理人指示，为进入现场工作的其他承包人施工和生活用电提供方便。</w:t>
      </w:r>
    </w:p>
    <w:p w14:paraId="6BD7229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11" w:name="_Toc20760"/>
      <w:bookmarkStart w:id="1112" w:name="_Toc16202"/>
      <w:bookmarkStart w:id="1113" w:name="_Toc6706"/>
      <w:r>
        <w:rPr>
          <w:rFonts w:hint="eastAsia" w:ascii="宋体" w:hAnsi="宋体" w:eastAsia="宋体" w:cs="宋体"/>
          <w:b/>
          <w:bCs/>
          <w:color w:val="auto"/>
          <w:sz w:val="24"/>
          <w:szCs w:val="24"/>
          <w:lang w:eastAsia="zh-CN"/>
        </w:rPr>
        <w:t>2.8 施工供水</w:t>
      </w:r>
      <w:bookmarkEnd w:id="1111"/>
      <w:bookmarkEnd w:id="1112"/>
      <w:bookmarkEnd w:id="1113"/>
    </w:p>
    <w:p w14:paraId="3757CB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）承包人应按合同约定，在发包人指定取水点取水，负责提供本合同工程的施工和生活用水，其供水系统的总供水能力应不小于</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m</w:t>
      </w:r>
      <w:r>
        <w:rPr>
          <w:rFonts w:hint="eastAsia" w:ascii="宋体" w:hAnsi="宋体" w:eastAsia="宋体" w:cs="宋体"/>
          <w:color w:val="auto"/>
          <w:sz w:val="24"/>
          <w:szCs w:val="24"/>
          <w:vertAlign w:val="superscript"/>
          <w:lang w:eastAsia="zh-CN"/>
        </w:rPr>
        <w:t>3</w:t>
      </w:r>
      <w:r>
        <w:rPr>
          <w:rFonts w:hint="eastAsia" w:ascii="宋体" w:hAnsi="宋体" w:eastAsia="宋体" w:cs="宋体"/>
          <w:color w:val="auto"/>
          <w:sz w:val="24"/>
          <w:szCs w:val="24"/>
          <w:lang w:eastAsia="zh-CN"/>
        </w:rPr>
        <w:t>/d</w:t>
      </w:r>
      <w:r>
        <w:rPr>
          <w:rFonts w:ascii="宋体" w:hAnsi="宋体" w:eastAsia="宋体" w:cs="宋体"/>
          <w:color w:val="auto"/>
          <w:sz w:val="24"/>
          <w:szCs w:val="24"/>
          <w:lang w:eastAsia="zh-CN"/>
        </w:rPr>
        <w:t>，水质应符合《生活饮用水卫生标准》（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5749-2022</w:t>
      </w:r>
      <w:r>
        <w:rPr>
          <w:rFonts w:ascii="宋体" w:hAnsi="宋体" w:eastAsia="宋体" w:cs="宋体"/>
          <w:color w:val="auto"/>
          <w:sz w:val="24"/>
          <w:szCs w:val="24"/>
          <w:lang w:eastAsia="zh-CN"/>
        </w:rPr>
        <w:t>）有关的规定。</w:t>
      </w:r>
    </w:p>
    <w:p w14:paraId="3E2CD8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）承包人应按本合同施工总布置的要求，负责设计、施工、采购、安装、管理和维修其施工区和生活区的供水系统，包括修建为保证正常供水的引水、储水和水处理设施等。</w:t>
      </w:r>
    </w:p>
    <w:p w14:paraId="596D2E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负责向发包人和监理人提供现场办公和生活用水，包括引向发包人和监理人办公地点和生活区的引水、储水和水处理设施及其设备、设施的施工、安装和日常维修等工作。上述供水设施建设和日常供水费用包括在供水项目的总价内。</w:t>
      </w:r>
    </w:p>
    <w:p w14:paraId="4C8F79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）为进入现场的其他承包人提供施工和生活用水方便，具体提供措施和收费办法由双方协商确定。</w:t>
      </w:r>
    </w:p>
    <w:p w14:paraId="372CC26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14" w:name="_Toc15131"/>
      <w:bookmarkStart w:id="1115" w:name="_Toc20360"/>
      <w:bookmarkStart w:id="1116" w:name="_Toc22043"/>
      <w:r>
        <w:rPr>
          <w:rFonts w:hint="eastAsia" w:ascii="宋体" w:hAnsi="宋体" w:eastAsia="宋体" w:cs="宋体"/>
          <w:b/>
          <w:bCs/>
          <w:color w:val="auto"/>
          <w:sz w:val="24"/>
          <w:szCs w:val="24"/>
          <w:lang w:eastAsia="zh-CN"/>
        </w:rPr>
        <w:t>2.9 施工供风</w:t>
      </w:r>
      <w:bookmarkEnd w:id="1114"/>
      <w:bookmarkEnd w:id="1115"/>
      <w:bookmarkEnd w:id="1116"/>
    </w:p>
    <w:p w14:paraId="4B2BD8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承包人应负责提供本合同工程所需的施工供风，包括负责施工供风系统的设计、建造、运行管理和维护。</w:t>
      </w:r>
    </w:p>
    <w:p w14:paraId="6C28AD9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17" w:name="_Toc18480"/>
      <w:bookmarkStart w:id="1118" w:name="_Toc3792"/>
      <w:bookmarkStart w:id="1119" w:name="_Toc4503"/>
      <w:r>
        <w:rPr>
          <w:rFonts w:hint="eastAsia" w:ascii="宋体" w:hAnsi="宋体" w:eastAsia="宋体" w:cs="宋体"/>
          <w:b/>
          <w:bCs/>
          <w:color w:val="auto"/>
          <w:sz w:val="24"/>
          <w:szCs w:val="24"/>
          <w:lang w:eastAsia="zh-CN"/>
        </w:rPr>
        <w:t>2.10 施工通信</w:t>
      </w:r>
      <w:bookmarkEnd w:id="1117"/>
      <w:bookmarkEnd w:id="1118"/>
      <w:bookmarkEnd w:id="1119"/>
    </w:p>
    <w:p w14:paraId="6F99B0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）除合同另有约定外，承包人应自行负责从施工场外现有通信系统接入的一切手续，包括接入设施、设备的设计、施工、采购和配置、安装、运行和维护，并向接入归属部门缴纳通信费用。</w:t>
      </w:r>
    </w:p>
    <w:p w14:paraId="761D0B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）承包人应自行负责设计、施工、采购、安装、管理和维修其施工现场内部的通信服务设施。承包人应为发包人和其他承包人使用其内部通信设施提供方便。</w:t>
      </w:r>
    </w:p>
    <w:p w14:paraId="533C444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20" w:name="_Toc30822"/>
      <w:bookmarkStart w:id="1121" w:name="_Toc8548"/>
      <w:bookmarkStart w:id="1122" w:name="_Toc14916"/>
      <w:r>
        <w:rPr>
          <w:rFonts w:hint="eastAsia" w:ascii="宋体" w:hAnsi="宋体" w:eastAsia="宋体" w:cs="宋体"/>
          <w:b/>
          <w:bCs/>
          <w:color w:val="auto"/>
          <w:sz w:val="24"/>
          <w:szCs w:val="24"/>
          <w:lang w:eastAsia="zh-CN"/>
        </w:rPr>
        <w:t>2.11 砂石料生产系统</w:t>
      </w:r>
      <w:bookmarkEnd w:id="1120"/>
      <w:bookmarkEnd w:id="1121"/>
      <w:bookmarkEnd w:id="1122"/>
    </w:p>
    <w:p w14:paraId="4A14886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2.11.1 承包人自建砂石料生产系统</w:t>
      </w:r>
    </w:p>
    <w:p w14:paraId="10C18F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）承包人应负责提供本合同工程施工所需的全部砂石料，并负责砂石料生产系统的设计和施工以及开采加工设备的采购、安装、调试、运行、管理和维护。</w:t>
      </w:r>
    </w:p>
    <w:p w14:paraId="6CB51C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）承包人应按批准的施工进度计划和各种砂石料和土料的需用量确定各项加工设备的生产能力和规模，进行加工、储存和供料平衡，并应满足高峰用量的要求。</w:t>
      </w:r>
    </w:p>
    <w:p w14:paraId="7B118E9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2.11.2 承包人市场采购砂石料</w:t>
      </w:r>
    </w:p>
    <w:p w14:paraId="6B9737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）承包人应负责提供本合同工程施工所需的全部砂石料，并负责砂石料的选择、采购、运输、储存和保管等。</w:t>
      </w:r>
    </w:p>
    <w:p w14:paraId="233545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）承包人应按批准的施工进度计划和各种砂石料和土料的需用量确定市场采购计划，充分进行市场调查完善采购渠道，满足高峰用量的要求。所购砂石料质量需满足设计和相关规范的要求。</w:t>
      </w:r>
    </w:p>
    <w:p w14:paraId="4DB667A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2.11.3 发包人提供砂石料</w:t>
      </w:r>
    </w:p>
    <w:p w14:paraId="69B35C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发包人</w:t>
      </w:r>
      <w:r>
        <w:rPr>
          <w:rFonts w:hint="eastAsia" w:ascii="宋体" w:hAnsi="宋体" w:eastAsia="宋体" w:cs="宋体"/>
          <w:color w:val="auto"/>
          <w:sz w:val="24"/>
          <w:szCs w:val="24"/>
          <w:lang w:eastAsia="zh-CN"/>
        </w:rPr>
        <w:t>不</w:t>
      </w:r>
      <w:r>
        <w:rPr>
          <w:rFonts w:ascii="宋体" w:hAnsi="宋体" w:eastAsia="宋体" w:cs="宋体"/>
          <w:color w:val="auto"/>
          <w:sz w:val="24"/>
          <w:szCs w:val="24"/>
          <w:lang w:eastAsia="zh-CN"/>
        </w:rPr>
        <w:t>提供砂石料</w:t>
      </w:r>
      <w:r>
        <w:rPr>
          <w:rFonts w:hint="eastAsia" w:ascii="宋体" w:hAnsi="宋体" w:eastAsia="宋体" w:cs="宋体"/>
          <w:color w:val="auto"/>
          <w:sz w:val="24"/>
          <w:szCs w:val="24"/>
          <w:lang w:eastAsia="zh-CN"/>
        </w:rPr>
        <w:t>。</w:t>
      </w:r>
    </w:p>
    <w:p w14:paraId="20FC8E0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23" w:name="_Toc15225"/>
      <w:bookmarkStart w:id="1124" w:name="_Toc7922"/>
      <w:bookmarkStart w:id="1125" w:name="_Toc26623"/>
      <w:r>
        <w:rPr>
          <w:rFonts w:hint="eastAsia" w:ascii="宋体" w:hAnsi="宋体" w:eastAsia="宋体" w:cs="宋体"/>
          <w:b/>
          <w:bCs/>
          <w:color w:val="auto"/>
          <w:sz w:val="24"/>
          <w:szCs w:val="24"/>
          <w:lang w:eastAsia="zh-CN"/>
        </w:rPr>
        <w:t>2.12 混凝土生产系统</w:t>
      </w:r>
      <w:bookmarkEnd w:id="1123"/>
      <w:bookmarkEnd w:id="1124"/>
      <w:bookmarkEnd w:id="1125"/>
    </w:p>
    <w:p w14:paraId="13E15CB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2.12.1 承包人自建混凝土生产系统</w:t>
      </w:r>
    </w:p>
    <w:p w14:paraId="47ADA3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若合同约定，由承包人自建混凝土生产系统，则承包人应按批准的施工总布置规划，进行混凝土生产系统（包括混凝土骨料储存系统）的设计和施工（包括场地的开挖、回填与平整）、混凝土浇注设备和设施的采购、安装、调试、运行管理和维修，以及混凝土骨料储存和混凝土的拌和、运输等。承包人的混凝土生产系统还应做好场地排水和弃渣处理，以及防止污染环境等措施。</w:t>
      </w:r>
    </w:p>
    <w:p w14:paraId="6B7898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）承包人应按施工图纸和本合同技术条款规定的温控要求，负责混凝土制冷（热）系统的设计和施工，并负责制冷（热）设备的采购、安装、调试、运行管理和维修。</w:t>
      </w:r>
    </w:p>
    <w:p w14:paraId="0C6EB3B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2.12.2 承包人购买商品混凝土</w:t>
      </w:r>
    </w:p>
    <w:p w14:paraId="0DF26B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若合同约定，由承包人购买商品混凝土，则承包人负责商品混凝土的采购、运输、储存等，以及防止污染环境等措施。所购混凝土质量需满足设计和相关规范的要求，择优选择，并配合监理对混凝土进行相关检验等。</w:t>
      </w:r>
    </w:p>
    <w:p w14:paraId="281A66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）承包人应按施工图纸和本合同技术条款规定的温控要求，负责混凝土制冷（热）系统的设计和施工，并负责制冷（热）设备的采购、安装、调试、运行管理和维修等。</w:t>
      </w:r>
    </w:p>
    <w:p w14:paraId="17CEB66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2.12.3 发包人供应混凝土</w:t>
      </w:r>
    </w:p>
    <w:p w14:paraId="703735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略</w:t>
      </w:r>
    </w:p>
    <w:p w14:paraId="10FFD0F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2.13 附属加工厂及生产用房</w:t>
      </w:r>
    </w:p>
    <w:p w14:paraId="40FFA6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承包人应按批准的施工总进度和施工图纸的要求，修建以下附属加工厂及生产用房，并在各工厂设施及生产用房施工前，将附属加工厂设施及生产用房的设计文件提交监理人批准。</w:t>
      </w:r>
    </w:p>
    <w:p w14:paraId="2A9FE3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）钢筋加工厂。</w:t>
      </w:r>
    </w:p>
    <w:p w14:paraId="52E5ED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）木材加工厂。</w:t>
      </w:r>
    </w:p>
    <w:p w14:paraId="59C6B4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）混凝土构件预制工厂。</w:t>
      </w:r>
    </w:p>
    <w:p w14:paraId="37075E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）机械修配工厂。</w:t>
      </w:r>
    </w:p>
    <w:p w14:paraId="30B1EF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）汽车保养站。</w:t>
      </w:r>
    </w:p>
    <w:p w14:paraId="354B40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）压力钢管和钢结构加工厂（包括预装配场地）。</w:t>
      </w:r>
    </w:p>
    <w:p w14:paraId="2307CA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）风、水、电、通信系统，砂石料系统，混凝土拌和系统及浇筑系统，混凝土预制构件厂，混凝土制冷、供热系统，施工排水等生产用房。</w:t>
      </w:r>
    </w:p>
    <w:p w14:paraId="7CFAEA9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26" w:name="_Toc28280"/>
      <w:bookmarkStart w:id="1127" w:name="_Toc31766"/>
      <w:bookmarkStart w:id="1128" w:name="_Toc3344"/>
      <w:r>
        <w:rPr>
          <w:rFonts w:hint="eastAsia" w:ascii="宋体" w:hAnsi="宋体" w:eastAsia="宋体" w:cs="宋体"/>
          <w:b/>
          <w:bCs/>
          <w:color w:val="auto"/>
          <w:sz w:val="24"/>
          <w:szCs w:val="24"/>
          <w:lang w:eastAsia="zh-CN"/>
        </w:rPr>
        <w:t>2.14 弃渣场</w:t>
      </w:r>
      <w:bookmarkEnd w:id="1126"/>
      <w:bookmarkEnd w:id="1127"/>
      <w:bookmarkEnd w:id="1128"/>
    </w:p>
    <w:p w14:paraId="41077D53">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本工程发包人提供弃渣场。</w:t>
      </w:r>
    </w:p>
    <w:p w14:paraId="575FAF6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29" w:name="_Toc11374"/>
      <w:bookmarkStart w:id="1130" w:name="_Toc14943"/>
      <w:bookmarkStart w:id="1131" w:name="_Toc30901"/>
      <w:r>
        <w:rPr>
          <w:rFonts w:hint="eastAsia" w:ascii="宋体" w:hAnsi="宋体" w:eastAsia="宋体" w:cs="宋体"/>
          <w:b/>
          <w:bCs/>
          <w:color w:val="auto"/>
          <w:sz w:val="24"/>
          <w:szCs w:val="24"/>
          <w:lang w:eastAsia="zh-CN"/>
        </w:rPr>
        <w:t>2.15 计量和支付</w:t>
      </w:r>
      <w:bookmarkEnd w:id="1129"/>
      <w:bookmarkEnd w:id="1130"/>
      <w:bookmarkEnd w:id="1131"/>
    </w:p>
    <w:p w14:paraId="0CD8922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2.15.1 施工交通工程</w:t>
      </w:r>
    </w:p>
    <w:p w14:paraId="6B6BC1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）除合同另有约定外，承包人根据合同要求完成场内施工道路的建设和施工期的管理维护工作所需的费用，由发包人按《工程量清单》相应项目的工程单价或总价支付。</w:t>
      </w:r>
    </w:p>
    <w:p w14:paraId="1FED20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）场外公共交通的费用，除合同约定由发包人为场外公共交通修建和（或）维护的临时设施外，承包人在施工场地外的一切交通费用，均由承包人自行承担，发包人不另行支付。</w:t>
      </w:r>
    </w:p>
    <w:p w14:paraId="671140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）承包人承担的超大、超重件的运输费用，均由承包人自行负责，发包人不另行支付。超大、超重件的尺寸或重量超出合同约定的限度时，增加的费用由发包人承担。</w:t>
      </w:r>
    </w:p>
    <w:p w14:paraId="1BDEA6A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2.15.2 施工场外供电工程</w:t>
      </w:r>
    </w:p>
    <w:p w14:paraId="47ABDB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除合同另有约定外，承包人根据合同要求完成施工场外供电设备设施的建设和施工期的管理维护工作所需的费用，由发包人按《工程量清单》相应项目的工程单价或总价支付。</w:t>
      </w:r>
    </w:p>
    <w:p w14:paraId="2715D1EF">
      <w:pPr>
        <w:widowControl w:val="0"/>
        <w:kinsoku/>
        <w:topLinePunct/>
        <w:autoSpaceDE/>
        <w:autoSpaceDN/>
        <w:spacing w:line="520" w:lineRule="exact"/>
        <w:jc w:val="both"/>
        <w:outlineLvl w:val="3"/>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2.15.3</w:t>
      </w:r>
      <w:r>
        <w:rPr>
          <w:rFonts w:hint="eastAsia" w:ascii="Times New Roman" w:hAnsi="Times New Roman" w:eastAsia="宋体" w:cs="Times New Roman"/>
          <w:color w:val="auto"/>
          <w:sz w:val="24"/>
          <w:szCs w:val="24"/>
          <w:lang w:eastAsia="zh-CN"/>
        </w:rPr>
        <w:t xml:space="preserve"> </w:t>
      </w:r>
      <w:r>
        <w:rPr>
          <w:rFonts w:ascii="宋体" w:hAnsi="宋体" w:eastAsia="宋体" w:cs="宋体"/>
          <w:color w:val="auto"/>
          <w:sz w:val="24"/>
          <w:szCs w:val="24"/>
          <w:lang w:eastAsia="zh-CN"/>
        </w:rPr>
        <w:t>施工房屋建筑工程</w:t>
      </w:r>
    </w:p>
    <w:p w14:paraId="0B238F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除合同另有约定外，承包人根据合同要求或施工需要完成的临时房屋的建设、移设、维护管理和拆除工作所需的费用，由发包人按《工程量清单》相应项目的工程单价或总价支付。</w:t>
      </w:r>
    </w:p>
    <w:p w14:paraId="6E5333E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2.15.4 其他临时工程</w:t>
      </w:r>
    </w:p>
    <w:p w14:paraId="08FA1E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）现场施工测量</w:t>
      </w:r>
    </w:p>
    <w:p w14:paraId="7E796C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现场施工测量（包括根据合同约定由承包人测设的施工控制网、工程施工阶段的全部施工测量放样工作等）所需费用，包含在《工程量清单》项目的工程单价中，发包人不另行支付。</w:t>
      </w:r>
    </w:p>
    <w:p w14:paraId="1353E7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）现场试验</w:t>
      </w:r>
    </w:p>
    <w:p w14:paraId="14F771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）现场室内试验</w:t>
      </w:r>
    </w:p>
    <w:p w14:paraId="73B737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除合同另有约定外，承包人现场试验室的建设费用，均包含在《工程量清单》项目的工程单价中，发包人不另行支付。</w:t>
      </w:r>
    </w:p>
    <w:p w14:paraId="56EBAB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）现场工艺试验</w:t>
      </w:r>
    </w:p>
    <w:p w14:paraId="2A277E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除合同另有约定外，现场工艺试验所需费用，均包含在《工程量清单》项目的工程单价中，发包人不另行支付。</w:t>
      </w:r>
    </w:p>
    <w:p w14:paraId="4826E1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）现场生产性试验</w:t>
      </w:r>
    </w:p>
    <w:p w14:paraId="169CCB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除合同约定的大型现场生产性试验项目由发包人按《工程量清单》所列项目的总价支付外，其他各项生产性试验费用均包含在《工程量清单》相应项目的工程单价或总价中，发包人不另行支付。</w:t>
      </w:r>
    </w:p>
    <w:p w14:paraId="1840E9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）场内施工及生活供电设施、施工照明设施</w:t>
      </w:r>
    </w:p>
    <w:p w14:paraId="0D5B01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除合同另有约定外，承包人根据合同要求完成场内施工及生活用电设施、施工照明设施的建设、移设和拆除工作所需的费用，包含在《工程量清单》相应项目的工程单价或总价中，发包人不另行支付。</w:t>
      </w:r>
    </w:p>
    <w:p w14:paraId="776444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）施工及生活供水设施</w:t>
      </w:r>
    </w:p>
    <w:p w14:paraId="5CAB40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除合同另有约定外，承包人根据合同要求完成施工及生活供水设施的建设、移设和拆除工作所需的费用，包含在《工程量清单》相应项目的工程单价或总价中，发包人不另行支付。</w:t>
      </w:r>
    </w:p>
    <w:p w14:paraId="30E367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）施工供风设施</w:t>
      </w:r>
    </w:p>
    <w:p w14:paraId="1F075D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除合同另有约定外，承包人根据合同要求完成施工供风设施的建设、移设和拆除工作所需的费用，包含在《工程量清单》相应项目的工程单价或总价中，发包人不另行支付。</w:t>
      </w:r>
    </w:p>
    <w:p w14:paraId="7894AE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）施工通信</w:t>
      </w:r>
    </w:p>
    <w:p w14:paraId="7AF31F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除合同另有约定外，承包人根据合同要求完成现场施工通信设施的建设、移设、维护管理和拆除工作所需的全部费用，包含在《工程量清单》相应项目的工程单价或总价中，发包人不另行支付。</w:t>
      </w:r>
    </w:p>
    <w:p w14:paraId="5C14DD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）砂石料生产系统</w:t>
      </w:r>
    </w:p>
    <w:p w14:paraId="2783CF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除合同另有约定外，承包人根据合同要求完成砂石料生产系统的建设和拆除工作所需的费用，包含在《工程量清单》相应项目的工程单价或总价中，发包人不另行支付。</w:t>
      </w:r>
    </w:p>
    <w:p w14:paraId="06AFB5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）混凝土生产系统</w:t>
      </w:r>
    </w:p>
    <w:p w14:paraId="1DC888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除合同另有约定外，承包人根据合同要求完成混凝土生产系统的建设和拆除工作所需的费用，包含在《工程量清单》相应项目的工程单价或总价中，发包人不另行支付。</w:t>
      </w:r>
    </w:p>
    <w:p w14:paraId="311653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）附属加工厂及生产用房</w:t>
      </w:r>
    </w:p>
    <w:p w14:paraId="4091E8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除合同另有约定外，承包人根据合同要求完成附属加工厂的建设、维护管理和拆除工作所需的费用，包含在《工程量清单》相应项目的工程单价或总价中，发包人不另行支付。</w:t>
      </w:r>
    </w:p>
    <w:p w14:paraId="388301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除合同另有约定外，各生产用房的建设、维护管理和拆除工作所需的费用，包含在各相应项目的工程单价或总价中，发包人不另行支付。</w:t>
      </w:r>
    </w:p>
    <w:p w14:paraId="14E7BC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）存料场</w:t>
      </w:r>
    </w:p>
    <w:p w14:paraId="1944F2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除合同另有约定外，承包人根据合同要求完成存料场的建设、维护管理和拆除工作所需的费用，包含在《工程量清单》相应项目的工程单价或总价中，发包人不另行支付。</w:t>
      </w:r>
    </w:p>
    <w:p w14:paraId="051EBD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）弃渣场</w:t>
      </w:r>
    </w:p>
    <w:p w14:paraId="07670A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p w14:paraId="171803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）其他临时设施</w:t>
      </w:r>
    </w:p>
    <w:p w14:paraId="0F5752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未列入《工程量清单》的其他临时设施，承包人根据合同要求完成这些设施的建设、移置、维护管理和拆除工作所需的费用，包含在相应永久工程项目的工程单价或总价中，发包人不另行支付。</w:t>
      </w:r>
    </w:p>
    <w:p w14:paraId="240D6F55">
      <w:pPr>
        <w:widowControl w:val="0"/>
        <w:kinsoku/>
        <w:topLinePunct/>
        <w:autoSpaceDE/>
        <w:autoSpaceDN/>
        <w:spacing w:line="520" w:lineRule="exact"/>
        <w:ind w:firstLine="560" w:firstLineChars="200"/>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3274C77A">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132" w:name="_Toc18494"/>
      <w:bookmarkStart w:id="1133" w:name="_Toc13481"/>
      <w:bookmarkStart w:id="1134" w:name="_Toc15234"/>
      <w:r>
        <w:rPr>
          <w:rFonts w:ascii="Times New Roman" w:hAnsi="Times New Roman" w:eastAsia="Times New Roman" w:cs="Times New Roman"/>
          <w:b/>
          <w:bCs/>
          <w:color w:val="auto"/>
          <w:sz w:val="28"/>
          <w:szCs w:val="28"/>
          <w:lang w:eastAsia="zh-CN"/>
        </w:rPr>
        <w:t>3</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施工安全文明措施</w:t>
      </w:r>
      <w:bookmarkEnd w:id="1132"/>
      <w:bookmarkEnd w:id="1133"/>
      <w:bookmarkEnd w:id="1134"/>
    </w:p>
    <w:p w14:paraId="4515649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35" w:name="_Toc17306"/>
      <w:bookmarkStart w:id="1136" w:name="_Toc11518"/>
      <w:bookmarkStart w:id="1137" w:name="_Toc22067"/>
      <w:r>
        <w:rPr>
          <w:rFonts w:hint="eastAsia" w:ascii="宋体" w:hAnsi="宋体" w:eastAsia="宋体" w:cs="宋体"/>
          <w:b/>
          <w:bCs/>
          <w:color w:val="auto"/>
          <w:sz w:val="24"/>
          <w:szCs w:val="24"/>
          <w:lang w:eastAsia="zh-CN"/>
        </w:rPr>
        <w:t>3.1 一般规定</w:t>
      </w:r>
      <w:bookmarkEnd w:id="1135"/>
      <w:bookmarkEnd w:id="1136"/>
      <w:bookmarkEnd w:id="1137"/>
    </w:p>
    <w:p w14:paraId="60C1DE4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3.1.1 应用范围</w:t>
      </w:r>
    </w:p>
    <w:p w14:paraId="087A5F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本章适用于水利工程施工现场的文明施工及施工安全管理工作等，包括建设文明标化工地，作业环境安全保护，施工安全监测、视频监控、施工安全的防控及应急救援措施等。</w:t>
      </w:r>
    </w:p>
    <w:p w14:paraId="59AFAE4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3.1.2 承包人责任</w:t>
      </w:r>
    </w:p>
    <w:p w14:paraId="43BE04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）承包人应按本合同通用合同条款第</w:t>
      </w:r>
      <w:r>
        <w:rPr>
          <w:rFonts w:ascii="Times New Roman" w:hAnsi="Times New Roman" w:eastAsia="Times New Roman" w:cs="Times New Roman"/>
          <w:color w:val="auto"/>
          <w:sz w:val="24"/>
          <w:szCs w:val="24"/>
          <w:lang w:eastAsia="zh-CN"/>
        </w:rPr>
        <w:t>9.2</w:t>
      </w:r>
      <w:r>
        <w:rPr>
          <w:rFonts w:ascii="宋体" w:hAnsi="宋体" w:eastAsia="宋体" w:cs="宋体"/>
          <w:color w:val="auto"/>
          <w:sz w:val="24"/>
          <w:szCs w:val="24"/>
          <w:lang w:eastAsia="zh-CN"/>
        </w:rPr>
        <w:t>款的约定和《水利水电工程施工通用安全技术规程》（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）的规定等履行其文明施工和安全施工职责，对本工程的文明施工和施工安全负责。</w:t>
      </w:r>
    </w:p>
    <w:p w14:paraId="6BB054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坚持“安全第一，预防为主，综合治理”的方针，建立、健全安全生产责任制度，制定各项安全生产规章制度和操作规程，建立完善的施工安全生产设施，健全安全生产保证体系，加强监督管理，切实保障全体人员的生命和财产安全。</w:t>
      </w:r>
    </w:p>
    <w:p w14:paraId="66AB6F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）承包人应加强对职工进行施工安全教育，应按本章第</w:t>
      </w:r>
      <w:r>
        <w:rPr>
          <w:rFonts w:ascii="Times New Roman" w:hAnsi="Times New Roman" w:eastAsia="Times New Roman" w:cs="Times New Roman"/>
          <w:color w:val="auto"/>
          <w:sz w:val="24"/>
          <w:szCs w:val="24"/>
          <w:lang w:eastAsia="zh-CN"/>
        </w:rPr>
        <w:t>3.2</w:t>
      </w:r>
      <w:r>
        <w:rPr>
          <w:rFonts w:ascii="宋体" w:hAnsi="宋体" w:eastAsia="宋体" w:cs="宋体"/>
          <w:color w:val="auto"/>
          <w:sz w:val="24"/>
          <w:szCs w:val="24"/>
          <w:lang w:eastAsia="zh-CN"/>
        </w:rPr>
        <w:t>款规定的内容，编印安全保护手册发给全体职工。工人上岗前应进行安全操作的培训和考核。合格者才准上岗。</w:t>
      </w:r>
    </w:p>
    <w:p w14:paraId="59E6C7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）承包人必须遵守国家颁布的有关安全规程。若承包人责任区内发生重大安全事故时，承包人应立即报告发包人，并在事故发生后</w:t>
      </w:r>
      <w:r>
        <w:rPr>
          <w:rFonts w:ascii="Times New Roman" w:hAnsi="Times New Roman" w:eastAsia="Times New Roman" w:cs="Times New Roman"/>
          <w:color w:val="auto"/>
          <w:sz w:val="24"/>
          <w:szCs w:val="24"/>
          <w:u w:val="single"/>
          <w:lang w:eastAsia="zh-CN"/>
        </w:rPr>
        <w:t>12</w:t>
      </w:r>
      <w:r>
        <w:rPr>
          <w:rFonts w:ascii="宋体" w:hAnsi="宋体" w:eastAsia="宋体" w:cs="宋体"/>
          <w:color w:val="auto"/>
          <w:sz w:val="24"/>
          <w:szCs w:val="24"/>
          <w:u w:val="single"/>
          <w:lang w:eastAsia="zh-CN"/>
        </w:rPr>
        <w:t>～</w:t>
      </w:r>
      <w:r>
        <w:rPr>
          <w:rFonts w:ascii="Times New Roman" w:hAnsi="Times New Roman" w:eastAsia="Times New Roman" w:cs="Times New Roman"/>
          <w:color w:val="auto"/>
          <w:sz w:val="24"/>
          <w:szCs w:val="24"/>
          <w:u w:val="single"/>
          <w:lang w:eastAsia="zh-CN"/>
        </w:rPr>
        <w:t>24</w:t>
      </w:r>
      <w:r>
        <w:rPr>
          <w:rFonts w:ascii="宋体" w:hAnsi="宋体" w:eastAsia="宋体" w:cs="宋体"/>
          <w:color w:val="auto"/>
          <w:sz w:val="24"/>
          <w:szCs w:val="24"/>
          <w:lang w:eastAsia="zh-CN"/>
        </w:rPr>
        <w:t>小时内提交事故情况的书面报告。</w:t>
      </w:r>
    </w:p>
    <w:p w14:paraId="05848E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）承包人应为施工作业人员配置必需的劳动保护用品。承包人应对其施工安全措施不到位而发生的安全事故承担责任。</w:t>
      </w:r>
    </w:p>
    <w:p w14:paraId="494D55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）承包人应负责全部施工作业的安全检查，建立专门的安全检查机构，配备专职的安检人员，进行经常性的安全生产检查，并及时作好安全记录。</w:t>
      </w:r>
    </w:p>
    <w:p w14:paraId="36D1A9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承包人应按相关规定和合同要求积极建设文明施工标准化工地建设，安全文明施工、安全文明标化工地建设应满足主管部门相关规定及发包人要求，同时接受主管部门日常监督检查和指导，把建设活动贯穿工程质量、安全、进度管理等全过程，切实加强施工现场安全文明标准化建设和管理。</w:t>
      </w:r>
    </w:p>
    <w:p w14:paraId="2453367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3.1.3 主要提交件</w:t>
      </w:r>
    </w:p>
    <w:p w14:paraId="275DC3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）承包人应在本工程开工前</w:t>
      </w:r>
      <w:r>
        <w:rPr>
          <w:rFonts w:hint="eastAsia" w:ascii="宋体" w:hAnsi="宋体" w:eastAsia="宋体" w:cs="宋体"/>
          <w:color w:val="auto"/>
          <w:sz w:val="24"/>
          <w:szCs w:val="24"/>
          <w:u w:val="single"/>
          <w:lang w:eastAsia="zh-CN"/>
        </w:rPr>
        <w:t xml:space="preserve"> 7 </w:t>
      </w:r>
      <w:r>
        <w:rPr>
          <w:rFonts w:ascii="宋体" w:hAnsi="宋体" w:eastAsia="宋体" w:cs="宋体"/>
          <w:color w:val="auto"/>
          <w:sz w:val="24"/>
          <w:szCs w:val="24"/>
          <w:lang w:eastAsia="zh-CN"/>
        </w:rPr>
        <w:t>天，编制一份文明施工及建设标化工地措施计划，提交监理人批准。</w:t>
      </w:r>
    </w:p>
    <w:p w14:paraId="5311D1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）承包人应在本工程开工前</w:t>
      </w:r>
      <w:r>
        <w:rPr>
          <w:rFonts w:hint="eastAsia" w:ascii="宋体" w:hAnsi="宋体" w:eastAsia="宋体" w:cs="宋体"/>
          <w:color w:val="auto"/>
          <w:sz w:val="24"/>
          <w:szCs w:val="24"/>
          <w:u w:val="single"/>
          <w:lang w:eastAsia="zh-CN"/>
        </w:rPr>
        <w:t xml:space="preserve"> 7 </w:t>
      </w:r>
      <w:r>
        <w:rPr>
          <w:rFonts w:ascii="宋体" w:hAnsi="宋体" w:eastAsia="宋体" w:cs="宋体"/>
          <w:color w:val="auto"/>
          <w:sz w:val="24"/>
          <w:szCs w:val="24"/>
          <w:lang w:eastAsia="zh-CN"/>
        </w:rPr>
        <w:t>天，根据《中华人民共和国安全生产法》、《中华人民共和国消防法》、《中华人民共和国道路交通安全法》、《中华人民共和国传染病防治法》、《水利工程建设安全生产管理规定》、《</w:t>
      </w:r>
      <w:r>
        <w:fldChar w:fldCharType="begin"/>
      </w:r>
      <w:r>
        <w:rPr>
          <w:lang w:eastAsia="zh-CN"/>
        </w:rPr>
        <w:instrText xml:space="preserve">HYPERLINK "http://baike.soso.com/v178940.htm?ch=ch.bk.innerlink"</w:instrText>
      </w:r>
      <w:r>
        <w:fldChar w:fldCharType="separate"/>
      </w:r>
      <w:r>
        <w:rPr>
          <w:rFonts w:ascii="宋体" w:hAnsi="宋体" w:eastAsia="宋体" w:cs="宋体"/>
          <w:color w:val="auto"/>
          <w:sz w:val="24"/>
          <w:szCs w:val="24"/>
          <w:lang w:eastAsia="zh-CN"/>
        </w:rPr>
        <w:t>浙江省水利</w:t>
      </w:r>
      <w:r>
        <w:fldChar w:fldCharType="end"/>
      </w:r>
      <w:r>
        <w:fldChar w:fldCharType="begin"/>
      </w:r>
      <w:r>
        <w:instrText xml:space="preserve"> HYPERLINK "http://baike.soso.com/v178940.htm?ch=ch.bk.innerlink" </w:instrText>
      </w:r>
      <w:r>
        <w:fldChar w:fldCharType="separate"/>
      </w:r>
      <w:r>
        <w:rPr>
          <w:rFonts w:ascii="宋体" w:hAnsi="宋体" w:eastAsia="宋体" w:cs="宋体"/>
          <w:color w:val="auto"/>
          <w:sz w:val="24"/>
          <w:szCs w:val="24"/>
          <w:lang w:eastAsia="zh-CN"/>
        </w:rPr>
        <w:t>工程施工安全生产工作导则</w:t>
      </w:r>
      <w:r>
        <w:rPr>
          <w:rFonts w:ascii="宋体" w:hAnsi="宋体" w:eastAsia="宋体" w:cs="宋体"/>
          <w:color w:val="auto"/>
          <w:sz w:val="24"/>
          <w:szCs w:val="24"/>
          <w:lang w:eastAsia="zh-CN"/>
        </w:rPr>
        <w:fldChar w:fldCharType="end"/>
      </w:r>
      <w:r>
        <w:rPr>
          <w:rFonts w:ascii="宋体" w:hAnsi="宋体" w:eastAsia="宋体" w:cs="宋体"/>
          <w:color w:val="auto"/>
          <w:sz w:val="24"/>
          <w:szCs w:val="24"/>
          <w:lang w:eastAsia="zh-CN"/>
        </w:rPr>
        <w:t>》、《浙江省水利工程视频监控系统建设技术规程（试行）》（浙水信〔</w:t>
      </w:r>
      <w:r>
        <w:rPr>
          <w:rFonts w:ascii="Times New Roman" w:hAnsi="Times New Roman" w:eastAsia="Times New Roman" w:cs="Times New Roman"/>
          <w:color w:val="auto"/>
          <w:sz w:val="24"/>
          <w:szCs w:val="24"/>
          <w:lang w:eastAsia="zh-CN"/>
        </w:rPr>
        <w:t>2016</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号）等国家行业和地方有关法规，以及本章第</w:t>
      </w:r>
      <w:r>
        <w:rPr>
          <w:rFonts w:ascii="Times New Roman" w:hAnsi="Times New Roman" w:eastAsia="Times New Roman" w:cs="Times New Roman"/>
          <w:color w:val="auto"/>
          <w:sz w:val="24"/>
          <w:szCs w:val="24"/>
          <w:lang w:eastAsia="zh-CN"/>
        </w:rPr>
        <w:t>3.2.1</w:t>
      </w:r>
      <w:r>
        <w:rPr>
          <w:rFonts w:ascii="宋体" w:hAnsi="宋体" w:eastAsia="宋体" w:cs="宋体"/>
          <w:color w:val="auto"/>
          <w:sz w:val="24"/>
          <w:szCs w:val="24"/>
          <w:lang w:eastAsia="zh-CN"/>
        </w:rPr>
        <w:t>项规定的内容和要求，编制一份施工安全措施计划，提交监理人批准。</w:t>
      </w:r>
    </w:p>
    <w:p w14:paraId="6D9FD3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在每年、每季和每月的进度报告中，按本章规定的各项安全工作内容，详细说明本工程安全措施计划的实施情况，包括对重大危险源和事故隐患分析、评估、监控和整改，以及按规定的格式提交安全检查和事故处理记录。</w:t>
      </w:r>
    </w:p>
    <w:p w14:paraId="278D3C5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3.1.4 引用的法律法规</w:t>
      </w:r>
    </w:p>
    <w:p w14:paraId="704F7E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）《水利工程建设安全生产管理规定》。</w:t>
      </w:r>
    </w:p>
    <w:p w14:paraId="34BA08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）《安全技术措施计划的项目总名称表》。</w:t>
      </w:r>
    </w:p>
    <w:p w14:paraId="5FD8CC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）《中华人民共和国道路交通安全法》。</w:t>
      </w:r>
    </w:p>
    <w:p w14:paraId="1B22FF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）《中华人民共和国安全生产法》。</w:t>
      </w:r>
    </w:p>
    <w:p w14:paraId="28B8E3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）《中华人民共和国消防法》。</w:t>
      </w:r>
    </w:p>
    <w:p w14:paraId="57FB8A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）《中华人民共和国传染病防治法实施办法》。</w:t>
      </w:r>
    </w:p>
    <w:p w14:paraId="67FF04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）《中华人民共和国食品卫生法》。</w:t>
      </w:r>
    </w:p>
    <w:p w14:paraId="3D676A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）《中华人民共和国劳动法》。</w:t>
      </w:r>
    </w:p>
    <w:p w14:paraId="436929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w:t>
      </w:r>
      <w:r>
        <w:fldChar w:fldCharType="begin"/>
      </w:r>
      <w:r>
        <w:rPr>
          <w:lang w:eastAsia="zh-CN"/>
        </w:rPr>
        <w:instrText xml:space="preserve">HYPERLINK "http://baike.soso.com/v178940.htm?ch=ch.bk.innerlink"</w:instrText>
      </w:r>
      <w:r>
        <w:fldChar w:fldCharType="separate"/>
      </w:r>
      <w:r>
        <w:rPr>
          <w:rFonts w:ascii="宋体" w:hAnsi="宋体" w:eastAsia="宋体" w:cs="宋体"/>
          <w:color w:val="auto"/>
          <w:sz w:val="24"/>
          <w:szCs w:val="24"/>
          <w:lang w:eastAsia="zh-CN"/>
        </w:rPr>
        <w:t>浙江省安全生产条例</w:t>
      </w:r>
      <w:r>
        <w:fldChar w:fldCharType="end"/>
      </w:r>
      <w:r>
        <w:rPr>
          <w:rFonts w:ascii="宋体" w:hAnsi="宋体" w:eastAsia="宋体" w:cs="宋体"/>
          <w:color w:val="auto"/>
          <w:sz w:val="24"/>
          <w:szCs w:val="24"/>
          <w:lang w:eastAsia="zh-CN"/>
        </w:rPr>
        <w:t>》。</w:t>
      </w:r>
    </w:p>
    <w:p w14:paraId="3477CB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w:t>
      </w:r>
      <w:r>
        <w:fldChar w:fldCharType="begin"/>
      </w:r>
      <w:r>
        <w:rPr>
          <w:lang w:eastAsia="zh-CN"/>
        </w:rPr>
        <w:instrText xml:space="preserve">HYPERLINK "http://baike.soso.com/v178940.htm?ch=ch.bk.innerlink"</w:instrText>
      </w:r>
      <w:r>
        <w:fldChar w:fldCharType="separate"/>
      </w:r>
      <w:r>
        <w:rPr>
          <w:rFonts w:ascii="宋体" w:hAnsi="宋体" w:eastAsia="宋体" w:cs="宋体"/>
          <w:color w:val="auto"/>
          <w:sz w:val="24"/>
          <w:szCs w:val="24"/>
          <w:lang w:eastAsia="zh-CN"/>
        </w:rPr>
        <w:t>浙江省水利工程施工安全生产工作导则</w:t>
      </w:r>
      <w:r>
        <w:fldChar w:fldCharType="end"/>
      </w:r>
      <w:r>
        <w:rPr>
          <w:rFonts w:ascii="宋体" w:hAnsi="宋体" w:eastAsia="宋体" w:cs="宋体"/>
          <w:color w:val="auto"/>
          <w:sz w:val="24"/>
          <w:szCs w:val="24"/>
          <w:lang w:eastAsia="zh-CN"/>
        </w:rPr>
        <w:t>》。</w:t>
      </w:r>
    </w:p>
    <w:p w14:paraId="72BBE53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3.1.5 引用标准</w:t>
      </w:r>
    </w:p>
    <w:p w14:paraId="2D54EF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）《爆破安全规程》（</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6722</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2014</w:t>
      </w:r>
      <w:r>
        <w:rPr>
          <w:rFonts w:ascii="宋体" w:hAnsi="宋体" w:eastAsia="宋体" w:cs="宋体"/>
          <w:color w:val="auto"/>
          <w:sz w:val="24"/>
          <w:szCs w:val="24"/>
          <w:lang w:eastAsia="zh-CN"/>
        </w:rPr>
        <w:t>）。</w:t>
      </w:r>
    </w:p>
    <w:p w14:paraId="2E66ACE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）《安全标志及其使用导则》（</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2894</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2008</w:t>
      </w:r>
      <w:r>
        <w:rPr>
          <w:rFonts w:ascii="宋体" w:hAnsi="宋体" w:eastAsia="宋体" w:cs="宋体"/>
          <w:color w:val="auto"/>
          <w:sz w:val="24"/>
          <w:szCs w:val="24"/>
          <w:lang w:eastAsia="zh-CN"/>
        </w:rPr>
        <w:t>）。</w:t>
      </w:r>
    </w:p>
    <w:p w14:paraId="340464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2007</w:t>
      </w:r>
      <w:r>
        <w:rPr>
          <w:rFonts w:ascii="宋体" w:hAnsi="宋体" w:eastAsia="宋体" w:cs="宋体"/>
          <w:color w:val="auto"/>
          <w:sz w:val="24"/>
          <w:szCs w:val="24"/>
          <w:lang w:eastAsia="zh-CN"/>
        </w:rPr>
        <w:t>）。</w:t>
      </w:r>
    </w:p>
    <w:p w14:paraId="278B88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）《水利水电工程机电设备安装安全技术规程》（</w:t>
      </w:r>
      <w:r>
        <w:rPr>
          <w:rFonts w:hint="eastAsia" w:ascii="Times New Roman" w:hAnsi="Times New Roman" w:eastAsia="宋体" w:cs="Times New Roman"/>
          <w:color w:val="auto"/>
          <w:sz w:val="24"/>
          <w:szCs w:val="24"/>
          <w:lang w:eastAsia="zh-CN"/>
        </w:rPr>
        <w:t>SL 400-2016</w:t>
      </w:r>
      <w:r>
        <w:rPr>
          <w:rFonts w:ascii="宋体" w:hAnsi="宋体" w:eastAsia="宋体" w:cs="宋体"/>
          <w:color w:val="auto"/>
          <w:sz w:val="24"/>
          <w:szCs w:val="24"/>
          <w:lang w:eastAsia="zh-CN"/>
        </w:rPr>
        <w:t>）。</w:t>
      </w:r>
    </w:p>
    <w:p w14:paraId="2F0ADB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）《水工建筑物地下开挖工程施工规范》（</w:t>
      </w:r>
      <w:r>
        <w:rPr>
          <w:rFonts w:hint="eastAsia" w:ascii="Times New Roman" w:hAnsi="Times New Roman" w:eastAsia="宋体" w:cs="Times New Roman"/>
          <w:color w:val="auto"/>
          <w:sz w:val="24"/>
          <w:szCs w:val="24"/>
          <w:lang w:eastAsia="zh-CN"/>
        </w:rPr>
        <w:t xml:space="preserve"> SL 378-2007</w:t>
      </w:r>
      <w:r>
        <w:rPr>
          <w:rFonts w:ascii="宋体" w:hAnsi="宋体" w:eastAsia="宋体" w:cs="宋体"/>
          <w:color w:val="auto"/>
          <w:sz w:val="24"/>
          <w:szCs w:val="24"/>
          <w:lang w:eastAsia="zh-CN"/>
        </w:rPr>
        <w:t>）。</w:t>
      </w:r>
    </w:p>
    <w:p w14:paraId="4EA16F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）《水利水电工程施工安全管理导则》（</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721</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2015</w:t>
      </w:r>
      <w:r>
        <w:rPr>
          <w:rFonts w:ascii="宋体" w:hAnsi="宋体" w:eastAsia="宋体" w:cs="宋体"/>
          <w:color w:val="auto"/>
          <w:sz w:val="24"/>
          <w:szCs w:val="24"/>
          <w:lang w:eastAsia="zh-CN"/>
        </w:rPr>
        <w:t>）。</w:t>
      </w:r>
    </w:p>
    <w:p w14:paraId="2231D1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）《水利水电工程施工安全防护设施技术规范》（</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714</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2015</w:t>
      </w:r>
      <w:r>
        <w:rPr>
          <w:rFonts w:ascii="宋体" w:hAnsi="宋体" w:eastAsia="宋体" w:cs="宋体"/>
          <w:color w:val="auto"/>
          <w:sz w:val="24"/>
          <w:szCs w:val="24"/>
          <w:lang w:eastAsia="zh-CN"/>
        </w:rPr>
        <w:t>）。</w:t>
      </w:r>
    </w:p>
    <w:p w14:paraId="6C45E7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）《水利水电工程土建施工安全技术规程》（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399</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2007</w:t>
      </w:r>
      <w:r>
        <w:rPr>
          <w:rFonts w:ascii="宋体" w:hAnsi="宋体" w:eastAsia="宋体" w:cs="宋体"/>
          <w:color w:val="auto"/>
          <w:sz w:val="24"/>
          <w:szCs w:val="24"/>
          <w:lang w:eastAsia="zh-CN"/>
        </w:rPr>
        <w:t>）。</w:t>
      </w:r>
    </w:p>
    <w:p w14:paraId="50E19E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）《水利水电工程施工作业人员安全操作规程》（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401</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2007</w:t>
      </w:r>
      <w:r>
        <w:rPr>
          <w:rFonts w:ascii="宋体" w:hAnsi="宋体" w:eastAsia="宋体" w:cs="宋体"/>
          <w:color w:val="auto"/>
          <w:sz w:val="24"/>
          <w:szCs w:val="24"/>
          <w:lang w:eastAsia="zh-CN"/>
        </w:rPr>
        <w:t>）。</w:t>
      </w:r>
    </w:p>
    <w:p w14:paraId="7A8449BE">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w:t>
      </w:r>
      <w:r>
        <w:rPr>
          <w:rFonts w:ascii="宋体" w:hAnsi="宋体" w:eastAsia="宋体" w:cs="宋体"/>
          <w:color w:val="auto"/>
          <w:spacing w:val="20"/>
          <w:sz w:val="24"/>
          <w:szCs w:val="24"/>
          <w:lang w:eastAsia="zh-CN"/>
        </w:rPr>
        <w:t>《浙江省水利工程视频监控系统建设技术规程（试行）》（浙水信</w:t>
      </w:r>
      <w:r>
        <w:rPr>
          <w:rFonts w:ascii="微软雅黑" w:hAnsi="微软雅黑" w:eastAsia="微软雅黑" w:cs="微软雅黑"/>
          <w:color w:val="auto"/>
          <w:spacing w:val="20"/>
          <w:sz w:val="24"/>
          <w:szCs w:val="24"/>
          <w:lang w:eastAsia="zh-CN"/>
        </w:rPr>
        <w:t>〔</w:t>
      </w:r>
      <w:r>
        <w:rPr>
          <w:rFonts w:ascii="Times New Roman" w:hAnsi="Times New Roman" w:eastAsia="Times New Roman" w:cs="Times New Roman"/>
          <w:color w:val="auto"/>
          <w:spacing w:val="20"/>
          <w:sz w:val="24"/>
          <w:szCs w:val="24"/>
          <w:lang w:eastAsia="zh-CN"/>
        </w:rPr>
        <w:t>2018</w:t>
      </w:r>
      <w:r>
        <w:rPr>
          <w:rFonts w:ascii="微软雅黑" w:hAnsi="微软雅黑" w:eastAsia="微软雅黑" w:cs="微软雅黑"/>
          <w:color w:val="auto"/>
          <w:spacing w:val="20"/>
          <w:sz w:val="24"/>
          <w:szCs w:val="24"/>
          <w:lang w:eastAsia="zh-CN"/>
        </w:rPr>
        <w:t>〕</w:t>
      </w:r>
      <w:r>
        <w:rPr>
          <w:rFonts w:ascii="Times New Roman" w:hAnsi="Times New Roman" w:eastAsia="Times New Roman" w:cs="Times New Roman"/>
          <w:color w:val="auto"/>
          <w:spacing w:val="20"/>
          <w:sz w:val="24"/>
          <w:szCs w:val="24"/>
          <w:lang w:eastAsia="zh-CN"/>
        </w:rPr>
        <w:t>2</w:t>
      </w:r>
      <w:r>
        <w:rPr>
          <w:rFonts w:ascii="宋体" w:hAnsi="宋体" w:eastAsia="宋体" w:cs="宋体"/>
          <w:color w:val="auto"/>
          <w:spacing w:val="20"/>
          <w:sz w:val="24"/>
          <w:szCs w:val="24"/>
          <w:lang w:eastAsia="zh-CN"/>
        </w:rPr>
        <w:t>号）。</w:t>
      </w:r>
    </w:p>
    <w:p w14:paraId="400DEB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）《职业健康安全管理体系要求及使用指南》（</w:t>
      </w:r>
      <w:r>
        <w:rPr>
          <w:rFonts w:hint="eastAsia" w:ascii="Times New Roman" w:hAnsi="Times New Roman" w:eastAsia="宋体" w:cs="Times New Roman"/>
          <w:color w:val="auto"/>
          <w:sz w:val="24"/>
          <w:szCs w:val="24"/>
          <w:lang w:eastAsia="zh-CN"/>
        </w:rPr>
        <w:t xml:space="preserve">GB/T </w:t>
      </w:r>
      <w:r>
        <w:rPr>
          <w:rFonts w:ascii="Times New Roman" w:hAnsi="Times New Roman" w:eastAsia="Times New Roman" w:cs="Times New Roman"/>
          <w:color w:val="auto"/>
          <w:sz w:val="24"/>
          <w:szCs w:val="24"/>
          <w:lang w:eastAsia="zh-CN"/>
        </w:rPr>
        <w:t>45001-2020</w:t>
      </w:r>
      <w:r>
        <w:rPr>
          <w:rFonts w:ascii="宋体" w:hAnsi="宋体" w:eastAsia="宋体" w:cs="宋体"/>
          <w:color w:val="auto"/>
          <w:sz w:val="24"/>
          <w:szCs w:val="24"/>
          <w:lang w:eastAsia="zh-CN"/>
        </w:rPr>
        <w:t>）。</w:t>
      </w:r>
    </w:p>
    <w:p w14:paraId="7113091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38" w:name="_Toc4182"/>
      <w:bookmarkStart w:id="1139" w:name="_Toc20372"/>
      <w:bookmarkStart w:id="1140" w:name="_Toc20496"/>
      <w:r>
        <w:rPr>
          <w:rFonts w:hint="eastAsia" w:ascii="宋体" w:hAnsi="宋体" w:eastAsia="宋体" w:cs="宋体"/>
          <w:b/>
          <w:bCs/>
          <w:color w:val="auto"/>
          <w:sz w:val="24"/>
          <w:szCs w:val="24"/>
          <w:lang w:eastAsia="zh-CN"/>
        </w:rPr>
        <w:t>3.2 文明施工措施</w:t>
      </w:r>
      <w:bookmarkEnd w:id="1138"/>
      <w:bookmarkEnd w:id="1139"/>
      <w:bookmarkEnd w:id="1140"/>
    </w:p>
    <w:p w14:paraId="0250BB6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3.2.1 文明施工措施计划</w:t>
      </w:r>
    </w:p>
    <w:p w14:paraId="6E3154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3.1.3</w:t>
      </w:r>
      <w:r>
        <w:rPr>
          <w:rFonts w:ascii="宋体" w:hAnsi="宋体" w:eastAsia="宋体" w:cs="宋体"/>
          <w:color w:val="auto"/>
          <w:sz w:val="24"/>
          <w:szCs w:val="24"/>
          <w:lang w:eastAsia="zh-CN"/>
        </w:rPr>
        <w:t>项的规定提交文明施工及标化工地建设措施计划，主要内容包括“八牌四图”（工程概况牌、管理人员名单及监督电话牌、消防保卫牌、安全生产牌、文明施工牌、重大危险源公示牌、农民工工资维权公示牌、质量责任公示牌和施工现场平面图、安全生产管理网络图、工程效果图、工程区域位置</w:t>
      </w:r>
    </w:p>
    <w:p w14:paraId="757717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图）、现场标牌（安全警示标志、文明标识、宣传标语等）设置，围护设施（围</w:t>
      </w:r>
    </w:p>
    <w:p w14:paraId="74C66E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墙、围档、彩条布围栏等）、场容场貌整洁（清扫、清洗、绿化等），办公、生活区设置、施工生产区布置、现场地面整治及建设标化工地的措施计划等。</w:t>
      </w:r>
    </w:p>
    <w:p w14:paraId="7B8D93E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3.2.2 八牌四图</w:t>
      </w:r>
    </w:p>
    <w:p w14:paraId="017031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八牌四图”（工程概况牌、管理人员名单及监督电话牌、消防保卫牌、安全生产牌、文明施工牌、重大危险源公示牌、农民工工资维权公示牌、质量责任公示牌和施工现场平面图、安全生产管理网络图、工程效果图、工程区域位置图）应设在项目部主要出入口及其他醒目位置，尺寸不宜过小。</w:t>
      </w:r>
    </w:p>
    <w:p w14:paraId="482CBB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）“八牌四图”应规格统一、集中布置、牢固、位置合理、字迹端正、线条清晰、表示明确。</w:t>
      </w:r>
    </w:p>
    <w:p w14:paraId="7716082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3.2.3 现场标牌</w:t>
      </w:r>
    </w:p>
    <w:p w14:paraId="23431B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）安全警示标志标牌应设置在施工现场主要施工部位、事故易发地及主要通道口，规格建议为宽</w:t>
      </w:r>
      <w:r>
        <w:rPr>
          <w:rFonts w:ascii="Times New Roman" w:hAnsi="Times New Roman" w:eastAsia="Times New Roman" w:cs="Times New Roman"/>
          <w:color w:val="auto"/>
          <w:sz w:val="24"/>
          <w:szCs w:val="24"/>
          <w:lang w:eastAsia="zh-CN"/>
        </w:rPr>
        <w:t>120</w:t>
      </w:r>
      <w:r>
        <w:rPr>
          <w:rFonts w:ascii="宋体" w:hAnsi="宋体" w:eastAsia="宋体" w:cs="宋体"/>
          <w:color w:val="auto"/>
          <w:sz w:val="24"/>
          <w:szCs w:val="24"/>
          <w:lang w:eastAsia="zh-CN"/>
        </w:rPr>
        <w:t>厘米，高</w:t>
      </w:r>
      <w:r>
        <w:rPr>
          <w:rFonts w:ascii="Times New Roman" w:hAnsi="Times New Roman" w:eastAsia="Times New Roman" w:cs="Times New Roman"/>
          <w:color w:val="auto"/>
          <w:sz w:val="24"/>
          <w:szCs w:val="24"/>
          <w:lang w:eastAsia="zh-CN"/>
        </w:rPr>
        <w:t>90</w:t>
      </w:r>
      <w:r>
        <w:rPr>
          <w:rFonts w:ascii="宋体" w:hAnsi="宋体" w:eastAsia="宋体" w:cs="宋体"/>
          <w:color w:val="auto"/>
          <w:sz w:val="24"/>
          <w:szCs w:val="24"/>
          <w:lang w:eastAsia="zh-CN"/>
        </w:rPr>
        <w:t>厘米。</w:t>
      </w:r>
    </w:p>
    <w:p w14:paraId="606FCB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）安全警示标志应按监理人指示补充或更换失效的标志。</w:t>
      </w:r>
    </w:p>
    <w:p w14:paraId="3BE2D5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）施工现场应在适当位置设置宣传栏、读报栏、黑板报、违章曝光台等，营造安全氛围，普及安全知识。</w:t>
      </w:r>
    </w:p>
    <w:p w14:paraId="082FC5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）现场标牌中需公布监督电话，主动接受社会各界的监督。</w:t>
      </w:r>
    </w:p>
    <w:p w14:paraId="2BC9DDE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3.2.4 围护设施</w:t>
      </w:r>
    </w:p>
    <w:p w14:paraId="7A5202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）根据施工现场情况，需尽量修建维护设施进行封闭施工，减轻对周边环境的影响。</w:t>
      </w:r>
    </w:p>
    <w:p w14:paraId="37346C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）围护设施需满足安全要求。</w:t>
      </w:r>
    </w:p>
    <w:p w14:paraId="71387D0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3.2.5 办公与生活区</w:t>
      </w:r>
    </w:p>
    <w:p w14:paraId="1F228C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）办公、生活区设置应当遵循“因地制宜、规模适度、管理方便、经济合理、美观大方、体现特色”六大原则。</w:t>
      </w:r>
    </w:p>
    <w:p w14:paraId="0B65B1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）办公用房宜采用砌体或结构可靠、可重复使用的钢结构装配式活动房，房屋建筑构件及芯材的燃烧性能等级应满足相关要求；板房搭设应安全牢固，房屋满足防强风要求。</w:t>
      </w:r>
    </w:p>
    <w:p w14:paraId="57616A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）消防通道宽度满足相关要求，消防设施及器材品种齐全、数量足够、性能完好，按区域明确安全保卫、卫生、消防及消防器材责任人。</w:t>
      </w:r>
    </w:p>
    <w:p w14:paraId="4F3B75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）办公区临时建筑应包括（不限于）：大门、门卫室、旗台、花坛、停车场（棚）、运动场、宣传栏、办公室、会议室、资料室、卫生间、仓库、试验室等。</w:t>
      </w:r>
    </w:p>
    <w:p w14:paraId="371348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）生活区临时建筑应包括（不限于）：大门、宿舍、食堂、餐厅、浴室、盥洗室、卫生间、洗衣台、晾衣间、仓库等。</w:t>
      </w:r>
    </w:p>
    <w:p w14:paraId="79DED6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）配套设施：办公、生活区域场地道路应硬化，合理布置绿化，单独系统设置配电、供水、排水、热水、污水处理、生活垃圾处理、卫生消防等系统。</w:t>
      </w:r>
    </w:p>
    <w:p w14:paraId="74EABB8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3.2.6 施工生产区</w:t>
      </w:r>
    </w:p>
    <w:p w14:paraId="6C28B0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）施工现场的施工区域、办公区域和生活区域宜分开独立设置。当施工场地受限，施工区域内需设置办公、生活设施时，应采取安全隔离措施，并应设置导向、警示、定位、宣传等标示。</w:t>
      </w:r>
    </w:p>
    <w:p w14:paraId="7015D6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）施工平面布置应符合消防安全、卫生防疫等相关规定。不得在尚未竣工的建筑物内设置员工宿舍。</w:t>
      </w:r>
    </w:p>
    <w:p w14:paraId="10C504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）大型机械设备配置除满足吊装能力、覆盖范围等施工需求外，不宜对周边的环境安全带来不利影响；当可能带来不利影响时，应采取安全技术措施和管理措施。</w:t>
      </w:r>
    </w:p>
    <w:p w14:paraId="714708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）施工现场出入口设置应满足交通安全的基本要求。</w:t>
      </w:r>
    </w:p>
    <w:p w14:paraId="4D11DD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）水库、泵站、水闸等集中施工现场应实行封闭施工，河道、堤防等线性施工现场的主要施工区域应实行封闭施工。</w:t>
      </w:r>
    </w:p>
    <w:p w14:paraId="4164828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41" w:name="_Toc21662"/>
      <w:bookmarkStart w:id="1142" w:name="_Toc9921"/>
      <w:bookmarkStart w:id="1143" w:name="_Toc23893"/>
      <w:r>
        <w:rPr>
          <w:rFonts w:hint="eastAsia" w:ascii="宋体" w:hAnsi="宋体" w:eastAsia="宋体" w:cs="宋体"/>
          <w:b/>
          <w:bCs/>
          <w:color w:val="auto"/>
          <w:sz w:val="24"/>
          <w:szCs w:val="24"/>
          <w:lang w:eastAsia="zh-CN"/>
        </w:rPr>
        <w:t>3.3 施工安全措施</w:t>
      </w:r>
      <w:bookmarkEnd w:id="1141"/>
      <w:bookmarkEnd w:id="1142"/>
      <w:bookmarkEnd w:id="1143"/>
    </w:p>
    <w:p w14:paraId="47EF886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3.3.1 施工安全措施计划</w:t>
      </w:r>
    </w:p>
    <w:p w14:paraId="4B507C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3.1.3</w:t>
      </w:r>
      <w:r>
        <w:rPr>
          <w:rFonts w:ascii="宋体" w:hAnsi="宋体" w:eastAsia="宋体" w:cs="宋体"/>
          <w:color w:val="auto"/>
          <w:sz w:val="24"/>
          <w:szCs w:val="24"/>
          <w:lang w:eastAsia="zh-CN"/>
        </w:rPr>
        <w:t>项的规定提交施工安全措施计划，其内容应包括施工安全机构的设置、专职安全人员的配备，安全作业环境和安全防护措施及用具、装备，安全设施及特种设备的监测、监控，特殊安全作业防护用品、救生设施、防毒面具、有毒气体检测仪器，安全警示、安全保卫设施，以及防洪、防火、防毒、防噪声、防爆破烟尘、救护、警报、治安和炸药管理等。施工安全措施的项目和范围，还应符合国家颁发的《安全技术措施计划的项目总名称表》及其附录</w:t>
      </w:r>
      <w:r>
        <w:rPr>
          <w:rFonts w:ascii="Times New Roman" w:hAnsi="Times New Roman" w:eastAsia="Times New Roman" w:cs="Times New Roman"/>
          <w:color w:val="auto"/>
          <w:sz w:val="24"/>
          <w:szCs w:val="24"/>
          <w:lang w:eastAsia="zh-CN"/>
        </w:rPr>
        <w:t>H</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I</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J</w:t>
      </w:r>
      <w:r>
        <w:rPr>
          <w:rFonts w:ascii="宋体" w:hAnsi="宋体" w:eastAsia="宋体" w:cs="宋体"/>
          <w:color w:val="auto"/>
          <w:sz w:val="24"/>
          <w:szCs w:val="24"/>
          <w:lang w:eastAsia="zh-CN"/>
        </w:rPr>
        <w:t>的规定。并对重大危险源和事故隐患进行分析、评估、监控和整改。</w:t>
      </w:r>
    </w:p>
    <w:p w14:paraId="69BF9DF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3.3.2 劳动保护</w:t>
      </w:r>
    </w:p>
    <w:p w14:paraId="771B6C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）承包人应定期向所有现场施工人员发放安全帽、水鞋、雨衣、手套、手灯、防护面具和安全带等劳动保护用品，以及特殊工种作业人员的劳动保护津贴和营养补助等。</w:t>
      </w:r>
    </w:p>
    <w:p w14:paraId="722D12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）按《中华人民共和国劳动法》的有关规定安排现场作业人员的劳动和休息时间，加班时间不得超过《中华人民共和国劳动法》第四章的规定。</w:t>
      </w:r>
    </w:p>
    <w:p w14:paraId="4634A13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3.3.3 伤病防治和卫生保健</w:t>
      </w:r>
    </w:p>
    <w:p w14:paraId="6C19C2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）承包人应在施工现场设置医疗卫生机构，负责施工人员的伤病防治和卫生保健工作。</w:t>
      </w:r>
    </w:p>
    <w:p w14:paraId="3359BE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）施工人员进入生活区和作业面前，应对环境进行卫生清理，以及采取消毒、杀虫、灭鼠等卫生措施，并对饮用水进行消毒。</w:t>
      </w:r>
    </w:p>
    <w:p w14:paraId="14E63C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）及时做好病源和疫情监测。一旦发现疫情，应立即采取措施控制感染源和感染者。</w:t>
      </w:r>
    </w:p>
    <w:p w14:paraId="5FADF0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）职工食堂应严格执行《中华人民共和国食品卫生法》的有关规定。</w:t>
      </w:r>
    </w:p>
    <w:p w14:paraId="2EEA5B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）所有传染病人、病原携带者和疑似病人一律不得从事易于使该病传播的工作。</w:t>
      </w:r>
    </w:p>
    <w:p w14:paraId="6FBA923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3.3.4 危险物品的安全管理</w:t>
      </w:r>
    </w:p>
    <w:p w14:paraId="63873E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承包人运输和存放爆破器材，应遵守《水利水电工程施工通用安全技术规程》（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8.3.3</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8.3.4</w:t>
      </w:r>
      <w:r>
        <w:rPr>
          <w:rFonts w:ascii="宋体" w:hAnsi="宋体" w:eastAsia="宋体" w:cs="宋体"/>
          <w:color w:val="auto"/>
          <w:sz w:val="24"/>
          <w:szCs w:val="24"/>
          <w:lang w:eastAsia="zh-CN"/>
        </w:rPr>
        <w:t>条的规定；易燃物品的管理应遵守《水利水电工程施工通用安全技术规程》（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11.2</w:t>
      </w:r>
      <w:r>
        <w:rPr>
          <w:rFonts w:ascii="宋体" w:hAnsi="宋体" w:eastAsia="宋体" w:cs="宋体"/>
          <w:color w:val="auto"/>
          <w:sz w:val="24"/>
          <w:szCs w:val="24"/>
          <w:lang w:eastAsia="zh-CN"/>
        </w:rPr>
        <w:t>节的规定；放射性物品的管理及防护应遵守《水利水电工程施工通用安全技术规程》（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11.4</w:t>
      </w:r>
      <w:r>
        <w:rPr>
          <w:rFonts w:ascii="宋体" w:hAnsi="宋体" w:eastAsia="宋体" w:cs="宋体"/>
          <w:color w:val="auto"/>
          <w:sz w:val="24"/>
          <w:szCs w:val="24"/>
          <w:lang w:eastAsia="zh-CN"/>
        </w:rPr>
        <w:t>节的规定；</w:t>
      </w:r>
      <w:r>
        <w:rPr>
          <w:rFonts w:ascii="宋体" w:hAnsi="宋体" w:eastAsia="宋体" w:cs="宋体"/>
          <w:color w:val="auto"/>
          <w:spacing w:val="-20"/>
          <w:sz w:val="24"/>
          <w:szCs w:val="24"/>
          <w:lang w:eastAsia="zh-CN"/>
        </w:rPr>
        <w:t>油库的管理应遵守《水利水电工程施工通用安全技术规程》（</w:t>
      </w:r>
      <w:r>
        <w:rPr>
          <w:rFonts w:hint="eastAsia" w:ascii="Times New Roman" w:hAnsi="Times New Roman" w:eastAsia="宋体" w:cs="Times New Roman"/>
          <w:color w:val="auto"/>
          <w:spacing w:val="-20"/>
          <w:sz w:val="24"/>
          <w:szCs w:val="24"/>
          <w:lang w:eastAsia="zh-CN"/>
        </w:rPr>
        <w:t xml:space="preserve">SL </w:t>
      </w:r>
      <w:r>
        <w:rPr>
          <w:rFonts w:ascii="Times New Roman" w:hAnsi="Times New Roman" w:eastAsia="Times New Roman" w:cs="Times New Roman"/>
          <w:color w:val="auto"/>
          <w:spacing w:val="-20"/>
          <w:sz w:val="24"/>
          <w:szCs w:val="24"/>
          <w:lang w:eastAsia="zh-CN"/>
        </w:rPr>
        <w:t>398-2007</w:t>
      </w:r>
      <w:r>
        <w:rPr>
          <w:rFonts w:ascii="宋体" w:hAnsi="宋体" w:eastAsia="宋体" w:cs="宋体"/>
          <w:color w:val="auto"/>
          <w:spacing w:val="-20"/>
          <w:sz w:val="24"/>
          <w:szCs w:val="24"/>
          <w:lang w:eastAsia="zh-CN"/>
        </w:rPr>
        <w:t>）第</w:t>
      </w:r>
      <w:r>
        <w:rPr>
          <w:rFonts w:ascii="Times New Roman" w:hAnsi="Times New Roman" w:eastAsia="Times New Roman" w:cs="Times New Roman"/>
          <w:color w:val="auto"/>
          <w:spacing w:val="-20"/>
          <w:sz w:val="24"/>
          <w:szCs w:val="24"/>
          <w:lang w:eastAsia="zh-CN"/>
        </w:rPr>
        <w:t>11.5</w:t>
      </w:r>
      <w:r>
        <w:rPr>
          <w:rFonts w:ascii="宋体" w:hAnsi="宋体" w:eastAsia="宋体" w:cs="宋体"/>
          <w:color w:val="auto"/>
          <w:spacing w:val="-20"/>
          <w:sz w:val="24"/>
          <w:szCs w:val="24"/>
          <w:lang w:eastAsia="zh-CN"/>
        </w:rPr>
        <w:t>节的规定。</w:t>
      </w:r>
    </w:p>
    <w:p w14:paraId="567ACF2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3.3.5 照明安全</w:t>
      </w:r>
    </w:p>
    <w:p w14:paraId="4069E0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承包人应在施工作业区、施工道路、临时设施、办公区和生活区设置足够的照明，地下洞室的施工作业区、运输通道应布置照明设施并符合《水利水电工程施工通用安全技术规程》（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4.5.9</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4.5.14</w:t>
      </w:r>
      <w:r>
        <w:rPr>
          <w:rFonts w:ascii="宋体" w:hAnsi="宋体" w:eastAsia="宋体" w:cs="宋体"/>
          <w:color w:val="auto"/>
          <w:sz w:val="24"/>
          <w:szCs w:val="24"/>
          <w:lang w:eastAsia="zh-CN"/>
        </w:rPr>
        <w:t>条的规定。</w:t>
      </w:r>
    </w:p>
    <w:p w14:paraId="38C877C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3.3.6 接地及防雷装置</w:t>
      </w:r>
    </w:p>
    <w:p w14:paraId="7DA8F2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接地及防雷装置应符合</w:t>
      </w:r>
      <w:r>
        <w:rPr>
          <w:rFonts w:ascii="宋体" w:hAnsi="宋体" w:eastAsia="宋体" w:cs="宋体"/>
          <w:color w:val="auto"/>
          <w:spacing w:val="-20"/>
          <w:sz w:val="24"/>
          <w:szCs w:val="24"/>
          <w:lang w:eastAsia="zh-CN"/>
        </w:rPr>
        <w:t>《水利水电工程施工通用安全技术规程》（</w:t>
      </w:r>
      <w:r>
        <w:rPr>
          <w:rFonts w:hint="eastAsia" w:ascii="Times New Roman" w:hAnsi="Times New Roman" w:eastAsia="宋体" w:cs="Times New Roman"/>
          <w:color w:val="auto"/>
          <w:spacing w:val="-20"/>
          <w:sz w:val="24"/>
          <w:szCs w:val="24"/>
          <w:lang w:eastAsia="zh-CN"/>
        </w:rPr>
        <w:t xml:space="preserve">SL </w:t>
      </w:r>
      <w:r>
        <w:rPr>
          <w:rFonts w:ascii="Times New Roman" w:hAnsi="Times New Roman" w:eastAsia="Times New Roman" w:cs="Times New Roman"/>
          <w:color w:val="auto"/>
          <w:spacing w:val="-20"/>
          <w:sz w:val="24"/>
          <w:szCs w:val="24"/>
          <w:lang w:eastAsia="zh-CN"/>
        </w:rPr>
        <w:t>398-2007</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w:t>
      </w:r>
      <w:r>
        <w:rPr>
          <w:rFonts w:ascii="宋体" w:hAnsi="宋体" w:eastAsia="宋体" w:cs="宋体"/>
          <w:color w:val="auto"/>
          <w:sz w:val="24"/>
          <w:szCs w:val="24"/>
          <w:lang w:eastAsia="zh-CN"/>
        </w:rPr>
        <w:t>节“接地（接零）与防雷规定”的要求。凡可能漏电伤人或易受雷击的电器及建筑物均应设置接地或防雷装置。</w:t>
      </w:r>
    </w:p>
    <w:p w14:paraId="556DE775">
      <w:pPr>
        <w:widowControl w:val="0"/>
        <w:kinsoku/>
        <w:topLinePunct/>
        <w:autoSpaceDE/>
        <w:autoSpaceDN/>
        <w:spacing w:line="520" w:lineRule="exact"/>
        <w:jc w:val="both"/>
        <w:outlineLvl w:val="3"/>
        <w:rPr>
          <w:rFonts w:hint="eastAsia" w:ascii="宋体" w:hAnsi="宋体" w:eastAsia="宋体" w:cs="宋体"/>
          <w:b/>
          <w:bCs/>
          <w:color w:val="auto"/>
          <w:sz w:val="24"/>
          <w:szCs w:val="24"/>
        </w:rPr>
      </w:pPr>
      <w:r>
        <w:rPr>
          <w:rFonts w:hint="eastAsia" w:ascii="宋体" w:hAnsi="宋体" w:eastAsia="宋体" w:cs="宋体"/>
          <w:b/>
          <w:bCs/>
          <w:color w:val="auto"/>
          <w:sz w:val="24"/>
          <w:szCs w:val="24"/>
        </w:rPr>
        <w:t>3.3.7</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rPr>
        <w:t>防有毒、有害物品的控制</w:t>
      </w:r>
    </w:p>
    <w:p w14:paraId="745564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承包人应遵守《水工建筑物地下开挖工程施工规范》（</w:t>
      </w:r>
      <w:r>
        <w:rPr>
          <w:rFonts w:hint="eastAsia" w:ascii="Times New Roman" w:hAnsi="Times New Roman" w:eastAsia="宋体" w:cs="Times New Roman"/>
          <w:color w:val="auto"/>
          <w:sz w:val="24"/>
          <w:szCs w:val="24"/>
          <w:lang w:eastAsia="zh-CN"/>
        </w:rPr>
        <w:t xml:space="preserve"> SL 378-2007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11.3</w:t>
      </w:r>
      <w:r>
        <w:rPr>
          <w:rFonts w:ascii="宋体" w:hAnsi="宋体" w:eastAsia="宋体" w:cs="宋体"/>
          <w:color w:val="auto"/>
          <w:sz w:val="24"/>
          <w:szCs w:val="24"/>
          <w:lang w:eastAsia="zh-CN"/>
        </w:rPr>
        <w:t>节防尘、有害气体的规定。</w:t>
      </w:r>
    </w:p>
    <w:p w14:paraId="0AFA52D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3.3.8 爆破作业安全</w:t>
      </w:r>
    </w:p>
    <w:p w14:paraId="4047A5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）承包人的施工爆破作业应严格遵照《爆破安全规程》（</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6722</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2014</w:t>
      </w:r>
      <w:r>
        <w:rPr>
          <w:rFonts w:ascii="宋体" w:hAnsi="宋体" w:eastAsia="宋体" w:cs="宋体"/>
          <w:color w:val="auto"/>
          <w:sz w:val="24"/>
          <w:szCs w:val="24"/>
          <w:lang w:eastAsia="zh-CN"/>
        </w:rPr>
        <w:t>）及国家有关爆破安全管理的规定。承包人应对爆破造成的工程和人身损害和财产损失承担责任。</w:t>
      </w:r>
    </w:p>
    <w:p w14:paraId="17A2BC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）对实施电引爆的作业区，承包人应采用必要的特殊安全装置，以防止暴风雨时的大气或邻近电气设备放电的影响。特殊安全装置应经过试验证明其确保安全可靠时方可使用。试验报告应提交监理人。</w:t>
      </w:r>
    </w:p>
    <w:p w14:paraId="5926CC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）当承包人的现场爆破作业对其它承包人的施工造成干扰及影响临近设施和人员的安全时，应由监理人协调解决。现场爆破时，各方均应服从爆破作业指挥人员的命令。</w:t>
      </w:r>
    </w:p>
    <w:p w14:paraId="40924F1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3.3.9 消防</w:t>
      </w:r>
    </w:p>
    <w:p w14:paraId="47EFF4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）承包人应遵守《中华人民共和国消防法》，并负责其自己辖区内的消防工作。承包人应对其辖区内发生的火灾及其造成的人员伤亡和财产损失负责。</w:t>
      </w:r>
    </w:p>
    <w:p w14:paraId="5B763F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3.5</w:t>
      </w:r>
      <w:r>
        <w:rPr>
          <w:rFonts w:ascii="宋体" w:hAnsi="宋体" w:eastAsia="宋体" w:cs="宋体"/>
          <w:color w:val="auto"/>
          <w:sz w:val="24"/>
          <w:szCs w:val="24"/>
          <w:lang w:eastAsia="zh-CN"/>
        </w:rPr>
        <w:t>节的规定，建立现场消防组织，配置必要的消防专职人员和消防设备器材。消防设备的型号和功率应满足消防任务的需要。在现场配备必要的灭火器材、设置防火警示标志，保持畅通的消防通道。</w:t>
      </w:r>
    </w:p>
    <w:p w14:paraId="6278A2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）承包人应对职工进行经常性的消防知识教育和消防安全训练，消防设备器材应经常检查和保养，使其处于良好的待命状态。</w:t>
      </w:r>
    </w:p>
    <w:p w14:paraId="490AB4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）承包人应制定经常性的消防检查制度，划分施工现场的防火责任区。承包人的消防专职人员应定期检查各施工现场，以及办公与生活区的消防安全，特别是用电安全。</w:t>
      </w:r>
    </w:p>
    <w:p w14:paraId="3ACB6D6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3.3.10 洪水和气象灾害的防护</w:t>
      </w:r>
    </w:p>
    <w:p w14:paraId="293177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做好水情和气象预报工作。承包人应向发包人或地方主管水文、气象预报工作的部门获取工程所在区域短、中、长期水文、气象预报资料。一旦发现有可能危及工程和人身财产安全的灾害预兆时，应立即采取确保安全的有效措施。</w:t>
      </w:r>
    </w:p>
    <w:p w14:paraId="69CB6D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）每年汛前，承包人应编制度汛方案防洪度汛预案，并按《水利水电工程施工通用安全技术规程》（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3.6</w:t>
      </w:r>
      <w:r>
        <w:rPr>
          <w:rFonts w:ascii="宋体" w:hAnsi="宋体" w:eastAsia="宋体" w:cs="宋体"/>
          <w:color w:val="auto"/>
          <w:sz w:val="24"/>
          <w:szCs w:val="24"/>
          <w:lang w:eastAsia="zh-CN"/>
        </w:rPr>
        <w:t>节、第</w:t>
      </w:r>
      <w:r>
        <w:rPr>
          <w:rFonts w:ascii="Times New Roman" w:hAnsi="Times New Roman" w:eastAsia="Times New Roman" w:cs="Times New Roman"/>
          <w:color w:val="auto"/>
          <w:sz w:val="24"/>
          <w:szCs w:val="24"/>
          <w:lang w:eastAsia="zh-CN"/>
        </w:rPr>
        <w:t>3.7</w:t>
      </w:r>
      <w:r>
        <w:rPr>
          <w:rFonts w:ascii="宋体" w:hAnsi="宋体" w:eastAsia="宋体" w:cs="宋体"/>
          <w:color w:val="auto"/>
          <w:sz w:val="24"/>
          <w:szCs w:val="24"/>
          <w:lang w:eastAsia="zh-CN"/>
        </w:rPr>
        <w:t>节的规定，制定切实可行的预防和减灾措施。</w:t>
      </w:r>
    </w:p>
    <w:p w14:paraId="3C3A209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3.3.11 安全标志</w:t>
      </w:r>
    </w:p>
    <w:p w14:paraId="1D003B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）承包人应按《安全标志及其使用导则》（</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2894-2008</w:t>
      </w:r>
      <w:r>
        <w:rPr>
          <w:rFonts w:ascii="宋体" w:hAnsi="宋体" w:eastAsia="宋体" w:cs="宋体"/>
          <w:color w:val="auto"/>
          <w:sz w:val="24"/>
          <w:szCs w:val="24"/>
          <w:lang w:eastAsia="zh-CN"/>
        </w:rPr>
        <w:t>）的要求，在施工区内设置一切必需的安全标志，其标志类型包括：</w:t>
      </w:r>
    </w:p>
    <w:p w14:paraId="2CF3F1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）禁止标志。</w:t>
      </w:r>
    </w:p>
    <w:p w14:paraId="258D4A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）警告标志。</w:t>
      </w:r>
    </w:p>
    <w:p w14:paraId="386E34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）指令标志。</w:t>
      </w:r>
    </w:p>
    <w:p w14:paraId="76EDB0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）提示标志。</w:t>
      </w:r>
    </w:p>
    <w:p w14:paraId="17958E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）承包人应负责保护施工区内的所有标志，并按监理人指示补充或更换失效的标志。</w:t>
      </w:r>
    </w:p>
    <w:p w14:paraId="5F8C777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3.3.12 “二禁、三宝、四口、五边、六防”</w:t>
      </w:r>
    </w:p>
    <w:p w14:paraId="2AD11C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）二禁：严禁违章作业、严禁违章指挥。</w:t>
      </w:r>
    </w:p>
    <w:p w14:paraId="334E94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）三宝：安全帽、安全带、安全网。</w:t>
      </w:r>
    </w:p>
    <w:p w14:paraId="68A875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）四口：井孔口、通道口、隧洞口、预留洞口。</w:t>
      </w:r>
    </w:p>
    <w:p w14:paraId="21A7CC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）五边：沟、坑、槽、池周边；高边坡周边；建筑物临边；作业平台周边；施工设备周边。</w:t>
      </w:r>
    </w:p>
    <w:p w14:paraId="3D54B5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六防：防洪水（超标洪水、隧洞涌水、基坑漫水、泥石流）、防触电（漏保未装或失效、电线老化破损、设备故障漏电、私拉乱接）、防坍塌（边坡坍塌、支撑坍塌、隧洞坍塌、围堰坍塌）、防坠落（高空坠落、人员坠落、车辆坠落）、防碰撞（车辆碰撞、挖机碰撞、吊车碰撞、滚动碰撞）、防中毒（粉尘中毒、一氧化碳中毒、缺氧、食物中毒）。</w:t>
      </w:r>
    </w:p>
    <w:p w14:paraId="75C11D8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3.3.13 施工安全监测</w:t>
      </w:r>
    </w:p>
    <w:p w14:paraId="0C973C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有关施工期的安全监测详见本技术条款第</w:t>
      </w:r>
      <w:r>
        <w:rPr>
          <w:rFonts w:ascii="Times New Roman" w:hAnsi="Times New Roman" w:eastAsia="Times New Roman" w:cs="Times New Roman"/>
          <w:color w:val="auto"/>
          <w:sz w:val="24"/>
          <w:szCs w:val="24"/>
          <w:lang w:eastAsia="zh-CN"/>
        </w:rPr>
        <w:t>25</w:t>
      </w:r>
      <w:r>
        <w:rPr>
          <w:rFonts w:ascii="宋体" w:hAnsi="宋体" w:eastAsia="宋体" w:cs="宋体"/>
          <w:color w:val="auto"/>
          <w:sz w:val="24"/>
          <w:szCs w:val="24"/>
          <w:lang w:eastAsia="zh-CN"/>
        </w:rPr>
        <w:t>章。</w:t>
      </w:r>
    </w:p>
    <w:p w14:paraId="20F906F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44" w:name="_Toc19923"/>
      <w:bookmarkStart w:id="1145" w:name="_Toc30370"/>
      <w:bookmarkStart w:id="1146" w:name="_Toc18762"/>
      <w:r>
        <w:rPr>
          <w:rFonts w:hint="eastAsia" w:ascii="宋体" w:hAnsi="宋体" w:eastAsia="宋体" w:cs="宋体"/>
          <w:b/>
          <w:bCs/>
          <w:color w:val="auto"/>
          <w:sz w:val="24"/>
          <w:szCs w:val="24"/>
          <w:lang w:eastAsia="zh-CN"/>
        </w:rPr>
        <w:t>3.4 应急救援措施</w:t>
      </w:r>
      <w:bookmarkEnd w:id="1144"/>
      <w:bookmarkEnd w:id="1145"/>
      <w:bookmarkEnd w:id="1146"/>
    </w:p>
    <w:p w14:paraId="0C8E07D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3.4.1 事故应急救援预案</w:t>
      </w:r>
    </w:p>
    <w:p w14:paraId="3FD01E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）承包人应制定生产安全事故的应急救援预案，应急救援预案应能随时紧急调动救援人员，救援专职人员应定期组织应急预案的演练。</w:t>
      </w:r>
    </w:p>
    <w:p w14:paraId="2E2622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）发生事故后，承包人应按应急救援要求，配备必需的应急救援器材和设备，并及时将应急救援的措施报告提交监理人。</w:t>
      </w:r>
    </w:p>
    <w:p w14:paraId="0801602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3.4.2 伤亡事故处理</w:t>
      </w:r>
    </w:p>
    <w:p w14:paraId="37D31A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）施工过程中，若发生施工生产人员或第三者人员的伤亡事故时，承包人应按本合同通用合同条款第</w:t>
      </w:r>
      <w:r>
        <w:rPr>
          <w:rFonts w:ascii="Times New Roman" w:hAnsi="Times New Roman" w:eastAsia="Times New Roman" w:cs="Times New Roman"/>
          <w:color w:val="auto"/>
          <w:sz w:val="24"/>
          <w:szCs w:val="24"/>
          <w:lang w:eastAsia="zh-CN"/>
        </w:rPr>
        <w:t>9.5</w:t>
      </w:r>
      <w:r>
        <w:rPr>
          <w:rFonts w:ascii="宋体" w:hAnsi="宋体" w:eastAsia="宋体" w:cs="宋体"/>
          <w:color w:val="auto"/>
          <w:sz w:val="24"/>
          <w:szCs w:val="24"/>
          <w:lang w:eastAsia="zh-CN"/>
        </w:rPr>
        <w:t>款的约定，及时进行处理，并立即报告监理人。</w:t>
      </w:r>
    </w:p>
    <w:p w14:paraId="38A4DD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）发生重大伤亡或特大事故时，承包人必须保护事故现场，立即报告发包人和当地政府的安全管理部门，并在当地政府的支持和协助下，按国家有关规定妥善处理好事故。</w:t>
      </w:r>
    </w:p>
    <w:p w14:paraId="27C511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）事故处理结案后，承包人应向公众张榜告示处理事故结果。</w:t>
      </w:r>
    </w:p>
    <w:p w14:paraId="4E3F867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3.4.3 预防自然灾害措施</w:t>
      </w:r>
    </w:p>
    <w:p w14:paraId="76169C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）施工期间一旦发生洪水、或可能危及人身财产安全事故的预兆时，承包人应立即采取有效的防灾措施，确保工程人员和财产的安全。</w:t>
      </w:r>
    </w:p>
    <w:p w14:paraId="5C7FFF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一旦发生安全事故，承包人应立即按其安全职责分工，组织人员、设备和物资，尽快制止事故发展，及时消除隐患，划定警戒范围，并在最短时间内组织好人员、车辆和设备的疏散，避免再次发生人员伤亡和财产损失。</w:t>
      </w:r>
    </w:p>
    <w:p w14:paraId="358043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保护好事故现场，为事故调查分析提供直接证据，做好现场标志和书面记录，绘制现场简图，并妥善保存现场重要痕迹、物证，必要时应对事故现场和伤亡情况进行录像或拍照，待事故调查部门有明确指令后，才能清除事故现场。</w:t>
      </w:r>
    </w:p>
    <w:p w14:paraId="14A9589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47" w:name="_Toc16729"/>
      <w:bookmarkStart w:id="1148" w:name="_Toc29334"/>
      <w:bookmarkStart w:id="1149" w:name="_Toc22741"/>
      <w:r>
        <w:rPr>
          <w:rFonts w:hint="eastAsia" w:ascii="宋体" w:hAnsi="宋体" w:eastAsia="宋体" w:cs="宋体"/>
          <w:b/>
          <w:bCs/>
          <w:color w:val="auto"/>
          <w:sz w:val="24"/>
          <w:szCs w:val="24"/>
          <w:lang w:eastAsia="zh-CN"/>
        </w:rPr>
        <w:t>3.5 计量和支付</w:t>
      </w:r>
      <w:bookmarkEnd w:id="1147"/>
      <w:bookmarkEnd w:id="1148"/>
      <w:bookmarkEnd w:id="1149"/>
    </w:p>
    <w:p w14:paraId="3FB783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）全生产措施费的使用管理应严格按国家和省有关规定执行，具体由承包人按照</w:t>
      </w:r>
      <w:r>
        <w:rPr>
          <w:rFonts w:hint="eastAsia" w:ascii="宋体" w:hAnsi="宋体" w:eastAsia="宋体" w:cs="宋体"/>
          <w:color w:val="auto"/>
          <w:sz w:val="24"/>
          <w:szCs w:val="24"/>
          <w:lang w:eastAsia="zh-CN"/>
        </w:rPr>
        <w:t>《浙江省水利工程造价计价依据（2021 年）》补充规定(一)中的</w:t>
      </w:r>
      <w:r>
        <w:rPr>
          <w:rFonts w:ascii="宋体" w:hAnsi="宋体" w:eastAsia="宋体" w:cs="宋体"/>
          <w:color w:val="auto"/>
          <w:sz w:val="24"/>
          <w:szCs w:val="24"/>
          <w:lang w:eastAsia="zh-CN"/>
        </w:rPr>
        <w:t>《安全生产措施费使用范围表》的内容以及《水利水电工程施工安全管理导则》（</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721</w:t>
      </w:r>
      <w:r>
        <w:rPr>
          <w:rFonts w:ascii="宋体" w:hAnsi="宋体" w:eastAsia="宋体" w:cs="宋体"/>
          <w:color w:val="auto"/>
          <w:sz w:val="24"/>
          <w:szCs w:val="24"/>
          <w:lang w:eastAsia="zh-CN"/>
        </w:rPr>
        <w:t>）等相关规范提出方案和预算，经监理审核，由建设单位组织专家对可行性、经济性论证后批准实施。</w:t>
      </w:r>
    </w:p>
    <w:p w14:paraId="7E4904A0">
      <w:pPr>
        <w:widowControl w:val="0"/>
        <w:numPr>
          <w:ilvl w:val="0"/>
          <w:numId w:val="7"/>
        </w:numPr>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承包人根据合同要求完成文明施工、标准化工地建设等工作所需的费用，包含在《工程量清单》相应项目的工程单价或总价中，发包人不另行支付。</w:t>
      </w:r>
    </w:p>
    <w:p w14:paraId="52435932">
      <w:pPr>
        <w:widowControl w:val="0"/>
        <w:numPr>
          <w:ilvl w:val="0"/>
          <w:numId w:val="7"/>
        </w:numPr>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若专用合同条款第20.4款约定由承包人购买安全生产责任保险，则其保险费用在安全生产措施费中列支。</w:t>
      </w:r>
    </w:p>
    <w:p w14:paraId="7CC1C2BB">
      <w:pPr>
        <w:widowControl w:val="0"/>
        <w:kinsoku/>
        <w:topLinePunct/>
        <w:autoSpaceDE/>
        <w:autoSpaceDN/>
        <w:spacing w:line="520" w:lineRule="exact"/>
        <w:ind w:firstLine="560" w:firstLineChars="200"/>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30586B88">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150" w:name="_Toc14731"/>
      <w:bookmarkStart w:id="1151" w:name="_Toc17829"/>
      <w:bookmarkStart w:id="1152" w:name="_Toc29348"/>
      <w:r>
        <w:rPr>
          <w:rFonts w:ascii="Times New Roman" w:hAnsi="Times New Roman" w:eastAsia="Times New Roman" w:cs="Times New Roman"/>
          <w:b/>
          <w:bCs/>
          <w:color w:val="auto"/>
          <w:sz w:val="28"/>
          <w:szCs w:val="28"/>
          <w:lang w:eastAsia="zh-CN"/>
        </w:rPr>
        <w:t>4</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环境保护和水土保持</w:t>
      </w:r>
      <w:bookmarkEnd w:id="1150"/>
      <w:bookmarkEnd w:id="1151"/>
      <w:bookmarkEnd w:id="1152"/>
    </w:p>
    <w:p w14:paraId="4B2213F3">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53" w:name="_Toc6821"/>
      <w:bookmarkStart w:id="1154" w:name="_Toc3239"/>
      <w:bookmarkStart w:id="1155" w:name="_Toc32592"/>
      <w:r>
        <w:rPr>
          <w:rFonts w:hint="eastAsia" w:ascii="宋体" w:hAnsi="宋体" w:eastAsia="宋体" w:cs="宋体"/>
          <w:b/>
          <w:bCs/>
          <w:color w:val="auto"/>
          <w:sz w:val="24"/>
          <w:szCs w:val="24"/>
          <w:lang w:eastAsia="zh-CN"/>
        </w:rPr>
        <w:t>4.1 一般规定</w:t>
      </w:r>
      <w:bookmarkEnd w:id="1153"/>
      <w:bookmarkEnd w:id="1154"/>
      <w:bookmarkEnd w:id="1155"/>
    </w:p>
    <w:p w14:paraId="75643F6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4.1.1 应用范围</w:t>
      </w:r>
    </w:p>
    <w:p w14:paraId="21E1EC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本章规定适用于本工程施工期的生产、生活区环境保护和水土保持的有关工</w:t>
      </w:r>
    </w:p>
    <w:p w14:paraId="733BA5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作，其主要工作范围和内容包括：生活、生产污水废水处理，大气环境和声环境保护、固体废弃物处理、疾病预防、疫情控制、环境风险应急措施、水土保持、完工后的场地清理、农田复耕与植被恢复等。</w:t>
      </w:r>
    </w:p>
    <w:p w14:paraId="52574A0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4.1.2 承包人责任</w:t>
      </w:r>
    </w:p>
    <w:p w14:paraId="79BEFB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）承包人必须遵守有关环境保护和水土保持的法律、法规和规章，并按照本合同技术条款的有关规定，做好施工区及生活区的环境保护与水土保持工作。</w:t>
      </w:r>
    </w:p>
    <w:p w14:paraId="2EB30B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对本合同划定的施工场地界线附近的树木和植被必须尽力加以保护。承包人不得让有害物质（如燃料、油料、化学品、酸等，以及超过剂量的有害气体和尘埃、污水、泥土或水、弃渣等）污染施工场地及场地以外的土地和河川。</w:t>
      </w:r>
    </w:p>
    <w:p w14:paraId="25D1DF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按合同约定和监理人指示，接受国家和地方环境保护主管部门与水行政主管部门的监督和检查。承包人应对其违反上述法律、法规和规章以及本合同规定所造成的环境污染、水土流失、人员伤害和财产损失等承担责任。</w:t>
      </w:r>
    </w:p>
    <w:p w14:paraId="7F7A09A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4.1.3 主要提交件</w:t>
      </w:r>
    </w:p>
    <w:p w14:paraId="07D209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）环境保护及水土保持措施计划：</w:t>
      </w:r>
    </w:p>
    <w:p w14:paraId="1FC0F4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承包人在提交施工总布置设计文件的同时，提交本合同施工期的环境保护和水土保持措施计划，提交监理人批准，其内容包括：</w:t>
      </w:r>
    </w:p>
    <w:p w14:paraId="487321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）承包人生活区的生活用水和生活污水处理措施。</w:t>
      </w:r>
    </w:p>
    <w:p w14:paraId="03CDF9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）承包人对生活垃圾、粪便处理措施。</w:t>
      </w:r>
    </w:p>
    <w:p w14:paraId="0FF6BC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）办公、生活场所清洁措施。</w:t>
      </w:r>
    </w:p>
    <w:p w14:paraId="07AB07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）施工生产废水（如基坑废水、混凝土生产系统废水、砂石料加工系统废水、机修废水等）处理措施。</w:t>
      </w:r>
    </w:p>
    <w:p w14:paraId="473CEA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）施工区扬尘、粉尘、废气的处理措施。</w:t>
      </w:r>
    </w:p>
    <w:p w14:paraId="0704EF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）施工区强光、噪声控制措施。</w:t>
      </w:r>
    </w:p>
    <w:p w14:paraId="635D5D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）固体废弃物处理措施。</w:t>
      </w:r>
    </w:p>
    <w:p w14:paraId="0FC979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）人群健康保护措施。</w:t>
      </w:r>
    </w:p>
    <w:p w14:paraId="3F3984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）本工程存料场的挡护工程、坡面保护工程和排水工程。</w:t>
      </w:r>
    </w:p>
    <w:p w14:paraId="1C95E5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）环境风险应急措施。</w:t>
      </w:r>
    </w:p>
    <w:p w14:paraId="3D89A4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）施工辅助生产区（如混凝土系统、砂石加工系统的生产区及加工场等）、工程枢纽施工区、施工生活营地等所有场地周边的截、排水措施，开挖边坡支护措施、挡护建筑物的排水措施等。</w:t>
      </w:r>
    </w:p>
    <w:p w14:paraId="646800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）施工区边坡工程的水土保护措施。</w:t>
      </w:r>
    </w:p>
    <w:p w14:paraId="04F1F1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13</w:t>
      </w:r>
      <w:r>
        <w:rPr>
          <w:rFonts w:ascii="宋体" w:hAnsi="宋体" w:eastAsia="宋体" w:cs="宋体"/>
          <w:color w:val="auto"/>
          <w:sz w:val="24"/>
          <w:szCs w:val="24"/>
          <w:lang w:eastAsia="zh-CN"/>
        </w:rPr>
        <w:t>）完工后场地清理及农田复耕和植被恢复措施。</w:t>
      </w:r>
    </w:p>
    <w:p w14:paraId="50CA08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）承包人应按监理人指示，在工程开工后</w:t>
      </w:r>
      <w:r>
        <w:rPr>
          <w:rFonts w:hint="eastAsia" w:ascii="宋体" w:hAnsi="宋体" w:eastAsia="宋体" w:cs="宋体"/>
          <w:color w:val="auto"/>
          <w:sz w:val="24"/>
          <w:szCs w:val="24"/>
          <w:lang w:eastAsia="zh-CN"/>
        </w:rPr>
        <w:t xml:space="preserve"> 28</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天内，将污水、废水处理系统的设计与施工计划以及维护系统的运行措施等生产废水处理的专项报告提交监理人批准。</w:t>
      </w:r>
    </w:p>
    <w:p w14:paraId="71A86F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）验收报告和资料：</w:t>
      </w:r>
    </w:p>
    <w:p w14:paraId="65DABF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）环境保护措施质量检查及验收报告。</w:t>
      </w:r>
    </w:p>
    <w:p w14:paraId="13E4E0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）水土保持措施的质量检查及验收报告。</w:t>
      </w:r>
    </w:p>
    <w:p w14:paraId="4E8020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）监理人要求提供的其他资料。</w:t>
      </w:r>
    </w:p>
    <w:p w14:paraId="246820B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4.1.4 引用的法律法规</w:t>
      </w:r>
    </w:p>
    <w:p w14:paraId="49BB7A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）《中华人民共和国水法》。</w:t>
      </w:r>
    </w:p>
    <w:p w14:paraId="386882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）《中华人民共和国水污染防治法实施细则》。</w:t>
      </w:r>
    </w:p>
    <w:p w14:paraId="1C6E2F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）《中华人民共和国大气污染防治法》。</w:t>
      </w:r>
    </w:p>
    <w:p w14:paraId="4A31D8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）《建设项目环境保护管理条例》。</w:t>
      </w:r>
    </w:p>
    <w:p w14:paraId="7550C5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）《中华人民共和国环境噪声污染防治法》。</w:t>
      </w:r>
    </w:p>
    <w:p w14:paraId="36C3E1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）《中华人民共和国水污染防治法》。</w:t>
      </w:r>
    </w:p>
    <w:p w14:paraId="13C188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）《中华人民共和国固体废物污染环境防治法》。</w:t>
      </w:r>
    </w:p>
    <w:p w14:paraId="02B149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）《中华人民共和国水土保持法》。</w:t>
      </w:r>
    </w:p>
    <w:p w14:paraId="6651E3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）《中华人民共和国环境保护法》。</w:t>
      </w:r>
    </w:p>
    <w:p w14:paraId="6E9535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）《水利工程建设项目验收管理规定》（水利部令第</w:t>
      </w:r>
      <w:r>
        <w:rPr>
          <w:rFonts w:ascii="Times New Roman" w:hAnsi="Times New Roman" w:eastAsia="Times New Roman" w:cs="Times New Roman"/>
          <w:color w:val="auto"/>
          <w:sz w:val="24"/>
          <w:szCs w:val="24"/>
          <w:lang w:eastAsia="zh-CN"/>
        </w:rPr>
        <w:t>30</w:t>
      </w:r>
      <w:r>
        <w:rPr>
          <w:rFonts w:ascii="宋体" w:hAnsi="宋体" w:eastAsia="宋体" w:cs="宋体"/>
          <w:color w:val="auto"/>
          <w:sz w:val="24"/>
          <w:szCs w:val="24"/>
          <w:lang w:eastAsia="zh-CN"/>
        </w:rPr>
        <w:t>号）。</w:t>
      </w:r>
    </w:p>
    <w:p w14:paraId="6D384D0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4.1.5 引用标准</w:t>
      </w:r>
    </w:p>
    <w:p w14:paraId="23F05E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）《生活饮用水卫生标准》（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5749-2022</w:t>
      </w:r>
      <w:r>
        <w:rPr>
          <w:rFonts w:ascii="宋体" w:hAnsi="宋体" w:eastAsia="宋体" w:cs="宋体"/>
          <w:color w:val="auto"/>
          <w:sz w:val="24"/>
          <w:szCs w:val="24"/>
          <w:lang w:eastAsia="zh-CN"/>
        </w:rPr>
        <w:t>）。</w:t>
      </w:r>
    </w:p>
    <w:p w14:paraId="577028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）《地表水环境质量标准》（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3838-2002</w:t>
      </w:r>
      <w:r>
        <w:rPr>
          <w:rFonts w:ascii="宋体" w:hAnsi="宋体" w:eastAsia="宋体" w:cs="宋体"/>
          <w:color w:val="auto"/>
          <w:sz w:val="24"/>
          <w:szCs w:val="24"/>
          <w:lang w:eastAsia="zh-CN"/>
        </w:rPr>
        <w:t>）。</w:t>
      </w:r>
    </w:p>
    <w:p w14:paraId="04CE58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）《环境空气质量标准》（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3095-2012</w:t>
      </w:r>
      <w:r>
        <w:rPr>
          <w:rFonts w:ascii="宋体" w:hAnsi="宋体" w:eastAsia="宋体" w:cs="宋体"/>
          <w:color w:val="auto"/>
          <w:sz w:val="24"/>
          <w:szCs w:val="24"/>
          <w:lang w:eastAsia="zh-CN"/>
        </w:rPr>
        <w:t>）。</w:t>
      </w:r>
    </w:p>
    <w:p w14:paraId="7B322B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）《污水综合排放标准》（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8978-1996</w:t>
      </w:r>
      <w:r>
        <w:rPr>
          <w:rFonts w:ascii="宋体" w:hAnsi="宋体" w:eastAsia="宋体" w:cs="宋体"/>
          <w:color w:val="auto"/>
          <w:sz w:val="24"/>
          <w:szCs w:val="24"/>
          <w:lang w:eastAsia="zh-CN"/>
        </w:rPr>
        <w:t>）。</w:t>
      </w:r>
    </w:p>
    <w:p w14:paraId="4EAC9B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）《大气污染物综合排放标准》（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16297-1996</w:t>
      </w:r>
      <w:r>
        <w:rPr>
          <w:rFonts w:ascii="宋体" w:hAnsi="宋体" w:eastAsia="宋体" w:cs="宋体"/>
          <w:color w:val="auto"/>
          <w:sz w:val="24"/>
          <w:szCs w:val="24"/>
          <w:lang w:eastAsia="zh-CN"/>
        </w:rPr>
        <w:t>）。</w:t>
      </w:r>
    </w:p>
    <w:p w14:paraId="4ECADF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）《建筑施工场界环境噪声排放标准》（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12523-2011</w:t>
      </w:r>
      <w:r>
        <w:rPr>
          <w:rFonts w:ascii="宋体" w:hAnsi="宋体" w:eastAsia="宋体" w:cs="宋体"/>
          <w:color w:val="auto"/>
          <w:sz w:val="24"/>
          <w:szCs w:val="24"/>
          <w:lang w:eastAsia="zh-CN"/>
        </w:rPr>
        <w:t>）。</w:t>
      </w:r>
    </w:p>
    <w:p w14:paraId="57DBC2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w:t>
      </w:r>
    </w:p>
    <w:p w14:paraId="24B9CF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）《水土保持监测技术规程》（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277-2002</w:t>
      </w:r>
      <w:r>
        <w:rPr>
          <w:rFonts w:ascii="宋体" w:hAnsi="宋体" w:eastAsia="宋体" w:cs="宋体"/>
          <w:color w:val="auto"/>
          <w:sz w:val="24"/>
          <w:szCs w:val="24"/>
          <w:lang w:eastAsia="zh-CN"/>
        </w:rPr>
        <w:t>）。</w:t>
      </w:r>
    </w:p>
    <w:p w14:paraId="07689E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）《水环境监测规范》（</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219-2013</w:t>
      </w:r>
      <w:r>
        <w:rPr>
          <w:rFonts w:ascii="宋体" w:hAnsi="宋体" w:eastAsia="宋体" w:cs="宋体"/>
          <w:color w:val="auto"/>
          <w:sz w:val="24"/>
          <w:szCs w:val="24"/>
          <w:lang w:eastAsia="zh-CN"/>
        </w:rPr>
        <w:t>）。</w:t>
      </w:r>
    </w:p>
    <w:p w14:paraId="538D55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）《生活垃圾卫生填埋处理技术规范》（</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50869-2013</w:t>
      </w:r>
      <w:r>
        <w:rPr>
          <w:rFonts w:ascii="宋体" w:hAnsi="宋体" w:eastAsia="宋体" w:cs="宋体"/>
          <w:color w:val="auto"/>
          <w:sz w:val="24"/>
          <w:szCs w:val="24"/>
          <w:lang w:eastAsia="zh-CN"/>
        </w:rPr>
        <w:t>）。</w:t>
      </w:r>
    </w:p>
    <w:p w14:paraId="7016CA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）《水土保持监测技术规范》（</w:t>
      </w:r>
      <w:r>
        <w:rPr>
          <w:rFonts w:hint="eastAsia" w:ascii="Times New Roman" w:hAnsi="Times New Roman" w:eastAsia="宋体" w:cs="Times New Roman"/>
          <w:color w:val="auto"/>
          <w:sz w:val="24"/>
          <w:szCs w:val="24"/>
          <w:lang w:eastAsia="zh-CN"/>
        </w:rPr>
        <w:t xml:space="preserve">SL/T </w:t>
      </w:r>
      <w:r>
        <w:rPr>
          <w:rFonts w:ascii="Times New Roman" w:hAnsi="Times New Roman" w:eastAsia="Times New Roman" w:cs="Times New Roman"/>
          <w:color w:val="auto"/>
          <w:sz w:val="24"/>
          <w:szCs w:val="24"/>
          <w:lang w:eastAsia="zh-CN"/>
        </w:rPr>
        <w:t>227-2024</w:t>
      </w:r>
      <w:r>
        <w:rPr>
          <w:rFonts w:ascii="宋体" w:hAnsi="宋体" w:eastAsia="宋体" w:cs="宋体"/>
          <w:color w:val="auto"/>
          <w:sz w:val="24"/>
          <w:szCs w:val="24"/>
          <w:lang w:eastAsia="zh-CN"/>
        </w:rPr>
        <w:t>）。</w:t>
      </w:r>
    </w:p>
    <w:p w14:paraId="35749AE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56" w:name="_Toc2128"/>
      <w:bookmarkStart w:id="1157" w:name="_Toc28886"/>
      <w:bookmarkStart w:id="1158" w:name="_Toc6234"/>
      <w:r>
        <w:rPr>
          <w:rFonts w:hint="eastAsia" w:ascii="宋体" w:hAnsi="宋体" w:eastAsia="宋体" w:cs="宋体"/>
          <w:b/>
          <w:bCs/>
          <w:color w:val="auto"/>
          <w:sz w:val="24"/>
          <w:szCs w:val="24"/>
          <w:lang w:eastAsia="zh-CN"/>
        </w:rPr>
        <w:t>4.2 施工环境保护</w:t>
      </w:r>
      <w:bookmarkEnd w:id="1156"/>
      <w:bookmarkEnd w:id="1157"/>
      <w:bookmarkEnd w:id="1158"/>
    </w:p>
    <w:p w14:paraId="5566720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4.2.1 生活供水及生活废水处理</w:t>
      </w:r>
    </w:p>
    <w:p w14:paraId="5631F4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）饮用水水质应符合《生活饮用水卫生标准》（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5749-2022</w:t>
      </w:r>
      <w:r>
        <w:rPr>
          <w:rFonts w:ascii="宋体" w:hAnsi="宋体" w:eastAsia="宋体" w:cs="宋体"/>
          <w:color w:val="auto"/>
          <w:sz w:val="24"/>
          <w:szCs w:val="24"/>
          <w:lang w:eastAsia="zh-CN"/>
        </w:rPr>
        <w:t>）的规定。</w:t>
      </w:r>
    </w:p>
    <w:p w14:paraId="558555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）处理后的废水水质应符合受纳水体环境功能区规划规定的排放要求，或应遵守《污水综合排放标准》（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8978-1996</w:t>
      </w:r>
      <w:r>
        <w:rPr>
          <w:rFonts w:ascii="宋体" w:hAnsi="宋体" w:eastAsia="宋体" w:cs="宋体"/>
          <w:color w:val="auto"/>
          <w:sz w:val="24"/>
          <w:szCs w:val="24"/>
          <w:lang w:eastAsia="zh-CN"/>
        </w:rPr>
        <w:t>）的规定，不得将未处理的生活污水直接或间接排入河流水体中，或造成生活供水系统的污染。</w:t>
      </w:r>
    </w:p>
    <w:p w14:paraId="77341E0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4.2.2 生产废水处理</w:t>
      </w:r>
    </w:p>
    <w:p w14:paraId="25716A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）基坑排水的排放口位置尽可能设置在靠近河流中的流速较大处，以尽量满足水质保护要求。基坑的经常性排水，应在基坑排水末端设沉淀池，排水量视沉淀池水的浑浊程度而定，做到蓄浑排清。尽量控制水体</w:t>
      </w:r>
      <w:r>
        <w:rPr>
          <w:rFonts w:ascii="Times New Roman" w:hAnsi="Times New Roman" w:eastAsia="Times New Roman" w:cs="Times New Roman"/>
          <w:color w:val="auto"/>
          <w:sz w:val="24"/>
          <w:szCs w:val="24"/>
          <w:lang w:eastAsia="zh-CN"/>
        </w:rPr>
        <w:t>pH</w:t>
      </w:r>
      <w:r>
        <w:rPr>
          <w:rFonts w:ascii="宋体" w:hAnsi="宋体" w:eastAsia="宋体" w:cs="宋体"/>
          <w:color w:val="auto"/>
          <w:sz w:val="24"/>
          <w:szCs w:val="24"/>
          <w:lang w:eastAsia="zh-CN"/>
        </w:rPr>
        <w:t>值接近中性时排放。</w:t>
      </w:r>
    </w:p>
    <w:p w14:paraId="0B034C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）砂石料开采加工、混凝土生产及其他辅助生产系统等的废水处理应实行雨污分流，建立完善的废水处理系统，将各生产系统经常性排放的废水统一收集处理。</w:t>
      </w:r>
    </w:p>
    <w:p w14:paraId="18AD5D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）废水处理系统排出的污泥需进行必要的脱水（或沉淀）处理后，运至指定的弃渣场堆存。防止污泥进入排水系统或排入河道。</w:t>
      </w:r>
    </w:p>
    <w:p w14:paraId="4DE5FE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）机修及汽修系统的废水收集、处理系统应建立专用的废水收集管道，对含油较高的机修废水应选用成套油水分离设备进行油水分离，不得任意设置未经处理的废水排污口。</w:t>
      </w:r>
    </w:p>
    <w:p w14:paraId="0B5EA8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）混凝土浇筑面的冲洗、冲毛废水，以及灌浆工作面冲洗岩粉的污水和废弃浆液应由专设的沟道集中排放，严禁污水漫流。</w:t>
      </w:r>
    </w:p>
    <w:p w14:paraId="4960641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4.2.3 施工区粉尘控制</w:t>
      </w:r>
    </w:p>
    <w:p w14:paraId="11EBA6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）承包人应根据施工设备类型和施工方法制定除尘实施细则，提交监理人批准。</w:t>
      </w:r>
    </w:p>
    <w:p w14:paraId="184C7F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）施工过程中，承包人应会同监理人根据批准的除尘实施细则，随时进行除尘措施的检查和检测。检查和检测记录应提交监理人。</w:t>
      </w:r>
    </w:p>
    <w:p w14:paraId="49CA1D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）施工期间，承包人应根据工程所在区域环境空气功能区划要求，保证施工场界及敏感受体附近空气中允许粉尘浓度限值控制在《水利水电工程施工通用安全技术规程》（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3.4.2</w:t>
      </w:r>
      <w:r>
        <w:rPr>
          <w:rFonts w:ascii="宋体" w:hAnsi="宋体" w:eastAsia="宋体" w:cs="宋体"/>
          <w:color w:val="auto"/>
          <w:sz w:val="24"/>
          <w:szCs w:val="24"/>
          <w:lang w:eastAsia="zh-CN"/>
        </w:rPr>
        <w:t>规定范围内。</w:t>
      </w:r>
    </w:p>
    <w:p w14:paraId="69CF57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）承包人制定的除尘措施，应遵守《水利水电工程施工通用安全技术规程》（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3.4.3</w:t>
      </w:r>
      <w:r>
        <w:rPr>
          <w:rFonts w:ascii="宋体" w:hAnsi="宋体" w:eastAsia="宋体" w:cs="宋体"/>
          <w:color w:val="auto"/>
          <w:sz w:val="24"/>
          <w:szCs w:val="24"/>
          <w:lang w:eastAsia="zh-CN"/>
        </w:rPr>
        <w:t>条的有关规定外，还应做到：</w:t>
      </w:r>
    </w:p>
    <w:p w14:paraId="525E28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）施工期间，除尘设备应与生产设备同时运行，并保持良好运行状态。</w:t>
      </w:r>
    </w:p>
    <w:p w14:paraId="014252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）选用低尘工艺，钻孔要安装除尘装置。</w:t>
      </w:r>
    </w:p>
    <w:p w14:paraId="686B09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）混凝土系统配置除尘装置，及时更换和修理无法运行的除尘设备。</w:t>
      </w:r>
    </w:p>
    <w:p w14:paraId="6D5451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）承包人不得任意安装和使用对空气可能产生污染的锅炉、炉具，以及使用易产生烟尘或其他空气污染物的燃料。</w:t>
      </w:r>
    </w:p>
    <w:p w14:paraId="56BE80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）散装水泥、粉煤灰、磷矿渣粉应由封闭系统从罐车卸载到储存罐，所有出口应配有袋式过滤器。</w:t>
      </w:r>
    </w:p>
    <w:p w14:paraId="655011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）承包人应经常清扫施工场地和道路，向多尘工地和路面充分洒水。</w:t>
      </w:r>
    </w:p>
    <w:p w14:paraId="4BCEB6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）施工场地内应限制卡车、推土机等的车速以减少扬尘；运输可能产生粉尘物料的敞篷运输车，其车厢两侧及尾部均应配备挡板。运输粉尘物料应用干净的雨布加以遮盖。</w:t>
      </w:r>
    </w:p>
    <w:p w14:paraId="544E8B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）洞内施工的液压钻、潜孔钻等应设有收尘装置，钻进不起尘，地下洞室的钻进工作面应设置有效的通风排烟设施，保证洞内空气流通。</w:t>
      </w:r>
    </w:p>
    <w:p w14:paraId="643C69E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4.2.4 施工区噪声污染控制</w:t>
      </w:r>
    </w:p>
    <w:p w14:paraId="7CB863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）施工过程中，承包人应会同监理人根据批准的降低噪声的措施，对施工场地进行噪声的检查和监测，检查和监测记录应提交监理人。</w:t>
      </w:r>
    </w:p>
    <w:p w14:paraId="48BB79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）施工期间，承包人应按</w:t>
      </w:r>
      <w:r>
        <w:rPr>
          <w:rFonts w:ascii="宋体" w:hAnsi="宋体" w:eastAsia="宋体" w:cs="宋体"/>
          <w:color w:val="auto"/>
          <w:spacing w:val="-20"/>
          <w:sz w:val="24"/>
          <w:szCs w:val="24"/>
          <w:lang w:eastAsia="zh-CN"/>
        </w:rPr>
        <w:t>《水利水电工程施工通用安全技术规程》（</w:t>
      </w:r>
      <w:r>
        <w:rPr>
          <w:rFonts w:hint="eastAsia" w:ascii="Times New Roman" w:hAnsi="Times New Roman" w:eastAsia="宋体" w:cs="Times New Roman"/>
          <w:color w:val="auto"/>
          <w:spacing w:val="-20"/>
          <w:sz w:val="24"/>
          <w:szCs w:val="24"/>
          <w:lang w:eastAsia="zh-CN"/>
        </w:rPr>
        <w:t xml:space="preserve">SL </w:t>
      </w:r>
      <w:r>
        <w:rPr>
          <w:rFonts w:ascii="Times New Roman" w:hAnsi="Times New Roman" w:eastAsia="Times New Roman" w:cs="Times New Roman"/>
          <w:color w:val="auto"/>
          <w:spacing w:val="-20"/>
          <w:sz w:val="24"/>
          <w:szCs w:val="24"/>
          <w:lang w:eastAsia="zh-CN"/>
        </w:rPr>
        <w:t>398-2007</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3.4.4</w:t>
      </w:r>
      <w:r>
        <w:rPr>
          <w:rFonts w:ascii="宋体" w:hAnsi="宋体" w:eastAsia="宋体" w:cs="宋体"/>
          <w:color w:val="auto"/>
          <w:sz w:val="24"/>
          <w:szCs w:val="24"/>
          <w:lang w:eastAsia="zh-CN"/>
        </w:rPr>
        <w:t>条的规定，控制生产车间和作业场所地点噪声声级卫生限值。</w:t>
      </w:r>
    </w:p>
    <w:p w14:paraId="5B4255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）生活区噪声声级的限值应遵守</w:t>
      </w:r>
      <w:r>
        <w:rPr>
          <w:rFonts w:ascii="宋体" w:hAnsi="宋体" w:eastAsia="宋体" w:cs="宋体"/>
          <w:color w:val="auto"/>
          <w:spacing w:val="20"/>
          <w:sz w:val="24"/>
          <w:szCs w:val="24"/>
          <w:lang w:eastAsia="zh-CN"/>
        </w:rPr>
        <w:t>《水利水电工程施工通用安全技术规程》</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3.2.8</w:t>
      </w:r>
      <w:r>
        <w:rPr>
          <w:rFonts w:ascii="宋体" w:hAnsi="宋体" w:eastAsia="宋体" w:cs="宋体"/>
          <w:color w:val="auto"/>
          <w:sz w:val="24"/>
          <w:szCs w:val="24"/>
          <w:lang w:eastAsia="zh-CN"/>
        </w:rPr>
        <w:t>的规定。</w:t>
      </w:r>
    </w:p>
    <w:p w14:paraId="1AE5D3E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4.2.5 固体废弃物处理</w:t>
      </w:r>
    </w:p>
    <w:p w14:paraId="7DFF61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）承包人应负责对其施工场地以及生活区范围内的生产和生活垃圾进行清运填埋，并应设置必要的生活卫生设施，及时清扫生活垃圾，统一运至指定地点。</w:t>
      </w:r>
    </w:p>
    <w:p w14:paraId="494A17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）生产垃圾中的金属类废品，应由承包人负责回收利用。</w:t>
      </w:r>
    </w:p>
    <w:p w14:paraId="3A630F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）承包人应按指定的渣场弃渣，弃渣场应采取碾压、挡护或绿化等措施进行处理。</w:t>
      </w:r>
    </w:p>
    <w:p w14:paraId="056539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）对施工中难以避免滑入河道的渣土、因施工造成的场地塌滑与泥沙漫流等问题，应根据监理人指示和地方环境保护部门要求，采取合理措施进行处理。</w:t>
      </w:r>
    </w:p>
    <w:p w14:paraId="176937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）废弃混凝土应运至专设的弃料场，不得在施工场地内任意弃置。</w:t>
      </w:r>
    </w:p>
    <w:p w14:paraId="3A82815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4.2.6 有毒有害物质和危险品的管理</w:t>
      </w:r>
    </w:p>
    <w:p w14:paraId="3BA8B2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有毒有害物质和危险品的管理应遵守《水利水电工程施工通用安全技术规程》（</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398-2007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11.3.1</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11.3.2</w:t>
      </w:r>
      <w:r>
        <w:rPr>
          <w:rFonts w:ascii="宋体" w:hAnsi="宋体" w:eastAsia="宋体" w:cs="宋体"/>
          <w:color w:val="auto"/>
          <w:sz w:val="24"/>
          <w:szCs w:val="24"/>
          <w:lang w:eastAsia="zh-CN"/>
        </w:rPr>
        <w:t>条的规定。</w:t>
      </w:r>
    </w:p>
    <w:p w14:paraId="51DABEE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59" w:name="_Toc13242"/>
      <w:bookmarkStart w:id="1160" w:name="_Toc16740"/>
      <w:bookmarkStart w:id="1161" w:name="_Toc10774"/>
      <w:r>
        <w:rPr>
          <w:rFonts w:hint="eastAsia" w:ascii="宋体" w:hAnsi="宋体" w:eastAsia="宋体" w:cs="宋体"/>
          <w:b/>
          <w:bCs/>
          <w:color w:val="auto"/>
          <w:sz w:val="24"/>
          <w:szCs w:val="24"/>
          <w:lang w:eastAsia="zh-CN"/>
        </w:rPr>
        <w:t>4.3 生态环境保护</w:t>
      </w:r>
      <w:bookmarkEnd w:id="1159"/>
      <w:bookmarkEnd w:id="1160"/>
      <w:bookmarkEnd w:id="1161"/>
    </w:p>
    <w:p w14:paraId="4FD9B48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4.3.1 陆生动植物及资源保护</w:t>
      </w:r>
    </w:p>
    <w:p w14:paraId="6DEE68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）承包人因工程施工需要在施工场地范围内进行砍树、清除表土和草皮时，必须按环境保护主管部门和监理人批准的环境保护规划要求进行。</w:t>
      </w:r>
    </w:p>
    <w:p w14:paraId="6E2C7D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）承包人在施工场地内发现国家保护级的鸟巢、受保护动物和巢穴，应按国家的有关规定妥善保护。</w:t>
      </w:r>
    </w:p>
    <w:p w14:paraId="3BE5BF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）承包人在施工区附近的水域，发现受保护的鱼类应立即报告监理人，并按国家有关规定处理。严禁在施工区以外的保护林区捕猎野生动物。</w:t>
      </w:r>
    </w:p>
    <w:p w14:paraId="77FD36E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4.3.2 景观与视觉保护</w:t>
      </w:r>
    </w:p>
    <w:p w14:paraId="483024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）施工期间，承包人应负责保护好施工场地附近的风景区、自然保护区及温泉等的景观免受工程施工的影响。</w:t>
      </w:r>
    </w:p>
    <w:p w14:paraId="79FB8B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）承包人应做好生活营地周围的绿化和美化工作，保护生态，改善生活环境。修建的各项临时设施应尽可能与周围环境协调。</w:t>
      </w:r>
    </w:p>
    <w:p w14:paraId="4225EC2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62" w:name="_Toc21541"/>
      <w:bookmarkStart w:id="1163" w:name="_Toc25831"/>
      <w:bookmarkStart w:id="1164" w:name="_Toc6034"/>
      <w:r>
        <w:rPr>
          <w:rFonts w:hint="eastAsia" w:ascii="宋体" w:hAnsi="宋体" w:eastAsia="宋体" w:cs="宋体"/>
          <w:b/>
          <w:bCs/>
          <w:color w:val="auto"/>
          <w:sz w:val="24"/>
          <w:szCs w:val="24"/>
          <w:lang w:eastAsia="zh-CN"/>
        </w:rPr>
        <w:t>4.4 水土保持</w:t>
      </w:r>
      <w:bookmarkEnd w:id="1162"/>
      <w:bookmarkEnd w:id="1163"/>
      <w:bookmarkEnd w:id="1164"/>
    </w:p>
    <w:p w14:paraId="43E264A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4.4.1 执行水土保持措施计划</w:t>
      </w:r>
    </w:p>
    <w:p w14:paraId="5F3CEA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承包人应按监理人批准的水土保持措施计划，负责实施本合同责任范围内（包括施工开挖的场地、生活区、施工道路等）的水土保持措施，并在工程结束后，按合同要求进行场地清理和整治。</w:t>
      </w:r>
    </w:p>
    <w:p w14:paraId="3F03168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4.4.2 做好水土保持工程措施</w:t>
      </w:r>
    </w:p>
    <w:p w14:paraId="74834D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）承包人应做好场内道路上下边坡水土流失的防治工程措施；施工场地应设置完善的排水系统，防止降雨径流对施工场地和渣场的冲刷。</w:t>
      </w:r>
    </w:p>
    <w:p w14:paraId="6C336F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）承包人应按监理人批准的水土保持工程措施，做好料场的挡护、排水等工程措施和植物种植保护措施，并负责料场施工期的维护管理工作。</w:t>
      </w:r>
    </w:p>
    <w:p w14:paraId="0C38A4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）承包人应选择不易受径流冲刷侵蚀的场地堆放开挖料，并在其堆放场地周边修建临时排水沟引排周边汇水。</w:t>
      </w:r>
    </w:p>
    <w:p w14:paraId="741C42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）承包人应保护施工场地周边的林草和水土保持设施（包括水库、渠、塘坝、梯田和拦渣坝等），避免或减少由于施工造成的水土流失。</w:t>
      </w:r>
    </w:p>
    <w:p w14:paraId="7B3DCA2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65" w:name="_Toc31574"/>
      <w:bookmarkStart w:id="1166" w:name="_Toc17681"/>
      <w:bookmarkStart w:id="1167" w:name="_Toc31223"/>
      <w:r>
        <w:rPr>
          <w:rFonts w:hint="eastAsia" w:ascii="宋体" w:hAnsi="宋体" w:eastAsia="宋体" w:cs="宋体"/>
          <w:b/>
          <w:bCs/>
          <w:color w:val="auto"/>
          <w:sz w:val="24"/>
          <w:szCs w:val="24"/>
          <w:lang w:eastAsia="zh-CN"/>
        </w:rPr>
        <w:t>4.5 环境清理</w:t>
      </w:r>
      <w:bookmarkEnd w:id="1165"/>
      <w:bookmarkEnd w:id="1166"/>
      <w:bookmarkEnd w:id="1167"/>
    </w:p>
    <w:p w14:paraId="0C826C6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4.5.1 环境清理措施计划</w:t>
      </w:r>
    </w:p>
    <w:p w14:paraId="028490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承包人应按监理人指示，在工程基本完工后，制定一份环境清理措施计划，提交监理人批准，其内容应包括：</w:t>
      </w:r>
    </w:p>
    <w:p w14:paraId="3298AD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）环境清理范围（包括本合同施工场地及施工场地以外遭受施工损坏的地区）。</w:t>
      </w:r>
    </w:p>
    <w:p w14:paraId="26507D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）环境保护辅助工程设施。</w:t>
      </w:r>
    </w:p>
    <w:p w14:paraId="78E965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）植被种植措施。</w:t>
      </w:r>
    </w:p>
    <w:p w14:paraId="2CE5708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4.5.2 环境清理</w:t>
      </w:r>
    </w:p>
    <w:p w14:paraId="791AA1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）在每一施工作业区施工结束后，承包人应及时拆除各种临时建筑结构和各种临时设施（包括已废弃的沉淀池和临时挡洪设施等）。</w:t>
      </w:r>
    </w:p>
    <w:p w14:paraId="0DBEA0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）完工后，承包人应按计划将所有材料和设备撤离现场，工地范围内废弃的材料、设备及其他生产垃圾应按环境规划要求和（或）监理人指示的方式处理。</w:t>
      </w:r>
    </w:p>
    <w:p w14:paraId="651867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）对防治范围内的排水沟道、挡护措施等永久性水土保持设施，应在撤离前进行疏通和修整。按合同要求拆除和撤离的其他设施和结构应及时清理出场。</w:t>
      </w:r>
    </w:p>
    <w:p w14:paraId="744CC4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w:t>
      </w:r>
      <w:r>
        <w:rPr>
          <w:rFonts w:ascii="宋体" w:hAnsi="宋体" w:eastAsia="宋体" w:cs="宋体"/>
          <w:color w:val="auto"/>
          <w:spacing w:val="-20"/>
          <w:sz w:val="24"/>
          <w:szCs w:val="24"/>
          <w:lang w:eastAsia="zh-CN"/>
        </w:rPr>
        <w:t>应有责任保证其种植的林草按《水土保持监测技术规范》（</w:t>
      </w:r>
      <w:r>
        <w:rPr>
          <w:rFonts w:hint="eastAsia" w:ascii="Times New Roman" w:hAnsi="Times New Roman" w:eastAsia="宋体" w:cs="Times New Roman"/>
          <w:color w:val="auto"/>
          <w:spacing w:val="-20"/>
          <w:sz w:val="24"/>
          <w:szCs w:val="24"/>
          <w:lang w:eastAsia="zh-CN"/>
        </w:rPr>
        <w:t xml:space="preserve">SL/T </w:t>
      </w:r>
      <w:r>
        <w:rPr>
          <w:rFonts w:ascii="Times New Roman" w:hAnsi="Times New Roman" w:eastAsia="Times New Roman" w:cs="Times New Roman"/>
          <w:color w:val="auto"/>
          <w:spacing w:val="-20"/>
          <w:sz w:val="24"/>
          <w:szCs w:val="24"/>
          <w:lang w:eastAsia="zh-CN"/>
        </w:rPr>
        <w:t>227-2024</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7.2.2</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款规定的“林草恢复期”内成活。</w:t>
      </w:r>
    </w:p>
    <w:p w14:paraId="402914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）占用耕地的料场，应在开采前将剥离的耕植土妥善堆存保管，完工后将其返还摊铺，还田复耕。</w:t>
      </w:r>
    </w:p>
    <w:p w14:paraId="02FC828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68" w:name="_Toc9106"/>
      <w:bookmarkStart w:id="1169" w:name="_Toc24500"/>
      <w:bookmarkStart w:id="1170" w:name="_Toc5937"/>
      <w:r>
        <w:rPr>
          <w:rFonts w:hint="eastAsia" w:ascii="宋体" w:hAnsi="宋体" w:eastAsia="宋体" w:cs="宋体"/>
          <w:b/>
          <w:bCs/>
          <w:color w:val="auto"/>
          <w:sz w:val="24"/>
          <w:szCs w:val="24"/>
          <w:lang w:eastAsia="zh-CN"/>
        </w:rPr>
        <w:t>4.6 环境保护工程的验收</w:t>
      </w:r>
      <w:bookmarkEnd w:id="1168"/>
      <w:bookmarkEnd w:id="1169"/>
      <w:bookmarkEnd w:id="1170"/>
    </w:p>
    <w:p w14:paraId="2C2728A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4.6.1 施工期环境保护临时设施的检查和验收</w:t>
      </w:r>
    </w:p>
    <w:p w14:paraId="754EE1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各项施工期环境保护临时设施投入使用前，应由监理人会同环保部门代表与承包人共同进行环境保护临时设施的质量检查和验收。承包人应为上述检查和验收提供以下资料：</w:t>
      </w:r>
    </w:p>
    <w:p w14:paraId="6E3314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）监理人批准的“环境保护及水土保持工程”的施工措施计划。</w:t>
      </w:r>
    </w:p>
    <w:p w14:paraId="38AD82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）各项环境保护临时设施布置图。</w:t>
      </w:r>
    </w:p>
    <w:p w14:paraId="7365C5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）施工质量检查记录。</w:t>
      </w:r>
    </w:p>
    <w:p w14:paraId="225816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）生活和生产供水水质、污水和废水处理水质，以及固体废弃物处理效果等的检验和实测资料。</w:t>
      </w:r>
    </w:p>
    <w:p w14:paraId="2869BE2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4.6.2 环境保护和水土保持工程的质量检查和验收</w:t>
      </w:r>
    </w:p>
    <w:p w14:paraId="7BB02A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本章第</w:t>
      </w:r>
      <w:r>
        <w:rPr>
          <w:rFonts w:ascii="Times New Roman" w:hAnsi="Times New Roman" w:eastAsia="Times New Roman" w:cs="Times New Roman"/>
          <w:color w:val="auto"/>
          <w:sz w:val="24"/>
          <w:szCs w:val="24"/>
          <w:lang w:eastAsia="zh-CN"/>
        </w:rPr>
        <w:t>4.2</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4.5</w:t>
      </w:r>
      <w:r>
        <w:rPr>
          <w:rFonts w:ascii="宋体" w:hAnsi="宋体" w:eastAsia="宋体" w:cs="宋体"/>
          <w:color w:val="auto"/>
          <w:sz w:val="24"/>
          <w:szCs w:val="24"/>
          <w:lang w:eastAsia="zh-CN"/>
        </w:rPr>
        <w:t>款所涉及的本工程环境保护和水土保持设施，包括为环境清理修建的永久性设施，均应由监理人会同环境保护部门代表与承包人共同按国家的环境保护法规和本合同技术条款的有关规定进行质量检查和验收。</w:t>
      </w:r>
    </w:p>
    <w:p w14:paraId="30658A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承包人应为上述永久性环境保护设施的检查和验收提供以下资料：</w:t>
      </w:r>
    </w:p>
    <w:p w14:paraId="4272CC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）永久性环境保护工程和设施的各项工程布置图。</w:t>
      </w:r>
    </w:p>
    <w:p w14:paraId="4920B5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）永久性环境保护工程和设施的工程质量检查验收记录。</w:t>
      </w:r>
    </w:p>
    <w:p w14:paraId="06D7ED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）植被种植计划的完成情况和检查验收记录。</w:t>
      </w:r>
    </w:p>
    <w:p w14:paraId="24C570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）“林草恢复期”内，各区植被的维护管理措施。</w:t>
      </w:r>
    </w:p>
    <w:p w14:paraId="457694A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4.6.3 永久性环境保护工程的完工验收</w:t>
      </w:r>
    </w:p>
    <w:p w14:paraId="7131DE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上述条款所列的全部永久性环境保护和水土保持设施项目验收合格后，承包人应按监理人的指示，向发包人提交要求对全部永久性环境保护工程和设施进行完工验收的申请报告。经发包人同意后，由监理人会同承包人和环境保护部门代表共同进行完工验收。承包人应为永久性环境保护工程的完工验收提供以下资料：</w:t>
      </w:r>
    </w:p>
    <w:p w14:paraId="212EDC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）各项永久性环境保护工程的竣工图及其有关的竣工资料。</w:t>
      </w:r>
    </w:p>
    <w:p w14:paraId="1DDE6E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）各项永久性环境保护工程的质量检查记录和质量鉴定成果。</w:t>
      </w:r>
    </w:p>
    <w:p w14:paraId="79420E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）监理人要求提交的其他完工验收资料。</w:t>
      </w:r>
    </w:p>
    <w:p w14:paraId="763CA4F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71" w:name="_Toc22693"/>
      <w:bookmarkStart w:id="1172" w:name="_Toc26552"/>
      <w:bookmarkStart w:id="1173" w:name="_Toc23512"/>
      <w:r>
        <w:rPr>
          <w:rFonts w:hint="eastAsia" w:ascii="宋体" w:hAnsi="宋体" w:eastAsia="宋体" w:cs="宋体"/>
          <w:b/>
          <w:bCs/>
          <w:color w:val="auto"/>
          <w:sz w:val="24"/>
          <w:szCs w:val="24"/>
          <w:lang w:eastAsia="zh-CN"/>
        </w:rPr>
        <w:t>4.7 计量和支付</w:t>
      </w:r>
      <w:bookmarkEnd w:id="1171"/>
      <w:bookmarkEnd w:id="1172"/>
      <w:bookmarkEnd w:id="1173"/>
    </w:p>
    <w:p w14:paraId="0F9110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）承包人按本章要求进行的，施工现场为达到环境保护部门要求的各项施工环境保护费，包含在《工程量清单》相应项目的工程单价或总价中。</w:t>
      </w:r>
    </w:p>
    <w:p w14:paraId="4B2BA7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）河床基坑的废水处理费用，由发包人按《工程量清单》相应项目的工程单价或总价支付。</w:t>
      </w:r>
    </w:p>
    <w:p w14:paraId="64CB7C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列入《工程量清单》的水土保持的其他工程项目（如场内交通工程防护和水土保持设施、林草植被种植措施等），由发包人按《工程量清单》相应项目工程单价或总价支付。除合同另有约定外，水土保持的其他工程项目的工程单价或总价，应包括承包人完成相应项目的建设、运行、维护管理和施工期监测等工作所需全部费用。</w:t>
      </w:r>
    </w:p>
    <w:p w14:paraId="6D6C4626">
      <w:pPr>
        <w:widowControl w:val="0"/>
        <w:kinsoku/>
        <w:topLinePunct/>
        <w:autoSpaceDE/>
        <w:autoSpaceDN/>
        <w:spacing w:line="520" w:lineRule="exact"/>
        <w:ind w:left="5" w:right="3" w:firstLine="486"/>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）未列入《工程量清单》的其他水土保持措施，承包人完成这些措施的建设、运行、维护管理和施工期监测等工作所需费用，包含在《工程量清单》所列的水土保持专项措施费中，发包人不另行支付。</w:t>
      </w:r>
    </w:p>
    <w:p w14:paraId="6DCC1823">
      <w:pPr>
        <w:widowControl w:val="0"/>
        <w:kinsoku/>
        <w:topLinePunct/>
        <w:autoSpaceDE/>
        <w:autoSpaceDN/>
        <w:spacing w:line="520" w:lineRule="exact"/>
        <w:ind w:left="5" w:right="57" w:firstLine="486"/>
        <w:jc w:val="both"/>
        <w:rPr>
          <w:rFonts w:hint="eastAsia" w:ascii="宋体" w:hAnsi="宋体" w:eastAsia="宋体" w:cs="宋体"/>
          <w:color w:val="auto"/>
          <w:sz w:val="24"/>
          <w:szCs w:val="24"/>
          <w:lang w:eastAsia="zh-CN"/>
        </w:rPr>
      </w:pPr>
    </w:p>
    <w:p w14:paraId="49C6EC21">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6F5D79BD">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174" w:name="_Toc19186"/>
      <w:bookmarkStart w:id="1175" w:name="_Toc32358"/>
      <w:bookmarkStart w:id="1176" w:name="_Toc14676"/>
      <w:r>
        <w:rPr>
          <w:rFonts w:ascii="Times New Roman" w:hAnsi="Times New Roman" w:eastAsia="Times New Roman" w:cs="Times New Roman"/>
          <w:b/>
          <w:bCs/>
          <w:color w:val="auto"/>
          <w:sz w:val="28"/>
          <w:szCs w:val="28"/>
          <w:lang w:eastAsia="zh-CN"/>
        </w:rPr>
        <w:t>5</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施工导流工程</w:t>
      </w:r>
      <w:bookmarkEnd w:id="1174"/>
      <w:bookmarkEnd w:id="1175"/>
      <w:bookmarkEnd w:id="1176"/>
    </w:p>
    <w:p w14:paraId="70143A0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77" w:name="_Toc1004"/>
      <w:bookmarkStart w:id="1178" w:name="_Toc15363"/>
      <w:bookmarkStart w:id="1179" w:name="_Toc5842"/>
      <w:r>
        <w:rPr>
          <w:rFonts w:hint="eastAsia" w:ascii="宋体" w:hAnsi="宋体" w:eastAsia="宋体" w:cs="宋体"/>
          <w:b/>
          <w:bCs/>
          <w:color w:val="auto"/>
          <w:sz w:val="24"/>
          <w:szCs w:val="24"/>
          <w:lang w:eastAsia="zh-CN"/>
        </w:rPr>
        <w:t>5.l 一般规定</w:t>
      </w:r>
      <w:bookmarkEnd w:id="1177"/>
      <w:bookmarkEnd w:id="1178"/>
      <w:bookmarkEnd w:id="1179"/>
    </w:p>
    <w:p w14:paraId="5301F30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5.1.1 应用范围</w:t>
      </w:r>
    </w:p>
    <w:p w14:paraId="0CD55C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本章规定适用于本合同施工图纸所示主体工程的施工导流工程，包括施工导流挡水和泄水建筑物、截流、度汛、基坑排水、通航、下闸及封堵和施工期下游供水的工程项目及其工作内容。</w:t>
      </w:r>
    </w:p>
    <w:p w14:paraId="7048090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5.1.2 承包人责任</w:t>
      </w:r>
    </w:p>
    <w:p w14:paraId="16904C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）按本合同确定的施工导流方案、导流洪水标准与施工控制性进度，编制本工程施工导流的措施计划，提交监理人批准。</w:t>
      </w:r>
    </w:p>
    <w:p w14:paraId="38C66D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）按批准的施工导流措施计划和本技术条款的规定，负责完成以下各项工作：</w:t>
      </w:r>
    </w:p>
    <w:p w14:paraId="2F73FD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）完成本章第</w:t>
      </w:r>
      <w:r>
        <w:rPr>
          <w:rFonts w:ascii="Times New Roman" w:hAnsi="Times New Roman" w:eastAsia="Times New Roman" w:cs="Times New Roman"/>
          <w:color w:val="auto"/>
          <w:sz w:val="24"/>
          <w:szCs w:val="24"/>
          <w:lang w:eastAsia="zh-CN"/>
        </w:rPr>
        <w:t>5.1.1</w:t>
      </w:r>
      <w:r>
        <w:rPr>
          <w:rFonts w:ascii="宋体" w:hAnsi="宋体" w:eastAsia="宋体" w:cs="宋体"/>
          <w:color w:val="auto"/>
          <w:sz w:val="24"/>
          <w:szCs w:val="24"/>
          <w:lang w:eastAsia="zh-CN"/>
        </w:rPr>
        <w:t>项所规定的施工导流工程项目及其工作内容。</w:t>
      </w:r>
    </w:p>
    <w:p w14:paraId="0FC97B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）保证永久建筑物在干地施工的措施。</w:t>
      </w:r>
    </w:p>
    <w:p w14:paraId="3FA1C8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）按合同约定，负责提供导流工程的材料和设备，包括材料和设备的试验、检验，以及设备的运行和维护。</w:t>
      </w:r>
    </w:p>
    <w:p w14:paraId="3C832F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）协助发包人安排好施工通航和施工期下游供水。</w:t>
      </w:r>
    </w:p>
    <w:p w14:paraId="0FC2FB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）导流期间，当河道的天然来水流量小于或等于本合同规定的导流工程设计洪水标准时，承包人应对导流工程的施工安全承担责任。</w:t>
      </w:r>
    </w:p>
    <w:p w14:paraId="462408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）当施工期内，遭遇不可抗力的自然灾害或发生超标准洪水时，承包人应按监理人指示，采取应急措施，进行防洪防灾的抢救工作。</w:t>
      </w:r>
    </w:p>
    <w:p w14:paraId="6F5CF2C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5.1.3 主要提交件</w:t>
      </w:r>
    </w:p>
    <w:p w14:paraId="5BDBE9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）导流工程施工措施计划</w:t>
      </w:r>
    </w:p>
    <w:p w14:paraId="1E9BDE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承包人应在施工导流建筑物开工前</w:t>
      </w:r>
      <w:r>
        <w:rPr>
          <w:rFonts w:hint="eastAsia" w:ascii="宋体" w:hAnsi="宋体" w:eastAsia="宋体" w:cs="宋体"/>
          <w:color w:val="auto"/>
          <w:sz w:val="24"/>
          <w:szCs w:val="24"/>
          <w:u w:val="single"/>
          <w:lang w:eastAsia="zh-CN"/>
        </w:rPr>
        <w:t xml:space="preserve"> 7 </w:t>
      </w:r>
      <w:r>
        <w:rPr>
          <w:rFonts w:ascii="宋体" w:hAnsi="宋体" w:eastAsia="宋体" w:cs="宋体"/>
          <w:color w:val="auto"/>
          <w:sz w:val="24"/>
          <w:szCs w:val="24"/>
          <w:lang w:eastAsia="zh-CN"/>
        </w:rPr>
        <w:t>天，按本章第</w:t>
      </w:r>
      <w:r>
        <w:rPr>
          <w:rFonts w:ascii="Times New Roman" w:hAnsi="Times New Roman" w:eastAsia="Times New Roman" w:cs="Times New Roman"/>
          <w:color w:val="auto"/>
          <w:sz w:val="24"/>
          <w:szCs w:val="24"/>
          <w:lang w:eastAsia="zh-CN"/>
        </w:rPr>
        <w:t>5.1.1</w:t>
      </w:r>
      <w:r>
        <w:rPr>
          <w:rFonts w:ascii="宋体" w:hAnsi="宋体" w:eastAsia="宋体" w:cs="宋体"/>
          <w:color w:val="auto"/>
          <w:sz w:val="24"/>
          <w:szCs w:val="24"/>
          <w:lang w:eastAsia="zh-CN"/>
        </w:rPr>
        <w:t>项规定的导流工程项目，编制导流工程施工措施计划，提交监理人批准，其内容包括：</w:t>
      </w:r>
    </w:p>
    <w:p w14:paraId="5CAA2C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）截流试验报告和截流施工措施方案。</w:t>
      </w:r>
    </w:p>
    <w:p w14:paraId="076C5A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Times New Roman" w:hAnsi="Times New Roman" w:eastAsia="Times New Roman" w:cs="Times New Roman"/>
          <w:color w:val="auto"/>
          <w:sz w:val="24"/>
          <w:szCs w:val="24"/>
        </w:rPr>
        <w:t>2</w:t>
      </w:r>
      <w:r>
        <w:rPr>
          <w:rFonts w:ascii="宋体" w:hAnsi="宋体" w:eastAsia="宋体" w:cs="宋体"/>
          <w:color w:val="auto"/>
          <w:sz w:val="24"/>
          <w:szCs w:val="24"/>
        </w:rPr>
        <w:t>）基坑排水措施。</w:t>
      </w:r>
    </w:p>
    <w:p w14:paraId="62DFE4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Times New Roman" w:hAnsi="Times New Roman" w:eastAsia="Times New Roman" w:cs="Times New Roman"/>
          <w:color w:val="auto"/>
          <w:sz w:val="24"/>
          <w:szCs w:val="24"/>
        </w:rPr>
        <w:t>3</w:t>
      </w:r>
      <w:r>
        <w:rPr>
          <w:rFonts w:ascii="宋体" w:hAnsi="宋体" w:eastAsia="宋体" w:cs="宋体"/>
          <w:color w:val="auto"/>
          <w:sz w:val="24"/>
          <w:szCs w:val="24"/>
        </w:rPr>
        <w:t>）防洪和安全度汛措施。</w:t>
      </w:r>
    </w:p>
    <w:p w14:paraId="4242B0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）下闸封堵措施。</w:t>
      </w:r>
    </w:p>
    <w:p w14:paraId="1367D0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）导流工程施工进度计划。</w:t>
      </w:r>
    </w:p>
    <w:p w14:paraId="10A9AA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）监理人要求的其他补充措施计划。</w:t>
      </w:r>
    </w:p>
    <w:p w14:paraId="57EBE4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）导流建筑物施工图纸</w:t>
      </w:r>
    </w:p>
    <w:p w14:paraId="0FB8FA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除合同另有约定外，在导流建筑物施工前</w:t>
      </w:r>
      <w:r>
        <w:rPr>
          <w:rFonts w:hint="eastAsia" w:ascii="宋体" w:hAnsi="宋体" w:eastAsia="宋体" w:cs="宋体"/>
          <w:color w:val="auto"/>
          <w:sz w:val="24"/>
          <w:szCs w:val="24"/>
          <w:u w:val="single"/>
          <w:lang w:eastAsia="zh-CN"/>
        </w:rPr>
        <w:t xml:space="preserve"> 28 </w:t>
      </w:r>
      <w:r>
        <w:rPr>
          <w:rFonts w:ascii="宋体" w:hAnsi="宋体" w:eastAsia="宋体" w:cs="宋体"/>
          <w:color w:val="auto"/>
          <w:sz w:val="24"/>
          <w:szCs w:val="24"/>
          <w:lang w:eastAsia="zh-CN"/>
        </w:rPr>
        <w:t>天，承包人应将其负责提供的导流建筑物施工图纸，提交监理人批准。</w:t>
      </w:r>
    </w:p>
    <w:p w14:paraId="4675EF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）安全度汛措施计划</w:t>
      </w:r>
    </w:p>
    <w:p w14:paraId="3561B4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承包人应在每年汛期前，将该年度的安全度汛措施报告，提交监理人批准，其内容包括：</w:t>
      </w:r>
    </w:p>
    <w:p w14:paraId="00564B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）截至度汛前工程应达到的度汛形象面貌。</w:t>
      </w:r>
    </w:p>
    <w:p w14:paraId="0987F0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）临时和永久工程建筑物的汛期防护措施。</w:t>
      </w:r>
    </w:p>
    <w:p w14:paraId="3F2EC6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）防汛器材设备和劳动力配备。</w:t>
      </w:r>
    </w:p>
    <w:p w14:paraId="008EF5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）施工区和生活区的度汛防护措施。</w:t>
      </w:r>
    </w:p>
    <w:p w14:paraId="076AEE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）临时通航的安全度汛措施。</w:t>
      </w:r>
    </w:p>
    <w:p w14:paraId="2C5362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）遭遇超标准洪水时的应急度汛措施。</w:t>
      </w:r>
    </w:p>
    <w:p w14:paraId="15E388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）监理人要求提交的其他施工度汛资料。</w:t>
      </w:r>
    </w:p>
    <w:p w14:paraId="55005C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）施工期临时通航措施计划</w:t>
      </w:r>
    </w:p>
    <w:p w14:paraId="09F36E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承包人应在施工期临时通航开始前，将施工期临时通航措施计划提交监理人批准。</w:t>
      </w:r>
    </w:p>
    <w:p w14:paraId="5AD8B7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）截流措施计划</w:t>
      </w:r>
    </w:p>
    <w:p w14:paraId="46FA3E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承包人应在截流前，将截流措施计划提交监理人批准，其内容包括：</w:t>
      </w:r>
    </w:p>
    <w:p w14:paraId="093EAB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）截流施工进度。</w:t>
      </w:r>
    </w:p>
    <w:p w14:paraId="4447EB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）截流时段、截流方式（如立堵、平堵或两者兼有）、截流落差、截流戗堤轴线位置、截流水力参数。</w:t>
      </w:r>
    </w:p>
    <w:p w14:paraId="16153A7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）供料的料源、备料场地储量，各种截流抛投材料的品种、数量和备料情况。</w:t>
      </w:r>
    </w:p>
    <w:p w14:paraId="476FE3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）截流材料抛投的运输设备配置和运输道路情况。</w:t>
      </w:r>
    </w:p>
    <w:p w14:paraId="2A861E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）截流过程水力参数的测试安排。</w:t>
      </w:r>
    </w:p>
    <w:p w14:paraId="765F60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）监理人要求提交的其他截流资料。</w:t>
      </w:r>
    </w:p>
    <w:p w14:paraId="44103A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）下闸封堵和水库蓄水措施计划</w:t>
      </w:r>
    </w:p>
    <w:p w14:paraId="3D9CB3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承包人应在下闸封堵前，将下闸封堵和水库蓄水措施计划提交监理人批准，其内容包括：</w:t>
      </w:r>
    </w:p>
    <w:p w14:paraId="3F9066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）主体工程应完成的工程形象面貌。</w:t>
      </w:r>
    </w:p>
    <w:p w14:paraId="21C6BB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）封堵闸门和启闭机的试运行计划。</w:t>
      </w:r>
    </w:p>
    <w:p w14:paraId="60028C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）下闸封堵前的库区施工场地清理和验收计划。</w:t>
      </w:r>
    </w:p>
    <w:p w14:paraId="5CE385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）下闸封堵前，观测设备的观测初始值。</w:t>
      </w:r>
    </w:p>
    <w:p w14:paraId="1F876F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）下闸封堵施工措施（如导流隧洞、导流底孔等的封堵措施）。</w:t>
      </w:r>
    </w:p>
    <w:p w14:paraId="29BC37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）下闸封堵后的下游供水措施。</w:t>
      </w:r>
    </w:p>
    <w:p w14:paraId="349A40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）水库蓄水（或水库分阶段蓄水）计划。</w:t>
      </w:r>
    </w:p>
    <w:p w14:paraId="1CA4869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5.1.4 引用标准</w:t>
      </w:r>
    </w:p>
    <w:p w14:paraId="6ECCB9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）《水利工程建设项目验收管理规定》（水利部令第</w:t>
      </w:r>
      <w:r>
        <w:rPr>
          <w:rFonts w:ascii="Times New Roman" w:hAnsi="Times New Roman" w:eastAsia="Times New Roman" w:cs="Times New Roman"/>
          <w:color w:val="auto"/>
          <w:sz w:val="24"/>
          <w:szCs w:val="24"/>
          <w:lang w:eastAsia="zh-CN"/>
        </w:rPr>
        <w:t>30</w:t>
      </w:r>
      <w:r>
        <w:rPr>
          <w:rFonts w:ascii="宋体" w:hAnsi="宋体" w:eastAsia="宋体" w:cs="宋体"/>
          <w:color w:val="auto"/>
          <w:sz w:val="24"/>
          <w:szCs w:val="24"/>
          <w:lang w:eastAsia="zh-CN"/>
        </w:rPr>
        <w:t>号）。</w:t>
      </w:r>
    </w:p>
    <w:p w14:paraId="3EE52D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）《防洪标准》（</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50201-2014</w:t>
      </w:r>
      <w:r>
        <w:rPr>
          <w:rFonts w:ascii="宋体" w:hAnsi="宋体" w:eastAsia="宋体" w:cs="宋体"/>
          <w:color w:val="auto"/>
          <w:sz w:val="24"/>
          <w:szCs w:val="24"/>
          <w:lang w:eastAsia="zh-CN"/>
        </w:rPr>
        <w:t>）。</w:t>
      </w:r>
    </w:p>
    <w:p w14:paraId="7900FE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）《水利水电建设工程验收规程》（</w:t>
      </w:r>
      <w:r>
        <w:rPr>
          <w:rFonts w:hint="eastAsia" w:ascii="Times New Roman" w:hAnsi="Times New Roman" w:eastAsia="宋体" w:cs="Times New Roman"/>
          <w:color w:val="auto"/>
          <w:sz w:val="24"/>
          <w:szCs w:val="24"/>
          <w:lang w:eastAsia="zh-CN"/>
        </w:rPr>
        <w:t>SL/T 223-2025</w:t>
      </w:r>
      <w:r>
        <w:rPr>
          <w:rFonts w:ascii="宋体" w:hAnsi="宋体" w:eastAsia="宋体" w:cs="宋体"/>
          <w:color w:val="auto"/>
          <w:sz w:val="24"/>
          <w:szCs w:val="24"/>
          <w:lang w:eastAsia="zh-CN"/>
        </w:rPr>
        <w:t>）。</w:t>
      </w:r>
    </w:p>
    <w:p w14:paraId="361DAD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）《水利水电工程施工组织设计规范》（</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w:t>
      </w:r>
    </w:p>
    <w:p w14:paraId="2B9CB7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）《水利水电工程天然建筑材料勘察规程》（</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w:t>
      </w:r>
    </w:p>
    <w:p w14:paraId="364A4A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）《水利水电工程等级划分及洪水标准》（</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252-2017</w:t>
      </w:r>
      <w:r>
        <w:rPr>
          <w:rFonts w:ascii="宋体" w:hAnsi="宋体" w:eastAsia="宋体" w:cs="宋体"/>
          <w:color w:val="auto"/>
          <w:sz w:val="24"/>
          <w:szCs w:val="24"/>
          <w:lang w:eastAsia="zh-CN"/>
        </w:rPr>
        <w:t>）。</w:t>
      </w:r>
    </w:p>
    <w:p w14:paraId="5B20E2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w:t>
      </w:r>
    </w:p>
    <w:p w14:paraId="17A35B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）《水工建筑物水泥灌浆施工技术规范》（</w:t>
      </w:r>
      <w:r>
        <w:rPr>
          <w:rFonts w:hint="eastAsia" w:ascii="Times New Roman" w:hAnsi="Times New Roman" w:eastAsia="宋体" w:cs="Times New Roman"/>
          <w:color w:val="auto"/>
          <w:sz w:val="24"/>
          <w:szCs w:val="24"/>
          <w:lang w:eastAsia="zh-CN"/>
        </w:rPr>
        <w:t>SL/T 62-2020</w:t>
      </w:r>
      <w:r>
        <w:rPr>
          <w:rFonts w:ascii="宋体" w:hAnsi="宋体" w:eastAsia="宋体" w:cs="宋体"/>
          <w:color w:val="auto"/>
          <w:sz w:val="24"/>
          <w:szCs w:val="24"/>
          <w:lang w:eastAsia="zh-CN"/>
        </w:rPr>
        <w:t>）。</w:t>
      </w:r>
    </w:p>
    <w:p w14:paraId="710310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）《水利水电工程施工导流设计规范》（</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623-2013</w:t>
      </w:r>
      <w:r>
        <w:rPr>
          <w:rFonts w:ascii="宋体" w:hAnsi="宋体" w:eastAsia="宋体" w:cs="宋体"/>
          <w:color w:val="auto"/>
          <w:sz w:val="24"/>
          <w:szCs w:val="24"/>
          <w:lang w:eastAsia="zh-CN"/>
        </w:rPr>
        <w:t>）。</w:t>
      </w:r>
    </w:p>
    <w:p w14:paraId="1DADB8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）《水利水电工程围堰设计规范》（</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645-2013</w:t>
      </w:r>
      <w:r>
        <w:rPr>
          <w:rFonts w:ascii="宋体" w:hAnsi="宋体" w:eastAsia="宋体" w:cs="宋体"/>
          <w:color w:val="auto"/>
          <w:sz w:val="24"/>
          <w:szCs w:val="24"/>
          <w:lang w:eastAsia="zh-CN"/>
        </w:rPr>
        <w:t>）。</w:t>
      </w:r>
    </w:p>
    <w:p w14:paraId="2C90D2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）导流工程项目的专项技术涉及其他章节引用的标准和规程规范。</w:t>
      </w:r>
    </w:p>
    <w:p w14:paraId="4AED31A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80" w:name="_Toc29605"/>
      <w:bookmarkStart w:id="1181" w:name="_Toc13025"/>
      <w:bookmarkStart w:id="1182" w:name="_Toc32219"/>
      <w:r>
        <w:rPr>
          <w:rFonts w:hint="eastAsia" w:ascii="宋体" w:hAnsi="宋体" w:eastAsia="宋体" w:cs="宋体"/>
          <w:b/>
          <w:bCs/>
          <w:color w:val="auto"/>
          <w:sz w:val="24"/>
          <w:szCs w:val="24"/>
          <w:lang w:eastAsia="zh-CN"/>
        </w:rPr>
        <w:t>5.2 施工期导流控制标准</w:t>
      </w:r>
      <w:bookmarkEnd w:id="1180"/>
      <w:bookmarkEnd w:id="1181"/>
      <w:bookmarkEnd w:id="1182"/>
    </w:p>
    <w:p w14:paraId="08975C6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5.2.1 施工导流及度汛标准</w:t>
      </w:r>
    </w:p>
    <w:p w14:paraId="31C038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本工程排涝泵站为1级建筑物，导流建筑物级别为4级，其导流设计洪水标准：土石类建筑物为20～10年一遇；浆砌石、混凝土类建筑物为10～5年一遇。</w:t>
      </w:r>
    </w:p>
    <w:p w14:paraId="36332E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泵站工程分两期实施，一期实施清污机桥、主泵房、安装场、副厂房及出水池(泵Z0-079.000至泵Z0+209.160)，施工时需挖除部分原堤防，故在挖除堤防内侧修筑顶高程9.50m的围堰与现有堤防相接，外江侧修筑PC组合桩围堰挡水。待主泵房具备挡水条件后实施进水渠，拆除顶高程9.50m围堰，并在内河侧修筑PC组合桩围堰挡水。</w:t>
      </w:r>
    </w:p>
    <w:p w14:paraId="649568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根据《水利水电工程围堰设计规范》(SL645-2013)，在已建堤防上破口新建穿堤建筑物时，需跨汛期运用的围堰，不应降低所在堤防的防洪标准，设计洪水标准按原堤防设计标准 100 年一遇。</w:t>
      </w:r>
    </w:p>
    <w:p w14:paraId="52D2D3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待主泵房具备挡水条件时，拆除一期围堰，修筑二期内河侧围堰，施工进水渠。二期通过围堰挡水，新三江闸导流，内河侧围堰设计洪水标准取10年一遇。</w:t>
      </w:r>
    </w:p>
    <w:p w14:paraId="7CF80D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本工程泵站导流标准和水位统计见表5.2-1 。</w:t>
      </w:r>
    </w:p>
    <w:p w14:paraId="533D8271">
      <w:pPr>
        <w:pStyle w:val="8"/>
        <w:spacing w:before="155" w:line="233" w:lineRule="auto"/>
        <w:jc w:val="center"/>
        <w:rPr>
          <w:color w:val="auto"/>
        </w:rPr>
      </w:pPr>
      <w:r>
        <w:rPr>
          <w:rFonts w:hint="eastAsia" w:eastAsia="宋体"/>
          <w:b/>
          <w:bCs/>
          <w:color w:val="auto"/>
          <w:lang w:eastAsia="zh-CN"/>
        </w:rPr>
        <w:t xml:space="preserve">表5.2-1     </w:t>
      </w:r>
      <w:r>
        <w:rPr>
          <w:b/>
          <w:bCs/>
          <w:color w:val="auto"/>
        </w:rPr>
        <w:t>导流标准、水位统计</w:t>
      </w:r>
    </w:p>
    <w:p w14:paraId="79C219AA">
      <w:pPr>
        <w:spacing w:line="47" w:lineRule="exact"/>
        <w:rPr>
          <w:color w:val="auto"/>
        </w:rPr>
      </w:pPr>
    </w:p>
    <w:tbl>
      <w:tblPr>
        <w:tblStyle w:val="20"/>
        <w:tblW w:w="90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45"/>
        <w:gridCol w:w="3315"/>
        <w:gridCol w:w="2850"/>
      </w:tblGrid>
      <w:tr w14:paraId="00EEF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2845" w:type="dxa"/>
          </w:tcPr>
          <w:p w14:paraId="265F8F30">
            <w:pPr>
              <w:spacing w:before="92" w:line="222" w:lineRule="auto"/>
              <w:ind w:left="1208"/>
              <w:rPr>
                <w:rFonts w:hint="eastAsia" w:ascii="宋体" w:hAnsi="宋体" w:eastAsia="宋体" w:cs="宋体"/>
                <w:color w:val="auto"/>
                <w:sz w:val="22"/>
                <w:szCs w:val="22"/>
              </w:rPr>
            </w:pPr>
            <w:r>
              <w:rPr>
                <w:rFonts w:ascii="宋体" w:hAnsi="宋体" w:eastAsia="宋体" w:cs="宋体"/>
                <w:color w:val="auto"/>
                <w:spacing w:val="-2"/>
                <w:sz w:val="22"/>
                <w:szCs w:val="22"/>
              </w:rPr>
              <w:t>位置</w:t>
            </w:r>
          </w:p>
        </w:tc>
        <w:tc>
          <w:tcPr>
            <w:tcW w:w="3315" w:type="dxa"/>
          </w:tcPr>
          <w:p w14:paraId="3B04E4CD">
            <w:pPr>
              <w:spacing w:before="93" w:line="220" w:lineRule="auto"/>
              <w:ind w:left="678"/>
              <w:rPr>
                <w:rFonts w:hint="eastAsia" w:ascii="宋体" w:hAnsi="宋体" w:eastAsia="宋体" w:cs="宋体"/>
                <w:color w:val="auto"/>
                <w:sz w:val="22"/>
                <w:szCs w:val="22"/>
              </w:rPr>
            </w:pPr>
            <w:r>
              <w:rPr>
                <w:rFonts w:ascii="宋体" w:hAnsi="宋体" w:eastAsia="宋体" w:cs="宋体"/>
                <w:color w:val="auto"/>
                <w:spacing w:val="-2"/>
                <w:sz w:val="22"/>
                <w:szCs w:val="22"/>
              </w:rPr>
              <w:t>导流洪水标准、时段</w:t>
            </w:r>
          </w:p>
        </w:tc>
        <w:tc>
          <w:tcPr>
            <w:tcW w:w="2850" w:type="dxa"/>
          </w:tcPr>
          <w:p w14:paraId="45CA6770">
            <w:pPr>
              <w:spacing w:before="93" w:line="234" w:lineRule="auto"/>
              <w:ind w:left="686"/>
              <w:rPr>
                <w:rFonts w:hint="eastAsia" w:ascii="宋体" w:hAnsi="宋体" w:eastAsia="宋体" w:cs="宋体"/>
                <w:color w:val="auto"/>
                <w:sz w:val="22"/>
                <w:szCs w:val="22"/>
              </w:rPr>
            </w:pPr>
            <w:r>
              <w:rPr>
                <w:rFonts w:ascii="宋体" w:hAnsi="宋体" w:eastAsia="宋体" w:cs="宋体"/>
                <w:color w:val="auto"/>
                <w:spacing w:val="-2"/>
                <w:sz w:val="22"/>
                <w:szCs w:val="22"/>
              </w:rPr>
              <w:t>洪水水位（</w:t>
            </w:r>
            <w:r>
              <w:rPr>
                <w:rFonts w:ascii="Times New Roman" w:hAnsi="Times New Roman" w:eastAsia="Times New Roman" w:cs="Times New Roman"/>
                <w:color w:val="auto"/>
                <w:spacing w:val="-2"/>
                <w:sz w:val="22"/>
                <w:szCs w:val="22"/>
              </w:rPr>
              <w:t>m</w:t>
            </w:r>
            <w:r>
              <w:rPr>
                <w:rFonts w:ascii="宋体" w:hAnsi="宋体" w:eastAsia="宋体" w:cs="宋体"/>
                <w:color w:val="auto"/>
                <w:spacing w:val="-2"/>
                <w:sz w:val="22"/>
                <w:szCs w:val="22"/>
              </w:rPr>
              <w:t>）</w:t>
            </w:r>
          </w:p>
        </w:tc>
      </w:tr>
      <w:tr w14:paraId="36FAE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2845" w:type="dxa"/>
          </w:tcPr>
          <w:p w14:paraId="6B18260B">
            <w:pPr>
              <w:spacing w:before="92" w:line="220" w:lineRule="auto"/>
              <w:ind w:left="441"/>
              <w:rPr>
                <w:rFonts w:hint="eastAsia" w:ascii="宋体" w:hAnsi="宋体" w:eastAsia="宋体" w:cs="宋体"/>
                <w:color w:val="auto"/>
                <w:sz w:val="22"/>
                <w:szCs w:val="22"/>
              </w:rPr>
            </w:pPr>
            <w:r>
              <w:rPr>
                <w:rFonts w:ascii="宋体" w:hAnsi="宋体" w:eastAsia="宋体" w:cs="宋体"/>
                <w:color w:val="auto"/>
                <w:spacing w:val="-2"/>
                <w:sz w:val="22"/>
                <w:szCs w:val="22"/>
              </w:rPr>
              <w:t>一期（主泵房内侧）</w:t>
            </w:r>
          </w:p>
        </w:tc>
        <w:tc>
          <w:tcPr>
            <w:tcW w:w="3315" w:type="dxa"/>
          </w:tcPr>
          <w:p w14:paraId="18786E35">
            <w:pPr>
              <w:spacing w:before="92" w:line="220" w:lineRule="auto"/>
              <w:ind w:left="1229"/>
              <w:rPr>
                <w:rFonts w:hint="eastAsia" w:ascii="宋体" w:hAnsi="宋体" w:eastAsia="宋体" w:cs="宋体"/>
                <w:color w:val="auto"/>
                <w:sz w:val="22"/>
                <w:szCs w:val="22"/>
              </w:rPr>
            </w:pPr>
            <w:r>
              <w:rPr>
                <w:rFonts w:ascii="Times New Roman" w:hAnsi="Times New Roman" w:eastAsia="Times New Roman" w:cs="Times New Roman"/>
                <w:color w:val="auto"/>
                <w:spacing w:val="-2"/>
                <w:sz w:val="22"/>
                <w:szCs w:val="22"/>
              </w:rPr>
              <w:t>P=1%</w:t>
            </w:r>
            <w:r>
              <w:rPr>
                <w:rFonts w:ascii="宋体" w:hAnsi="宋体" w:eastAsia="宋体" w:cs="宋体"/>
                <w:color w:val="auto"/>
                <w:spacing w:val="-2"/>
                <w:sz w:val="22"/>
                <w:szCs w:val="22"/>
              </w:rPr>
              <w:t>（全年）</w:t>
            </w:r>
          </w:p>
        </w:tc>
        <w:tc>
          <w:tcPr>
            <w:tcW w:w="2850" w:type="dxa"/>
          </w:tcPr>
          <w:p w14:paraId="5F28B028">
            <w:pPr>
              <w:spacing w:before="126" w:line="233" w:lineRule="auto"/>
              <w:ind w:left="1238"/>
              <w:rPr>
                <w:rFonts w:ascii="Times New Roman" w:hAnsi="Times New Roman" w:eastAsia="Times New Roman" w:cs="Times New Roman"/>
                <w:color w:val="auto"/>
                <w:sz w:val="22"/>
                <w:szCs w:val="22"/>
              </w:rPr>
            </w:pPr>
            <w:r>
              <w:rPr>
                <w:rFonts w:ascii="Times New Roman" w:hAnsi="Times New Roman" w:eastAsia="Times New Roman" w:cs="Times New Roman"/>
                <w:color w:val="auto"/>
                <w:spacing w:val="-2"/>
                <w:sz w:val="22"/>
                <w:szCs w:val="22"/>
              </w:rPr>
              <w:t>6.33</w:t>
            </w:r>
          </w:p>
        </w:tc>
      </w:tr>
      <w:tr w14:paraId="4FED4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2845" w:type="dxa"/>
          </w:tcPr>
          <w:p w14:paraId="5221656D">
            <w:pPr>
              <w:spacing w:before="92" w:line="220" w:lineRule="auto"/>
              <w:ind w:left="883"/>
              <w:rPr>
                <w:rFonts w:hint="eastAsia" w:ascii="宋体" w:hAnsi="宋体" w:eastAsia="宋体" w:cs="宋体"/>
                <w:color w:val="auto"/>
                <w:sz w:val="22"/>
                <w:szCs w:val="22"/>
              </w:rPr>
            </w:pPr>
            <w:r>
              <w:rPr>
                <w:rFonts w:ascii="宋体" w:hAnsi="宋体" w:eastAsia="宋体" w:cs="宋体"/>
                <w:color w:val="auto"/>
                <w:spacing w:val="-2"/>
                <w:sz w:val="22"/>
                <w:szCs w:val="22"/>
              </w:rPr>
              <w:t>一期外江侧</w:t>
            </w:r>
          </w:p>
        </w:tc>
        <w:tc>
          <w:tcPr>
            <w:tcW w:w="3315" w:type="dxa"/>
          </w:tcPr>
          <w:p w14:paraId="663CF33E">
            <w:pPr>
              <w:spacing w:before="92" w:line="220" w:lineRule="auto"/>
              <w:ind w:left="1176"/>
              <w:rPr>
                <w:rFonts w:hint="eastAsia" w:ascii="宋体" w:hAnsi="宋体" w:eastAsia="宋体" w:cs="宋体"/>
                <w:color w:val="auto"/>
                <w:sz w:val="22"/>
                <w:szCs w:val="22"/>
              </w:rPr>
            </w:pPr>
            <w:r>
              <w:rPr>
                <w:rFonts w:ascii="Times New Roman" w:hAnsi="Times New Roman" w:eastAsia="Times New Roman" w:cs="Times New Roman"/>
                <w:color w:val="auto"/>
                <w:spacing w:val="-2"/>
                <w:sz w:val="22"/>
                <w:szCs w:val="22"/>
              </w:rPr>
              <w:t>P=10%</w:t>
            </w:r>
            <w:r>
              <w:rPr>
                <w:rFonts w:ascii="宋体" w:hAnsi="宋体" w:eastAsia="宋体" w:cs="宋体"/>
                <w:color w:val="auto"/>
                <w:spacing w:val="-2"/>
                <w:sz w:val="22"/>
                <w:szCs w:val="22"/>
              </w:rPr>
              <w:t>（全年）</w:t>
            </w:r>
          </w:p>
        </w:tc>
        <w:tc>
          <w:tcPr>
            <w:tcW w:w="2850" w:type="dxa"/>
          </w:tcPr>
          <w:p w14:paraId="4B4C79E6">
            <w:pPr>
              <w:spacing w:before="125" w:line="233" w:lineRule="auto"/>
              <w:ind w:left="1239"/>
              <w:rPr>
                <w:rFonts w:ascii="Times New Roman" w:hAnsi="Times New Roman" w:eastAsia="Times New Roman" w:cs="Times New Roman"/>
                <w:color w:val="auto"/>
                <w:sz w:val="22"/>
                <w:szCs w:val="22"/>
              </w:rPr>
            </w:pPr>
            <w:r>
              <w:rPr>
                <w:rFonts w:ascii="Times New Roman" w:hAnsi="Times New Roman" w:eastAsia="Times New Roman" w:cs="Times New Roman"/>
                <w:color w:val="auto"/>
                <w:spacing w:val="-2"/>
                <w:sz w:val="22"/>
                <w:szCs w:val="22"/>
              </w:rPr>
              <w:t>5.90</w:t>
            </w:r>
          </w:p>
        </w:tc>
      </w:tr>
      <w:tr w14:paraId="25A85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2845" w:type="dxa"/>
          </w:tcPr>
          <w:p w14:paraId="5CD7C0AE">
            <w:pPr>
              <w:spacing w:before="93" w:line="220" w:lineRule="auto"/>
              <w:ind w:left="883"/>
              <w:rPr>
                <w:rFonts w:hint="eastAsia" w:ascii="宋体" w:hAnsi="宋体" w:eastAsia="宋体" w:cs="宋体"/>
                <w:color w:val="auto"/>
                <w:sz w:val="22"/>
                <w:szCs w:val="22"/>
              </w:rPr>
            </w:pPr>
            <w:r>
              <w:rPr>
                <w:rFonts w:ascii="宋体" w:hAnsi="宋体" w:eastAsia="宋体" w:cs="宋体"/>
                <w:color w:val="auto"/>
                <w:spacing w:val="-2"/>
                <w:sz w:val="22"/>
                <w:szCs w:val="22"/>
              </w:rPr>
              <w:t>二期内河侧</w:t>
            </w:r>
          </w:p>
        </w:tc>
        <w:tc>
          <w:tcPr>
            <w:tcW w:w="3315" w:type="dxa"/>
          </w:tcPr>
          <w:p w14:paraId="5C07C3C0">
            <w:pPr>
              <w:spacing w:before="93" w:line="220" w:lineRule="auto"/>
              <w:ind w:left="1176"/>
              <w:rPr>
                <w:rFonts w:hint="eastAsia" w:ascii="宋体" w:hAnsi="宋体" w:eastAsia="宋体" w:cs="宋体"/>
                <w:color w:val="auto"/>
                <w:sz w:val="22"/>
                <w:szCs w:val="22"/>
              </w:rPr>
            </w:pPr>
            <w:r>
              <w:rPr>
                <w:rFonts w:ascii="Times New Roman" w:hAnsi="Times New Roman" w:eastAsia="Times New Roman" w:cs="Times New Roman"/>
                <w:color w:val="auto"/>
                <w:spacing w:val="-2"/>
                <w:sz w:val="22"/>
                <w:szCs w:val="22"/>
              </w:rPr>
              <w:t>P=10%</w:t>
            </w:r>
            <w:r>
              <w:rPr>
                <w:rFonts w:ascii="宋体" w:hAnsi="宋体" w:eastAsia="宋体" w:cs="宋体"/>
                <w:color w:val="auto"/>
                <w:spacing w:val="-2"/>
                <w:sz w:val="22"/>
                <w:szCs w:val="22"/>
              </w:rPr>
              <w:t>（全年）</w:t>
            </w:r>
          </w:p>
        </w:tc>
        <w:tc>
          <w:tcPr>
            <w:tcW w:w="2850" w:type="dxa"/>
          </w:tcPr>
          <w:p w14:paraId="30ED9636">
            <w:pPr>
              <w:spacing w:before="126" w:line="233" w:lineRule="auto"/>
              <w:ind w:left="1232"/>
              <w:rPr>
                <w:rFonts w:ascii="Times New Roman" w:hAnsi="Times New Roman" w:eastAsia="Times New Roman" w:cs="Times New Roman"/>
                <w:color w:val="auto"/>
                <w:sz w:val="22"/>
                <w:szCs w:val="22"/>
              </w:rPr>
            </w:pPr>
            <w:r>
              <w:rPr>
                <w:rFonts w:ascii="Times New Roman" w:hAnsi="Times New Roman" w:eastAsia="Times New Roman" w:cs="Times New Roman"/>
                <w:color w:val="auto"/>
                <w:spacing w:val="-1"/>
                <w:sz w:val="22"/>
                <w:szCs w:val="22"/>
              </w:rPr>
              <w:t>4.72</w:t>
            </w:r>
          </w:p>
        </w:tc>
      </w:tr>
    </w:tbl>
    <w:p w14:paraId="468FB24B">
      <w:pPr>
        <w:spacing w:line="242" w:lineRule="auto"/>
        <w:rPr>
          <w:color w:val="auto"/>
        </w:rPr>
      </w:pPr>
    </w:p>
    <w:p w14:paraId="11B7BA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承包人应根据合同确定的施工导流标准、度汛标准和度汛方式，完成施工图纸所示的挡水建筑物的施工面貌。</w:t>
      </w:r>
    </w:p>
    <w:p w14:paraId="506BE6B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5.2.2 临时通航、下游供水</w:t>
      </w:r>
    </w:p>
    <w:p w14:paraId="567DED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）施工期临时通航要求：</w:t>
      </w:r>
      <w:r>
        <w:rPr>
          <w:rFonts w:hint="eastAsia" w:ascii="宋体" w:hAnsi="宋体" w:eastAsia="宋体" w:cs="宋体"/>
          <w:color w:val="auto"/>
          <w:sz w:val="24"/>
          <w:szCs w:val="24"/>
          <w:u w:val="single"/>
          <w:lang w:eastAsia="zh-CN"/>
        </w:rPr>
        <w:t xml:space="preserve">  / </w:t>
      </w:r>
      <w:r>
        <w:rPr>
          <w:rFonts w:ascii="宋体" w:hAnsi="宋体" w:eastAsia="宋体" w:cs="宋体"/>
          <w:color w:val="auto"/>
          <w:sz w:val="24"/>
          <w:szCs w:val="24"/>
          <w:lang w:eastAsia="zh-CN"/>
        </w:rPr>
        <w:t>。</w:t>
      </w:r>
    </w:p>
    <w:p w14:paraId="38060E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宋体" w:hAnsi="宋体" w:eastAsia="宋体" w:cs="宋体"/>
          <w:color w:val="auto"/>
          <w:sz w:val="24"/>
          <w:szCs w:val="24"/>
        </w:rPr>
        <w:t>（</w:t>
      </w:r>
      <w:r>
        <w:rPr>
          <w:rFonts w:ascii="Times New Roman" w:hAnsi="Times New Roman" w:eastAsia="Times New Roman" w:cs="Times New Roman"/>
          <w:color w:val="auto"/>
          <w:sz w:val="24"/>
          <w:szCs w:val="24"/>
        </w:rPr>
        <w:t>2</w:t>
      </w:r>
      <w:r>
        <w:rPr>
          <w:rFonts w:ascii="宋体" w:hAnsi="宋体" w:eastAsia="宋体" w:cs="宋体"/>
          <w:color w:val="auto"/>
          <w:sz w:val="24"/>
          <w:szCs w:val="24"/>
        </w:rPr>
        <w:t>）下游供水要求：</w:t>
      </w:r>
      <w:r>
        <w:rPr>
          <w:rFonts w:hint="eastAsia" w:ascii="宋体" w:hAnsi="宋体" w:eastAsia="宋体" w:cs="宋体"/>
          <w:color w:val="auto"/>
          <w:sz w:val="24"/>
          <w:szCs w:val="24"/>
          <w:u w:val="single"/>
          <w:lang w:eastAsia="zh-CN"/>
        </w:rPr>
        <w:t xml:space="preserve">  /  </w:t>
      </w:r>
      <w:r>
        <w:rPr>
          <w:rFonts w:ascii="宋体" w:hAnsi="宋体" w:eastAsia="宋体" w:cs="宋体"/>
          <w:color w:val="auto"/>
          <w:sz w:val="24"/>
          <w:szCs w:val="24"/>
        </w:rPr>
        <w:t>。</w:t>
      </w:r>
    </w:p>
    <w:p w14:paraId="5B5A8E57">
      <w:pPr>
        <w:widowControl w:val="0"/>
        <w:kinsoku/>
        <w:topLinePunct/>
        <w:autoSpaceDE/>
        <w:autoSpaceDN/>
        <w:spacing w:line="520" w:lineRule="exact"/>
        <w:jc w:val="both"/>
        <w:outlineLvl w:val="2"/>
        <w:rPr>
          <w:rFonts w:hint="eastAsia" w:ascii="宋体" w:hAnsi="宋体" w:eastAsia="宋体" w:cs="宋体"/>
          <w:b/>
          <w:bCs/>
          <w:color w:val="auto"/>
          <w:sz w:val="24"/>
          <w:szCs w:val="24"/>
        </w:rPr>
      </w:pPr>
      <w:bookmarkStart w:id="1183" w:name="_Toc24954"/>
      <w:bookmarkStart w:id="1184" w:name="_Toc8324"/>
      <w:bookmarkStart w:id="1185" w:name="_Toc31485"/>
      <w:r>
        <w:rPr>
          <w:rFonts w:hint="eastAsia" w:ascii="宋体" w:hAnsi="宋体" w:eastAsia="宋体" w:cs="宋体"/>
          <w:b/>
          <w:bCs/>
          <w:color w:val="auto"/>
          <w:sz w:val="24"/>
          <w:szCs w:val="24"/>
        </w:rPr>
        <w:t>5.3</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rPr>
        <w:t>截流（略）</w:t>
      </w:r>
      <w:bookmarkEnd w:id="1183"/>
      <w:bookmarkEnd w:id="1184"/>
      <w:bookmarkEnd w:id="1185"/>
    </w:p>
    <w:p w14:paraId="3C139013">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86" w:name="_Toc3991"/>
      <w:bookmarkStart w:id="1187" w:name="_Toc25460"/>
      <w:bookmarkStart w:id="1188" w:name="_Toc7809"/>
      <w:r>
        <w:rPr>
          <w:rFonts w:hint="eastAsia" w:ascii="宋体" w:hAnsi="宋体" w:eastAsia="宋体" w:cs="宋体"/>
          <w:b/>
          <w:bCs/>
          <w:color w:val="auto"/>
          <w:sz w:val="24"/>
          <w:szCs w:val="24"/>
          <w:lang w:eastAsia="zh-CN"/>
        </w:rPr>
        <w:t>5.4 导流建筑物设计与施工</w:t>
      </w:r>
      <w:bookmarkEnd w:id="1186"/>
      <w:bookmarkEnd w:id="1187"/>
      <w:bookmarkEnd w:id="1188"/>
    </w:p>
    <w:p w14:paraId="558AF50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5.4.1 导流围堰</w:t>
      </w:r>
    </w:p>
    <w:p w14:paraId="4EE6FC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）承包人应按施工图纸要求和监理人指示进行导流围堰的施工。各种建筑物的施工技术要求，应按本技术条款各有关章节的规定。</w:t>
      </w:r>
    </w:p>
    <w:p w14:paraId="0E6C48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）围堰的上升速度应满足安全度汛标准，以及施工进度各时段的挡水要求，并应在各种运行水位工况下保证已施工堰体的稳定和安全。</w:t>
      </w:r>
    </w:p>
    <w:p w14:paraId="6B1564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）围堰拆除：承包人应按施工图纸指定的拆除范围和监理人指示及时拆除，并经监理人验收合格。</w:t>
      </w:r>
    </w:p>
    <w:p w14:paraId="2EB2094A">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5.4.2 导流建筑物封堵（略）</w:t>
      </w:r>
    </w:p>
    <w:p w14:paraId="7F1B330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5.4.3 导流底孔及未完坝段（或缺口）过水（略）</w:t>
      </w:r>
    </w:p>
    <w:p w14:paraId="5181508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89" w:name="_Toc26723"/>
      <w:bookmarkStart w:id="1190" w:name="_Toc22921"/>
      <w:bookmarkStart w:id="1191" w:name="_Toc20057"/>
      <w:r>
        <w:rPr>
          <w:rFonts w:hint="eastAsia" w:ascii="宋体" w:hAnsi="宋体" w:eastAsia="宋体" w:cs="宋体"/>
          <w:b/>
          <w:bCs/>
          <w:color w:val="auto"/>
          <w:sz w:val="24"/>
          <w:szCs w:val="24"/>
          <w:lang w:eastAsia="zh-CN"/>
        </w:rPr>
        <w:t>5.5 基坑排水</w:t>
      </w:r>
      <w:bookmarkEnd w:id="1189"/>
      <w:bookmarkEnd w:id="1190"/>
      <w:bookmarkEnd w:id="1191"/>
    </w:p>
    <w:p w14:paraId="68FB6C3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5.5.1 基坑初期排水</w:t>
      </w:r>
    </w:p>
    <w:p w14:paraId="107348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负责围堰截流闭气后的基坑初期排水，初期排水量可根据围堰闭气后的基坑积水、抽水过程中围堰和基础渗水量、堰身和基坑覆盖层含水量及可能降雨量进行估算，初期排水时间应按基坑边坡的水位允许下降速度控制。</w:t>
      </w:r>
    </w:p>
    <w:p w14:paraId="31B7243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5.5.2 基坑经常性排水</w:t>
      </w:r>
    </w:p>
    <w:p w14:paraId="59F5C5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承包人应负责排除基坑内施工期的围堰渗水、基础渗水、降水和施工废水，以及不能从施工场地地表排水系统排除而进入基坑的地表汇水，经常性排水措施计划应提交监理人。</w:t>
      </w:r>
    </w:p>
    <w:p w14:paraId="4495407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5.5.3 基坑排水设备</w:t>
      </w:r>
    </w:p>
    <w:p w14:paraId="2CD7E1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负责提供基坑初期排水和经常性排水所需的全部排水设备和设施，并负责设备和设施的安装、运行和维修。承包人应保证基坑排水设备不间断持续运行，配置应急的备用设备和设施（包括备用电源），避免造成基坑积水而延误工期。</w:t>
      </w:r>
    </w:p>
    <w:p w14:paraId="70E5D55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92" w:name="_Toc4691"/>
      <w:bookmarkStart w:id="1193" w:name="_Toc260"/>
      <w:bookmarkStart w:id="1194" w:name="_Toc17612"/>
      <w:r>
        <w:rPr>
          <w:rFonts w:hint="eastAsia" w:ascii="宋体" w:hAnsi="宋体" w:eastAsia="宋体" w:cs="宋体"/>
          <w:b/>
          <w:bCs/>
          <w:color w:val="auto"/>
          <w:sz w:val="24"/>
          <w:szCs w:val="24"/>
          <w:lang w:eastAsia="zh-CN"/>
        </w:rPr>
        <w:t>5.6 安全度汛</w:t>
      </w:r>
      <w:bookmarkEnd w:id="1192"/>
      <w:bookmarkEnd w:id="1193"/>
      <w:bookmarkEnd w:id="1194"/>
    </w:p>
    <w:p w14:paraId="3C3700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）每年汛前，发包人应会同承包人对工程的安全度汛措施和工程应达到的施工面貌进行全面检查，确保度汛安全。</w:t>
      </w:r>
    </w:p>
    <w:p w14:paraId="2524361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）每年汛前，承包人应按批准的安全度汛措施，备足防汛所需的材料和设备。</w:t>
      </w:r>
    </w:p>
    <w:p w14:paraId="793BEB9D">
      <w:pPr>
        <w:widowControl w:val="0"/>
        <w:kinsoku/>
        <w:topLinePunct/>
        <w:autoSpaceDE/>
        <w:autoSpaceDN/>
        <w:spacing w:line="520" w:lineRule="exact"/>
        <w:ind w:firstLine="480" w:firstLineChars="200"/>
        <w:jc w:val="both"/>
        <w:outlineLvl w:val="2"/>
        <w:rPr>
          <w:rFonts w:hint="eastAsia" w:ascii="宋体" w:hAnsi="宋体" w:eastAsia="宋体" w:cs="宋体"/>
          <w:color w:val="auto"/>
          <w:sz w:val="24"/>
          <w:szCs w:val="24"/>
          <w:lang w:eastAsia="zh-CN"/>
        </w:rPr>
      </w:pPr>
      <w:bookmarkStart w:id="1195" w:name="_Toc15204"/>
      <w:bookmarkStart w:id="1196" w:name="_Toc6426"/>
      <w:bookmarkStart w:id="1197" w:name="_Toc13322"/>
      <w:r>
        <w:rPr>
          <w:rFonts w:ascii="Times New Roman" w:hAnsi="Times New Roman" w:eastAsia="Times New Roman" w:cs="Times New Roman"/>
          <w:color w:val="auto"/>
          <w:sz w:val="24"/>
          <w:szCs w:val="24"/>
          <w:lang w:eastAsia="zh-CN"/>
        </w:rPr>
        <w:t>5.7</w:t>
      </w:r>
      <w:r>
        <w:rPr>
          <w:rFonts w:hint="eastAsia" w:ascii="Times New Roman" w:hAnsi="Times New Roman" w:eastAsia="宋体" w:cs="Times New Roman"/>
          <w:color w:val="auto"/>
          <w:sz w:val="24"/>
          <w:szCs w:val="24"/>
          <w:lang w:eastAsia="zh-CN"/>
        </w:rPr>
        <w:t xml:space="preserve"> </w:t>
      </w:r>
      <w:r>
        <w:rPr>
          <w:rFonts w:ascii="宋体" w:hAnsi="宋体" w:eastAsia="宋体" w:cs="宋体"/>
          <w:color w:val="auto"/>
          <w:sz w:val="24"/>
          <w:szCs w:val="24"/>
          <w:lang w:eastAsia="zh-CN"/>
        </w:rPr>
        <w:t>下闸封堵和下游供水</w:t>
      </w:r>
      <w:bookmarkEnd w:id="1195"/>
      <w:bookmarkEnd w:id="1196"/>
      <w:bookmarkEnd w:id="1197"/>
    </w:p>
    <w:p w14:paraId="0ACAEF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）承包人应按监理人批准的下闸封堵措施，在规定期限进行下闸封堵。</w:t>
      </w:r>
    </w:p>
    <w:p w14:paraId="264E34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）在导流泄水建筑物进口闸门下闸后（或封堵完毕后），承包人应按监理人批准的下游供水措施向下游供水。</w:t>
      </w:r>
    </w:p>
    <w:p w14:paraId="2132B24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198" w:name="_Toc3028"/>
      <w:bookmarkStart w:id="1199" w:name="_Toc21074"/>
      <w:bookmarkStart w:id="1200" w:name="_Toc17667"/>
      <w:r>
        <w:rPr>
          <w:rFonts w:hint="eastAsia" w:ascii="宋体" w:hAnsi="宋体" w:eastAsia="宋体" w:cs="宋体"/>
          <w:b/>
          <w:bCs/>
          <w:color w:val="auto"/>
          <w:sz w:val="24"/>
          <w:szCs w:val="24"/>
          <w:lang w:eastAsia="zh-CN"/>
        </w:rPr>
        <w:t>5.7 下闸封堵和下游供水（略）</w:t>
      </w:r>
      <w:bookmarkEnd w:id="1198"/>
      <w:bookmarkEnd w:id="1199"/>
      <w:bookmarkEnd w:id="1200"/>
    </w:p>
    <w:p w14:paraId="30EF056C">
      <w:pPr>
        <w:pStyle w:val="3"/>
        <w:keepNext w:val="0"/>
        <w:keepLines w:val="0"/>
        <w:widowControl w:val="0"/>
        <w:kinsoku/>
        <w:topLinePunct/>
        <w:autoSpaceDE/>
        <w:autoSpaceDN/>
        <w:spacing w:before="0" w:after="0"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5.8 施工期临时通航（略）</w:t>
      </w:r>
    </w:p>
    <w:p w14:paraId="5CAFC4B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01" w:name="_Toc14023"/>
      <w:bookmarkStart w:id="1202" w:name="_Toc24743"/>
      <w:bookmarkStart w:id="1203" w:name="_Toc11502"/>
      <w:r>
        <w:rPr>
          <w:rFonts w:hint="eastAsia" w:ascii="宋体" w:hAnsi="宋体" w:eastAsia="宋体" w:cs="宋体"/>
          <w:b/>
          <w:bCs/>
          <w:color w:val="auto"/>
          <w:sz w:val="24"/>
          <w:szCs w:val="24"/>
          <w:lang w:eastAsia="zh-CN"/>
        </w:rPr>
        <w:t>5.9 质量检查和验收</w:t>
      </w:r>
      <w:bookmarkEnd w:id="1201"/>
      <w:bookmarkEnd w:id="1202"/>
      <w:bookmarkEnd w:id="1203"/>
    </w:p>
    <w:p w14:paraId="5E1AA16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5.9.1 导流建筑物的质量检查</w:t>
      </w:r>
    </w:p>
    <w:p w14:paraId="3EAFE9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工程的围堰、导流隧洞和明渠、导流底孔建筑物以及临时通航和下游供水建筑物等的土石方开挖、支护工程、土石方填筑工程、地基防渗工程、砌体工程、混凝土工程及钻孔灌浆工程等，应按本技术条款各专项技术条款的规定进行质量检查和验收。</w:t>
      </w:r>
    </w:p>
    <w:p w14:paraId="7DAF0C2E">
      <w:pPr>
        <w:pStyle w:val="3"/>
        <w:keepNext w:val="0"/>
        <w:keepLines w:val="0"/>
        <w:widowControl w:val="0"/>
        <w:kinsoku/>
        <w:topLinePunct/>
        <w:autoSpaceDE/>
        <w:autoSpaceDN/>
        <w:spacing w:before="0" w:after="0" w:line="520" w:lineRule="exact"/>
        <w:jc w:val="both"/>
        <w:rPr>
          <w:rStyle w:val="24"/>
          <w:rFonts w:hint="eastAsia" w:ascii="仿宋" w:hAnsi="仿宋" w:eastAsia="仿宋"/>
          <w:b w:val="0"/>
          <w:color w:val="auto"/>
          <w:szCs w:val="24"/>
        </w:rPr>
      </w:pPr>
      <w:r>
        <w:rPr>
          <w:rFonts w:hint="eastAsia" w:ascii="宋体" w:hAnsi="宋体" w:eastAsia="宋体" w:cs="宋体"/>
          <w:color w:val="auto"/>
          <w:sz w:val="24"/>
          <w:szCs w:val="24"/>
          <w:lang w:eastAsia="zh-CN"/>
        </w:rPr>
        <w:t>5.9.2 主河床截流前验收</w:t>
      </w:r>
      <w:r>
        <w:rPr>
          <w:rFonts w:hint="eastAsia" w:ascii="仿宋" w:hAnsi="仿宋" w:eastAsia="仿宋"/>
          <w:b w:val="0"/>
          <w:color w:val="auto"/>
          <w:sz w:val="24"/>
          <w:szCs w:val="24"/>
          <w:lang w:eastAsia="zh-CN"/>
        </w:rPr>
        <w:t>（略）</w:t>
      </w:r>
    </w:p>
    <w:p w14:paraId="3F73390C">
      <w:pPr>
        <w:pStyle w:val="3"/>
        <w:keepNext w:val="0"/>
        <w:keepLines w:val="0"/>
        <w:widowControl w:val="0"/>
        <w:kinsoku/>
        <w:topLinePunct/>
        <w:autoSpaceDE/>
        <w:autoSpaceDN/>
        <w:spacing w:before="0" w:after="0" w:line="520" w:lineRule="exact"/>
        <w:jc w:val="both"/>
        <w:rPr>
          <w:rStyle w:val="24"/>
          <w:rFonts w:hint="eastAsia" w:ascii="仿宋" w:hAnsi="仿宋" w:eastAsia="仿宋"/>
          <w:b w:val="0"/>
          <w:color w:val="auto"/>
          <w:szCs w:val="24"/>
        </w:rPr>
      </w:pPr>
      <w:r>
        <w:rPr>
          <w:rFonts w:hint="eastAsia" w:ascii="宋体" w:hAnsi="宋体" w:eastAsia="宋体" w:cs="宋体"/>
          <w:color w:val="auto"/>
          <w:sz w:val="24"/>
          <w:szCs w:val="24"/>
          <w:lang w:eastAsia="zh-CN"/>
        </w:rPr>
        <w:t>5.9.3 水库蓄水前验收</w:t>
      </w:r>
      <w:r>
        <w:rPr>
          <w:rFonts w:hint="eastAsia" w:ascii="仿宋" w:hAnsi="仿宋" w:eastAsia="仿宋"/>
          <w:b w:val="0"/>
          <w:color w:val="auto"/>
          <w:sz w:val="24"/>
          <w:szCs w:val="24"/>
          <w:lang w:eastAsia="zh-CN"/>
        </w:rPr>
        <w:t>（略）</w:t>
      </w:r>
    </w:p>
    <w:p w14:paraId="4260506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04" w:name="_Toc31745"/>
      <w:bookmarkStart w:id="1205" w:name="_Toc32129"/>
      <w:bookmarkStart w:id="1206" w:name="_Toc30292"/>
      <w:r>
        <w:rPr>
          <w:rFonts w:hint="eastAsia" w:ascii="宋体" w:hAnsi="宋体" w:eastAsia="宋体" w:cs="宋体"/>
          <w:b/>
          <w:bCs/>
          <w:color w:val="auto"/>
          <w:sz w:val="24"/>
          <w:szCs w:val="24"/>
          <w:lang w:eastAsia="zh-CN"/>
        </w:rPr>
        <w:t>5.10 计量和支付</w:t>
      </w:r>
      <w:bookmarkEnd w:id="1204"/>
      <w:bookmarkEnd w:id="1205"/>
      <w:bookmarkEnd w:id="1206"/>
    </w:p>
    <w:p w14:paraId="03F997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（1）承包人按合同要求完成截流方案设计、材料制备与运输、截流施工和水情观测等工作所需的费用，包含在《工程量清单》“施工导流工程”项目的总价中，发包人不另行支付。</w:t>
      </w:r>
    </w:p>
    <w:p w14:paraId="19423E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（2）承包人按合同要求完成截流模型试验所需的费用，由发包人按《工程量清单》相应项目的总价支付。</w:t>
      </w:r>
    </w:p>
    <w:p w14:paraId="1D6ABE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（3）承包人按合同要求完成基坑排水工作（含基坑初期排水和经常性排水）所需的费用，包含在《工程量清单》相应项目或“其他临时工程”的总价中，发包人不另行支付。</w:t>
      </w:r>
    </w:p>
    <w:p w14:paraId="231723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（4）承包人按合同要求完成施工期防洪度汛和基坑排水所需的费用，由发包人根据合同具体约定，按《工程量清单》相应项目的总价分年度支付。</w:t>
      </w:r>
    </w:p>
    <w:p w14:paraId="49AE34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5）除合同另有约定外，承包人完成临时导流泄水建筑物的建设和拆除（或封堵）工作所需的费用，由发包人按《工程量清单》相应项目的工程单价或总价支付；临时导流泄水建筑物的运行维护费用包含在“施工导流工程”项目总价中，发包人不另行支付。</w:t>
      </w:r>
    </w:p>
    <w:p w14:paraId="3B2849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（6）除合同另有约定外，导流泄水建筑物的永久或临时闸门及其启闭机的安拆和建设期运行费用，由发包人按《工程量清单》相应项目的工程单价或总价支付。</w:t>
      </w:r>
    </w:p>
    <w:p w14:paraId="13AB20AA">
      <w:pPr>
        <w:widowControl w:val="0"/>
        <w:kinsoku/>
        <w:topLinePunct/>
        <w:autoSpaceDE/>
        <w:autoSpaceDN/>
        <w:spacing w:line="520" w:lineRule="exact"/>
        <w:ind w:firstLine="560" w:firstLineChars="200"/>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2710E49D">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207" w:name="_Toc30445"/>
      <w:bookmarkStart w:id="1208" w:name="_Toc4432"/>
      <w:bookmarkStart w:id="1209" w:name="_Toc20739"/>
      <w:r>
        <w:rPr>
          <w:rFonts w:ascii="Times New Roman" w:hAnsi="Times New Roman" w:eastAsia="Times New Roman" w:cs="Times New Roman"/>
          <w:b/>
          <w:bCs/>
          <w:color w:val="auto"/>
          <w:sz w:val="28"/>
          <w:szCs w:val="28"/>
          <w:lang w:eastAsia="zh-CN"/>
        </w:rPr>
        <w:t>6</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土方明挖</w:t>
      </w:r>
      <w:bookmarkEnd w:id="1207"/>
      <w:bookmarkEnd w:id="1208"/>
      <w:bookmarkEnd w:id="1209"/>
    </w:p>
    <w:p w14:paraId="4E1F201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10" w:name="_Toc4988"/>
      <w:bookmarkStart w:id="1211" w:name="_Toc17600"/>
      <w:bookmarkStart w:id="1212" w:name="_Toc30227"/>
      <w:r>
        <w:rPr>
          <w:rFonts w:hint="eastAsia" w:ascii="宋体" w:hAnsi="宋体" w:eastAsia="宋体" w:cs="宋体"/>
          <w:b/>
          <w:bCs/>
          <w:color w:val="auto"/>
          <w:sz w:val="24"/>
          <w:szCs w:val="24"/>
          <w:lang w:eastAsia="zh-CN"/>
        </w:rPr>
        <w:t>6.1 一般规定</w:t>
      </w:r>
      <w:bookmarkEnd w:id="1210"/>
      <w:bookmarkEnd w:id="1211"/>
      <w:bookmarkEnd w:id="1212"/>
    </w:p>
    <w:p w14:paraId="1B200AD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6.1.1 应用范围</w:t>
      </w:r>
    </w:p>
    <w:p w14:paraId="374DDD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）本章规定适用于本合同施工图纸所示的永久和临时工程建筑物的基础、边坡、土料场和砂石料场、石料场覆盖层等的明挖工程。</w:t>
      </w:r>
    </w:p>
    <w:p w14:paraId="41257B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）本章不包括膨胀性土、多年冻土等特殊地质条件的土方工程。</w:t>
      </w:r>
    </w:p>
    <w:p w14:paraId="560B905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6.1.2 承包人责任</w:t>
      </w:r>
    </w:p>
    <w:p w14:paraId="14AE03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）承包人应根据本合同施工图纸和监理人的指示，按建筑物土方明挖工程的开挖要求进行开挖施工。</w:t>
      </w:r>
    </w:p>
    <w:p w14:paraId="72C147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）承包人应对开挖过程中可能引起的滑坡和崩塌体，采取有效的预防性保护措施；在陡坡下施工，应事先做好安全清理和支护。</w:t>
      </w:r>
    </w:p>
    <w:p w14:paraId="7BDA88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）在已有建筑物附近进行开挖时，承包人必须采取可靠的施工措施，保证其原有建筑物的稳定和安全，并尽可能做到不影响其正常使用。</w:t>
      </w:r>
    </w:p>
    <w:p w14:paraId="09A35F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）承包人应在开挖的危险作业地带设置安全防护设施和明显的安全警示标志。</w:t>
      </w:r>
    </w:p>
    <w:p w14:paraId="5B8EC64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6.1.3 主要提交件</w:t>
      </w:r>
    </w:p>
    <w:p w14:paraId="0F5A95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）开挖放样资料</w:t>
      </w:r>
    </w:p>
    <w:p w14:paraId="213094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每项单位工程开工前</w:t>
      </w:r>
      <w:r>
        <w:rPr>
          <w:rFonts w:hint="eastAsia" w:ascii="宋体" w:hAnsi="宋体" w:eastAsia="宋体" w:cs="宋体"/>
          <w:color w:val="auto"/>
          <w:sz w:val="24"/>
          <w:szCs w:val="24"/>
          <w:lang w:eastAsia="zh-CN"/>
        </w:rPr>
        <w:t>7</w:t>
      </w:r>
      <w:r>
        <w:rPr>
          <w:rFonts w:ascii="宋体" w:hAnsi="宋体" w:eastAsia="宋体" w:cs="宋体"/>
          <w:color w:val="auto"/>
          <w:sz w:val="24"/>
          <w:szCs w:val="24"/>
          <w:lang w:eastAsia="zh-CN"/>
        </w:rPr>
        <w:t>天，承包人应将开挖前实测地形和开挖放样剖面图提交监理人批准，批准后方可进行开挖。</w:t>
      </w:r>
    </w:p>
    <w:p w14:paraId="5FCE84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）施工措施计划</w:t>
      </w:r>
    </w:p>
    <w:p w14:paraId="10AB7C9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承包人应在本工程或每项单位工程开工前</w:t>
      </w:r>
      <w:r>
        <w:rPr>
          <w:rFonts w:hint="eastAsia" w:ascii="宋体" w:hAnsi="宋体" w:eastAsia="宋体" w:cs="宋体"/>
          <w:color w:val="auto"/>
          <w:sz w:val="24"/>
          <w:szCs w:val="24"/>
          <w:lang w:eastAsia="zh-CN"/>
        </w:rPr>
        <w:t>7</w:t>
      </w:r>
      <w:r>
        <w:rPr>
          <w:rFonts w:ascii="宋体" w:hAnsi="宋体" w:eastAsia="宋体" w:cs="宋体"/>
          <w:color w:val="auto"/>
          <w:sz w:val="24"/>
          <w:szCs w:val="24"/>
          <w:lang w:eastAsia="zh-CN"/>
        </w:rPr>
        <w:t>天，按施工图纸和监理人指示，编制土方明挖工程的施工措施计划，提交监理人批准，其内容包括：</w:t>
      </w:r>
    </w:p>
    <w:p w14:paraId="1DD6D5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）开挖施工平面布置图（含施工交通线路布置图）。</w:t>
      </w:r>
    </w:p>
    <w:p w14:paraId="55BD7E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）开挖程序与开挖方法。</w:t>
      </w:r>
    </w:p>
    <w:p w14:paraId="61B2D1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）施工设备的配置和劳动力安排。</w:t>
      </w:r>
    </w:p>
    <w:p w14:paraId="2421BC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）开挖边坡的排水和边坡保护措施。</w:t>
      </w:r>
    </w:p>
    <w:p w14:paraId="3D51E2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）土料利用和弃渣措施。</w:t>
      </w:r>
    </w:p>
    <w:p w14:paraId="09793A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）质量与安全保证措施。</w:t>
      </w:r>
    </w:p>
    <w:p w14:paraId="0AC3A1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）主要开挖工程施工进度计划等。</w:t>
      </w:r>
    </w:p>
    <w:p w14:paraId="0E1FF12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6.1.4 引用标准</w:t>
      </w:r>
    </w:p>
    <w:p w14:paraId="7A7423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）《水利工程工程量清单计价规范》（</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50501-2007</w:t>
      </w:r>
      <w:r>
        <w:rPr>
          <w:rFonts w:ascii="宋体" w:hAnsi="宋体" w:eastAsia="宋体" w:cs="宋体"/>
          <w:color w:val="auto"/>
          <w:sz w:val="24"/>
          <w:szCs w:val="24"/>
          <w:lang w:eastAsia="zh-CN"/>
        </w:rPr>
        <w:t>）。</w:t>
      </w:r>
    </w:p>
    <w:p w14:paraId="547B97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）《建筑地基基础工程施工质量验收标准》（</w:t>
      </w:r>
      <w:r>
        <w:rPr>
          <w:rFonts w:hint="eastAsia" w:ascii="Times New Roman" w:hAnsi="Times New Roman" w:eastAsia="宋体" w:cs="Times New Roman"/>
          <w:color w:val="auto"/>
          <w:sz w:val="24"/>
          <w:szCs w:val="24"/>
          <w:lang w:eastAsia="zh-CN"/>
        </w:rPr>
        <w:t>GB 50202-2018</w:t>
      </w:r>
      <w:r>
        <w:rPr>
          <w:rFonts w:ascii="宋体" w:hAnsi="宋体" w:eastAsia="宋体" w:cs="宋体"/>
          <w:color w:val="auto"/>
          <w:sz w:val="24"/>
          <w:szCs w:val="24"/>
          <w:lang w:eastAsia="zh-CN"/>
        </w:rPr>
        <w:t>）。</w:t>
      </w:r>
    </w:p>
    <w:p w14:paraId="2469D8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）《水利水电工程施工组织设计规范》（</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w:t>
      </w:r>
    </w:p>
    <w:p w14:paraId="0B9E80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）《浙江省水利水电工程工程量清单计价办法》（</w:t>
      </w:r>
      <w:r>
        <w:rPr>
          <w:rFonts w:ascii="Times New Roman" w:hAnsi="Times New Roman" w:eastAsia="Times New Roman" w:cs="Times New Roman"/>
          <w:color w:val="auto"/>
          <w:sz w:val="24"/>
          <w:szCs w:val="24"/>
          <w:lang w:eastAsia="zh-CN"/>
        </w:rPr>
        <w:t>2022</w:t>
      </w:r>
      <w:r>
        <w:rPr>
          <w:rFonts w:ascii="宋体" w:hAnsi="宋体" w:eastAsia="宋体" w:cs="宋体"/>
          <w:color w:val="auto"/>
          <w:sz w:val="24"/>
          <w:szCs w:val="24"/>
          <w:lang w:eastAsia="zh-CN"/>
        </w:rPr>
        <w:t>）。</w:t>
      </w:r>
    </w:p>
    <w:p w14:paraId="5AAE5C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）《水利水电工程施工测量规范》（</w:t>
      </w:r>
      <w:r>
        <w:rPr>
          <w:rFonts w:hint="eastAsia" w:ascii="Times New Roman" w:hAnsi="Times New Roman" w:eastAsia="宋体" w:cs="Times New Roman"/>
          <w:color w:val="auto"/>
          <w:sz w:val="24"/>
          <w:szCs w:val="24"/>
          <w:lang w:eastAsia="zh-CN"/>
        </w:rPr>
        <w:t>SL 52-2015</w:t>
      </w:r>
      <w:r>
        <w:rPr>
          <w:rFonts w:ascii="宋体" w:hAnsi="宋体" w:eastAsia="宋体" w:cs="宋体"/>
          <w:color w:val="auto"/>
          <w:sz w:val="24"/>
          <w:szCs w:val="24"/>
          <w:lang w:eastAsia="zh-CN"/>
        </w:rPr>
        <w:t>）。</w:t>
      </w:r>
    </w:p>
    <w:p w14:paraId="6E2169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）《堤防工程施工规范》（</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260-2014</w:t>
      </w:r>
      <w:r>
        <w:rPr>
          <w:rFonts w:ascii="宋体" w:hAnsi="宋体" w:eastAsia="宋体" w:cs="宋体"/>
          <w:color w:val="auto"/>
          <w:sz w:val="24"/>
          <w:szCs w:val="24"/>
          <w:lang w:eastAsia="zh-CN"/>
        </w:rPr>
        <w:t>）。</w:t>
      </w:r>
    </w:p>
    <w:p w14:paraId="12EBBD7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13" w:name="_Toc12038"/>
      <w:bookmarkStart w:id="1214" w:name="_Toc31168"/>
      <w:bookmarkStart w:id="1215" w:name="_Toc5128"/>
      <w:r>
        <w:rPr>
          <w:rFonts w:hint="eastAsia" w:ascii="宋体" w:hAnsi="宋体" w:eastAsia="宋体" w:cs="宋体"/>
          <w:b/>
          <w:bCs/>
          <w:color w:val="auto"/>
          <w:sz w:val="24"/>
          <w:szCs w:val="24"/>
          <w:lang w:eastAsia="zh-CN"/>
        </w:rPr>
        <w:t>6.2 场地清理</w:t>
      </w:r>
      <w:bookmarkEnd w:id="1213"/>
      <w:bookmarkEnd w:id="1214"/>
      <w:bookmarkEnd w:id="1215"/>
    </w:p>
    <w:p w14:paraId="78CF6A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场地清理包括植被清理和表土开挖。其范围包括永久和临时工程、料场、存弃渣场等施工用地需要清理的区域地表。</w:t>
      </w:r>
    </w:p>
    <w:p w14:paraId="482BD6B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6.2.1 植被清理</w:t>
      </w:r>
    </w:p>
    <w:p w14:paraId="54D81C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）在场地开挖前，承包人应清理开挖区域内的树根、杂草、垃圾、废渣及其他有碍物，主体工程植被清理的挖除树根范围应延伸到离施工图纸所示最大开挖边线、填筑线或建筑物基础外侧</w:t>
      </w:r>
      <w:r>
        <w:rPr>
          <w:rFonts w:ascii="Times New Roman" w:hAnsi="Times New Roman" w:eastAsia="Times New Roman" w:cs="Times New Roman"/>
          <w:color w:val="auto"/>
          <w:sz w:val="24"/>
          <w:szCs w:val="24"/>
          <w:lang w:eastAsia="zh-CN"/>
        </w:rPr>
        <w:t>3m</w:t>
      </w:r>
      <w:r>
        <w:rPr>
          <w:rFonts w:ascii="宋体" w:hAnsi="宋体" w:eastAsia="宋体" w:cs="宋体"/>
          <w:color w:val="auto"/>
          <w:sz w:val="24"/>
          <w:szCs w:val="24"/>
          <w:lang w:eastAsia="zh-CN"/>
        </w:rPr>
        <w:t>距离。</w:t>
      </w:r>
    </w:p>
    <w:p w14:paraId="01B8A0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）除合同另有约定外，主体工程施工场地地表的植被清理，必须延伸至离施工图纸所示最大开挖边线或建筑物基础边线（或填筑坡脚线）外侧至少</w:t>
      </w:r>
      <w:r>
        <w:rPr>
          <w:rFonts w:ascii="Times New Roman" w:hAnsi="Times New Roman" w:eastAsia="Times New Roman" w:cs="Times New Roman"/>
          <w:color w:val="auto"/>
          <w:sz w:val="24"/>
          <w:szCs w:val="24"/>
          <w:lang w:eastAsia="zh-CN"/>
        </w:rPr>
        <w:t>5m</w:t>
      </w:r>
      <w:r>
        <w:rPr>
          <w:rFonts w:ascii="宋体" w:hAnsi="宋体" w:eastAsia="宋体" w:cs="宋体"/>
          <w:color w:val="auto"/>
          <w:sz w:val="24"/>
          <w:szCs w:val="24"/>
          <w:lang w:eastAsia="zh-CN"/>
        </w:rPr>
        <w:t>距离。</w:t>
      </w:r>
    </w:p>
    <w:p w14:paraId="22ED36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）承包人应注意保护清理区域附近的天然植被，避免因施工不当造成清理区域附近林业和天然植被资源的毁坏，以及对环境保护工作造成的不良后果。</w:t>
      </w:r>
    </w:p>
    <w:p w14:paraId="01452C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）场地清理范围内，承包人砍伐的成材或清理获得具有商业价值的材料应归发包人所有，承包人应按监理人指示将其运到指定地点。</w:t>
      </w:r>
    </w:p>
    <w:p w14:paraId="55CDEE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）凡属无价值的可燃物，承包人应尽快将其焚毁，并按本技术条款第</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章规定确保其周边地区的安全。承包人应按指定的地点掩埋废弃物，掩埋物不得妨碍自然排水或污染河川。</w:t>
      </w:r>
    </w:p>
    <w:p w14:paraId="584D73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）场地清理中发现文物古迹，承包人应按本合同通用合同条款第</w:t>
      </w:r>
      <w:r>
        <w:rPr>
          <w:rFonts w:ascii="Times New Roman" w:hAnsi="Times New Roman" w:eastAsia="Times New Roman" w:cs="Times New Roman"/>
          <w:color w:val="auto"/>
          <w:sz w:val="24"/>
          <w:szCs w:val="24"/>
          <w:lang w:eastAsia="zh-CN"/>
        </w:rPr>
        <w:t>1.10</w:t>
      </w:r>
      <w:r>
        <w:rPr>
          <w:rFonts w:ascii="宋体" w:hAnsi="宋体" w:eastAsia="宋体" w:cs="宋体"/>
          <w:color w:val="auto"/>
          <w:sz w:val="24"/>
          <w:szCs w:val="24"/>
          <w:lang w:eastAsia="zh-CN"/>
        </w:rPr>
        <w:t>款的约定办理。</w:t>
      </w:r>
    </w:p>
    <w:p w14:paraId="2E4B3D56">
      <w:pPr>
        <w:widowControl w:val="0"/>
        <w:kinsoku/>
        <w:topLinePunct/>
        <w:autoSpaceDE/>
        <w:autoSpaceDN/>
        <w:spacing w:line="520" w:lineRule="exact"/>
        <w:jc w:val="both"/>
        <w:outlineLvl w:val="3"/>
        <w:rPr>
          <w:rFonts w:hint="eastAsia" w:ascii="宋体" w:hAnsi="宋体" w:eastAsia="宋体" w:cs="宋体"/>
          <w:b/>
          <w:bCs/>
          <w:color w:val="auto"/>
          <w:sz w:val="24"/>
          <w:szCs w:val="24"/>
        </w:rPr>
      </w:pPr>
      <w:r>
        <w:rPr>
          <w:rFonts w:hint="eastAsia" w:ascii="宋体" w:hAnsi="宋体" w:eastAsia="宋体" w:cs="宋体"/>
          <w:b/>
          <w:bCs/>
          <w:color w:val="auto"/>
          <w:sz w:val="24"/>
          <w:szCs w:val="24"/>
        </w:rPr>
        <w:t>6.2.2</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rPr>
        <w:t>表土的清挖、堆放和有机土壤的使用</w:t>
      </w:r>
    </w:p>
    <w:p w14:paraId="177CD2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含细根须、草本植物及覆盖草等植物的表层有机土壤，承包人应按监理人指示和本技术条款第</w:t>
      </w:r>
      <w:r>
        <w:rPr>
          <w:rFonts w:ascii="Times New Roman" w:hAnsi="Times New Roman" w:eastAsia="Times New Roman" w:cs="Times New Roman"/>
          <w:color w:val="auto"/>
          <w:sz w:val="24"/>
          <w:szCs w:val="24"/>
          <w:lang w:eastAsia="zh-CN"/>
        </w:rPr>
        <w:t>4.5</w:t>
      </w:r>
      <w:r>
        <w:rPr>
          <w:rFonts w:ascii="宋体" w:hAnsi="宋体" w:eastAsia="宋体" w:cs="宋体"/>
          <w:color w:val="auto"/>
          <w:sz w:val="24"/>
          <w:szCs w:val="24"/>
          <w:lang w:eastAsia="zh-CN"/>
        </w:rPr>
        <w:t>款的规定合理使用有机土壤，并运到指定地点堆放保存，不得任意处置。</w:t>
      </w:r>
    </w:p>
    <w:p w14:paraId="2AB6864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16" w:name="_Toc24151"/>
      <w:bookmarkStart w:id="1217" w:name="_Toc8076"/>
      <w:bookmarkStart w:id="1218" w:name="_Toc9653"/>
      <w:r>
        <w:rPr>
          <w:rFonts w:hint="eastAsia" w:ascii="宋体" w:hAnsi="宋体" w:eastAsia="宋体" w:cs="宋体"/>
          <w:b/>
          <w:bCs/>
          <w:color w:val="auto"/>
          <w:sz w:val="24"/>
          <w:szCs w:val="24"/>
          <w:lang w:eastAsia="zh-CN"/>
        </w:rPr>
        <w:t>6.3 土方明挖</w:t>
      </w:r>
      <w:bookmarkEnd w:id="1216"/>
      <w:bookmarkEnd w:id="1217"/>
      <w:bookmarkEnd w:id="1218"/>
    </w:p>
    <w:p w14:paraId="374A3A3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6.3.1 土方定义</w:t>
      </w:r>
    </w:p>
    <w:p w14:paraId="35A93E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）指黄土、黏土、砂土（包括淤沙、粉砂、河砂等）、淤泥、砾质土、砂砾石、松散坍塌体、石渣混合料、软弱的全风化岩体，无须采用爆破技术，直接用手工工具或土方开挖机械进行开挖的土方工程。</w:t>
      </w:r>
    </w:p>
    <w:p w14:paraId="38C811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）土类开挖级别划分，应符合</w:t>
      </w:r>
      <w:r>
        <w:rPr>
          <w:rFonts w:ascii="宋体" w:hAnsi="宋体" w:eastAsia="宋体" w:cs="宋体"/>
          <w:color w:val="auto"/>
          <w:spacing w:val="-20"/>
          <w:sz w:val="24"/>
          <w:szCs w:val="24"/>
          <w:lang w:eastAsia="zh-CN"/>
        </w:rPr>
        <w:t>《水利水电工程施工组织设计规范》（</w:t>
      </w:r>
      <w:r>
        <w:rPr>
          <w:rFonts w:hint="eastAsia" w:ascii="Times New Roman" w:hAnsi="Times New Roman" w:eastAsia="宋体" w:cs="Times New Roman"/>
          <w:color w:val="auto"/>
          <w:spacing w:val="-20"/>
          <w:sz w:val="24"/>
          <w:szCs w:val="24"/>
          <w:lang w:eastAsia="zh-CN"/>
        </w:rPr>
        <w:t>SL 303-2017</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D.1.1</w:t>
      </w:r>
      <w:r>
        <w:rPr>
          <w:rFonts w:ascii="宋体" w:hAnsi="宋体" w:eastAsia="宋体" w:cs="宋体"/>
          <w:color w:val="auto"/>
          <w:sz w:val="24"/>
          <w:szCs w:val="24"/>
          <w:lang w:eastAsia="zh-CN"/>
        </w:rPr>
        <w:t>的规定。</w:t>
      </w:r>
    </w:p>
    <w:p w14:paraId="6E5DBD4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6.3.2 开挖区临时道路</w:t>
      </w:r>
    </w:p>
    <w:p w14:paraId="1D3428E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承包人应按《水利水电工程施工组织设计规范》（</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5.3</w:t>
      </w:r>
      <w:r>
        <w:rPr>
          <w:rFonts w:ascii="宋体" w:hAnsi="宋体" w:eastAsia="宋体" w:cs="宋体"/>
          <w:color w:val="auto"/>
          <w:sz w:val="24"/>
          <w:szCs w:val="24"/>
          <w:lang w:eastAsia="zh-CN"/>
        </w:rPr>
        <w:t>节的规定，以及监理人批准的施工总布置设计进行场内交通道路布置。</w:t>
      </w:r>
    </w:p>
    <w:p w14:paraId="751248E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6.3.3 校核测量</w:t>
      </w:r>
    </w:p>
    <w:p w14:paraId="598308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承包人应按施工图纸的要求，校核测量开挖区域的平面位置、水平标高、控制桩号、水准点和边坡坡度等。监理人有权随时抽验承包人的校核测量成果，有必要时，监理人可与承包人联合进行校核测量。</w:t>
      </w:r>
    </w:p>
    <w:p w14:paraId="12FA4BA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6.3.4 临时边坡的稳定</w:t>
      </w:r>
    </w:p>
    <w:p w14:paraId="273450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主体工程的临时开挖边坡，应按施工图纸所示或监理人指示进行开挖。对于承包人自行确定的开挖边坡，或临时边坡保留时间过长，经监理人检查有不安全因素时，承包人应立即进行补充开挖和采取保护措施。</w:t>
      </w:r>
    </w:p>
    <w:p w14:paraId="1CEF160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6.3.5 基础和边坡开挖</w:t>
      </w:r>
    </w:p>
    <w:p w14:paraId="1B2BE8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基础和边坡开挖的施工方法应符合</w:t>
      </w:r>
      <w:r>
        <w:rPr>
          <w:rFonts w:ascii="宋体" w:hAnsi="宋体" w:eastAsia="宋体" w:cs="宋体"/>
          <w:color w:val="auto"/>
          <w:spacing w:val="57"/>
          <w:sz w:val="24"/>
          <w:szCs w:val="24"/>
          <w:lang w:eastAsia="zh-CN"/>
        </w:rPr>
        <w:t>《水利水电工程施工组织设计规范》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w:t>
      </w:r>
      <w:r>
        <w:rPr>
          <w:rFonts w:ascii="宋体" w:hAnsi="宋体" w:eastAsia="宋体" w:cs="宋体"/>
          <w:color w:val="auto"/>
          <w:sz w:val="24"/>
          <w:szCs w:val="24"/>
          <w:lang w:eastAsia="zh-CN"/>
        </w:rPr>
        <w:t>节的规定。</w:t>
      </w:r>
    </w:p>
    <w:p w14:paraId="7E8AE7A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6.3.6 边坡的护面和加固</w:t>
      </w:r>
    </w:p>
    <w:p w14:paraId="31E6D1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为防止修整后的开挖边坡遭受雨水冲刷，边坡的护面和加固工作应在雨季前严格按施工图纸要求完成。冬季施工的开挖边坡修整及其护面和加固工作，应在解冻后进行。</w:t>
      </w:r>
    </w:p>
    <w:p w14:paraId="7EEFE89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6.3.7 开挖线的变更</w:t>
      </w:r>
    </w:p>
    <w:p w14:paraId="54BA0F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在开挖过程中，经监理人批准，承包人可根据土方明挖边坡和基础揭示的地质特性，对施工图纸所示的开挖线作必要修改，涉及合同变更的，应按本合同通用合同条款第</w:t>
      </w:r>
      <w:r>
        <w:rPr>
          <w:rFonts w:ascii="Times New Roman" w:hAnsi="Times New Roman" w:eastAsia="Times New Roman" w:cs="Times New Roman"/>
          <w:color w:val="auto"/>
          <w:sz w:val="24"/>
          <w:szCs w:val="24"/>
          <w:lang w:eastAsia="zh-CN"/>
        </w:rPr>
        <w:t>15</w:t>
      </w:r>
      <w:r>
        <w:rPr>
          <w:rFonts w:ascii="宋体" w:hAnsi="宋体" w:eastAsia="宋体" w:cs="宋体"/>
          <w:color w:val="auto"/>
          <w:sz w:val="24"/>
          <w:szCs w:val="24"/>
          <w:lang w:eastAsia="zh-CN"/>
        </w:rPr>
        <w:t>条约定办理。</w:t>
      </w:r>
    </w:p>
    <w:p w14:paraId="01044C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6.3.8</w:t>
      </w:r>
      <w:r>
        <w:rPr>
          <w:rFonts w:hint="eastAsia" w:ascii="Times New Roman" w:hAnsi="Times New Roman" w:eastAsia="宋体" w:cs="Times New Roman"/>
          <w:color w:val="auto"/>
          <w:sz w:val="24"/>
          <w:szCs w:val="24"/>
          <w:lang w:eastAsia="zh-CN"/>
        </w:rPr>
        <w:t xml:space="preserve"> </w:t>
      </w:r>
      <w:r>
        <w:rPr>
          <w:rFonts w:ascii="宋体" w:hAnsi="宋体" w:eastAsia="宋体" w:cs="宋体"/>
          <w:color w:val="auto"/>
          <w:sz w:val="24"/>
          <w:szCs w:val="24"/>
          <w:lang w:eastAsia="zh-CN"/>
        </w:rPr>
        <w:t>边坡安全的应急措施</w:t>
      </w:r>
    </w:p>
    <w:p w14:paraId="1D080F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若开挖过程中出现裂缝和滑动迹象时，承包人应立即暂停施工，并通知监理人。</w:t>
      </w:r>
    </w:p>
    <w:p w14:paraId="5939B9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必要时承包人应按监理人的指示设置观测点，及时观测边坡变化情况，并做好记录。</w:t>
      </w:r>
    </w:p>
    <w:p w14:paraId="168514E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19" w:name="_Toc14374"/>
      <w:bookmarkStart w:id="1220" w:name="_Toc16160"/>
      <w:bookmarkStart w:id="1221" w:name="_Toc20275"/>
      <w:r>
        <w:rPr>
          <w:rFonts w:hint="eastAsia" w:ascii="宋体" w:hAnsi="宋体" w:eastAsia="宋体" w:cs="宋体"/>
          <w:b/>
          <w:bCs/>
          <w:color w:val="auto"/>
          <w:sz w:val="24"/>
          <w:szCs w:val="24"/>
          <w:lang w:eastAsia="zh-CN"/>
        </w:rPr>
        <w:t>6.4 施工期临时排水</w:t>
      </w:r>
      <w:bookmarkEnd w:id="1219"/>
      <w:bookmarkEnd w:id="1220"/>
      <w:bookmarkEnd w:id="1221"/>
    </w:p>
    <w:p w14:paraId="0A7E82C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6.4.1 排水措施</w:t>
      </w:r>
    </w:p>
    <w:p w14:paraId="326C0F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）承包人应在每项开挖工程开始前，结合永久性排水设施的布置，规划好开挖区域内外的临时性排水措施，保证主体工程建筑物的基础开挖在干地施工。</w:t>
      </w:r>
    </w:p>
    <w:p w14:paraId="769570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）承包人应在边坡开挖前，按施工图纸要求完成边坡上部永久性山坡截水沟的开挖和衬护。对其上部未设置永久性山坡截水沟的边坡面，应由承包人自行加设临时性山坡截水沟。</w:t>
      </w:r>
    </w:p>
    <w:p w14:paraId="5E18D7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）在开挖过程中，承包人应做好地面排水设施，包括保持必要的地面排水坡度、设置临时坑槽、使用机械排除积水，以及开挖排水沟道排走雨水和地面积水等。</w:t>
      </w:r>
    </w:p>
    <w:p w14:paraId="7A0D99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）在平地或凹地进行开挖时，承包人应在开挖区周围设置挡水堤和开挖周边排水沟，以及采取集水坑抽水等措施，阻止场外水流进入场地，并有效排除积水。</w:t>
      </w:r>
    </w:p>
    <w:p w14:paraId="76D47345">
      <w:pPr>
        <w:widowControl w:val="0"/>
        <w:kinsoku/>
        <w:topLinePunct/>
        <w:autoSpaceDE/>
        <w:autoSpaceDN/>
        <w:spacing w:line="520" w:lineRule="exact"/>
        <w:jc w:val="both"/>
        <w:outlineLvl w:val="3"/>
        <w:rPr>
          <w:rFonts w:hint="eastAsia" w:ascii="宋体" w:hAnsi="宋体" w:eastAsia="宋体" w:cs="宋体"/>
          <w:b/>
          <w:bCs/>
          <w:color w:val="auto"/>
          <w:sz w:val="24"/>
          <w:szCs w:val="24"/>
        </w:rPr>
      </w:pPr>
      <w:r>
        <w:rPr>
          <w:rFonts w:hint="eastAsia" w:ascii="宋体" w:hAnsi="宋体" w:eastAsia="宋体" w:cs="宋体"/>
          <w:b/>
          <w:bCs/>
          <w:color w:val="auto"/>
          <w:sz w:val="24"/>
          <w:szCs w:val="24"/>
        </w:rPr>
        <w:t>6.4.2</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rPr>
        <w:t>降低地下水位的排水措施</w:t>
      </w:r>
    </w:p>
    <w:p w14:paraId="4F5723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）对位于地下水位以下的基坑需要进行干地开挖时，可根据基坑的工程地质条件采用降低地下水位的措施。并将降低基坑地下水位的施工措施，提交监理人批准。</w:t>
      </w:r>
    </w:p>
    <w:p w14:paraId="5CE906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）采用挖掘机、铲运机、推土机等机械开挖基坑时，应保证地下水位降低至最低开挖面</w:t>
      </w:r>
      <w:r>
        <w:rPr>
          <w:rFonts w:ascii="Times New Roman" w:hAnsi="Times New Roman" w:eastAsia="Times New Roman" w:cs="Times New Roman"/>
          <w:color w:val="auto"/>
          <w:sz w:val="24"/>
          <w:szCs w:val="24"/>
          <w:u w:val="single"/>
          <w:lang w:eastAsia="zh-CN"/>
        </w:rPr>
        <w:t>0.5m</w:t>
      </w:r>
      <w:r>
        <w:rPr>
          <w:rFonts w:ascii="宋体" w:hAnsi="宋体" w:eastAsia="宋体" w:cs="宋体"/>
          <w:color w:val="auto"/>
          <w:sz w:val="24"/>
          <w:szCs w:val="24"/>
          <w:lang w:eastAsia="zh-CN"/>
        </w:rPr>
        <w:t>以下。</w:t>
      </w:r>
    </w:p>
    <w:p w14:paraId="72AC9A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）在基坑开挖期间，承包人应对基坑及其周围受降低水位影响的地区进行地下水位地面沉降观测。承包人应将观测点布置、观测仪器设置和定期观测记录提交监理人。</w:t>
      </w:r>
    </w:p>
    <w:p w14:paraId="62C031D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6.4.3 保护永久建筑物和永久边坡免受冲刷</w:t>
      </w:r>
    </w:p>
    <w:p w14:paraId="0243EF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承包人的临时排水措施，应注意保护已开挖的永久边坡面及附近建筑物及其基础免受冲刷和侵蚀破坏。</w:t>
      </w:r>
    </w:p>
    <w:p w14:paraId="0358182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22" w:name="_Toc11714"/>
      <w:bookmarkStart w:id="1223" w:name="_Toc808"/>
      <w:bookmarkStart w:id="1224" w:name="_Toc7411"/>
      <w:r>
        <w:rPr>
          <w:rFonts w:hint="eastAsia" w:ascii="宋体" w:hAnsi="宋体" w:eastAsia="宋体" w:cs="宋体"/>
          <w:b/>
          <w:bCs/>
          <w:color w:val="auto"/>
          <w:sz w:val="24"/>
          <w:szCs w:val="24"/>
          <w:lang w:eastAsia="zh-CN"/>
        </w:rPr>
        <w:t>6.5 土料场和砂砾料场开采</w:t>
      </w:r>
      <w:bookmarkEnd w:id="1222"/>
      <w:bookmarkEnd w:id="1223"/>
      <w:bookmarkEnd w:id="1224"/>
    </w:p>
    <w:p w14:paraId="65A2C3A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6.5.1 料场开采</w:t>
      </w:r>
    </w:p>
    <w:p w14:paraId="303956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）土料场周围及开采区内，应按本章第</w:t>
      </w:r>
      <w:r>
        <w:rPr>
          <w:rFonts w:ascii="Times New Roman" w:hAnsi="Times New Roman" w:eastAsia="Times New Roman" w:cs="Times New Roman"/>
          <w:color w:val="auto"/>
          <w:sz w:val="24"/>
          <w:szCs w:val="24"/>
          <w:lang w:eastAsia="zh-CN"/>
        </w:rPr>
        <w:t>6.4</w:t>
      </w:r>
      <w:r>
        <w:rPr>
          <w:rFonts w:ascii="宋体" w:hAnsi="宋体" w:eastAsia="宋体" w:cs="宋体"/>
          <w:color w:val="auto"/>
          <w:sz w:val="24"/>
          <w:szCs w:val="24"/>
          <w:lang w:eastAsia="zh-CN"/>
        </w:rPr>
        <w:t>款的规定设置有效的排水系统和采取必要的防洪措施，以保证土料质量和开挖工作的顺利进行。</w:t>
      </w:r>
    </w:p>
    <w:p w14:paraId="22B819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）土料和砂砾料的开采和加工处理应符合《水利水电工程施工组织设计规范》（</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3.3.3</w:t>
      </w:r>
      <w:r>
        <w:rPr>
          <w:rFonts w:ascii="宋体" w:hAnsi="宋体" w:eastAsia="宋体" w:cs="宋体"/>
          <w:color w:val="auto"/>
          <w:sz w:val="24"/>
          <w:szCs w:val="24"/>
          <w:lang w:eastAsia="zh-CN"/>
        </w:rPr>
        <w:t>条</w:t>
      </w:r>
      <w:r>
        <w:rPr>
          <w:rFonts w:hint="eastAsia" w:ascii="Times New Roman" w:hAnsi="Times New Roman" w:eastAsia="宋体" w:cs="Times New Roman"/>
          <w:color w:val="auto"/>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3.3.6</w:t>
      </w:r>
      <w:r>
        <w:rPr>
          <w:rFonts w:ascii="宋体" w:hAnsi="宋体" w:eastAsia="宋体" w:cs="宋体"/>
          <w:color w:val="auto"/>
          <w:sz w:val="24"/>
          <w:szCs w:val="24"/>
          <w:lang w:eastAsia="zh-CN"/>
        </w:rPr>
        <w:t>条的规定。</w:t>
      </w:r>
    </w:p>
    <w:p w14:paraId="0BB576B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6.5.2 开采结束后的料场整治</w:t>
      </w:r>
    </w:p>
    <w:p w14:paraId="4B993D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料场取料结束后，承包人应按发包人的环境恢复设计及其施工措施计划，以及监理人指示，进行以下料场整治和环境恢复工作。包括：</w:t>
      </w:r>
    </w:p>
    <w:p w14:paraId="50DFE9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）开挖边坡面的整治。</w:t>
      </w:r>
    </w:p>
    <w:p w14:paraId="391ACE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）修建环境保护的辅助工程设施。</w:t>
      </w:r>
    </w:p>
    <w:p w14:paraId="54786A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）按批准的环境恢复要求恢复植被和农田。</w:t>
      </w:r>
    </w:p>
    <w:p w14:paraId="2A9DFA3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25" w:name="_Toc3510"/>
      <w:bookmarkStart w:id="1226" w:name="_Toc13804"/>
      <w:bookmarkStart w:id="1227" w:name="_Toc653"/>
      <w:r>
        <w:rPr>
          <w:rFonts w:hint="eastAsia" w:ascii="宋体" w:hAnsi="宋体" w:eastAsia="宋体" w:cs="宋体"/>
          <w:b/>
          <w:bCs/>
          <w:color w:val="auto"/>
          <w:sz w:val="24"/>
          <w:szCs w:val="24"/>
          <w:lang w:eastAsia="zh-CN"/>
        </w:rPr>
        <w:t>6.6 开挖渣料的利用和弃渣处理</w:t>
      </w:r>
      <w:bookmarkEnd w:id="1225"/>
      <w:bookmarkEnd w:id="1226"/>
      <w:bookmarkEnd w:id="1227"/>
    </w:p>
    <w:p w14:paraId="09952E9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6.6.1 可利用渣料的利用</w:t>
      </w:r>
    </w:p>
    <w:p w14:paraId="3B29B8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）承包人提交的土方开挖施工措施计划中，应对开挖获得的可利用渣料进行统一规划，渣料应首先专用于本工程永久和临时工程的填筑及场地平整等。</w:t>
      </w:r>
    </w:p>
    <w:p w14:paraId="4A8DE4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）承包人应按批准的堆渣地点和堆渣方式，将可利用渣料运至指定地点分类堆存。渣料堆体应保持边坡稳定，并设有良好的自由排水措施。</w:t>
      </w:r>
    </w:p>
    <w:p w14:paraId="407F76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）对监理人确认的可用料，承包人应在开挖、装运、堆存和其他作业时，采取有效的保质措施，保护可利用渣料免受污染和侵蚀。</w:t>
      </w:r>
    </w:p>
    <w:p w14:paraId="74FEFDE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6.6.2 弃渣处理</w:t>
      </w:r>
    </w:p>
    <w:p w14:paraId="755E90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弃渣应按批准的土方开挖施工措施计划有序堆存，防止雨水冲刷流失，危及施工区及周边地区安全。</w:t>
      </w:r>
    </w:p>
    <w:p w14:paraId="47DB8B8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28" w:name="_Toc21276"/>
      <w:bookmarkStart w:id="1229" w:name="_Toc27976"/>
      <w:bookmarkStart w:id="1230" w:name="_Toc5551"/>
      <w:r>
        <w:rPr>
          <w:rFonts w:hint="eastAsia" w:ascii="宋体" w:hAnsi="宋体" w:eastAsia="宋体" w:cs="宋体"/>
          <w:b/>
          <w:bCs/>
          <w:color w:val="auto"/>
          <w:sz w:val="24"/>
          <w:szCs w:val="24"/>
          <w:lang w:eastAsia="zh-CN"/>
        </w:rPr>
        <w:t>6.7 检查和验收</w:t>
      </w:r>
      <w:bookmarkEnd w:id="1228"/>
      <w:bookmarkEnd w:id="1229"/>
      <w:bookmarkEnd w:id="1230"/>
    </w:p>
    <w:p w14:paraId="4C85411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6.7.1 土方开挖前的检查和验收</w:t>
      </w:r>
    </w:p>
    <w:p w14:paraId="2F1FEB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土方开挖前，承包人应会同监理人进行以下各项检查：</w:t>
      </w:r>
    </w:p>
    <w:p w14:paraId="76A4D6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）用于开挖工程量计量的原地形测量剖面的复核检查。</w:t>
      </w:r>
    </w:p>
    <w:p w14:paraId="2CC703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）按施工图纸所示的工程建筑物开挖尺寸进行开挖剖面测量放样成果的检查。承包人的开挖剖面放样成果作为工程量计量的原始依据。</w:t>
      </w:r>
    </w:p>
    <w:p w14:paraId="69EA05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）按施工图纸所示进行开挖区周围排水和防洪保护设施的质量检查和验收。</w:t>
      </w:r>
    </w:p>
    <w:p w14:paraId="51DB14E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6.7.2 土方明挖工程完成后的质量检查和验收</w:t>
      </w:r>
    </w:p>
    <w:p w14:paraId="5CBE7E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）土方基础明挖工程完成后，承包人应会同监理人进行以下各项质量检查和验收：</w:t>
      </w:r>
    </w:p>
    <w:p w14:paraId="1304C3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）按施工图纸要求检查工程基础开挖面的平面尺寸、标高和场地平整度。</w:t>
      </w:r>
    </w:p>
    <w:p w14:paraId="38BFD2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）取样检测基础土的物理力学性质指标。</w:t>
      </w:r>
    </w:p>
    <w:p w14:paraId="31ED65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）基础面覆盖前的质量检验和验收：</w:t>
      </w:r>
    </w:p>
    <w:p w14:paraId="7B4F4E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）基础面覆盖前，应复核检查基础面是否满足本章第</w:t>
      </w:r>
      <w:r>
        <w:rPr>
          <w:rFonts w:ascii="Times New Roman" w:hAnsi="Times New Roman" w:eastAsia="Times New Roman" w:cs="Times New Roman"/>
          <w:color w:val="auto"/>
          <w:sz w:val="24"/>
          <w:szCs w:val="24"/>
          <w:lang w:eastAsia="zh-CN"/>
        </w:rPr>
        <w:t>6.7.3</w:t>
      </w:r>
      <w:r>
        <w:rPr>
          <w:rFonts w:ascii="宋体" w:hAnsi="宋体" w:eastAsia="宋体" w:cs="宋体"/>
          <w:color w:val="auto"/>
          <w:sz w:val="24"/>
          <w:szCs w:val="24"/>
          <w:lang w:eastAsia="zh-CN"/>
        </w:rPr>
        <w:t>项第（</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）目的规定。</w:t>
      </w:r>
    </w:p>
    <w:p w14:paraId="2C8C3E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）对已开挖完成的土基基础开挖面，应在坝体（或砌体）填筑前清除表面的松土层，并按监理人批准的施工方法进行压实，受积水侵蚀软化的土壤应予清除，并应在监理人检验合格后立即进行覆盖。</w:t>
      </w:r>
    </w:p>
    <w:p w14:paraId="1B480F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）上述第（</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）目基础面开挖完成后的检查验收，与本项规定的在基础面覆盖前进行的基础清理作业后的检验验收是检查和检验目的和性质不同的两次作业，未经监理人同意，承包人不得将这两次作业合并为一次完成。</w:t>
      </w:r>
    </w:p>
    <w:p w14:paraId="368658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）永久边坡的检查和验收：</w:t>
      </w:r>
    </w:p>
    <w:p w14:paraId="5AFFA0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）永久边坡的坡度和平整度的复测检查。</w:t>
      </w:r>
    </w:p>
    <w:p w14:paraId="1BB14D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）边坡永久性排水沟道的坡度和尺寸的复测检查。</w:t>
      </w:r>
    </w:p>
    <w:p w14:paraId="7BF7B95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6.7.3 完工验收</w:t>
      </w:r>
    </w:p>
    <w:p w14:paraId="698EFA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各项土方明挖工程完工后，承包人应申请完工验收，并提交以下完工验收资料：</w:t>
      </w:r>
    </w:p>
    <w:p w14:paraId="2D32B8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）土方明挖工程竣工平面和剖面图。</w:t>
      </w:r>
    </w:p>
    <w:p w14:paraId="0DE86C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）质量检查和验收记录。</w:t>
      </w:r>
    </w:p>
    <w:p w14:paraId="28856D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）监理人要求提供的其他资料。</w:t>
      </w:r>
    </w:p>
    <w:p w14:paraId="21D0992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31" w:name="_Toc14070"/>
      <w:bookmarkStart w:id="1232" w:name="_Toc20643"/>
      <w:bookmarkStart w:id="1233" w:name="_Toc1872"/>
      <w:r>
        <w:rPr>
          <w:rFonts w:hint="eastAsia" w:ascii="宋体" w:hAnsi="宋体" w:eastAsia="宋体" w:cs="宋体"/>
          <w:b/>
          <w:bCs/>
          <w:color w:val="auto"/>
          <w:sz w:val="24"/>
          <w:szCs w:val="24"/>
          <w:lang w:eastAsia="zh-CN"/>
        </w:rPr>
        <w:t>6.8 计量和支付</w:t>
      </w:r>
      <w:bookmarkEnd w:id="1231"/>
      <w:bookmarkEnd w:id="1232"/>
      <w:bookmarkEnd w:id="1233"/>
    </w:p>
    <w:p w14:paraId="5A9103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（1）土方开挖</w:t>
      </w:r>
      <w:r>
        <w:rPr>
          <w:rFonts w:hint="eastAsia" w:ascii="宋体" w:hAnsi="宋体" w:eastAsia="宋体" w:cs="宋体"/>
          <w:color w:val="auto"/>
          <w:sz w:val="24"/>
          <w:szCs w:val="24"/>
          <w:lang w:eastAsia="zh-CN"/>
        </w:rPr>
        <w:t>（含原砼和抛砌体等结构拆除</w:t>
      </w:r>
      <w:r>
        <w:rPr>
          <w:rFonts w:ascii="宋体" w:hAnsi="宋体" w:eastAsia="宋体" w:cs="宋体"/>
          <w:color w:val="auto"/>
          <w:sz w:val="24"/>
          <w:szCs w:val="24"/>
          <w:lang w:eastAsia="zh-CN"/>
        </w:rPr>
        <w:t>）按施工图纸所示开挖轮廓尺</w:t>
      </w:r>
      <w:r>
        <w:rPr>
          <w:rFonts w:hint="eastAsia" w:ascii="宋体" w:hAnsi="宋体" w:eastAsia="宋体" w:cs="宋体"/>
          <w:color w:val="auto"/>
          <w:sz w:val="24"/>
          <w:szCs w:val="24"/>
          <w:lang w:eastAsia="zh-CN"/>
        </w:rPr>
        <w:t>寸</w:t>
      </w:r>
      <w:r>
        <w:rPr>
          <w:rFonts w:ascii="宋体" w:hAnsi="宋体" w:eastAsia="宋体" w:cs="宋体"/>
          <w:color w:val="auto"/>
          <w:sz w:val="24"/>
          <w:szCs w:val="24"/>
          <w:lang w:eastAsia="zh-CN"/>
        </w:rPr>
        <w:t>计算的有效自然方体积以立方米为单位计量</w:t>
      </w:r>
      <w:r>
        <w:rPr>
          <w:rFonts w:hint="eastAsia" w:ascii="宋体" w:hAnsi="宋体" w:eastAsia="宋体" w:cs="宋体"/>
          <w:color w:val="auto"/>
          <w:sz w:val="24"/>
          <w:szCs w:val="24"/>
          <w:lang w:eastAsia="zh-CN"/>
        </w:rPr>
        <w:t>，在</w:t>
      </w:r>
      <w:r>
        <w:rPr>
          <w:rFonts w:ascii="宋体" w:hAnsi="宋体" w:eastAsia="宋体" w:cs="宋体"/>
          <w:color w:val="auto"/>
          <w:sz w:val="24"/>
          <w:szCs w:val="24"/>
          <w:lang w:eastAsia="zh-CN"/>
        </w:rPr>
        <w:t>《工程量清单》</w:t>
      </w:r>
      <w:r>
        <w:rPr>
          <w:rFonts w:hint="eastAsia" w:ascii="宋体" w:hAnsi="宋体" w:eastAsia="宋体" w:cs="宋体"/>
          <w:color w:val="auto"/>
          <w:sz w:val="24"/>
          <w:szCs w:val="24"/>
          <w:lang w:eastAsia="zh-CN"/>
        </w:rPr>
        <w:t>中分列两项：</w:t>
      </w:r>
      <w:r>
        <w:rPr>
          <w:rFonts w:ascii="宋体" w:hAnsi="宋体" w:eastAsia="宋体" w:cs="宋体"/>
          <w:color w:val="auto"/>
          <w:sz w:val="24"/>
          <w:szCs w:val="24"/>
          <w:lang w:eastAsia="zh-CN"/>
        </w:rPr>
        <w:t>土方开挖</w:t>
      </w:r>
      <w:r>
        <w:rPr>
          <w:rFonts w:hint="eastAsia" w:ascii="宋体" w:hAnsi="宋体" w:eastAsia="宋体" w:cs="宋体"/>
          <w:color w:val="auto"/>
          <w:sz w:val="24"/>
          <w:szCs w:val="24"/>
          <w:lang w:eastAsia="zh-CN"/>
        </w:rPr>
        <w:t>（利用）和</w:t>
      </w:r>
      <w:r>
        <w:rPr>
          <w:rFonts w:ascii="宋体" w:hAnsi="宋体" w:eastAsia="宋体" w:cs="宋体"/>
          <w:color w:val="auto"/>
          <w:sz w:val="24"/>
          <w:szCs w:val="24"/>
          <w:lang w:eastAsia="zh-CN"/>
        </w:rPr>
        <w:t>土方开挖</w:t>
      </w:r>
      <w:r>
        <w:rPr>
          <w:rFonts w:hint="eastAsia" w:ascii="宋体" w:hAnsi="宋体" w:eastAsia="宋体" w:cs="宋体"/>
          <w:color w:val="auto"/>
          <w:sz w:val="24"/>
          <w:szCs w:val="24"/>
          <w:lang w:eastAsia="zh-CN"/>
        </w:rPr>
        <w:t>（外运）</w:t>
      </w:r>
      <w:r>
        <w:rPr>
          <w:rFonts w:ascii="宋体" w:hAnsi="宋体" w:eastAsia="宋体" w:cs="宋体"/>
          <w:color w:val="auto"/>
          <w:sz w:val="24"/>
          <w:szCs w:val="24"/>
          <w:lang w:eastAsia="zh-CN"/>
        </w:rPr>
        <w:t>。其中</w:t>
      </w:r>
      <w:r>
        <w:rPr>
          <w:rFonts w:hint="eastAsia" w:ascii="宋体" w:hAnsi="宋体" w:eastAsia="宋体" w:cs="宋体"/>
          <w:color w:val="auto"/>
          <w:sz w:val="24"/>
          <w:szCs w:val="24"/>
          <w:lang w:eastAsia="zh-CN"/>
        </w:rPr>
        <w:t>：</w:t>
      </w:r>
      <w:r>
        <w:rPr>
          <w:rFonts w:ascii="宋体" w:hAnsi="宋体" w:eastAsia="宋体" w:cs="宋体"/>
          <w:color w:val="auto"/>
          <w:sz w:val="24"/>
          <w:szCs w:val="24"/>
          <w:lang w:eastAsia="zh-CN"/>
        </w:rPr>
        <w:t>土方开挖</w:t>
      </w:r>
      <w:r>
        <w:rPr>
          <w:rFonts w:hint="eastAsia" w:ascii="宋体" w:hAnsi="宋体" w:eastAsia="宋体" w:cs="宋体"/>
          <w:color w:val="auto"/>
          <w:sz w:val="24"/>
          <w:szCs w:val="24"/>
          <w:lang w:eastAsia="zh-CN"/>
        </w:rPr>
        <w:t>（利用）工程量为土方填筑所需的土方，因土方填筑为压实方，结算时应进行换算，即</w:t>
      </w:r>
      <w:r>
        <w:rPr>
          <w:rFonts w:ascii="宋体" w:hAnsi="宋体" w:eastAsia="宋体" w:cs="宋体"/>
          <w:color w:val="auto"/>
          <w:sz w:val="24"/>
          <w:szCs w:val="24"/>
          <w:lang w:eastAsia="zh-CN"/>
        </w:rPr>
        <w:t>土方开挖</w:t>
      </w:r>
      <w:r>
        <w:rPr>
          <w:rFonts w:hint="eastAsia" w:ascii="宋体" w:hAnsi="宋体" w:eastAsia="宋体" w:cs="宋体"/>
          <w:color w:val="auto"/>
          <w:sz w:val="24"/>
          <w:szCs w:val="24"/>
          <w:lang w:eastAsia="zh-CN"/>
        </w:rPr>
        <w:t>（利用）工程量</w:t>
      </w:r>
      <w:r>
        <w:rPr>
          <w:rFonts w:ascii="宋体" w:hAnsi="宋体" w:eastAsia="宋体" w:cs="宋体"/>
          <w:color w:val="auto"/>
          <w:sz w:val="24"/>
          <w:szCs w:val="24"/>
          <w:lang w:eastAsia="zh-CN"/>
        </w:rPr>
        <w:t>=土方填筑工程</w:t>
      </w:r>
      <w:r>
        <w:rPr>
          <w:rFonts w:hint="eastAsia" w:ascii="宋体" w:hAnsi="宋体" w:eastAsia="宋体" w:cs="宋体"/>
          <w:color w:val="auto"/>
          <w:sz w:val="24"/>
          <w:szCs w:val="24"/>
          <w:lang w:eastAsia="zh-CN"/>
        </w:rPr>
        <w:t>/0.85</w:t>
      </w:r>
      <w:r>
        <w:rPr>
          <w:rFonts w:ascii="宋体" w:hAnsi="宋体" w:eastAsia="宋体" w:cs="宋体"/>
          <w:color w:val="auto"/>
          <w:sz w:val="24"/>
          <w:szCs w:val="24"/>
          <w:lang w:eastAsia="zh-CN"/>
        </w:rPr>
        <w:t>；土方开挖</w:t>
      </w:r>
      <w:r>
        <w:rPr>
          <w:rFonts w:hint="eastAsia" w:ascii="宋体" w:hAnsi="宋体" w:eastAsia="宋体" w:cs="宋体"/>
          <w:color w:val="auto"/>
          <w:sz w:val="24"/>
          <w:szCs w:val="24"/>
          <w:lang w:eastAsia="zh-CN"/>
        </w:rPr>
        <w:t>（外运）工程量为土方开挖总量扣除</w:t>
      </w:r>
      <w:r>
        <w:rPr>
          <w:rFonts w:ascii="宋体" w:hAnsi="宋体" w:eastAsia="宋体" w:cs="宋体"/>
          <w:color w:val="auto"/>
          <w:sz w:val="24"/>
          <w:szCs w:val="24"/>
          <w:lang w:eastAsia="zh-CN"/>
        </w:rPr>
        <w:t>土方开挖</w:t>
      </w:r>
      <w:r>
        <w:rPr>
          <w:rFonts w:hint="eastAsia" w:ascii="宋体" w:hAnsi="宋体" w:eastAsia="宋体" w:cs="宋体"/>
          <w:color w:val="auto"/>
          <w:sz w:val="24"/>
          <w:szCs w:val="24"/>
          <w:lang w:eastAsia="zh-CN"/>
        </w:rPr>
        <w:t>（利用）工程量。</w:t>
      </w:r>
      <w:r>
        <w:rPr>
          <w:rFonts w:ascii="宋体" w:hAnsi="宋体" w:eastAsia="宋体" w:cs="宋体"/>
          <w:color w:val="auto"/>
          <w:sz w:val="24"/>
          <w:szCs w:val="24"/>
          <w:lang w:eastAsia="zh-CN"/>
        </w:rPr>
        <w:t>由发包人按《工程量清单》相应项目有效工程量的每立方米工程单价支付</w:t>
      </w:r>
      <w:r>
        <w:rPr>
          <w:rFonts w:hint="eastAsia" w:ascii="宋体" w:hAnsi="宋体" w:eastAsia="宋体" w:cs="宋体"/>
          <w:color w:val="auto"/>
          <w:sz w:val="24"/>
          <w:szCs w:val="24"/>
          <w:lang w:eastAsia="zh-CN"/>
        </w:rPr>
        <w:t>。</w:t>
      </w:r>
    </w:p>
    <w:p w14:paraId="084CA3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ascii="宋体" w:hAnsi="宋体" w:eastAsia="宋体" w:cs="宋体"/>
          <w:color w:val="auto"/>
          <w:sz w:val="24"/>
          <w:szCs w:val="24"/>
          <w:lang w:eastAsia="zh-CN"/>
        </w:rPr>
        <w:t>2）围堰拆除按施工图纸所示轮廓尺</w:t>
      </w:r>
      <w:r>
        <w:rPr>
          <w:rFonts w:hint="eastAsia" w:ascii="宋体" w:hAnsi="宋体" w:eastAsia="宋体" w:cs="宋体"/>
          <w:color w:val="auto"/>
          <w:sz w:val="24"/>
          <w:szCs w:val="24"/>
          <w:lang w:eastAsia="zh-CN"/>
        </w:rPr>
        <w:t>寸</w:t>
      </w:r>
      <w:r>
        <w:rPr>
          <w:rFonts w:ascii="宋体" w:hAnsi="宋体" w:eastAsia="宋体" w:cs="宋体"/>
          <w:color w:val="auto"/>
          <w:sz w:val="24"/>
          <w:szCs w:val="24"/>
          <w:lang w:eastAsia="zh-CN"/>
        </w:rPr>
        <w:t>计算的有效</w:t>
      </w:r>
      <w:r>
        <w:rPr>
          <w:rFonts w:hint="eastAsia" w:ascii="宋体" w:hAnsi="宋体" w:eastAsia="宋体" w:cs="宋体"/>
          <w:color w:val="auto"/>
          <w:sz w:val="24"/>
          <w:szCs w:val="24"/>
          <w:lang w:eastAsia="zh-CN"/>
        </w:rPr>
        <w:t>实</w:t>
      </w:r>
      <w:r>
        <w:rPr>
          <w:rFonts w:ascii="宋体" w:hAnsi="宋体" w:eastAsia="宋体" w:cs="宋体"/>
          <w:color w:val="auto"/>
          <w:sz w:val="24"/>
          <w:szCs w:val="24"/>
          <w:lang w:eastAsia="zh-CN"/>
        </w:rPr>
        <w:t>体积以立方米为单位计量，由发包人按《工程量清单》相应项目有效工程量的每立方米工程单价支付。</w:t>
      </w:r>
    </w:p>
    <w:p w14:paraId="7F2923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（3）承包人完成本章第6.2.1项所列的“植被清理”工作所需的费用，包含在《工程量清单》相应土方明挖项目有效工程量的每立方米工程单价中，发包人不另行支付。</w:t>
      </w:r>
    </w:p>
    <w:p w14:paraId="6853AD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（4）土方明挖工程单价包括承包人按</w:t>
      </w:r>
      <w:r>
        <w:rPr>
          <w:rFonts w:hint="eastAsia" w:ascii="宋体" w:hAnsi="宋体" w:eastAsia="宋体" w:cs="宋体"/>
          <w:color w:val="auto"/>
          <w:sz w:val="24"/>
          <w:szCs w:val="24"/>
          <w:lang w:eastAsia="zh-CN"/>
        </w:rPr>
        <w:t>施工图纸要求完成场地平整，按</w:t>
      </w:r>
      <w:r>
        <w:rPr>
          <w:rFonts w:ascii="宋体" w:hAnsi="宋体" w:eastAsia="宋体" w:cs="宋体"/>
          <w:color w:val="auto"/>
          <w:sz w:val="24"/>
          <w:szCs w:val="24"/>
          <w:lang w:eastAsia="zh-CN"/>
        </w:rPr>
        <w:t>合同要求完成场地清理</w:t>
      </w:r>
      <w:r>
        <w:rPr>
          <w:rFonts w:hint="eastAsia" w:ascii="宋体" w:hAnsi="宋体" w:eastAsia="宋体" w:cs="宋体"/>
          <w:color w:val="auto"/>
          <w:sz w:val="24"/>
          <w:szCs w:val="24"/>
          <w:lang w:eastAsia="zh-CN"/>
        </w:rPr>
        <w:t>（包括垃圾清理、表土清理）</w:t>
      </w:r>
      <w:r>
        <w:rPr>
          <w:rFonts w:ascii="宋体" w:hAnsi="宋体" w:eastAsia="宋体" w:cs="宋体"/>
          <w:color w:val="auto"/>
          <w:sz w:val="24"/>
          <w:szCs w:val="24"/>
          <w:lang w:eastAsia="zh-CN"/>
        </w:rPr>
        <w:t>，测量放样，临时性排水措施（包括排水设备的安拆、运行和维修），土方开挖、</w:t>
      </w:r>
      <w:r>
        <w:rPr>
          <w:rFonts w:hint="eastAsia" w:ascii="宋体" w:hAnsi="宋体" w:eastAsia="宋体" w:cs="宋体"/>
          <w:color w:val="auto"/>
          <w:sz w:val="24"/>
          <w:szCs w:val="24"/>
          <w:lang w:eastAsia="zh-CN"/>
        </w:rPr>
        <w:t>原砼和砌体等结构拆除增加费、</w:t>
      </w:r>
      <w:r>
        <w:rPr>
          <w:rFonts w:ascii="宋体" w:hAnsi="宋体" w:eastAsia="宋体" w:cs="宋体"/>
          <w:color w:val="auto"/>
          <w:sz w:val="24"/>
          <w:szCs w:val="24"/>
          <w:lang w:eastAsia="zh-CN"/>
        </w:rPr>
        <w:t>装卸和运输</w:t>
      </w:r>
      <w:r>
        <w:rPr>
          <w:rFonts w:hint="eastAsia" w:ascii="宋体" w:hAnsi="宋体" w:eastAsia="宋体" w:cs="宋体"/>
          <w:color w:val="auto"/>
          <w:sz w:val="24"/>
          <w:szCs w:val="24"/>
          <w:lang w:eastAsia="zh-CN"/>
        </w:rPr>
        <w:t>（指场内平衡土方运输）</w:t>
      </w:r>
      <w:r>
        <w:rPr>
          <w:rFonts w:ascii="宋体" w:hAnsi="宋体" w:eastAsia="宋体" w:cs="宋体"/>
          <w:color w:val="auto"/>
          <w:sz w:val="24"/>
          <w:szCs w:val="24"/>
          <w:lang w:eastAsia="zh-CN"/>
        </w:rPr>
        <w:t>，边坡整治和稳定观测，基础、边坡面的检查和验收，以及将开挖可利用的土方运至堆放区并加以保护、处理等工作所需的费用。</w:t>
      </w:r>
    </w:p>
    <w:p w14:paraId="6D381F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5）土方明挖开始前，承包人应根据监理人指示，测量开挖区的地形和计量剖面，经监理人检查确认后，作为计量支付的原始资料。土方明挖按施工图纸所示的轮廓尺寸计算有效自然方体积以立方米为单位计量，由发包人按《工程量清单》相应项目有效工程量的每立方米工程单价支付。施工过程中增加的超挖量和施工附加量所需的费用，应包含在《工程量清单》相应项目有效工程量的每立方米工程单价中，发包人不另行支付。</w:t>
      </w:r>
    </w:p>
    <w:p w14:paraId="1D11C6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（6）除合同另有约定外，开采土料或砂砾料（包括取土、含水量调整、弃土处理、土料运输和堆放等工作）所需的费用，包含在《工程量清单》相应项目有效工程量的工程单价或总价中，发包人不另行支付。</w:t>
      </w:r>
    </w:p>
    <w:p w14:paraId="4DE91C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（7）除合同另有约定外，承包人在料场开采结束后完成开采区清理、恢复和绿化等工作所需的费用，包含在《工程量清单》相应项目的工程单价或总价中，发包人不另行支付。</w:t>
      </w:r>
    </w:p>
    <w:p w14:paraId="030394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ascii="宋体" w:hAnsi="宋体" w:eastAsia="宋体" w:cs="宋体"/>
          <w:color w:val="auto"/>
          <w:sz w:val="24"/>
          <w:szCs w:val="24"/>
          <w:lang w:eastAsia="zh-CN"/>
        </w:rPr>
        <w:t>8）本工程</w:t>
      </w:r>
      <w:r>
        <w:rPr>
          <w:rFonts w:hint="eastAsia" w:ascii="宋体" w:hAnsi="宋体" w:eastAsia="宋体" w:cs="宋体"/>
          <w:color w:val="auto"/>
          <w:sz w:val="24"/>
          <w:szCs w:val="24"/>
          <w:lang w:eastAsia="zh-CN"/>
        </w:rPr>
        <w:t>发包人提供弃渣场，土方外运由承包人负责。土方开挖及外运包括清表、挖土、装土、运土、卸土等，本工程运距暂按33km（暂按运至绍兴滨海新区地块）计。结算时运距需根据建设单位、监理、跟审签证调整，实际运距按实调整，施工方需提供相应确认依据。承包人运输须符合绍兴市柯桥区渣土管理相关规定，弃渣场按绍兴市柯桥区人民政府办公室《关于推进渣土消纳工作有关事宜的会议备忘录》执行，除渣土消纳处置费外，其他所有费用均包含在《工程量清单》相应项目有效工程量的每立方米工程单价中。</w:t>
      </w:r>
    </w:p>
    <w:p w14:paraId="538D9F18">
      <w:pPr>
        <w:widowControl w:val="0"/>
        <w:kinsoku/>
        <w:wordWrap w:val="0"/>
        <w:topLinePunct/>
        <w:autoSpaceDE/>
        <w:autoSpaceDN/>
        <w:spacing w:line="360" w:lineRule="auto"/>
        <w:ind w:firstLine="560" w:firstLineChars="200"/>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7B1D3DDF">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234" w:name="_Toc16940"/>
      <w:bookmarkStart w:id="1235" w:name="_Toc11178"/>
      <w:bookmarkStart w:id="1236" w:name="_Toc982"/>
      <w:r>
        <w:rPr>
          <w:rFonts w:ascii="Times New Roman" w:hAnsi="Times New Roman" w:eastAsia="Times New Roman" w:cs="Times New Roman"/>
          <w:b/>
          <w:bCs/>
          <w:color w:val="auto"/>
          <w:sz w:val="28"/>
          <w:szCs w:val="28"/>
          <w:lang w:eastAsia="zh-CN"/>
        </w:rPr>
        <w:t>7</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石方明挖</w:t>
      </w:r>
      <w:bookmarkEnd w:id="1234"/>
      <w:bookmarkEnd w:id="1235"/>
      <w:bookmarkEnd w:id="1236"/>
    </w:p>
    <w:p w14:paraId="2BDB9244">
      <w:pPr>
        <w:pStyle w:val="8"/>
        <w:widowControl w:val="0"/>
        <w:kinsoku/>
        <w:topLinePunct/>
        <w:autoSpaceDE/>
        <w:autoSpaceDN/>
        <w:spacing w:line="520" w:lineRule="exact"/>
        <w:ind w:firstLine="420" w:firstLineChars="200"/>
        <w:jc w:val="both"/>
        <w:rPr>
          <w:color w:val="auto"/>
          <w:lang w:eastAsia="zh-CN"/>
        </w:rPr>
      </w:pPr>
    </w:p>
    <w:p w14:paraId="2187171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本工程不涉及石方开挖。</w:t>
      </w:r>
    </w:p>
    <w:p w14:paraId="568DA5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p>
    <w:p w14:paraId="131D5D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p>
    <w:p w14:paraId="6890E135">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237" w:name="_Toc29657"/>
      <w:bookmarkStart w:id="1238" w:name="_Toc18452"/>
      <w:r>
        <w:rPr>
          <w:rFonts w:ascii="Times New Roman" w:hAnsi="Times New Roman" w:eastAsia="Times New Roman" w:cs="Times New Roman"/>
          <w:b/>
          <w:bCs/>
          <w:color w:val="auto"/>
          <w:sz w:val="28"/>
          <w:szCs w:val="28"/>
          <w:lang w:eastAsia="zh-CN"/>
        </w:rPr>
        <w:t>8</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地下洞室开挖</w:t>
      </w:r>
      <w:bookmarkEnd w:id="1237"/>
      <w:bookmarkEnd w:id="1238"/>
    </w:p>
    <w:p w14:paraId="191C9B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本工程不涉及地下洞室开挖。</w:t>
      </w:r>
      <w:r>
        <w:rPr>
          <w:rFonts w:hint="eastAsia" w:ascii="宋体" w:hAnsi="宋体" w:eastAsia="宋体" w:cs="宋体"/>
          <w:color w:val="auto"/>
          <w:sz w:val="24"/>
          <w:szCs w:val="24"/>
          <w:lang w:eastAsia="zh-CN"/>
        </w:rPr>
        <w:br w:type="page"/>
      </w:r>
    </w:p>
    <w:p w14:paraId="798EF081">
      <w:pPr>
        <w:widowControl w:val="0"/>
        <w:kinsoku/>
        <w:topLinePunct/>
        <w:autoSpaceDE/>
        <w:autoSpaceDN/>
        <w:spacing w:line="520" w:lineRule="exact"/>
        <w:jc w:val="center"/>
        <w:outlineLvl w:val="1"/>
        <w:rPr>
          <w:rFonts w:hint="eastAsia" w:ascii="宋体" w:hAnsi="宋体" w:eastAsia="宋体" w:cs="宋体"/>
          <w:b/>
          <w:bCs/>
          <w:color w:val="auto"/>
          <w:sz w:val="28"/>
          <w:szCs w:val="28"/>
          <w:lang w:eastAsia="zh-CN"/>
        </w:rPr>
      </w:pPr>
      <w:bookmarkStart w:id="1239" w:name="_Toc8217"/>
      <w:bookmarkStart w:id="1240" w:name="_Toc10989"/>
      <w:bookmarkStart w:id="1241" w:name="_Toc8644"/>
      <w:r>
        <w:rPr>
          <w:rFonts w:hint="eastAsia" w:ascii="宋体" w:hAnsi="宋体" w:eastAsia="宋体" w:cs="宋体"/>
          <w:b/>
          <w:bCs/>
          <w:color w:val="auto"/>
          <w:sz w:val="28"/>
          <w:szCs w:val="28"/>
          <w:lang w:eastAsia="zh-CN"/>
        </w:rPr>
        <w:t>9 支护工程</w:t>
      </w:r>
      <w:bookmarkEnd w:id="1239"/>
      <w:bookmarkEnd w:id="1240"/>
      <w:bookmarkEnd w:id="1241"/>
    </w:p>
    <w:p w14:paraId="7BAD7F1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42" w:name="_Toc8615"/>
      <w:bookmarkStart w:id="1243" w:name="_Toc30753"/>
      <w:bookmarkStart w:id="1244" w:name="_Toc26093"/>
      <w:r>
        <w:rPr>
          <w:rFonts w:hint="eastAsia" w:ascii="宋体" w:hAnsi="宋体" w:eastAsia="宋体" w:cs="宋体"/>
          <w:b/>
          <w:bCs/>
          <w:color w:val="auto"/>
          <w:sz w:val="24"/>
          <w:szCs w:val="24"/>
          <w:lang w:eastAsia="zh-CN"/>
        </w:rPr>
        <w:t>9.1 一般规定</w:t>
      </w:r>
      <w:bookmarkEnd w:id="1242"/>
      <w:bookmarkEnd w:id="1243"/>
      <w:bookmarkEnd w:id="1244"/>
    </w:p>
    <w:p w14:paraId="49F0B94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9.1.1 应用范围</w:t>
      </w:r>
    </w:p>
    <w:p w14:paraId="33005CE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本章规定适用于本合同施工图纸所示的各类边坡工程和地下洞室开挖后的围岩永久支护及临时支护。其主要支护结构类型包括锚杆、喷射混凝土、挡墙、护壁、护坡、护网、钢支撑等用于边坡的支护和支挡结构。</w:t>
      </w:r>
    </w:p>
    <w:p w14:paraId="2FF9567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9.1.2 承包人的责任</w:t>
      </w:r>
    </w:p>
    <w:p w14:paraId="0B7735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）承包人应按施工图纸和监理人指示，及时进行本工程项目的边坡和地下洞室围岩的支护。</w:t>
      </w:r>
    </w:p>
    <w:p w14:paraId="773EE0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）在地下开挖和支护过程中，承包人应按监理人批准的围岩稳定监测措施，对洞室围岩和边坡进行变形监测。</w:t>
      </w:r>
    </w:p>
    <w:p w14:paraId="4242E4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）承包人应在开挖工程现场储备一定数量的锚杆、钢支撑、喷射混凝土等的材料、配件和有关设备，以备遇有可能发生坍塌的危险情况时，及时采取紧急支护措施。</w:t>
      </w:r>
    </w:p>
    <w:p w14:paraId="1B51501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9.1.3 主要提交件</w:t>
      </w:r>
    </w:p>
    <w:p w14:paraId="197A49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）施工措施计划</w:t>
      </w:r>
    </w:p>
    <w:p w14:paraId="03587C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承包人在提交地下洞室和边坡开挖工程施工措施计划的同时，应根据施工图纸和监理人指示，编制支护工程的施工措施计划，提交监理人批准，其内容包括：</w:t>
      </w:r>
    </w:p>
    <w:p w14:paraId="74AF33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）支护工程范围及其支护方案选择。</w:t>
      </w:r>
    </w:p>
    <w:p w14:paraId="0062D5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）工程地质资料和数据。</w:t>
      </w:r>
    </w:p>
    <w:p w14:paraId="6A9CD9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）支护结构型式和细部设计。</w:t>
      </w:r>
    </w:p>
    <w:p w14:paraId="1E46C7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）支护用的施工设备清单。</w:t>
      </w:r>
    </w:p>
    <w:p w14:paraId="1C6D3A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）各项支护材料试验成果。</w:t>
      </w:r>
    </w:p>
    <w:p w14:paraId="25637D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）边坡和地下洞室的围岩稳定监测方法。</w:t>
      </w:r>
    </w:p>
    <w:p w14:paraId="74CC17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）质量和安全保证措施。</w:t>
      </w:r>
    </w:p>
    <w:p w14:paraId="54AA5E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）施工记录和质量报表</w:t>
      </w:r>
    </w:p>
    <w:p w14:paraId="26FDE1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承包人应为监理人进行质量检查提交各项工程的施工记录报表，其内容包括：</w:t>
      </w:r>
    </w:p>
    <w:p w14:paraId="74D1BA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）岩石锚杆、预应力岩锚和喷射混凝土等的支护时间和完成工程量统计。</w:t>
      </w:r>
    </w:p>
    <w:p w14:paraId="2CD9C8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）材料试验成果。</w:t>
      </w:r>
    </w:p>
    <w:p w14:paraId="39E609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）质量检查和检测记录。</w:t>
      </w:r>
    </w:p>
    <w:p w14:paraId="48FE40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）质量事故处理记录。</w:t>
      </w:r>
    </w:p>
    <w:p w14:paraId="5D0252E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9.1.4 引用标准</w:t>
      </w:r>
    </w:p>
    <w:p w14:paraId="3D334F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）《预应力混凝土用钢绞线》（</w:t>
      </w:r>
      <w:r>
        <w:rPr>
          <w:rFonts w:hint="eastAsia" w:ascii="Times New Roman" w:hAnsi="Times New Roman" w:eastAsia="宋体" w:cs="Times New Roman"/>
          <w:color w:val="auto"/>
          <w:sz w:val="24"/>
          <w:szCs w:val="24"/>
          <w:lang w:eastAsia="zh-CN"/>
        </w:rPr>
        <w:t xml:space="preserve">GB/T </w:t>
      </w:r>
      <w:r>
        <w:rPr>
          <w:rFonts w:ascii="Times New Roman" w:hAnsi="Times New Roman" w:eastAsia="Times New Roman" w:cs="Times New Roman"/>
          <w:color w:val="auto"/>
          <w:sz w:val="24"/>
          <w:szCs w:val="24"/>
          <w:lang w:eastAsia="zh-CN"/>
        </w:rPr>
        <w:t>5224</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2023</w:t>
      </w:r>
      <w:r>
        <w:rPr>
          <w:rFonts w:ascii="宋体" w:hAnsi="宋体" w:eastAsia="宋体" w:cs="宋体"/>
          <w:color w:val="auto"/>
          <w:sz w:val="24"/>
          <w:szCs w:val="24"/>
          <w:lang w:eastAsia="zh-CN"/>
        </w:rPr>
        <w:t>）</w:t>
      </w:r>
    </w:p>
    <w:p w14:paraId="748808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）《预应力混凝土用钢丝》（</w:t>
      </w:r>
      <w:r>
        <w:rPr>
          <w:rFonts w:hint="eastAsia" w:ascii="Times New Roman" w:hAnsi="Times New Roman" w:eastAsia="宋体" w:cs="Times New Roman"/>
          <w:color w:val="auto"/>
          <w:sz w:val="24"/>
          <w:szCs w:val="24"/>
          <w:lang w:eastAsia="zh-CN"/>
        </w:rPr>
        <w:t xml:space="preserve">GB/T </w:t>
      </w:r>
      <w:r>
        <w:rPr>
          <w:rFonts w:ascii="Times New Roman" w:hAnsi="Times New Roman" w:eastAsia="Times New Roman" w:cs="Times New Roman"/>
          <w:color w:val="auto"/>
          <w:sz w:val="24"/>
          <w:szCs w:val="24"/>
          <w:lang w:eastAsia="zh-CN"/>
        </w:rPr>
        <w:t>5223</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2014</w:t>
      </w:r>
      <w:r>
        <w:rPr>
          <w:rFonts w:ascii="宋体" w:hAnsi="宋体" w:eastAsia="宋体" w:cs="宋体"/>
          <w:color w:val="auto"/>
          <w:sz w:val="24"/>
          <w:szCs w:val="24"/>
          <w:lang w:eastAsia="zh-CN"/>
        </w:rPr>
        <w:t>）</w:t>
      </w:r>
    </w:p>
    <w:p w14:paraId="21CCC1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）《岩土锚杆与喷射混凝土支护工程技术规范》（</w:t>
      </w:r>
      <w:r>
        <w:rPr>
          <w:rFonts w:hint="eastAsia" w:ascii="Times New Roman" w:hAnsi="Times New Roman" w:eastAsia="宋体" w:cs="Times New Roman"/>
          <w:color w:val="auto"/>
          <w:sz w:val="24"/>
          <w:szCs w:val="24"/>
          <w:lang w:eastAsia="zh-CN"/>
        </w:rPr>
        <w:t xml:space="preserve">GB </w:t>
      </w:r>
      <w:r>
        <w:rPr>
          <w:rFonts w:ascii="Times New Roman" w:hAnsi="Times New Roman" w:eastAsia="Times New Roman" w:cs="Times New Roman"/>
          <w:color w:val="auto"/>
          <w:sz w:val="24"/>
          <w:szCs w:val="24"/>
          <w:lang w:eastAsia="zh-CN"/>
        </w:rPr>
        <w:t>50086</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2015</w:t>
      </w:r>
      <w:r>
        <w:rPr>
          <w:rFonts w:ascii="宋体" w:hAnsi="宋体" w:eastAsia="宋体" w:cs="宋体"/>
          <w:color w:val="auto"/>
          <w:sz w:val="24"/>
          <w:szCs w:val="24"/>
          <w:lang w:eastAsia="zh-CN"/>
        </w:rPr>
        <w:t>）</w:t>
      </w:r>
    </w:p>
    <w:p w14:paraId="4731AA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）《水利水电工程锚喷支护技术规范》（</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377</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2007</w:t>
      </w:r>
      <w:r>
        <w:rPr>
          <w:rFonts w:ascii="宋体" w:hAnsi="宋体" w:eastAsia="宋体" w:cs="宋体"/>
          <w:color w:val="auto"/>
          <w:sz w:val="24"/>
          <w:szCs w:val="24"/>
          <w:lang w:eastAsia="zh-CN"/>
        </w:rPr>
        <w:t>）</w:t>
      </w:r>
    </w:p>
    <w:p w14:paraId="575F5E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）《水工建筑物地下开挖工程施工规范》（</w:t>
      </w:r>
      <w:r>
        <w:rPr>
          <w:rFonts w:hint="eastAsia" w:ascii="Times New Roman" w:hAnsi="Times New Roman" w:eastAsia="宋体" w:cs="Times New Roman"/>
          <w:color w:val="auto"/>
          <w:sz w:val="24"/>
          <w:szCs w:val="24"/>
          <w:lang w:eastAsia="zh-CN"/>
        </w:rPr>
        <w:t xml:space="preserve"> SL 378-2007</w:t>
      </w:r>
      <w:r>
        <w:rPr>
          <w:rFonts w:ascii="宋体" w:hAnsi="宋体" w:eastAsia="宋体" w:cs="宋体"/>
          <w:color w:val="auto"/>
          <w:sz w:val="24"/>
          <w:szCs w:val="24"/>
          <w:lang w:eastAsia="zh-CN"/>
        </w:rPr>
        <w:t>）</w:t>
      </w:r>
    </w:p>
    <w:p w14:paraId="00A92D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）《水利水电工程勘探规程》（</w:t>
      </w:r>
      <w:r>
        <w:rPr>
          <w:rFonts w:hint="eastAsia" w:ascii="Times New Roman" w:hAnsi="Times New Roman" w:eastAsia="宋体" w:cs="Times New Roman"/>
          <w:color w:val="auto"/>
          <w:sz w:val="24"/>
          <w:szCs w:val="24"/>
          <w:lang w:eastAsia="zh-CN"/>
        </w:rPr>
        <w:t xml:space="preserve">SL/T </w:t>
      </w:r>
      <w:r>
        <w:rPr>
          <w:rFonts w:ascii="Times New Roman" w:hAnsi="Times New Roman" w:eastAsia="Times New Roman" w:cs="Times New Roman"/>
          <w:color w:val="auto"/>
          <w:sz w:val="24"/>
          <w:szCs w:val="24"/>
          <w:lang w:eastAsia="zh-CN"/>
        </w:rPr>
        <w:t>291.1</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021</w:t>
      </w:r>
      <w:r>
        <w:rPr>
          <w:rFonts w:ascii="宋体" w:hAnsi="宋体" w:eastAsia="宋体" w:cs="宋体"/>
          <w:color w:val="auto"/>
          <w:sz w:val="24"/>
          <w:szCs w:val="24"/>
          <w:lang w:eastAsia="zh-CN"/>
        </w:rPr>
        <w:t>）</w:t>
      </w:r>
    </w:p>
    <w:p w14:paraId="753471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）《水工预应力锚固技术规范》（</w:t>
      </w:r>
      <w:r>
        <w:rPr>
          <w:rFonts w:hint="eastAsia" w:ascii="Times New Roman" w:hAnsi="Times New Roman" w:eastAsia="宋体" w:cs="Times New Roman"/>
          <w:color w:val="auto"/>
          <w:sz w:val="24"/>
          <w:szCs w:val="24"/>
          <w:lang w:eastAsia="zh-CN"/>
        </w:rPr>
        <w:t xml:space="preserve">SL/T </w:t>
      </w:r>
      <w:r>
        <w:rPr>
          <w:rFonts w:ascii="Times New Roman" w:hAnsi="Times New Roman" w:eastAsia="Times New Roman" w:cs="Times New Roman"/>
          <w:color w:val="auto"/>
          <w:sz w:val="24"/>
          <w:szCs w:val="24"/>
          <w:lang w:eastAsia="zh-CN"/>
        </w:rPr>
        <w:t>212-2020</w:t>
      </w:r>
      <w:r>
        <w:rPr>
          <w:rFonts w:ascii="宋体" w:hAnsi="宋体" w:eastAsia="宋体" w:cs="宋体"/>
          <w:color w:val="auto"/>
          <w:sz w:val="24"/>
          <w:szCs w:val="24"/>
          <w:lang w:eastAsia="zh-CN"/>
        </w:rPr>
        <w:t>）</w:t>
      </w:r>
    </w:p>
    <w:p w14:paraId="77E2C0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）《水工建筑物水泥灌浆施工技术规范》（</w:t>
      </w:r>
      <w:r>
        <w:rPr>
          <w:rFonts w:hint="eastAsia" w:ascii="Times New Roman" w:hAnsi="Times New Roman" w:eastAsia="宋体" w:cs="Times New Roman"/>
          <w:color w:val="auto"/>
          <w:sz w:val="24"/>
          <w:szCs w:val="24"/>
          <w:lang w:eastAsia="zh-CN"/>
        </w:rPr>
        <w:t xml:space="preserve">SL/T </w:t>
      </w:r>
      <w:r>
        <w:rPr>
          <w:rFonts w:ascii="Times New Roman" w:hAnsi="Times New Roman" w:eastAsia="Times New Roman" w:cs="Times New Roman"/>
          <w:color w:val="auto"/>
          <w:sz w:val="24"/>
          <w:szCs w:val="24"/>
          <w:lang w:eastAsia="zh-CN"/>
        </w:rPr>
        <w:t>62</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2020</w:t>
      </w:r>
      <w:r>
        <w:rPr>
          <w:rFonts w:ascii="宋体" w:hAnsi="宋体" w:eastAsia="宋体" w:cs="宋体"/>
          <w:color w:val="auto"/>
          <w:sz w:val="24"/>
          <w:szCs w:val="24"/>
          <w:lang w:eastAsia="zh-CN"/>
        </w:rPr>
        <w:t>）</w:t>
      </w:r>
    </w:p>
    <w:p w14:paraId="5110B7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）《预应力筋用锚具、夹具和连接器》（</w:t>
      </w:r>
      <w:r>
        <w:rPr>
          <w:rFonts w:hint="eastAsia" w:ascii="Times New Roman" w:hAnsi="Times New Roman" w:eastAsia="宋体" w:cs="Times New Roman"/>
          <w:color w:val="auto"/>
          <w:sz w:val="24"/>
          <w:szCs w:val="24"/>
          <w:lang w:eastAsia="zh-CN"/>
        </w:rPr>
        <w:t xml:space="preserve">GB/T </w:t>
      </w:r>
      <w:r>
        <w:rPr>
          <w:rFonts w:ascii="Times New Roman" w:hAnsi="Times New Roman" w:eastAsia="Times New Roman" w:cs="Times New Roman"/>
          <w:color w:val="auto"/>
          <w:sz w:val="24"/>
          <w:szCs w:val="24"/>
          <w:lang w:eastAsia="zh-CN"/>
        </w:rPr>
        <w:t>14370</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2015</w:t>
      </w:r>
      <w:r>
        <w:rPr>
          <w:rFonts w:ascii="宋体" w:hAnsi="宋体" w:eastAsia="宋体" w:cs="宋体"/>
          <w:color w:val="auto"/>
          <w:sz w:val="24"/>
          <w:szCs w:val="24"/>
          <w:lang w:eastAsia="zh-CN"/>
        </w:rPr>
        <w:t>）</w:t>
      </w:r>
    </w:p>
    <w:p w14:paraId="095289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）《无粘结预应力钢绞线》（</w:t>
      </w:r>
      <w:r>
        <w:rPr>
          <w:rFonts w:ascii="Times New Roman" w:hAnsi="Times New Roman" w:eastAsia="Times New Roman" w:cs="Times New Roman"/>
          <w:color w:val="auto"/>
          <w:sz w:val="24"/>
          <w:szCs w:val="24"/>
          <w:lang w:eastAsia="zh-CN"/>
        </w:rPr>
        <w:t>JG/T161</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2016</w:t>
      </w:r>
      <w:r>
        <w:rPr>
          <w:rFonts w:ascii="宋体" w:hAnsi="宋体" w:eastAsia="宋体" w:cs="宋体"/>
          <w:color w:val="auto"/>
          <w:sz w:val="24"/>
          <w:szCs w:val="24"/>
          <w:lang w:eastAsia="zh-CN"/>
        </w:rPr>
        <w:t>）</w:t>
      </w:r>
    </w:p>
    <w:p w14:paraId="3E6B6A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）《钢筋机械连接技术规程》（</w:t>
      </w:r>
      <w:r>
        <w:rPr>
          <w:rFonts w:hint="eastAsia" w:ascii="Times New Roman" w:hAnsi="Times New Roman" w:eastAsia="宋体" w:cs="Times New Roman"/>
          <w:color w:val="auto"/>
          <w:sz w:val="24"/>
          <w:szCs w:val="24"/>
          <w:lang w:eastAsia="zh-CN"/>
        </w:rPr>
        <w:t xml:space="preserve">JGJ </w:t>
      </w:r>
      <w:r>
        <w:rPr>
          <w:rFonts w:ascii="Times New Roman" w:hAnsi="Times New Roman" w:eastAsia="Times New Roman" w:cs="Times New Roman"/>
          <w:color w:val="auto"/>
          <w:sz w:val="24"/>
          <w:szCs w:val="24"/>
          <w:lang w:eastAsia="zh-CN"/>
        </w:rPr>
        <w:t>107</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2016</w:t>
      </w:r>
      <w:r>
        <w:rPr>
          <w:rFonts w:ascii="宋体" w:hAnsi="宋体" w:eastAsia="宋体" w:cs="宋体"/>
          <w:color w:val="auto"/>
          <w:sz w:val="24"/>
          <w:szCs w:val="24"/>
          <w:lang w:eastAsia="zh-CN"/>
        </w:rPr>
        <w:t>）</w:t>
      </w:r>
    </w:p>
    <w:p w14:paraId="39E0BA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）《钢筋焊接接头试验方法标准》（</w:t>
      </w:r>
      <w:r>
        <w:rPr>
          <w:rFonts w:hint="eastAsia" w:ascii="Times New Roman" w:hAnsi="Times New Roman" w:eastAsia="宋体" w:cs="Times New Roman"/>
          <w:color w:val="auto"/>
          <w:sz w:val="24"/>
          <w:szCs w:val="24"/>
          <w:lang w:eastAsia="zh-CN"/>
        </w:rPr>
        <w:t xml:space="preserve">JGJ/T </w:t>
      </w:r>
      <w:r>
        <w:rPr>
          <w:rFonts w:ascii="Times New Roman" w:hAnsi="Times New Roman" w:eastAsia="Times New Roman" w:cs="Times New Roman"/>
          <w:color w:val="auto"/>
          <w:sz w:val="24"/>
          <w:szCs w:val="24"/>
          <w:lang w:eastAsia="zh-CN"/>
        </w:rPr>
        <w:t>27</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2014</w:t>
      </w:r>
      <w:r>
        <w:rPr>
          <w:rFonts w:ascii="宋体" w:hAnsi="宋体" w:eastAsia="宋体" w:cs="宋体"/>
          <w:color w:val="auto"/>
          <w:sz w:val="24"/>
          <w:szCs w:val="24"/>
          <w:lang w:eastAsia="zh-CN"/>
        </w:rPr>
        <w:t>）</w:t>
      </w:r>
    </w:p>
    <w:p w14:paraId="7D4DE4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13</w:t>
      </w:r>
      <w:r>
        <w:rPr>
          <w:rFonts w:ascii="宋体" w:hAnsi="宋体" w:eastAsia="宋体" w:cs="宋体"/>
          <w:color w:val="auto"/>
          <w:sz w:val="24"/>
          <w:szCs w:val="24"/>
          <w:lang w:eastAsia="zh-CN"/>
        </w:rPr>
        <w:t>）《水电水利工程岩壁梁施工规程》（</w:t>
      </w:r>
      <w:r>
        <w:rPr>
          <w:rFonts w:hint="eastAsia" w:ascii="Times New Roman" w:hAnsi="Times New Roman" w:eastAsia="宋体" w:cs="Times New Roman"/>
          <w:color w:val="auto"/>
          <w:sz w:val="24"/>
          <w:szCs w:val="24"/>
          <w:lang w:eastAsia="zh-CN"/>
        </w:rPr>
        <w:t xml:space="preserve">DL/T </w:t>
      </w:r>
      <w:r>
        <w:rPr>
          <w:rFonts w:ascii="Times New Roman" w:hAnsi="Times New Roman" w:eastAsia="Times New Roman" w:cs="Times New Roman"/>
          <w:color w:val="auto"/>
          <w:sz w:val="24"/>
          <w:szCs w:val="24"/>
          <w:lang w:eastAsia="zh-CN"/>
        </w:rPr>
        <w:t>5198</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2013</w:t>
      </w:r>
      <w:r>
        <w:rPr>
          <w:rFonts w:ascii="宋体" w:hAnsi="宋体" w:eastAsia="宋体" w:cs="宋体"/>
          <w:color w:val="auto"/>
          <w:sz w:val="24"/>
          <w:szCs w:val="24"/>
          <w:lang w:eastAsia="zh-CN"/>
        </w:rPr>
        <w:t>）</w:t>
      </w:r>
    </w:p>
    <w:p w14:paraId="304F7E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14</w:t>
      </w:r>
      <w:r>
        <w:rPr>
          <w:rFonts w:ascii="宋体" w:hAnsi="宋体" w:eastAsia="宋体" w:cs="宋体"/>
          <w:color w:val="auto"/>
          <w:sz w:val="24"/>
          <w:szCs w:val="24"/>
          <w:lang w:eastAsia="zh-CN"/>
        </w:rPr>
        <w:t>）《水电工程覆盖层预应力锚索技术规范》（</w:t>
      </w:r>
      <w:r>
        <w:rPr>
          <w:rFonts w:hint="eastAsia" w:ascii="Times New Roman" w:hAnsi="Times New Roman" w:eastAsia="宋体" w:cs="Times New Roman"/>
          <w:color w:val="auto"/>
          <w:sz w:val="24"/>
          <w:szCs w:val="24"/>
          <w:lang w:eastAsia="zh-CN"/>
        </w:rPr>
        <w:t xml:space="preserve">NB/T </w:t>
      </w:r>
      <w:r>
        <w:rPr>
          <w:rFonts w:ascii="Times New Roman" w:hAnsi="Times New Roman" w:eastAsia="Times New Roman" w:cs="Times New Roman"/>
          <w:color w:val="auto"/>
          <w:sz w:val="24"/>
          <w:szCs w:val="24"/>
          <w:lang w:eastAsia="zh-CN"/>
        </w:rPr>
        <w:t>35100-2017</w:t>
      </w:r>
      <w:r>
        <w:rPr>
          <w:rFonts w:ascii="宋体" w:hAnsi="宋体" w:eastAsia="宋体" w:cs="宋体"/>
          <w:color w:val="auto"/>
          <w:sz w:val="24"/>
          <w:szCs w:val="24"/>
          <w:lang w:eastAsia="zh-CN"/>
        </w:rPr>
        <w:t>）</w:t>
      </w:r>
    </w:p>
    <w:p w14:paraId="74A6F3A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45" w:name="_Toc5440"/>
      <w:bookmarkStart w:id="1246" w:name="_Toc13924"/>
      <w:bookmarkStart w:id="1247" w:name="_Toc19864"/>
      <w:r>
        <w:rPr>
          <w:rFonts w:hint="eastAsia" w:ascii="宋体" w:hAnsi="宋体" w:eastAsia="宋体" w:cs="宋体"/>
          <w:b/>
          <w:bCs/>
          <w:color w:val="auto"/>
          <w:sz w:val="24"/>
          <w:szCs w:val="24"/>
          <w:lang w:eastAsia="zh-CN"/>
        </w:rPr>
        <w:t xml:space="preserve">9.2 </w:t>
      </w:r>
      <w:bookmarkEnd w:id="1245"/>
      <w:r>
        <w:rPr>
          <w:rFonts w:hint="eastAsia" w:ascii="宋体" w:hAnsi="宋体" w:eastAsia="宋体" w:cs="宋体"/>
          <w:b/>
          <w:bCs/>
          <w:color w:val="auto"/>
          <w:sz w:val="24"/>
          <w:szCs w:val="24"/>
          <w:lang w:eastAsia="zh-CN"/>
        </w:rPr>
        <w:t>格构式斜桩支撑</w:t>
      </w:r>
      <w:bookmarkEnd w:id="1246"/>
      <w:bookmarkEnd w:id="1247"/>
    </w:p>
    <w:p w14:paraId="43DF5A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1)水泥土桩采用42.5级普通硅酸盐水泥,建议水泥掺量35%,水灰比1.5,直径1.2m,28d水泥土强度不应低于4MPa。</w:t>
      </w:r>
    </w:p>
    <w:p w14:paraId="6AAAC5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2)除注明外钢材均采用Q355B,焊条采用E50型。采用格构式井字形钢构架,级板与角钢的焊接采用围焊,未注明焊缝高度不小于8mm。</w:t>
      </w:r>
    </w:p>
    <w:p w14:paraId="3468DD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3)本工程斜桩支撑采用500mm×500mm钢格构支撑,钢构架的四根角钢的接头可采用剖口熔透焊,接头应错开600mm。</w:t>
      </w:r>
    </w:p>
    <w:p w14:paraId="360860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4)斜桩斜打入土困难时,可采用预钻引孔等施工措施,确保斜桩桩长和单桩承载力特征值达到设计要求。</w:t>
      </w:r>
    </w:p>
    <w:p w14:paraId="7A71FA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5)施工中严格控制斜桩平面位置、斜桩角度及桩顶标高等参数,遇工程桩必须调整位置避开。</w:t>
      </w:r>
    </w:p>
    <w:p w14:paraId="0193CF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6)钢构架的止水片应在挖土结束后,泵站底板混凝土浇注前施工,止水片应设在承台或底板厚度的中部附近,以基护图为准。止水片与角钢,止水片与止水片之间焊接,焊缝高度应不小于5mm。</w:t>
      </w:r>
    </w:p>
    <w:p w14:paraId="1E92BD7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当地梁纵向钢筋数量较多且难以穿越井型钢构柱时,可在钢构柱上开孔。但每肢角钢的开孔面积一般不得大于其全截面面积的20%,超过时应采取相应的补强措施,具体可根据现场实际情况与设计人员协商确定。开孔作业时应考虑钢材强度的临时降低,注意掌握每次开孔</w:t>
      </w:r>
    </w:p>
    <w:p w14:paraId="7E7A8E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的时间间隔,必要时可采取临时支撑措施。</w:t>
      </w:r>
    </w:p>
    <w:p w14:paraId="3EBD03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7)施工前应对格构式井字形钢构架进行承载力试验,承载力特征值不应低于2100kN,试验要求同桩基承载力。</w:t>
      </w:r>
    </w:p>
    <w:p w14:paraId="743AF5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8)钢支撑的施工质量应符合国家标准《钢结构工程施工质量验收规范》和浙江省标准《基坑工程钢管支撑施工技术规程》(DB33/T1091-2013)的有关规定,钢支撑安装经验收后方可开挖下一层土。</w:t>
      </w:r>
    </w:p>
    <w:p w14:paraId="14E060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9)未尽事宜参照浙江省标准《建筑基坑工程技术规程》(DB33/T1096-2014)执行。</w:t>
      </w:r>
    </w:p>
    <w:p w14:paraId="7EEBF21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48" w:name="_Toc13471"/>
      <w:bookmarkStart w:id="1249" w:name="_Toc4008"/>
      <w:bookmarkStart w:id="1250" w:name="_Toc6680"/>
      <w:r>
        <w:rPr>
          <w:rFonts w:hint="eastAsia" w:ascii="宋体" w:hAnsi="宋体" w:eastAsia="宋体" w:cs="宋体"/>
          <w:b/>
          <w:bCs/>
          <w:color w:val="auto"/>
          <w:sz w:val="24"/>
          <w:szCs w:val="24"/>
          <w:lang w:eastAsia="zh-CN"/>
        </w:rPr>
        <w:t xml:space="preserve">9.3 </w:t>
      </w:r>
      <w:bookmarkEnd w:id="1248"/>
      <w:r>
        <w:rPr>
          <w:rFonts w:hint="eastAsia" w:ascii="宋体" w:hAnsi="宋体" w:eastAsia="宋体" w:cs="宋体"/>
          <w:b/>
          <w:bCs/>
          <w:color w:val="auto"/>
          <w:sz w:val="24"/>
          <w:szCs w:val="24"/>
          <w:lang w:eastAsia="zh-CN"/>
        </w:rPr>
        <w:t>立柱、立柱桩</w:t>
      </w:r>
      <w:bookmarkEnd w:id="1249"/>
      <w:bookmarkEnd w:id="1250"/>
    </w:p>
    <w:p w14:paraId="3CB489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现浇钢筋混凝土支撑体系的竖向立柱为钻孔灌注桩,立柱上部为井字桁架,井字桁架伸入竖向立柱桩内3m。新打竖向立柱桩砼强度等级为C30,主筋保护层厚度50mm,桩位水平偏差&lt;50mm,竖向偏差&lt;0.5%,沉渣厚度&lt;50mm,新打立柱桩的其余施工参见钻孔灌注桩施工说明。利用工程桩作立柱的桩还应满足工程桩设计要求。</w:t>
      </w:r>
    </w:p>
    <w:p w14:paraId="751344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井字桁架由四根L140×12的角钢和420×220×12的缀条焊接而成,钢材上部钢井字桁架的垂直度小于1/250。钢井字桁架的角钢接长的拼接接头采用剖口对焊,并加缀板加强,接头应错开800mm。立柱钢材均为Q345钢,焊条为E50××型；焊接为围焊,焊缝等级二级,除注明外,焊缝高度10mm。施工时将桁架与下部钻孔灌注桩的钢筋笼主筋焊接牢固,挖土时严禁机械碰撞。新打立柱桩的超灌高度为120cm。底板浇筑前,立柱必须焊接止水片。立柱周边桩孔应采用砂石均匀回填密实。立柱钢井字桁架的角钢拼接等结构施工验收应按《钢结构工程施工质量验收规范》(GB 50205-2001)执行,其余未尽事宜参见浙江省标准《建筑基坑工程技术规程》(DB33/T1096-2014)执行。</w:t>
      </w:r>
    </w:p>
    <w:p w14:paraId="7F24F27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51" w:name="_Toc24005"/>
      <w:bookmarkStart w:id="1252" w:name="_Toc9090"/>
      <w:bookmarkStart w:id="1253" w:name="_Toc32479"/>
      <w:r>
        <w:rPr>
          <w:rFonts w:hint="eastAsia" w:ascii="宋体" w:hAnsi="宋体" w:eastAsia="宋体" w:cs="宋体"/>
          <w:b/>
          <w:bCs/>
          <w:color w:val="auto"/>
          <w:sz w:val="24"/>
          <w:szCs w:val="24"/>
          <w:lang w:eastAsia="zh-CN"/>
        </w:rPr>
        <w:t>9.4 喷射混凝土</w:t>
      </w:r>
      <w:bookmarkEnd w:id="1251"/>
      <w:bookmarkEnd w:id="1252"/>
      <w:bookmarkEnd w:id="1253"/>
    </w:p>
    <w:p w14:paraId="4776B5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本节规定适用于本工程施工图纸所示的素喷射混凝土、锚杆喷射混凝土、钢纤维（或微纤维）喷射混凝土、钢筋网（或钢丝网）及钢支撑喷射混凝土等喷射混凝土施工作业。</w:t>
      </w:r>
    </w:p>
    <w:p w14:paraId="3013E8A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9.4.1 喷射混凝土工艺措施报告</w:t>
      </w:r>
    </w:p>
    <w:p w14:paraId="06D16C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承包人应在喷射混凝土施工作业开始前，将各项喷射混凝土作业的工艺措施报告，提交监理人批准。</w:t>
      </w:r>
    </w:p>
    <w:p w14:paraId="2B467F1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9.4.2 材料和配合比</w:t>
      </w:r>
    </w:p>
    <w:p w14:paraId="4A8627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）用于喷射混凝土的水泥、砂石料、水、外加剂、钢纤维、钢筋（丝）网等应遵守《水利水电工程锚喷支护技术规范》（</w:t>
      </w:r>
      <w:r>
        <w:rPr>
          <w:rFonts w:hint="eastAsia" w:ascii="Times New Roman" w:hAnsi="Times New Roman" w:eastAsia="宋体" w:cs="Times New Roman"/>
          <w:color w:val="auto"/>
          <w:sz w:val="24"/>
          <w:szCs w:val="24"/>
          <w:lang w:eastAsia="zh-CN"/>
        </w:rPr>
        <w:t>SL 377-2007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6.1</w:t>
      </w:r>
      <w:r>
        <w:rPr>
          <w:rFonts w:ascii="宋体" w:hAnsi="宋体" w:eastAsia="宋体" w:cs="宋体"/>
          <w:color w:val="auto"/>
          <w:sz w:val="24"/>
          <w:szCs w:val="24"/>
          <w:lang w:eastAsia="zh-CN"/>
        </w:rPr>
        <w:t>节的有关规定。</w:t>
      </w:r>
    </w:p>
    <w:p w14:paraId="179FFE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）喷射混凝土配合比应通过室内试验和现场试验选定，并符合施工图纸要求和遵守《水利水电工程锚喷支护技术规范》（</w:t>
      </w:r>
      <w:r>
        <w:rPr>
          <w:rFonts w:hint="eastAsia" w:ascii="Times New Roman" w:hAnsi="Times New Roman" w:eastAsia="宋体" w:cs="Times New Roman"/>
          <w:color w:val="auto"/>
          <w:sz w:val="24"/>
          <w:szCs w:val="24"/>
          <w:lang w:eastAsia="zh-CN"/>
        </w:rPr>
        <w:t>SL 377-2007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6.3.1</w:t>
      </w:r>
      <w:r>
        <w:rPr>
          <w:rFonts w:ascii="宋体" w:hAnsi="宋体" w:eastAsia="宋体" w:cs="宋体"/>
          <w:color w:val="auto"/>
          <w:sz w:val="24"/>
          <w:szCs w:val="24"/>
          <w:lang w:eastAsia="zh-CN"/>
        </w:rPr>
        <w:t>条的规定，试验成果应提交监理人。</w:t>
      </w:r>
    </w:p>
    <w:p w14:paraId="700117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）速凝剂的掺量应通过现场试验确定，喷射混凝土的初凝和终凝时间，应满足施工图纸和现场喷射工艺的要求。</w:t>
      </w:r>
    </w:p>
    <w:p w14:paraId="7502051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9.4.3 配料、拌和及运输</w:t>
      </w:r>
    </w:p>
    <w:p w14:paraId="698B69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）喷射混凝土的配料应遵守《水利水电工程锚喷支护技术规范》</w:t>
      </w:r>
      <w:r>
        <w:rPr>
          <w:rFonts w:ascii="宋体" w:hAnsi="宋体" w:eastAsia="宋体" w:cs="宋体"/>
          <w:color w:val="auto"/>
          <w:spacing w:val="-23"/>
          <w:sz w:val="24"/>
          <w:szCs w:val="24"/>
          <w:lang w:eastAsia="zh-CN"/>
        </w:rPr>
        <w:t>（</w:t>
      </w:r>
      <w:r>
        <w:rPr>
          <w:rFonts w:hint="eastAsia" w:ascii="Times New Roman" w:hAnsi="Times New Roman" w:eastAsia="宋体" w:cs="Times New Roman"/>
          <w:color w:val="auto"/>
          <w:spacing w:val="-23"/>
          <w:sz w:val="24"/>
          <w:szCs w:val="24"/>
          <w:lang w:eastAsia="zh-CN"/>
        </w:rPr>
        <w:t>SL 377-2007</w:t>
      </w:r>
      <w:r>
        <w:rPr>
          <w:rFonts w:ascii="宋体" w:hAnsi="宋体" w:eastAsia="宋体" w:cs="宋体"/>
          <w:color w:val="auto"/>
          <w:spacing w:val="-23"/>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6.3.2</w:t>
      </w:r>
      <w:r>
        <w:rPr>
          <w:rFonts w:ascii="宋体" w:hAnsi="宋体" w:eastAsia="宋体" w:cs="宋体"/>
          <w:color w:val="auto"/>
          <w:sz w:val="24"/>
          <w:szCs w:val="24"/>
          <w:lang w:eastAsia="zh-CN"/>
        </w:rPr>
        <w:t>条的规定。</w:t>
      </w:r>
    </w:p>
    <w:p w14:paraId="2463DA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）混合料搅拌时间应遵守《水利水电工程锚喷支护技术规范》</w:t>
      </w:r>
      <w:r>
        <w:rPr>
          <w:rFonts w:ascii="宋体" w:hAnsi="宋体" w:eastAsia="宋体" w:cs="宋体"/>
          <w:color w:val="auto"/>
          <w:spacing w:val="-20"/>
          <w:sz w:val="24"/>
          <w:szCs w:val="24"/>
          <w:lang w:eastAsia="zh-CN"/>
        </w:rPr>
        <w:t>（</w:t>
      </w:r>
      <w:r>
        <w:rPr>
          <w:rFonts w:hint="eastAsia" w:ascii="Times New Roman" w:hAnsi="Times New Roman" w:eastAsia="宋体" w:cs="Times New Roman"/>
          <w:color w:val="auto"/>
          <w:spacing w:val="-20"/>
          <w:sz w:val="24"/>
          <w:szCs w:val="24"/>
          <w:lang w:eastAsia="zh-CN"/>
        </w:rPr>
        <w:t>SL 377-2007</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6.3.3</w:t>
      </w:r>
      <w:r>
        <w:rPr>
          <w:rFonts w:ascii="宋体" w:hAnsi="宋体" w:eastAsia="宋体" w:cs="宋体"/>
          <w:color w:val="auto"/>
          <w:sz w:val="24"/>
          <w:szCs w:val="24"/>
          <w:lang w:eastAsia="zh-CN"/>
        </w:rPr>
        <w:t>条的规定。</w:t>
      </w:r>
    </w:p>
    <w:p w14:paraId="25D3F9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）混合料运输应严防雨淋、滴水及混入大块石等杂物，装入喷射机前应过筛，干混合料应随拌随用，无速凝剂掺入的混合料，存放时间不应超过</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小时，干混合料掺入速凝剂，存放时间不应超过</w:t>
      </w:r>
      <w:r>
        <w:rPr>
          <w:rFonts w:ascii="Times New Roman" w:hAnsi="Times New Roman" w:eastAsia="Times New Roman" w:cs="Times New Roman"/>
          <w:color w:val="auto"/>
          <w:sz w:val="24"/>
          <w:szCs w:val="24"/>
          <w:lang w:eastAsia="zh-CN"/>
        </w:rPr>
        <w:t>20</w:t>
      </w:r>
      <w:r>
        <w:rPr>
          <w:rFonts w:ascii="宋体" w:hAnsi="宋体" w:eastAsia="宋体" w:cs="宋体"/>
          <w:color w:val="auto"/>
          <w:sz w:val="24"/>
          <w:szCs w:val="24"/>
          <w:lang w:eastAsia="zh-CN"/>
        </w:rPr>
        <w:t>秒。</w:t>
      </w:r>
    </w:p>
    <w:p w14:paraId="5021AB5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9.4.4 喷射混凝土施工</w:t>
      </w:r>
    </w:p>
    <w:p w14:paraId="36B7325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）喷射混凝土的准备工作应遵守</w:t>
      </w:r>
      <w:r>
        <w:rPr>
          <w:rFonts w:ascii="宋体" w:hAnsi="宋体" w:eastAsia="宋体" w:cs="宋体"/>
          <w:color w:val="auto"/>
          <w:spacing w:val="57"/>
          <w:sz w:val="24"/>
          <w:szCs w:val="24"/>
          <w:lang w:eastAsia="zh-CN"/>
        </w:rPr>
        <w:t>《水利水电工程锚喷支护技术规范》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377-2007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6.4</w:t>
      </w:r>
      <w:r>
        <w:rPr>
          <w:rFonts w:ascii="宋体" w:hAnsi="宋体" w:eastAsia="宋体" w:cs="宋体"/>
          <w:color w:val="auto"/>
          <w:sz w:val="24"/>
          <w:szCs w:val="24"/>
          <w:lang w:eastAsia="zh-CN"/>
        </w:rPr>
        <w:t>节的规定。</w:t>
      </w:r>
    </w:p>
    <w:p w14:paraId="2D126E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）喷射混凝土作业应遵守</w:t>
      </w:r>
      <w:r>
        <w:rPr>
          <w:rFonts w:ascii="宋体" w:hAnsi="宋体" w:eastAsia="宋体" w:cs="宋体"/>
          <w:color w:val="auto"/>
          <w:spacing w:val="57"/>
          <w:sz w:val="24"/>
          <w:szCs w:val="24"/>
          <w:lang w:eastAsia="zh-CN"/>
        </w:rPr>
        <w:t>《水利水电工程锚喷支护技术规范》</w:t>
      </w:r>
      <w:r>
        <w:rPr>
          <w:rFonts w:hint="eastAsia" w:ascii="宋体" w:hAnsi="宋体" w:eastAsia="宋体" w:cs="宋体"/>
          <w:color w:val="auto"/>
          <w:spacing w:val="57"/>
          <w:sz w:val="24"/>
          <w:szCs w:val="24"/>
          <w:lang w:eastAsia="zh-CN"/>
        </w:rPr>
        <w:t xml:space="preserve">   </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377-2007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6.5</w:t>
      </w:r>
      <w:r>
        <w:rPr>
          <w:rFonts w:ascii="宋体" w:hAnsi="宋体" w:eastAsia="宋体" w:cs="宋体"/>
          <w:color w:val="auto"/>
          <w:sz w:val="24"/>
          <w:szCs w:val="24"/>
          <w:lang w:eastAsia="zh-CN"/>
        </w:rPr>
        <w:t>节的规定。</w:t>
      </w:r>
    </w:p>
    <w:p w14:paraId="3723F2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）钢纤维喷射混凝土的作业应遵守</w:t>
      </w:r>
      <w:r>
        <w:rPr>
          <w:rFonts w:ascii="宋体" w:hAnsi="宋体" w:eastAsia="宋体" w:cs="宋体"/>
          <w:color w:val="auto"/>
          <w:spacing w:val="34"/>
          <w:sz w:val="24"/>
          <w:szCs w:val="24"/>
          <w:lang w:eastAsia="zh-CN"/>
        </w:rPr>
        <w:t>《水利水电工程锚喷支护技术规范》（</w:t>
      </w:r>
      <w:r>
        <w:rPr>
          <w:rFonts w:hint="eastAsia" w:ascii="Times New Roman" w:hAnsi="Times New Roman" w:eastAsia="宋体" w:cs="Times New Roman"/>
          <w:color w:val="auto"/>
          <w:sz w:val="24"/>
          <w:szCs w:val="24"/>
          <w:lang w:eastAsia="zh-CN"/>
        </w:rPr>
        <w:t>SL 377-2007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6.7</w:t>
      </w:r>
      <w:r>
        <w:rPr>
          <w:rFonts w:ascii="宋体" w:hAnsi="宋体" w:eastAsia="宋体" w:cs="宋体"/>
          <w:color w:val="auto"/>
          <w:sz w:val="24"/>
          <w:szCs w:val="24"/>
          <w:lang w:eastAsia="zh-CN"/>
        </w:rPr>
        <w:t>节的规定，钢纤维掺量应根据试验确定，并提交监理人批准。</w:t>
      </w:r>
    </w:p>
    <w:p w14:paraId="791B89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）钢纤维喷射混凝土施工，除遵守上述规定外，还应符合下列要求：</w:t>
      </w:r>
    </w:p>
    <w:p w14:paraId="3072C0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）搅拌混合料时应采用钢纤维播料机往混合料中加钢纤维，</w:t>
      </w:r>
      <w:r>
        <w:rPr>
          <w:rFonts w:ascii="宋体" w:hAnsi="宋体" w:eastAsia="宋体" w:cs="宋体"/>
          <w:color w:val="auto"/>
          <w:spacing w:val="-20"/>
          <w:sz w:val="24"/>
          <w:szCs w:val="24"/>
          <w:lang w:eastAsia="zh-CN"/>
        </w:rPr>
        <w:t>搅拌时间不小于</w:t>
      </w:r>
      <w:r>
        <w:rPr>
          <w:rFonts w:ascii="Times New Roman" w:hAnsi="Times New Roman" w:eastAsia="Times New Roman" w:cs="Times New Roman"/>
          <w:color w:val="auto"/>
          <w:spacing w:val="-20"/>
          <w:sz w:val="24"/>
          <w:szCs w:val="24"/>
          <w:u w:val="single"/>
          <w:lang w:eastAsia="zh-CN"/>
        </w:rPr>
        <w:t>180</w:t>
      </w:r>
      <w:r>
        <w:rPr>
          <w:rFonts w:ascii="宋体" w:hAnsi="宋体" w:eastAsia="宋体" w:cs="宋体"/>
          <w:color w:val="auto"/>
          <w:spacing w:val="-20"/>
          <w:sz w:val="24"/>
          <w:szCs w:val="24"/>
          <w:u w:val="single"/>
          <w:lang w:eastAsia="zh-CN"/>
        </w:rPr>
        <w:t>秒</w:t>
      </w:r>
      <w:r>
        <w:rPr>
          <w:rFonts w:ascii="宋体" w:hAnsi="宋体" w:eastAsia="宋体" w:cs="宋体"/>
          <w:color w:val="auto"/>
          <w:sz w:val="24"/>
          <w:szCs w:val="24"/>
          <w:lang w:eastAsia="zh-CN"/>
        </w:rPr>
        <w:t>。</w:t>
      </w:r>
    </w:p>
    <w:p w14:paraId="3D51F1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）钢纤维在混合料中应分布均匀，不得成团。</w:t>
      </w:r>
    </w:p>
    <w:p w14:paraId="0BBA47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）在钢纤维喷射混凝土喷射结束后，应在其表面再喷一层厚度为</w:t>
      </w:r>
      <w:r>
        <w:rPr>
          <w:rFonts w:ascii="Times New Roman" w:hAnsi="Times New Roman" w:eastAsia="Times New Roman" w:cs="Times New Roman"/>
          <w:color w:val="auto"/>
          <w:sz w:val="24"/>
          <w:szCs w:val="24"/>
          <w:u w:val="single"/>
          <w:lang w:eastAsia="zh-CN"/>
        </w:rPr>
        <w:t>10mm</w:t>
      </w:r>
      <w:r>
        <w:rPr>
          <w:rFonts w:ascii="宋体" w:hAnsi="宋体" w:eastAsia="宋体" w:cs="宋体"/>
          <w:color w:val="auto"/>
          <w:sz w:val="24"/>
          <w:szCs w:val="24"/>
          <w:lang w:eastAsia="zh-CN"/>
        </w:rPr>
        <w:t>的水泥浆，其强度等级不应低于已喷射钢纤维混凝土的强度等级。</w:t>
      </w:r>
    </w:p>
    <w:p w14:paraId="046204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）钢筋网（或钢丝网）喷射混凝土施工应遵守《水利水电工程锚喷支护技术规范》（</w:t>
      </w:r>
      <w:r>
        <w:rPr>
          <w:rFonts w:hint="eastAsia" w:ascii="Times New Roman" w:hAnsi="Times New Roman" w:eastAsia="宋体" w:cs="Times New Roman"/>
          <w:color w:val="auto"/>
          <w:sz w:val="24"/>
          <w:szCs w:val="24"/>
          <w:lang w:eastAsia="zh-CN"/>
        </w:rPr>
        <w:t>SL 377-2007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7.1</w:t>
      </w:r>
      <w:r>
        <w:rPr>
          <w:rFonts w:ascii="宋体" w:hAnsi="宋体" w:eastAsia="宋体" w:cs="宋体"/>
          <w:color w:val="auto"/>
          <w:sz w:val="24"/>
          <w:szCs w:val="24"/>
          <w:lang w:eastAsia="zh-CN"/>
        </w:rPr>
        <w:t>节的规定。</w:t>
      </w:r>
    </w:p>
    <w:p w14:paraId="3F4FB7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）钢拱架、钢筋网喷射混凝土施工应遵守《水利水电工程锚喷支护技术规范》（</w:t>
      </w:r>
      <w:r>
        <w:rPr>
          <w:rFonts w:hint="eastAsia" w:ascii="Times New Roman" w:hAnsi="Times New Roman" w:eastAsia="宋体" w:cs="Times New Roman"/>
          <w:color w:val="auto"/>
          <w:sz w:val="24"/>
          <w:szCs w:val="24"/>
          <w:lang w:eastAsia="zh-CN"/>
        </w:rPr>
        <w:t>SL 377-2007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7.2</w:t>
      </w:r>
      <w:r>
        <w:rPr>
          <w:rFonts w:ascii="宋体" w:hAnsi="宋体" w:eastAsia="宋体" w:cs="宋体"/>
          <w:color w:val="auto"/>
          <w:sz w:val="24"/>
          <w:szCs w:val="24"/>
          <w:lang w:eastAsia="zh-CN"/>
        </w:rPr>
        <w:t>节的规定。</w:t>
      </w:r>
    </w:p>
    <w:p w14:paraId="703948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）特殊地质条件下的锚喷联合支护施工应遵守《水利水电工程锚喷支护技术规范》（</w:t>
      </w:r>
      <w:r>
        <w:rPr>
          <w:rFonts w:hint="eastAsia" w:ascii="Times New Roman" w:hAnsi="Times New Roman" w:eastAsia="宋体" w:cs="Times New Roman"/>
          <w:color w:val="auto"/>
          <w:sz w:val="24"/>
          <w:szCs w:val="24"/>
          <w:lang w:eastAsia="zh-CN"/>
        </w:rPr>
        <w:t>SL 377-2007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7.3</w:t>
      </w:r>
      <w:r>
        <w:rPr>
          <w:rFonts w:ascii="宋体" w:hAnsi="宋体" w:eastAsia="宋体" w:cs="宋体"/>
          <w:color w:val="auto"/>
          <w:sz w:val="24"/>
          <w:szCs w:val="24"/>
          <w:lang w:eastAsia="zh-CN"/>
        </w:rPr>
        <w:t>节的规定。</w:t>
      </w:r>
    </w:p>
    <w:p w14:paraId="60AD325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9.4.5 喷射混凝土的质量检查和验收</w:t>
      </w:r>
    </w:p>
    <w:p w14:paraId="6F70BE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）承包人应按本章有关规定，进行喷射混凝土材料、配合比，以及抗压强度的抽样检验，并将检验成果提交监理人。</w:t>
      </w:r>
    </w:p>
    <w:p w14:paraId="5336A9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）喷射混凝土施工质量检查应遵守</w:t>
      </w:r>
      <w:r>
        <w:rPr>
          <w:rFonts w:ascii="宋体" w:hAnsi="宋体" w:eastAsia="宋体" w:cs="宋体"/>
          <w:color w:val="auto"/>
          <w:spacing w:val="45"/>
          <w:sz w:val="24"/>
          <w:szCs w:val="24"/>
          <w:lang w:eastAsia="zh-CN"/>
        </w:rPr>
        <w:t>《水利水电工程锚喷支护技术规范》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377-2007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10.2</w:t>
      </w:r>
      <w:r>
        <w:rPr>
          <w:rFonts w:ascii="宋体" w:hAnsi="宋体" w:eastAsia="宋体" w:cs="宋体"/>
          <w:color w:val="auto"/>
          <w:sz w:val="24"/>
          <w:szCs w:val="24"/>
          <w:lang w:eastAsia="zh-CN"/>
        </w:rPr>
        <w:t>节的规定。</w:t>
      </w:r>
    </w:p>
    <w:p w14:paraId="7304D1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）各项喷射混凝土工程的施工作业完成后，应由监理人组织验收，承包人应为喷射混凝土工程的验收提供以下资料：</w:t>
      </w:r>
    </w:p>
    <w:p w14:paraId="1AE337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）材料出厂合格证、现场材料试验报告、代用材料试验报告。</w:t>
      </w:r>
    </w:p>
    <w:p w14:paraId="19DA37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）喷射混凝土施工记录，包括喷射混凝土配合比、速凝剂和外加剂掺量、水灰比，以及各工序施工作业时间表。</w:t>
      </w:r>
    </w:p>
    <w:p w14:paraId="639276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）喷射混凝土强度、厚度、黏结力、外观质量等检查报告和检验验收记录。</w:t>
      </w:r>
    </w:p>
    <w:p w14:paraId="04E6D7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）隐蔽工程检查验收记录。</w:t>
      </w:r>
    </w:p>
    <w:p w14:paraId="26D9997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54" w:name="_Toc30280"/>
      <w:bookmarkStart w:id="1255" w:name="_Toc7240"/>
      <w:bookmarkStart w:id="1256" w:name="_Toc17588"/>
      <w:r>
        <w:rPr>
          <w:rFonts w:hint="eastAsia" w:ascii="宋体" w:hAnsi="宋体" w:eastAsia="宋体" w:cs="宋体"/>
          <w:b/>
          <w:bCs/>
          <w:color w:val="auto"/>
          <w:sz w:val="24"/>
          <w:szCs w:val="24"/>
          <w:lang w:eastAsia="zh-CN"/>
        </w:rPr>
        <w:t>9.5 地下洞室支护</w:t>
      </w:r>
      <w:bookmarkEnd w:id="1254"/>
      <w:bookmarkEnd w:id="1255"/>
      <w:bookmarkEnd w:id="1256"/>
    </w:p>
    <w:p w14:paraId="04E21679">
      <w:pPr>
        <w:widowControl w:val="0"/>
        <w:kinsoku/>
        <w:topLinePunct/>
        <w:autoSpaceDE/>
        <w:autoSpaceDN/>
        <w:spacing w:line="520" w:lineRule="exact"/>
        <w:ind w:firstLine="480" w:firstLineChars="200"/>
        <w:rPr>
          <w:rFonts w:hint="eastAsia" w:ascii="仿宋" w:hAnsi="仿宋" w:eastAsia="仿宋"/>
          <w:color w:val="auto"/>
          <w:sz w:val="24"/>
          <w:lang w:eastAsia="zh-CN"/>
        </w:rPr>
      </w:pPr>
      <w:r>
        <w:rPr>
          <w:rFonts w:hint="eastAsia" w:ascii="仿宋" w:hAnsi="仿宋" w:eastAsia="仿宋"/>
          <w:color w:val="auto"/>
          <w:sz w:val="24"/>
          <w:lang w:eastAsia="zh-CN"/>
        </w:rPr>
        <w:t>略</w:t>
      </w:r>
    </w:p>
    <w:p w14:paraId="7084CD1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57" w:name="_Toc12674"/>
      <w:bookmarkStart w:id="1258" w:name="_Toc12904"/>
      <w:bookmarkStart w:id="1259" w:name="_Toc7256"/>
      <w:r>
        <w:rPr>
          <w:rFonts w:hint="eastAsia" w:ascii="宋体" w:hAnsi="宋体" w:eastAsia="宋体" w:cs="宋体"/>
          <w:b/>
          <w:bCs/>
          <w:color w:val="auto"/>
          <w:sz w:val="24"/>
          <w:szCs w:val="24"/>
          <w:lang w:eastAsia="zh-CN"/>
        </w:rPr>
        <w:t>9.6 岩石边坡支护工程</w:t>
      </w:r>
      <w:bookmarkEnd w:id="1257"/>
      <w:bookmarkEnd w:id="1258"/>
      <w:bookmarkEnd w:id="1259"/>
    </w:p>
    <w:p w14:paraId="31BBC5FD">
      <w:pPr>
        <w:widowControl w:val="0"/>
        <w:kinsoku/>
        <w:topLinePunct/>
        <w:autoSpaceDE/>
        <w:autoSpaceDN/>
        <w:spacing w:line="520" w:lineRule="exact"/>
        <w:ind w:firstLine="480" w:firstLineChars="200"/>
        <w:rPr>
          <w:rFonts w:hint="eastAsia" w:ascii="仿宋" w:hAnsi="仿宋" w:eastAsia="仿宋"/>
          <w:color w:val="auto"/>
          <w:sz w:val="24"/>
          <w:lang w:eastAsia="zh-CN"/>
        </w:rPr>
      </w:pPr>
      <w:r>
        <w:rPr>
          <w:rFonts w:hint="eastAsia" w:ascii="仿宋" w:hAnsi="仿宋" w:eastAsia="仿宋"/>
          <w:color w:val="auto"/>
          <w:sz w:val="24"/>
          <w:lang w:eastAsia="zh-CN"/>
        </w:rPr>
        <w:t>略</w:t>
      </w:r>
    </w:p>
    <w:p w14:paraId="0BA7596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60" w:name="_Toc1524"/>
      <w:bookmarkStart w:id="1261" w:name="_Toc15679"/>
      <w:bookmarkStart w:id="1262" w:name="_Toc27886"/>
      <w:r>
        <w:rPr>
          <w:rFonts w:hint="eastAsia" w:ascii="宋体" w:hAnsi="宋体" w:eastAsia="宋体" w:cs="宋体"/>
          <w:b/>
          <w:bCs/>
          <w:color w:val="auto"/>
          <w:sz w:val="24"/>
          <w:szCs w:val="24"/>
          <w:lang w:eastAsia="zh-CN"/>
        </w:rPr>
        <w:t>9.7 计量和支付</w:t>
      </w:r>
      <w:bookmarkEnd w:id="1260"/>
      <w:bookmarkEnd w:id="1261"/>
      <w:bookmarkEnd w:id="1262"/>
    </w:p>
    <w:p w14:paraId="2E1D53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（1）喷射混凝土</w:t>
      </w:r>
      <w:r>
        <w:rPr>
          <w:rFonts w:ascii="宋体" w:hAnsi="宋体" w:eastAsia="宋体" w:cs="宋体"/>
          <w:color w:val="auto"/>
          <w:sz w:val="24"/>
          <w:szCs w:val="24"/>
          <w:lang w:eastAsia="zh-CN"/>
        </w:rPr>
        <w:t>按施工图纸所示</w:t>
      </w:r>
      <w:r>
        <w:rPr>
          <w:rFonts w:hint="eastAsia" w:ascii="宋体" w:hAnsi="宋体" w:eastAsia="宋体" w:cs="宋体"/>
          <w:color w:val="auto"/>
          <w:sz w:val="24"/>
          <w:szCs w:val="24"/>
          <w:lang w:eastAsia="zh-CN"/>
        </w:rPr>
        <w:t>尺寸</w:t>
      </w:r>
      <w:r>
        <w:rPr>
          <w:rFonts w:ascii="宋体" w:hAnsi="宋体" w:eastAsia="宋体" w:cs="宋体"/>
          <w:color w:val="auto"/>
          <w:sz w:val="24"/>
          <w:szCs w:val="24"/>
          <w:lang w:eastAsia="zh-CN"/>
        </w:rPr>
        <w:t>计算喷射混凝土有效实体方体积以立方米为单位计量，由发包人按《工程量清单》相应项目有效工程量的每立方米工程单价支付。</w:t>
      </w:r>
    </w:p>
    <w:p w14:paraId="36157C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2</w:t>
      </w:r>
      <w:r>
        <w:rPr>
          <w:rFonts w:ascii="宋体" w:hAnsi="宋体" w:eastAsia="宋体" w:cs="宋体"/>
          <w:color w:val="auto"/>
          <w:sz w:val="24"/>
          <w:szCs w:val="24"/>
          <w:lang w:eastAsia="zh-CN"/>
        </w:rPr>
        <w:t>）钢筋网（钢丝网）</w:t>
      </w:r>
    </w:p>
    <w:p w14:paraId="71634FEB">
      <w:pPr>
        <w:widowControl w:val="0"/>
        <w:kinsoku/>
        <w:topLinePunct/>
        <w:autoSpaceDE/>
        <w:autoSpaceDN/>
        <w:spacing w:line="520" w:lineRule="exact"/>
        <w:ind w:firstLine="480" w:firstLineChars="200"/>
        <w:jc w:val="both"/>
        <w:rPr>
          <w:color w:val="auto"/>
          <w:lang w:eastAsia="zh-CN"/>
        </w:rPr>
      </w:pPr>
      <w:r>
        <w:rPr>
          <w:rFonts w:ascii="宋体" w:hAnsi="宋体" w:eastAsia="宋体" w:cs="宋体"/>
          <w:color w:val="auto"/>
          <w:sz w:val="24"/>
          <w:szCs w:val="24"/>
          <w:lang w:eastAsia="zh-CN"/>
        </w:rPr>
        <w:t>按施工图纸所示尺寸计算的钢筋（或钢丝）有效重量以吨为单位计量，由发包人按《工程量清单》相应项目有效工程量的每吨工程单价支付。加工、安装过程中的损耗量和附加工程量所需的费用，包含在钢筋网（钢丝网）有效工程量的每吨工程单价中，发包人不另行支付。</w:t>
      </w:r>
    </w:p>
    <w:p w14:paraId="09FDE854">
      <w:pPr>
        <w:widowControl w:val="0"/>
        <w:kinsoku/>
        <w:topLinePunct/>
        <w:autoSpaceDE/>
        <w:autoSpaceDN/>
        <w:spacing w:line="520" w:lineRule="exact"/>
        <w:ind w:right="2" w:firstLine="487"/>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3</w:t>
      </w:r>
      <w:r>
        <w:rPr>
          <w:rFonts w:ascii="宋体" w:hAnsi="宋体" w:eastAsia="宋体" w:cs="宋体"/>
          <w:color w:val="auto"/>
          <w:sz w:val="24"/>
          <w:szCs w:val="24"/>
          <w:lang w:eastAsia="zh-CN"/>
        </w:rPr>
        <w:t>）钢支撑（含连接钢板、架立钢板）及其纵向连接钢筋按施工图纸所示尺寸</w:t>
      </w:r>
      <w:r>
        <w:rPr>
          <w:rFonts w:ascii="宋体" w:hAnsi="宋体" w:eastAsia="宋体" w:cs="宋体"/>
          <w:color w:val="auto"/>
          <w:spacing w:val="-3"/>
          <w:sz w:val="24"/>
          <w:szCs w:val="24"/>
          <w:lang w:eastAsia="zh-CN"/>
        </w:rPr>
        <w:t>计算的有效重量以吨为单位计量，由发包人按《工程量清单》相应项目有效工程量的每吨工程单价支付。加工、安装过程中的损耗量和附加工程量所需的费用及因安装钢</w:t>
      </w:r>
      <w:r>
        <w:rPr>
          <w:rFonts w:ascii="宋体" w:hAnsi="宋体" w:eastAsia="宋体" w:cs="宋体"/>
          <w:color w:val="auto"/>
          <w:spacing w:val="-6"/>
          <w:sz w:val="24"/>
          <w:szCs w:val="24"/>
          <w:lang w:eastAsia="zh-CN"/>
        </w:rPr>
        <w:t>支撑所需的附属工作（如螺栓、垫脚砼块等</w:t>
      </w:r>
      <w:r>
        <w:rPr>
          <w:rFonts w:ascii="宋体" w:hAnsi="宋体" w:eastAsia="宋体" w:cs="宋体"/>
          <w:color w:val="auto"/>
          <w:spacing w:val="-4"/>
          <w:sz w:val="24"/>
          <w:szCs w:val="24"/>
          <w:lang w:eastAsia="zh-CN"/>
        </w:rPr>
        <w:t>），</w:t>
      </w:r>
      <w:r>
        <w:rPr>
          <w:rFonts w:ascii="宋体" w:hAnsi="宋体" w:eastAsia="宋体" w:cs="宋体"/>
          <w:color w:val="auto"/>
          <w:spacing w:val="-6"/>
          <w:sz w:val="24"/>
          <w:szCs w:val="24"/>
          <w:lang w:eastAsia="zh-CN"/>
        </w:rPr>
        <w:t>均包含在钢支撑有效工程量的每吨工</w:t>
      </w:r>
      <w:r>
        <w:rPr>
          <w:rFonts w:ascii="宋体" w:hAnsi="宋体" w:eastAsia="宋体" w:cs="宋体"/>
          <w:color w:val="auto"/>
          <w:spacing w:val="-3"/>
          <w:sz w:val="24"/>
          <w:szCs w:val="24"/>
          <w:lang w:eastAsia="zh-CN"/>
        </w:rPr>
        <w:t>程单价中，发包人不另行支付。</w:t>
      </w:r>
    </w:p>
    <w:p w14:paraId="6CC69F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p>
    <w:p w14:paraId="1ACFB872">
      <w:pPr>
        <w:widowControl w:val="0"/>
        <w:kinsoku/>
        <w:topLinePunct/>
        <w:autoSpaceDE/>
        <w:autoSpaceDN/>
        <w:spacing w:line="520" w:lineRule="exact"/>
        <w:ind w:firstLine="560" w:firstLineChars="200"/>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2DE3AC48">
      <w:pPr>
        <w:widowControl w:val="0"/>
        <w:kinsoku/>
        <w:topLinePunct/>
        <w:autoSpaceDE/>
        <w:autoSpaceDN/>
        <w:spacing w:line="520" w:lineRule="exact"/>
        <w:jc w:val="center"/>
        <w:outlineLvl w:val="1"/>
        <w:rPr>
          <w:rFonts w:hint="eastAsia" w:ascii="宋体" w:hAnsi="宋体" w:eastAsia="宋体" w:cs="宋体"/>
          <w:b/>
          <w:bCs/>
          <w:color w:val="auto"/>
          <w:sz w:val="28"/>
          <w:szCs w:val="28"/>
          <w:lang w:eastAsia="zh-CN"/>
        </w:rPr>
      </w:pPr>
      <w:bookmarkStart w:id="1263" w:name="_Toc6409"/>
      <w:bookmarkStart w:id="1264" w:name="_Toc30971"/>
      <w:bookmarkStart w:id="1265" w:name="_Toc13445"/>
      <w:r>
        <w:rPr>
          <w:rFonts w:hint="eastAsia" w:ascii="宋体" w:hAnsi="宋体" w:eastAsia="宋体" w:cs="宋体"/>
          <w:b/>
          <w:bCs/>
          <w:color w:val="auto"/>
          <w:sz w:val="28"/>
          <w:szCs w:val="28"/>
          <w:lang w:eastAsia="zh-CN"/>
        </w:rPr>
        <w:t>10 钻孔和灌浆工程</w:t>
      </w:r>
      <w:bookmarkEnd w:id="1263"/>
      <w:bookmarkEnd w:id="1264"/>
      <w:bookmarkEnd w:id="1265"/>
    </w:p>
    <w:p w14:paraId="125508D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66" w:name="_Toc19456"/>
      <w:bookmarkStart w:id="1267" w:name="_Toc19090"/>
      <w:bookmarkStart w:id="1268" w:name="_Toc18174"/>
      <w:r>
        <w:rPr>
          <w:rFonts w:hint="eastAsia" w:ascii="宋体" w:hAnsi="宋体" w:eastAsia="宋体" w:cs="宋体"/>
          <w:b/>
          <w:bCs/>
          <w:color w:val="auto"/>
          <w:sz w:val="24"/>
          <w:szCs w:val="24"/>
          <w:lang w:eastAsia="zh-CN"/>
        </w:rPr>
        <w:t>10.1 一般规定</w:t>
      </w:r>
      <w:bookmarkEnd w:id="1266"/>
      <w:bookmarkEnd w:id="1267"/>
      <w:bookmarkEnd w:id="1268"/>
    </w:p>
    <w:p w14:paraId="6341134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10.1.1 应用范围</w:t>
      </w:r>
    </w:p>
    <w:p w14:paraId="528D1E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本章规定适用于本合同施工图纸所示各工程建筑物施工的钻孔和灌浆，其内容包括：</w:t>
      </w:r>
    </w:p>
    <w:p w14:paraId="0AE644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）钻孔：包括勘探孔、灌浆孔、检查孔和排水孔的钻孔，以及为钻孔和灌浆工程所需进行的钻取岩芯和试验、钻孔冲洗、压水试验、灌浆前孔口加塞保护等钻孔作业。</w:t>
      </w:r>
    </w:p>
    <w:p w14:paraId="3EEF11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灌浆：包括水泥灌浆、化学灌浆和劈裂灌浆。水泥灌浆包括帷幕灌浆、固结灌浆、回填灌浆、接缝灌浆和接触灌浆；化学灌浆包括水工建筑物结构的防渗、堵漏和补强灌浆；土坝劈裂灌浆为消除土坝坝体隐患、提高坝体防渗能力和稳定性的黏土灌浆。</w:t>
      </w:r>
    </w:p>
    <w:p w14:paraId="748D15F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10.1.2 承包人的责任</w:t>
      </w:r>
    </w:p>
    <w:p w14:paraId="639168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）承包人应按施工图纸和监理人的指示，以及本技术条款的规定，完成本工程的全部钻孔和灌浆作业，包括进行灌浆试验，择优选定灌浆施工参数，并提供灌浆所需的人工、材料、设备及其辅助设施。</w:t>
      </w:r>
    </w:p>
    <w:p w14:paraId="5C5FC5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）承包人应在施工前详细了解工程的地形地质和水文地质情况。在不良地质段进行钻孔和灌浆时，应采取有效的安全保护措施。</w:t>
      </w:r>
    </w:p>
    <w:p w14:paraId="6118AC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）在埋有观测仪器的建筑物进行钻孔灌浆作业时，承包人应按监理人指示保护好建筑物体内的预埋设施。</w:t>
      </w:r>
    </w:p>
    <w:p w14:paraId="0A958D4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10.1.3 主要提交件</w:t>
      </w:r>
    </w:p>
    <w:p w14:paraId="265A08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）灌浆作业措施计划</w:t>
      </w:r>
    </w:p>
    <w:p w14:paraId="670609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在灌浆作业开始前</w:t>
      </w:r>
      <w:r>
        <w:rPr>
          <w:rFonts w:ascii="Times New Roman" w:hAnsi="Times New Roman" w:eastAsia="Times New Roman" w:cs="Times New Roman"/>
          <w:color w:val="auto"/>
          <w:sz w:val="24"/>
          <w:szCs w:val="24"/>
          <w:lang w:eastAsia="zh-CN"/>
        </w:rPr>
        <w:t>28</w:t>
      </w:r>
      <w:r>
        <w:rPr>
          <w:rFonts w:ascii="宋体" w:hAnsi="宋体" w:eastAsia="宋体" w:cs="宋体"/>
          <w:color w:val="auto"/>
          <w:sz w:val="24"/>
          <w:szCs w:val="24"/>
          <w:lang w:eastAsia="zh-CN"/>
        </w:rPr>
        <w:t>天，承包人应根据施工图纸及本技术条款的规定，编制钻孔和灌浆作业措施计划，提交监理人批准，其内容包括：</w:t>
      </w:r>
    </w:p>
    <w:p w14:paraId="6D9AA6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）钻孔和灌浆工程的施工布置图。</w:t>
      </w:r>
    </w:p>
    <w:p w14:paraId="60F4CA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）钻孔和灌浆的材料和设备。</w:t>
      </w:r>
    </w:p>
    <w:p w14:paraId="2A051D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）钻孔和灌浆的程序和工艺。</w:t>
      </w:r>
    </w:p>
    <w:p w14:paraId="214389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）质量保证措施。</w:t>
      </w:r>
    </w:p>
    <w:p w14:paraId="370250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）灌浆试验大纲。</w:t>
      </w:r>
    </w:p>
    <w:p w14:paraId="6EE1C3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）施工人员配备。</w:t>
      </w:r>
    </w:p>
    <w:p w14:paraId="662348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）施工安全措施等。</w:t>
      </w:r>
    </w:p>
    <w:p w14:paraId="72A8F8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）施工记录和质量报表</w:t>
      </w:r>
    </w:p>
    <w:p w14:paraId="574D9D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承包人应提交钻孔和灌浆工程的各项施工记录和质量报表，其内容应包括：</w:t>
      </w:r>
    </w:p>
    <w:p w14:paraId="578DA5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）灌浆工程原材料试验和质量检验成果。</w:t>
      </w:r>
    </w:p>
    <w:p w14:paraId="700D54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）钻孔灌浆压水施工记录。</w:t>
      </w:r>
    </w:p>
    <w:p w14:paraId="4A5E2E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）钻孔岩芯取样试验成果。</w:t>
      </w:r>
    </w:p>
    <w:p w14:paraId="1A37F0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）质量检查和质量事故处理记录。</w:t>
      </w:r>
    </w:p>
    <w:p w14:paraId="6F08DB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）监理人要求提供的其他资料。</w:t>
      </w:r>
    </w:p>
    <w:p w14:paraId="41C6BD0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10.1.4 引用标准</w:t>
      </w:r>
    </w:p>
    <w:p w14:paraId="004FC0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）《通用硅酸盐水泥》（</w:t>
      </w:r>
      <w:r>
        <w:rPr>
          <w:rFonts w:hint="eastAsia" w:ascii="Times New Roman" w:hAnsi="Times New Roman" w:eastAsia="宋体" w:cs="Times New Roman"/>
          <w:color w:val="auto"/>
          <w:sz w:val="24"/>
          <w:szCs w:val="24"/>
          <w:lang w:eastAsia="zh-CN"/>
        </w:rPr>
        <w:t>GB 175-2023</w:t>
      </w:r>
      <w:r>
        <w:rPr>
          <w:rFonts w:ascii="宋体" w:hAnsi="宋体" w:eastAsia="宋体" w:cs="宋体"/>
          <w:color w:val="auto"/>
          <w:sz w:val="24"/>
          <w:szCs w:val="24"/>
          <w:lang w:eastAsia="zh-CN"/>
        </w:rPr>
        <w:t>）。</w:t>
      </w:r>
    </w:p>
    <w:p w14:paraId="0E9865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）《水工混凝土试验规程》（</w:t>
      </w:r>
      <w:r>
        <w:rPr>
          <w:rFonts w:hint="eastAsia" w:ascii="Times New Roman" w:hAnsi="Times New Roman" w:eastAsia="宋体" w:cs="Times New Roman"/>
          <w:color w:val="auto"/>
          <w:sz w:val="24"/>
          <w:szCs w:val="24"/>
          <w:lang w:eastAsia="zh-CN"/>
        </w:rPr>
        <w:t>SL/T 352-2020</w:t>
      </w:r>
      <w:r>
        <w:rPr>
          <w:rFonts w:ascii="宋体" w:hAnsi="宋体" w:eastAsia="宋体" w:cs="宋体"/>
          <w:color w:val="auto"/>
          <w:sz w:val="24"/>
          <w:szCs w:val="24"/>
          <w:lang w:eastAsia="zh-CN"/>
        </w:rPr>
        <w:t>）。</w:t>
      </w:r>
    </w:p>
    <w:p w14:paraId="0780CD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）《水利水电工程勘探规程第</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部分：物探》（</w:t>
      </w:r>
      <w:r>
        <w:rPr>
          <w:rFonts w:hint="eastAsia" w:ascii="Times New Roman" w:hAnsi="Times New Roman" w:eastAsia="宋体" w:cs="Times New Roman"/>
          <w:color w:val="auto"/>
          <w:sz w:val="24"/>
          <w:szCs w:val="24"/>
          <w:lang w:eastAsia="zh-CN"/>
        </w:rPr>
        <w:t>SL/T 291.1-2021</w:t>
      </w:r>
      <w:r>
        <w:rPr>
          <w:rFonts w:ascii="宋体" w:hAnsi="宋体" w:eastAsia="宋体" w:cs="宋体"/>
          <w:color w:val="auto"/>
          <w:sz w:val="24"/>
          <w:szCs w:val="24"/>
          <w:lang w:eastAsia="zh-CN"/>
        </w:rPr>
        <w:t>）。</w:t>
      </w:r>
    </w:p>
    <w:p w14:paraId="735C60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）《水利水电工程钻孔压水试验规程》（</w:t>
      </w:r>
      <w:r>
        <w:rPr>
          <w:rFonts w:hint="eastAsia" w:ascii="Times New Roman" w:hAnsi="Times New Roman" w:eastAsia="宋体" w:cs="Times New Roman"/>
          <w:color w:val="auto"/>
          <w:sz w:val="24"/>
          <w:szCs w:val="24"/>
          <w:lang w:eastAsia="zh-CN"/>
        </w:rPr>
        <w:t>SL 31-2003</w:t>
      </w:r>
      <w:r>
        <w:rPr>
          <w:rFonts w:ascii="宋体" w:hAnsi="宋体" w:eastAsia="宋体" w:cs="宋体"/>
          <w:color w:val="auto"/>
          <w:sz w:val="24"/>
          <w:szCs w:val="24"/>
          <w:lang w:eastAsia="zh-CN"/>
        </w:rPr>
        <w:t>）。</w:t>
      </w:r>
    </w:p>
    <w:p w14:paraId="39F0B1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）《水利水电工程岩石试验规程》（</w:t>
      </w:r>
      <w:r>
        <w:rPr>
          <w:rFonts w:hint="eastAsia" w:ascii="Times New Roman" w:hAnsi="Times New Roman" w:eastAsia="宋体" w:cs="Times New Roman"/>
          <w:color w:val="auto"/>
          <w:sz w:val="24"/>
          <w:szCs w:val="24"/>
          <w:lang w:eastAsia="zh-CN"/>
        </w:rPr>
        <w:t>SL/T 264-2020</w:t>
      </w:r>
      <w:r>
        <w:rPr>
          <w:rFonts w:ascii="宋体" w:hAnsi="宋体" w:eastAsia="宋体" w:cs="宋体"/>
          <w:color w:val="auto"/>
          <w:sz w:val="24"/>
          <w:szCs w:val="24"/>
          <w:lang w:eastAsia="zh-CN"/>
        </w:rPr>
        <w:t>）。</w:t>
      </w:r>
    </w:p>
    <w:p w14:paraId="61D4B6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）《水工建筑物水泥灌浆施工技术规范》（</w:t>
      </w:r>
      <w:r>
        <w:rPr>
          <w:rFonts w:hint="eastAsia" w:ascii="Times New Roman" w:hAnsi="Times New Roman" w:eastAsia="宋体" w:cs="Times New Roman"/>
          <w:color w:val="auto"/>
          <w:sz w:val="24"/>
          <w:szCs w:val="24"/>
          <w:lang w:eastAsia="zh-CN"/>
        </w:rPr>
        <w:t>SL/T 62-2020</w:t>
      </w:r>
      <w:r>
        <w:rPr>
          <w:rFonts w:ascii="宋体" w:hAnsi="宋体" w:eastAsia="宋体" w:cs="宋体"/>
          <w:color w:val="auto"/>
          <w:sz w:val="24"/>
          <w:szCs w:val="24"/>
          <w:lang w:eastAsia="zh-CN"/>
        </w:rPr>
        <w:t>）。</w:t>
      </w:r>
    </w:p>
    <w:p w14:paraId="3865C8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）《混凝土用水标准》（</w:t>
      </w:r>
      <w:r>
        <w:rPr>
          <w:rFonts w:hint="eastAsia" w:ascii="Times New Roman" w:hAnsi="Times New Roman" w:eastAsia="宋体" w:cs="Times New Roman"/>
          <w:color w:val="auto"/>
          <w:sz w:val="24"/>
          <w:szCs w:val="24"/>
          <w:lang w:eastAsia="zh-CN"/>
        </w:rPr>
        <w:t>JGJ 63-2006</w:t>
      </w:r>
      <w:r>
        <w:rPr>
          <w:rFonts w:ascii="宋体" w:hAnsi="宋体" w:eastAsia="宋体" w:cs="宋体"/>
          <w:color w:val="auto"/>
          <w:sz w:val="24"/>
          <w:szCs w:val="24"/>
          <w:lang w:eastAsia="zh-CN"/>
        </w:rPr>
        <w:t>）。</w:t>
      </w:r>
    </w:p>
    <w:p w14:paraId="33C912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）《土坝灌浆技术规范》（</w:t>
      </w:r>
      <w:r>
        <w:rPr>
          <w:rFonts w:hint="eastAsia" w:ascii="Times New Roman" w:hAnsi="Times New Roman" w:eastAsia="宋体" w:cs="Times New Roman"/>
          <w:color w:val="auto"/>
          <w:sz w:val="24"/>
          <w:szCs w:val="24"/>
          <w:lang w:eastAsia="zh-CN"/>
        </w:rPr>
        <w:t>SL 564-2014</w:t>
      </w:r>
      <w:r>
        <w:rPr>
          <w:rFonts w:ascii="宋体" w:hAnsi="宋体" w:eastAsia="宋体" w:cs="宋体"/>
          <w:color w:val="auto"/>
          <w:sz w:val="24"/>
          <w:szCs w:val="24"/>
          <w:lang w:eastAsia="zh-CN"/>
        </w:rPr>
        <w:t>）。</w:t>
      </w:r>
    </w:p>
    <w:p w14:paraId="43DEDB6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69" w:name="_Toc5914"/>
      <w:bookmarkStart w:id="1270" w:name="_Toc9756"/>
      <w:bookmarkStart w:id="1271" w:name="_Toc10146"/>
      <w:r>
        <w:rPr>
          <w:rFonts w:hint="eastAsia" w:ascii="宋体" w:hAnsi="宋体" w:eastAsia="宋体" w:cs="宋体"/>
          <w:b/>
          <w:bCs/>
          <w:color w:val="auto"/>
          <w:sz w:val="24"/>
          <w:szCs w:val="24"/>
          <w:lang w:eastAsia="zh-CN"/>
        </w:rPr>
        <w:t>10.2 灌浆材料</w:t>
      </w:r>
      <w:bookmarkEnd w:id="1269"/>
      <w:bookmarkEnd w:id="1270"/>
      <w:bookmarkEnd w:id="1271"/>
    </w:p>
    <w:p w14:paraId="5792F23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10.2.1 一般要求</w:t>
      </w:r>
    </w:p>
    <w:p w14:paraId="3B637A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除合同另有约定外，承包人应负责采购（统供材料除外）、运输、储存、保管钻孔和灌浆所需的全部材料。每批到达现场的水泥、外加剂、掺合料和化学灌浆材料等，均应符合本技术条款规定的材料质量标准，并附有生产厂家的质量证明书。</w:t>
      </w:r>
    </w:p>
    <w:p w14:paraId="726636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）每批材料入库前均应由承包人会同监理人进行验收，并将验收清单提交监理人。</w:t>
      </w:r>
    </w:p>
    <w:p w14:paraId="5640366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10.2.2 水泥</w:t>
      </w:r>
    </w:p>
    <w:p w14:paraId="7873AB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承包人应根据施工图纸或监理人指示，选用灌浆水泥品种。用于各项灌浆工程</w:t>
      </w:r>
      <w:r>
        <w:rPr>
          <w:rFonts w:ascii="宋体" w:hAnsi="宋体" w:eastAsia="宋体" w:cs="宋体"/>
          <w:color w:val="auto"/>
          <w:sz w:val="24"/>
          <w:szCs w:val="24"/>
          <w:lang w:eastAsia="zh-CN"/>
        </w:rPr>
        <w:t>的水泥遵守《水工建筑物水泥灌浆施工技术规范》（</w:t>
      </w:r>
      <w:r>
        <w:rPr>
          <w:rFonts w:hint="eastAsia" w:ascii="宋体" w:hAnsi="宋体" w:eastAsia="宋体" w:cs="宋体"/>
          <w:color w:val="auto"/>
          <w:sz w:val="24"/>
          <w:szCs w:val="24"/>
          <w:lang w:eastAsia="zh-CN"/>
        </w:rPr>
        <w:t>SL/T 62-2020</w:t>
      </w:r>
      <w:r>
        <w:rPr>
          <w:rFonts w:ascii="宋体" w:hAnsi="宋体" w:eastAsia="宋体" w:cs="宋体"/>
          <w:color w:val="auto"/>
          <w:sz w:val="24"/>
          <w:szCs w:val="24"/>
          <w:lang w:eastAsia="zh-CN"/>
        </w:rPr>
        <w:t>）的相关规定。</w:t>
      </w:r>
    </w:p>
    <w:p w14:paraId="0897071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10.2.3 水</w:t>
      </w:r>
    </w:p>
    <w:p w14:paraId="24F740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灌浆用水应遵守《混凝土用水标准》（</w:t>
      </w:r>
      <w:r>
        <w:rPr>
          <w:rFonts w:hint="eastAsia" w:ascii="Times New Roman" w:hAnsi="Times New Roman" w:eastAsia="宋体" w:cs="Times New Roman"/>
          <w:color w:val="auto"/>
          <w:sz w:val="24"/>
          <w:szCs w:val="24"/>
          <w:lang w:eastAsia="zh-CN"/>
        </w:rPr>
        <w:t>JGJ 63-2006</w:t>
      </w:r>
      <w:r>
        <w:rPr>
          <w:rFonts w:ascii="宋体" w:hAnsi="宋体" w:eastAsia="宋体" w:cs="宋体"/>
          <w:color w:val="auto"/>
          <w:sz w:val="24"/>
          <w:szCs w:val="24"/>
          <w:lang w:eastAsia="zh-CN"/>
        </w:rPr>
        <w:t>）的规定，拌浆水的温度不得高于</w:t>
      </w:r>
      <w:r>
        <w:rPr>
          <w:rFonts w:ascii="Times New Roman" w:hAnsi="Times New Roman" w:eastAsia="Times New Roman" w:cs="Times New Roman"/>
          <w:color w:val="auto"/>
          <w:sz w:val="24"/>
          <w:szCs w:val="24"/>
          <w:u w:val="single"/>
          <w:lang w:eastAsia="zh-CN"/>
        </w:rPr>
        <w:t>40</w:t>
      </w:r>
      <w:r>
        <w:rPr>
          <w:rFonts w:ascii="宋体" w:hAnsi="宋体" w:eastAsia="宋体" w:cs="宋体"/>
          <w:color w:val="auto"/>
          <w:sz w:val="24"/>
          <w:szCs w:val="24"/>
          <w:u w:val="single"/>
          <w:lang w:eastAsia="zh-CN"/>
        </w:rPr>
        <w:t>℃</w:t>
      </w:r>
      <w:r>
        <w:rPr>
          <w:rFonts w:ascii="宋体" w:hAnsi="宋体" w:eastAsia="宋体" w:cs="宋体"/>
          <w:color w:val="auto"/>
          <w:sz w:val="24"/>
          <w:szCs w:val="24"/>
          <w:lang w:eastAsia="zh-CN"/>
        </w:rPr>
        <w:t>,接缝及接触灌浆拌浆水的温度不得高于</w:t>
      </w:r>
      <w:r>
        <w:rPr>
          <w:rFonts w:ascii="Times New Roman" w:hAnsi="Times New Roman" w:eastAsia="Times New Roman" w:cs="Times New Roman"/>
          <w:color w:val="auto"/>
          <w:sz w:val="24"/>
          <w:szCs w:val="24"/>
          <w:u w:val="single"/>
          <w:lang w:eastAsia="zh-CN"/>
        </w:rPr>
        <w:t>20</w:t>
      </w:r>
      <w:r>
        <w:rPr>
          <w:rFonts w:ascii="宋体" w:hAnsi="宋体" w:eastAsia="宋体" w:cs="宋体"/>
          <w:color w:val="auto"/>
          <w:sz w:val="24"/>
          <w:szCs w:val="24"/>
          <w:u w:val="single"/>
          <w:lang w:eastAsia="zh-CN"/>
        </w:rPr>
        <w:t>℃</w:t>
      </w:r>
      <w:r>
        <w:rPr>
          <w:rFonts w:ascii="宋体" w:hAnsi="宋体" w:eastAsia="宋体" w:cs="宋体"/>
          <w:color w:val="auto"/>
          <w:sz w:val="24"/>
          <w:szCs w:val="24"/>
          <w:lang w:eastAsia="zh-CN"/>
        </w:rPr>
        <w:t>。</w:t>
      </w:r>
    </w:p>
    <w:p w14:paraId="3C6FEF0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10.2.4 掺合料</w:t>
      </w:r>
    </w:p>
    <w:p w14:paraId="2D3231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经监理人批准，承包人可在水泥浆液中掺入砂、黏性土、粉煤灰和水玻璃等掺合料。各种掺合料的质量应遵守《水工建筑物水泥灌浆施工技术规范》</w:t>
      </w:r>
      <w:r>
        <w:rPr>
          <w:rFonts w:ascii="宋体" w:hAnsi="宋体" w:eastAsia="宋体" w:cs="宋体"/>
          <w:color w:val="auto"/>
          <w:spacing w:val="-20"/>
          <w:sz w:val="24"/>
          <w:szCs w:val="24"/>
          <w:lang w:eastAsia="zh-CN"/>
        </w:rPr>
        <w:t>（</w:t>
      </w:r>
      <w:r>
        <w:rPr>
          <w:rFonts w:hint="eastAsia" w:ascii="Times New Roman" w:hAnsi="Times New Roman" w:eastAsia="宋体" w:cs="Times New Roman"/>
          <w:color w:val="auto"/>
          <w:spacing w:val="-20"/>
          <w:sz w:val="24"/>
          <w:szCs w:val="24"/>
          <w:lang w:eastAsia="zh-CN"/>
        </w:rPr>
        <w:t>SL/T 62-2020</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的有关规定，其掺入量应通过试验确定，试验成果应提交监理人。</w:t>
      </w:r>
    </w:p>
    <w:p w14:paraId="7993279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10.2.5 外加剂</w:t>
      </w:r>
    </w:p>
    <w:p w14:paraId="1D6372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经监理人批准，承包人可在水泥浆液中掺入速凝剂、减水剂、稳定剂以及监理人指示或批准的其他外加剂。各种外加剂的质量应遵守《水工建筑物水泥灌浆施工技术规范》（</w:t>
      </w:r>
      <w:r>
        <w:rPr>
          <w:rFonts w:hint="eastAsia" w:ascii="Times New Roman" w:hAnsi="Times New Roman" w:eastAsia="宋体" w:cs="Times New Roman"/>
          <w:color w:val="auto"/>
          <w:sz w:val="24"/>
          <w:szCs w:val="24"/>
          <w:lang w:eastAsia="zh-CN"/>
        </w:rPr>
        <w:t>SL/T 62-2020</w:t>
      </w:r>
      <w:r>
        <w:rPr>
          <w:rFonts w:ascii="宋体" w:hAnsi="宋体" w:eastAsia="宋体" w:cs="宋体"/>
          <w:color w:val="auto"/>
          <w:sz w:val="24"/>
          <w:szCs w:val="24"/>
          <w:lang w:eastAsia="zh-CN"/>
        </w:rPr>
        <w:t>）的有关规定，其最优掺加量应通过室内试验和现场灌浆试验确定，试验成果应提交监理人。所有能溶于水的外加剂均应以水溶液状态加入。</w:t>
      </w:r>
    </w:p>
    <w:p w14:paraId="0B1D0E9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10.2.6 化学灌浆材料</w:t>
      </w:r>
    </w:p>
    <w:p w14:paraId="74C655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承包人应根据施工图纸或监理人指示选用符合本章第</w:t>
      </w:r>
      <w:r>
        <w:rPr>
          <w:rFonts w:ascii="Times New Roman" w:hAnsi="Times New Roman" w:eastAsia="Times New Roman" w:cs="Times New Roman"/>
          <w:color w:val="auto"/>
          <w:sz w:val="24"/>
          <w:szCs w:val="24"/>
          <w:lang w:eastAsia="zh-CN"/>
        </w:rPr>
        <w:t>10.11</w:t>
      </w:r>
      <w:r>
        <w:rPr>
          <w:rFonts w:ascii="宋体" w:hAnsi="宋体" w:eastAsia="宋体" w:cs="宋体"/>
          <w:color w:val="auto"/>
          <w:sz w:val="24"/>
          <w:szCs w:val="24"/>
          <w:lang w:eastAsia="zh-CN"/>
        </w:rPr>
        <w:t>款规定的化学灌浆材料。</w:t>
      </w:r>
    </w:p>
    <w:p w14:paraId="77C09B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）帷幕灌浆中的化学灌浆可采用丙烯酸盐类、环氧树脂类等化学材料，材料的选用应通过室内试验和结合现场实际情况确定。</w:t>
      </w:r>
    </w:p>
    <w:p w14:paraId="330B89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）固结灌浆中的化学灌浆可采用改性环氧树脂类化学材料，其性能见设计要求。</w:t>
      </w:r>
    </w:p>
    <w:p w14:paraId="5CB6C2E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10.2.7 土坝劈裂灌浆材料</w:t>
      </w:r>
    </w:p>
    <w:p w14:paraId="6A5F08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土坝劈裂灌浆材料使用的土料应符合本章第</w:t>
      </w:r>
      <w:r>
        <w:rPr>
          <w:rFonts w:ascii="Times New Roman" w:hAnsi="Times New Roman" w:eastAsia="Times New Roman" w:cs="Times New Roman"/>
          <w:color w:val="auto"/>
          <w:sz w:val="24"/>
          <w:szCs w:val="24"/>
          <w:lang w:eastAsia="zh-CN"/>
        </w:rPr>
        <w:t>10.12.2</w:t>
      </w:r>
      <w:r>
        <w:rPr>
          <w:rFonts w:ascii="宋体" w:hAnsi="宋体" w:eastAsia="宋体" w:cs="宋体"/>
          <w:color w:val="auto"/>
          <w:sz w:val="24"/>
          <w:szCs w:val="24"/>
          <w:lang w:eastAsia="zh-CN"/>
        </w:rPr>
        <w:t>项的规定。</w:t>
      </w:r>
    </w:p>
    <w:p w14:paraId="5ADBE37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72" w:name="_Toc20478"/>
      <w:bookmarkStart w:id="1273" w:name="_Toc19965"/>
      <w:bookmarkStart w:id="1274" w:name="_Toc31422"/>
      <w:r>
        <w:rPr>
          <w:rFonts w:hint="eastAsia" w:ascii="宋体" w:hAnsi="宋体" w:eastAsia="宋体" w:cs="宋体"/>
          <w:b/>
          <w:bCs/>
          <w:color w:val="auto"/>
          <w:sz w:val="24"/>
          <w:szCs w:val="24"/>
          <w:lang w:eastAsia="zh-CN"/>
        </w:rPr>
        <w:t>10.3 设备</w:t>
      </w:r>
      <w:bookmarkEnd w:id="1272"/>
      <w:bookmarkEnd w:id="1273"/>
      <w:bookmarkEnd w:id="1274"/>
    </w:p>
    <w:p w14:paraId="40B2C6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钻孔和灌浆设备和机具的选用应遵守</w:t>
      </w:r>
      <w:r>
        <w:rPr>
          <w:rFonts w:ascii="宋体" w:hAnsi="宋体" w:eastAsia="宋体" w:cs="宋体"/>
          <w:color w:val="auto"/>
          <w:spacing w:val="34"/>
          <w:sz w:val="24"/>
          <w:szCs w:val="24"/>
          <w:lang w:eastAsia="zh-CN"/>
        </w:rPr>
        <w:t>《水工建筑物水泥灌浆施工技术规范》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SL/T 62-2020</w:t>
      </w:r>
      <w:r>
        <w:rPr>
          <w:rFonts w:ascii="宋体" w:hAnsi="宋体" w:eastAsia="宋体" w:cs="宋体"/>
          <w:color w:val="auto"/>
          <w:sz w:val="24"/>
          <w:szCs w:val="24"/>
          <w:lang w:eastAsia="zh-CN"/>
        </w:rPr>
        <w:t>）的有关规定。</w:t>
      </w:r>
    </w:p>
    <w:p w14:paraId="256FDD9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75" w:name="_Toc25259"/>
      <w:bookmarkStart w:id="1276" w:name="_Toc10946"/>
      <w:bookmarkStart w:id="1277" w:name="_Toc17935"/>
      <w:r>
        <w:rPr>
          <w:rFonts w:hint="eastAsia" w:ascii="宋体" w:hAnsi="宋体" w:eastAsia="宋体" w:cs="宋体"/>
          <w:b/>
          <w:bCs/>
          <w:color w:val="auto"/>
          <w:sz w:val="24"/>
          <w:szCs w:val="24"/>
          <w:lang w:eastAsia="zh-CN"/>
        </w:rPr>
        <w:t>10.4 钻孔</w:t>
      </w:r>
      <w:bookmarkEnd w:id="1275"/>
      <w:bookmarkEnd w:id="1276"/>
      <w:bookmarkEnd w:id="1277"/>
    </w:p>
    <w:p w14:paraId="4F947F2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10.4.1 坝基灌浆的钻孔</w:t>
      </w:r>
    </w:p>
    <w:p w14:paraId="0EDE2B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）坝基帷幕灌浆孔和固结灌浆孔的钻孔应遵守《水工建筑物水泥灌浆施工技术规范》（</w:t>
      </w:r>
      <w:r>
        <w:rPr>
          <w:rFonts w:hint="eastAsia" w:ascii="Times New Roman" w:hAnsi="Times New Roman" w:eastAsia="宋体" w:cs="Times New Roman"/>
          <w:color w:val="auto"/>
          <w:sz w:val="24"/>
          <w:szCs w:val="24"/>
          <w:lang w:eastAsia="zh-CN"/>
        </w:rPr>
        <w:t>SL/T 62-2020</w:t>
      </w:r>
      <w:r>
        <w:rPr>
          <w:rFonts w:ascii="宋体" w:hAnsi="宋体" w:eastAsia="宋体" w:cs="宋体"/>
          <w:color w:val="auto"/>
          <w:sz w:val="24"/>
          <w:szCs w:val="24"/>
          <w:lang w:eastAsia="zh-CN"/>
        </w:rPr>
        <w:t>）的有关规定。</w:t>
      </w:r>
    </w:p>
    <w:p w14:paraId="7C3E23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）坝基排水孔的钻孔应按施工图纸和监理人指示的要求进行。排水孔钻孔完毕后，应仔细冲洗干净，加以保护，以防堵塞，若排水孔遭堵塞报废，应按监理人指示重钻。</w:t>
      </w:r>
    </w:p>
    <w:p w14:paraId="76EB748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10.4.2 钻孔取芯和芯样试验</w:t>
      </w:r>
    </w:p>
    <w:p w14:paraId="41E2EA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）承包人应按监理人指示进行勘探孔、灌浆先导孔、观测孔、检查孔等的钻孔取芯，并按取芯次序统一编号、填牌装箱、绘制钻孔柱状图和进行岩芯描述。</w:t>
      </w:r>
    </w:p>
    <w:p w14:paraId="394995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）钻孔取芯试验应由具有相应资质试验单位完成，所有试验设备应具有产品合格证。</w:t>
      </w:r>
    </w:p>
    <w:p w14:paraId="56F3410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10.4.3 钻孔保护</w:t>
      </w:r>
    </w:p>
    <w:p w14:paraId="4D13D2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承包人应妥善保护施工图纸所示的所有钻孔，防止流进污水和落入异物，直到验收合格为止。因承包人过失造成扫孔或重钻的费用由承包人承担。</w:t>
      </w:r>
    </w:p>
    <w:p w14:paraId="0C7DD5E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78" w:name="_Toc17754"/>
      <w:bookmarkStart w:id="1279" w:name="_Toc28968"/>
      <w:bookmarkStart w:id="1280" w:name="_Toc3784"/>
      <w:r>
        <w:rPr>
          <w:rFonts w:hint="eastAsia" w:ascii="宋体" w:hAnsi="宋体" w:eastAsia="宋体" w:cs="宋体"/>
          <w:b/>
          <w:bCs/>
          <w:color w:val="auto"/>
          <w:sz w:val="24"/>
          <w:szCs w:val="24"/>
          <w:lang w:eastAsia="zh-CN"/>
        </w:rPr>
        <w:t>10.5 钻孔冲洗和压水试验</w:t>
      </w:r>
      <w:bookmarkEnd w:id="1278"/>
      <w:bookmarkEnd w:id="1279"/>
      <w:bookmarkEnd w:id="1280"/>
    </w:p>
    <w:p w14:paraId="5284D5D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10.5.1 一般要求</w:t>
      </w:r>
    </w:p>
    <w:p w14:paraId="4D0D67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）承包人应在坝基岩石灌浆前，对所有灌浆孔（段）进行裂隙冲洗和压水试验。</w:t>
      </w:r>
    </w:p>
    <w:p w14:paraId="164039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）在岩溶、断层、大裂隙等地质条件较复杂的区域，其裂隙冲洗方法应通过现场试验确定，现场试验记录应提交监理人。</w:t>
      </w:r>
    </w:p>
    <w:p w14:paraId="38F8545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10.5.2 钻孔冲洗</w:t>
      </w:r>
    </w:p>
    <w:p w14:paraId="29C82F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钻孔冲洗应遵守《水工建筑物水泥灌浆施工技术规范》（</w:t>
      </w:r>
      <w:r>
        <w:rPr>
          <w:rFonts w:hint="eastAsia" w:ascii="Times New Roman" w:hAnsi="Times New Roman" w:eastAsia="宋体" w:cs="Times New Roman"/>
          <w:color w:val="auto"/>
          <w:sz w:val="24"/>
          <w:szCs w:val="24"/>
          <w:lang w:eastAsia="zh-CN"/>
        </w:rPr>
        <w:t>SL/T 62-2020</w:t>
      </w:r>
      <w:r>
        <w:rPr>
          <w:rFonts w:ascii="宋体" w:hAnsi="宋体" w:eastAsia="宋体" w:cs="宋体"/>
          <w:color w:val="auto"/>
          <w:sz w:val="24"/>
          <w:szCs w:val="24"/>
          <w:lang w:eastAsia="zh-CN"/>
        </w:rPr>
        <w:t>）的有关规定。</w:t>
      </w:r>
    </w:p>
    <w:p w14:paraId="7FD4F28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10.5.3 压水试验</w:t>
      </w:r>
    </w:p>
    <w:p w14:paraId="276A5C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帷幕灌浆和固结灌浆的压水试验应遵守《水工建筑物水泥灌浆施工技术规范》（</w:t>
      </w:r>
      <w:r>
        <w:rPr>
          <w:rFonts w:hint="eastAsia" w:ascii="Times New Roman" w:hAnsi="Times New Roman" w:eastAsia="宋体" w:cs="Times New Roman"/>
          <w:color w:val="auto"/>
          <w:sz w:val="24"/>
          <w:szCs w:val="24"/>
          <w:lang w:eastAsia="zh-CN"/>
        </w:rPr>
        <w:t>SL/T 62-2020</w:t>
      </w:r>
      <w:r>
        <w:rPr>
          <w:rFonts w:ascii="宋体" w:hAnsi="宋体" w:eastAsia="宋体" w:cs="宋体"/>
          <w:color w:val="auto"/>
          <w:sz w:val="24"/>
          <w:szCs w:val="24"/>
          <w:lang w:eastAsia="zh-CN"/>
        </w:rPr>
        <w:t>）的有关规定。</w:t>
      </w:r>
    </w:p>
    <w:p w14:paraId="367C99A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81" w:name="_Toc18805"/>
      <w:bookmarkStart w:id="1282" w:name="_Toc16795"/>
      <w:bookmarkStart w:id="1283" w:name="_Toc20129"/>
      <w:r>
        <w:rPr>
          <w:rFonts w:hint="eastAsia" w:ascii="宋体" w:hAnsi="宋体" w:eastAsia="宋体" w:cs="宋体"/>
          <w:b/>
          <w:bCs/>
          <w:color w:val="auto"/>
          <w:sz w:val="24"/>
          <w:szCs w:val="24"/>
          <w:lang w:eastAsia="zh-CN"/>
        </w:rPr>
        <w:t>10.6 灌浆试验</w:t>
      </w:r>
      <w:bookmarkEnd w:id="1281"/>
      <w:bookmarkEnd w:id="1282"/>
      <w:bookmarkEnd w:id="1283"/>
    </w:p>
    <w:p w14:paraId="651EE75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10.6.1 提交灌浆试验大纲</w:t>
      </w:r>
    </w:p>
    <w:p w14:paraId="6D9EE3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承包人应在灌浆作业开工前，编制灌浆试验大纲，提交监理人批准。灌浆试验结束后，承包人应将试验记录和试验分析成果提交监理人。</w:t>
      </w:r>
    </w:p>
    <w:p w14:paraId="03801F5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10.6.2 室内浆液试验</w:t>
      </w:r>
    </w:p>
    <w:p w14:paraId="653FC6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现场灌浆试验前，承包人应按监理人指示，进行浆液试验选择浆液水灰比以及掺合料、外加剂等的品种及其掺量，并将试验成果提交监理人。浆液试验的内容包括：</w:t>
      </w:r>
    </w:p>
    <w:p w14:paraId="5AAEA0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）浆液配制程序及拌制时间。</w:t>
      </w:r>
    </w:p>
    <w:p w14:paraId="785D6C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）浆液密度测定。</w:t>
      </w:r>
    </w:p>
    <w:p w14:paraId="33253C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）浆液流变参数。</w:t>
      </w:r>
    </w:p>
    <w:p w14:paraId="369F8B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）浆液的沉淀稳定性。</w:t>
      </w:r>
    </w:p>
    <w:p w14:paraId="21C884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）浆液凝结时间，包括初凝或终凝时间。</w:t>
      </w:r>
    </w:p>
    <w:p w14:paraId="2497B3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）浆液结石的密度、强度、弹性模量和渗透性。</w:t>
      </w:r>
    </w:p>
    <w:p w14:paraId="6AC656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）监理人指示的其它试验内容。</w:t>
      </w:r>
    </w:p>
    <w:p w14:paraId="55F1824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10.6.3 现场灌浆试验</w:t>
      </w:r>
    </w:p>
    <w:p w14:paraId="2D1FE1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）承包人应按监理人指示，根据工程建筑物布置，选择地质条件中等或偏差地段进行灌浆试验，或与永久灌浆区相似的地段作为灌浆试验区。</w:t>
      </w:r>
    </w:p>
    <w:p w14:paraId="3B29CA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）承包人应根据施工图纸要求和监理人指示选定试验孔的布置方式、孔深、灌浆分段、灌浆压力等试验参数。</w:t>
      </w:r>
    </w:p>
    <w:p w14:paraId="4D4D9F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）承包人应按批准的灌浆试验大纲进行灌浆试验，检查灌浆效果。承包人应将各序孔和检查孔的单位吸水率、单位耗灰量等试验资料和灌浆试验成果提交监理人。</w:t>
      </w:r>
    </w:p>
    <w:p w14:paraId="35E914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）承包人不得在帷幕灌浆线上进行灌浆试验。</w:t>
      </w:r>
    </w:p>
    <w:p w14:paraId="49B5E41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84" w:name="_Toc23058"/>
      <w:bookmarkStart w:id="1285" w:name="_Toc17643"/>
      <w:bookmarkStart w:id="1286" w:name="_Toc4055"/>
      <w:r>
        <w:rPr>
          <w:rFonts w:hint="eastAsia" w:ascii="宋体" w:hAnsi="宋体" w:eastAsia="宋体" w:cs="宋体"/>
          <w:b/>
          <w:bCs/>
          <w:color w:val="auto"/>
          <w:sz w:val="24"/>
          <w:szCs w:val="24"/>
          <w:lang w:eastAsia="zh-CN"/>
        </w:rPr>
        <w:t>10.7 制浆</w:t>
      </w:r>
      <w:bookmarkEnd w:id="1284"/>
      <w:bookmarkEnd w:id="1285"/>
      <w:bookmarkEnd w:id="1286"/>
    </w:p>
    <w:p w14:paraId="61FB55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）制浆材料和浆液制备应遵守</w:t>
      </w:r>
      <w:r>
        <w:rPr>
          <w:rFonts w:ascii="宋体" w:hAnsi="宋体" w:eastAsia="宋体" w:cs="宋体"/>
          <w:color w:val="auto"/>
          <w:spacing w:val="40"/>
          <w:sz w:val="24"/>
          <w:szCs w:val="24"/>
          <w:lang w:eastAsia="zh-CN"/>
        </w:rPr>
        <w:t>《水工建筑物水泥灌浆施工技术规范》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SL/T 62-2020</w:t>
      </w:r>
      <w:r>
        <w:rPr>
          <w:rFonts w:ascii="宋体" w:hAnsi="宋体" w:eastAsia="宋体" w:cs="宋体"/>
          <w:color w:val="auto"/>
          <w:sz w:val="24"/>
          <w:szCs w:val="24"/>
          <w:lang w:eastAsia="zh-CN"/>
        </w:rPr>
        <w:t>）的有关规定。</w:t>
      </w:r>
    </w:p>
    <w:p w14:paraId="0200EE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）帷幕和固结灌浆的制浆应遵守</w:t>
      </w:r>
      <w:r>
        <w:rPr>
          <w:rFonts w:ascii="宋体" w:hAnsi="宋体" w:eastAsia="宋体" w:cs="宋体"/>
          <w:color w:val="auto"/>
          <w:spacing w:val="40"/>
          <w:sz w:val="24"/>
          <w:szCs w:val="24"/>
          <w:lang w:eastAsia="zh-CN"/>
        </w:rPr>
        <w:t>《水工建筑物水泥灌浆施工技术规范》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SL/T 62-2020</w:t>
      </w:r>
      <w:r>
        <w:rPr>
          <w:rFonts w:ascii="宋体" w:hAnsi="宋体" w:eastAsia="宋体" w:cs="宋体"/>
          <w:color w:val="auto"/>
          <w:sz w:val="24"/>
          <w:szCs w:val="24"/>
          <w:lang w:eastAsia="zh-CN"/>
        </w:rPr>
        <w:t>）的有关规定。</w:t>
      </w:r>
    </w:p>
    <w:p w14:paraId="78BE345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87" w:name="_Toc7554"/>
      <w:bookmarkStart w:id="1288" w:name="_Toc32303"/>
      <w:bookmarkStart w:id="1289" w:name="_Toc11582"/>
      <w:r>
        <w:rPr>
          <w:rFonts w:hint="eastAsia" w:ascii="宋体" w:hAnsi="宋体" w:eastAsia="宋体" w:cs="宋体"/>
          <w:b/>
          <w:bCs/>
          <w:color w:val="auto"/>
          <w:sz w:val="24"/>
          <w:szCs w:val="24"/>
          <w:lang w:eastAsia="zh-CN"/>
        </w:rPr>
        <w:t>10.8 坝基帷幕灌浆及固结灌浆</w:t>
      </w:r>
      <w:bookmarkEnd w:id="1287"/>
      <w:bookmarkEnd w:id="1288"/>
      <w:bookmarkEnd w:id="1289"/>
    </w:p>
    <w:p w14:paraId="33EA3749">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略</w:t>
      </w:r>
    </w:p>
    <w:p w14:paraId="3B57C1EA">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90" w:name="_Toc4070"/>
      <w:bookmarkStart w:id="1291" w:name="_Toc18041"/>
      <w:bookmarkStart w:id="1292" w:name="_Toc9745"/>
      <w:r>
        <w:rPr>
          <w:rFonts w:hint="eastAsia" w:ascii="宋体" w:hAnsi="宋体" w:eastAsia="宋体" w:cs="宋体"/>
          <w:b/>
          <w:bCs/>
          <w:color w:val="auto"/>
          <w:sz w:val="24"/>
          <w:szCs w:val="24"/>
          <w:lang w:eastAsia="zh-CN"/>
        </w:rPr>
        <w:t>10.9 地下洞室灌浆</w:t>
      </w:r>
      <w:bookmarkEnd w:id="1290"/>
      <w:bookmarkEnd w:id="1291"/>
      <w:bookmarkEnd w:id="1292"/>
    </w:p>
    <w:p w14:paraId="30B6F20B">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略</w:t>
      </w:r>
    </w:p>
    <w:p w14:paraId="7570672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93" w:name="_Toc6220"/>
      <w:bookmarkStart w:id="1294" w:name="_Toc18274"/>
      <w:bookmarkStart w:id="1295" w:name="_Toc20950"/>
      <w:r>
        <w:rPr>
          <w:rFonts w:hint="eastAsia" w:ascii="宋体" w:hAnsi="宋体" w:eastAsia="宋体" w:cs="宋体"/>
          <w:b/>
          <w:bCs/>
          <w:color w:val="auto"/>
          <w:sz w:val="24"/>
          <w:szCs w:val="24"/>
          <w:lang w:eastAsia="zh-CN"/>
        </w:rPr>
        <w:t>10.10 混凝土坝接缝灌浆</w:t>
      </w:r>
      <w:bookmarkEnd w:id="1293"/>
      <w:bookmarkEnd w:id="1294"/>
      <w:bookmarkEnd w:id="1295"/>
    </w:p>
    <w:p w14:paraId="74318D11">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略</w:t>
      </w:r>
    </w:p>
    <w:p w14:paraId="2BFDBFF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96" w:name="_Toc19952"/>
      <w:bookmarkStart w:id="1297" w:name="_Toc864"/>
      <w:bookmarkStart w:id="1298" w:name="_Toc4859"/>
      <w:r>
        <w:rPr>
          <w:rFonts w:hint="eastAsia" w:ascii="宋体" w:hAnsi="宋体" w:eastAsia="宋体" w:cs="宋体"/>
          <w:b/>
          <w:bCs/>
          <w:color w:val="auto"/>
          <w:sz w:val="24"/>
          <w:szCs w:val="24"/>
          <w:lang w:eastAsia="zh-CN"/>
        </w:rPr>
        <w:t>10.11 化学灌浆</w:t>
      </w:r>
      <w:bookmarkEnd w:id="1296"/>
      <w:bookmarkEnd w:id="1297"/>
      <w:bookmarkEnd w:id="1298"/>
    </w:p>
    <w:p w14:paraId="40BAF54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10.11.1 一般要求</w:t>
      </w:r>
    </w:p>
    <w:p w14:paraId="5F613A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）本节规定适用于本工程施工图纸所示以下工程部位的化学灌浆：</w:t>
      </w:r>
    </w:p>
    <w:p w14:paraId="3018B9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）灌浆地层的裂隙与孔隙较小，悬浊液型材料不能灌入的区域。</w:t>
      </w:r>
    </w:p>
    <w:p w14:paraId="3F9C37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）灌浆地层的防渗或加固要求较高，悬浊液型材料不能满足工程要求的部位。</w:t>
      </w:r>
    </w:p>
    <w:p w14:paraId="670AF1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）渗透水量较大，其他悬浊液型材料不能封堵的部位。</w:t>
      </w:r>
    </w:p>
    <w:p w14:paraId="29EF56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）混凝土建筑物内部缺陷修复，悬浊液型材料灌浆不能满足工程要求的部位。</w:t>
      </w:r>
    </w:p>
    <w:p w14:paraId="5DD66B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）承包人应按施工图纸所示和监理人指示，根据选定的化学灌浆材料进行现场化灌试验，选择化学灌浆工艺。试验报告应提交监理人批准。</w:t>
      </w:r>
    </w:p>
    <w:p w14:paraId="05D5C9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）承包人应负责提供化学灌浆的材料和设备，包括制浆所需的主剂、固化剂、催化剂、活性剂、缓凝剂和中和剂等。</w:t>
      </w:r>
    </w:p>
    <w:p w14:paraId="75AFB0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）承包人应按现场化学灌浆试验成果，编制化学灌浆的施工程序和方法，提交监理人批准。</w:t>
      </w:r>
    </w:p>
    <w:p w14:paraId="701716A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10.11.2 化学灌浆材料的选用</w:t>
      </w:r>
    </w:p>
    <w:p w14:paraId="40CCF7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）承包人应按施工图纸要求和监理人的指示，选用以下各项化学灌浆材料：</w:t>
      </w:r>
    </w:p>
    <w:p w14:paraId="1246C7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）防渗止水类：有水玻璃、水溶性聚氨酯、弹性聚氨酯和木质素浆等。</w:t>
      </w:r>
    </w:p>
    <w:p w14:paraId="406116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）加固补强类：环氧树脂、甲基丙烯酸甲脂、非水酯浆等。</w:t>
      </w:r>
    </w:p>
    <w:p w14:paraId="6798D2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）承包人采购的化学灌浆材料应附有生产厂家的质量证明书和产品使用说明书。所有化学灌浆材料应按生产厂家推荐的方法装运、储存和使用。</w:t>
      </w:r>
    </w:p>
    <w:p w14:paraId="6CC3410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10.11.3 化学灌浆设备</w:t>
      </w:r>
    </w:p>
    <w:p w14:paraId="19A213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）化学灌浆钻孔设备的钻孔孔径和孔深能满足化学灌浆的技术要求。为了减少孔内占浆，应采用小孔径钻具进行钻孔。</w:t>
      </w:r>
    </w:p>
    <w:p w14:paraId="79CAD9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）化学灌浆制浆应使用不受化学灌浆浆液侵蚀的专门制浆设备，并易于拆卸和检修。</w:t>
      </w:r>
    </w:p>
    <w:p w14:paraId="761322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）化学灌浆泵应满足耐腐蚀要求，灌浆泵性能应与浆液类型和浓度相适应。</w:t>
      </w:r>
    </w:p>
    <w:p w14:paraId="571617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）化学灌浆泵的允许工作压力应大于最大灌浆压力的</w:t>
      </w:r>
      <w:r>
        <w:rPr>
          <w:rFonts w:hint="eastAsia" w:ascii="Times New Roman" w:hAnsi="Times New Roman" w:eastAsia="宋体" w:cs="Times New Roman"/>
          <w:color w:val="auto"/>
          <w:sz w:val="24"/>
          <w:szCs w:val="24"/>
          <w:u w:val="single"/>
          <w:lang w:eastAsia="zh-CN"/>
        </w:rPr>
        <w:t xml:space="preserve"> </w:t>
      </w:r>
      <w:r>
        <w:rPr>
          <w:rFonts w:ascii="Times New Roman" w:hAnsi="Times New Roman" w:eastAsia="Times New Roman" w:cs="Times New Roman"/>
          <w:color w:val="auto"/>
          <w:sz w:val="24"/>
          <w:szCs w:val="24"/>
          <w:u w:val="single"/>
          <w:lang w:eastAsia="zh-CN"/>
        </w:rPr>
        <w:t>1.5</w:t>
      </w:r>
      <w:r>
        <w:rPr>
          <w:rFonts w:ascii="宋体" w:hAnsi="宋体" w:eastAsia="宋体" w:cs="宋体"/>
          <w:color w:val="auto"/>
          <w:sz w:val="24"/>
          <w:szCs w:val="24"/>
          <w:u w:val="single"/>
          <w:lang w:eastAsia="zh-CN"/>
        </w:rPr>
        <w:t>倍</w:t>
      </w:r>
      <w:r>
        <w:rPr>
          <w:rFonts w:hint="eastAsia"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，并应有足够的排浆量和稳定的工作性能；要求灌浆泵的压力平稳、控制灵活、操作简单、拆洗和检修方便。</w:t>
      </w:r>
    </w:p>
    <w:p w14:paraId="05857FB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10.11.4 化学灌浆试验</w:t>
      </w:r>
    </w:p>
    <w:p w14:paraId="6D811D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承包人应按施工图纸要求和监理人指示进行下列各项试验：</w:t>
      </w:r>
    </w:p>
    <w:p w14:paraId="0D5DE2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）配合比试验：按化学灌浆材料生产厂家推荐的配合比进行试验，测定各种配合比浆液的技术参数，选择满足施工图纸要求的化学灌浆浆液配合比，试验成果应提交监理人。</w:t>
      </w:r>
    </w:p>
    <w:p w14:paraId="65D86C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现场化学灌浆试验：根据工程布置和地质条件选择与实际灌浆区地质条件相似的地段进行现场化学灌浆试验，试验的各项参数应提交监理人审批。试验过程中应做好详细记录，试验完成后，应按监理人指示布设检查孔检查灌浆效果，并向监理人提交试验成果报告。其报告内容应包括化学灌浆试验参数、各序孔的单位透水率、单位注入量以及检查孔试验资料等。</w:t>
      </w:r>
    </w:p>
    <w:p w14:paraId="3ACD1D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）其他试验：进行化学灌浆材料的物理力学性能试验、毒理试验及废浆回收试验，以及化学灌浆材料生产厂家要求进行的其他特殊试验，试验成果应提交监理人。</w:t>
      </w:r>
    </w:p>
    <w:p w14:paraId="69F0D73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10.11.5 化学灌浆施工</w:t>
      </w:r>
    </w:p>
    <w:p w14:paraId="577D49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）承包人应编制化学灌浆施工的工艺措施和安全操作规程提交监理人批准。工艺措施和安全操作规程应确保劳动者的健康和安全。化学灌浆操作人员应经考核合格后才能上岗。</w:t>
      </w:r>
    </w:p>
    <w:p w14:paraId="7C7A6C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）灌浆压力和灌浆结束标准应按化灌材料的供货说明书的要求和监理人的指示，并通过现场化学灌浆试验选定。试验成果应提交监理人。</w:t>
      </w:r>
    </w:p>
    <w:p w14:paraId="7FABD2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10.11.6</w:t>
      </w:r>
      <w:r>
        <w:rPr>
          <w:rFonts w:hint="eastAsia" w:ascii="Times New Roman" w:hAnsi="Times New Roman" w:eastAsia="宋体" w:cs="Times New Roman"/>
          <w:color w:val="auto"/>
          <w:sz w:val="24"/>
          <w:szCs w:val="24"/>
          <w:lang w:eastAsia="zh-CN"/>
        </w:rPr>
        <w:t xml:space="preserve"> </w:t>
      </w:r>
      <w:r>
        <w:rPr>
          <w:rFonts w:ascii="宋体" w:hAnsi="宋体" w:eastAsia="宋体" w:cs="宋体"/>
          <w:color w:val="auto"/>
          <w:sz w:val="24"/>
          <w:szCs w:val="24"/>
          <w:lang w:eastAsia="zh-CN"/>
        </w:rPr>
        <w:t>化学灌浆质量检查</w:t>
      </w:r>
    </w:p>
    <w:p w14:paraId="7DBC37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化学灌浆结束后，承包人应会同监理人对建筑物及基础等的防渗和补强质量，采用压水试验、物样测试或其他方法进行化学灌浆质量检查，检查记录应提交监理人。</w:t>
      </w:r>
    </w:p>
    <w:p w14:paraId="389C330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299" w:name="_Toc11423"/>
      <w:bookmarkStart w:id="1300" w:name="_Toc27166"/>
      <w:bookmarkStart w:id="1301" w:name="_Toc15555"/>
      <w:r>
        <w:rPr>
          <w:rFonts w:hint="eastAsia" w:ascii="宋体" w:hAnsi="宋体" w:eastAsia="宋体" w:cs="宋体"/>
          <w:b/>
          <w:bCs/>
          <w:color w:val="auto"/>
          <w:sz w:val="24"/>
          <w:szCs w:val="24"/>
          <w:lang w:eastAsia="zh-CN"/>
        </w:rPr>
        <w:t>10.12 土坝劈裂灌浆</w:t>
      </w:r>
      <w:bookmarkEnd w:id="1299"/>
      <w:bookmarkEnd w:id="1300"/>
      <w:bookmarkEnd w:id="1301"/>
    </w:p>
    <w:p w14:paraId="5B5E4A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略</w:t>
      </w:r>
    </w:p>
    <w:p w14:paraId="4B4A575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02" w:name="_Toc8440"/>
      <w:bookmarkStart w:id="1303" w:name="_Toc25335"/>
      <w:bookmarkStart w:id="1304" w:name="_Toc12966"/>
      <w:r>
        <w:rPr>
          <w:rFonts w:hint="eastAsia" w:ascii="宋体" w:hAnsi="宋体" w:eastAsia="宋体" w:cs="宋体"/>
          <w:b/>
          <w:bCs/>
          <w:color w:val="auto"/>
          <w:sz w:val="24"/>
          <w:szCs w:val="24"/>
          <w:lang w:eastAsia="zh-CN"/>
        </w:rPr>
        <w:t>10.13 灌浆工程验收</w:t>
      </w:r>
      <w:bookmarkEnd w:id="1302"/>
      <w:bookmarkEnd w:id="1303"/>
      <w:bookmarkEnd w:id="1304"/>
    </w:p>
    <w:p w14:paraId="7E048C6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10.13.1 灌浆工程施灌过程的验收</w:t>
      </w:r>
    </w:p>
    <w:p w14:paraId="0F8C0E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监理人应在钻孔和灌浆过程中，按本技术条款规定的各类灌浆工程的质量检查项目和内容，进行灌浆工程的逐项验收。承包人应将质量检查和验收记录提交监理人。</w:t>
      </w:r>
    </w:p>
    <w:p w14:paraId="0B20F38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10.13.2 灌浆工程的完工验收</w:t>
      </w:r>
    </w:p>
    <w:p w14:paraId="0A2BD4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各类灌浆工程完工后，承包人应申请完工验收，并提交以下完工验收资料：</w:t>
      </w:r>
    </w:p>
    <w:p w14:paraId="4E930D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）灌浆工程的竣工图。</w:t>
      </w:r>
    </w:p>
    <w:p w14:paraId="7A8990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）钻孔和灌浆的各项试验成果。</w:t>
      </w:r>
    </w:p>
    <w:p w14:paraId="0A828E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）钻孔岩芯取样试验的岩芯柱状图和摄影资料。</w:t>
      </w:r>
    </w:p>
    <w:p w14:paraId="4DA0ED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）质量检查记录和质量事故处理报告。</w:t>
      </w:r>
    </w:p>
    <w:p w14:paraId="31B8F3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）监理人要求提供的其他完工验收资料。</w:t>
      </w:r>
    </w:p>
    <w:p w14:paraId="1F4F44A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05" w:name="_Toc31214"/>
      <w:bookmarkStart w:id="1306" w:name="_Toc16944"/>
      <w:bookmarkStart w:id="1307" w:name="_Toc10540"/>
      <w:r>
        <w:rPr>
          <w:rFonts w:hint="eastAsia" w:ascii="宋体" w:hAnsi="宋体" w:eastAsia="宋体" w:cs="宋体"/>
          <w:b/>
          <w:bCs/>
          <w:color w:val="auto"/>
          <w:sz w:val="24"/>
          <w:szCs w:val="24"/>
          <w:lang w:eastAsia="zh-CN"/>
        </w:rPr>
        <w:t>10.14 计量和支付</w:t>
      </w:r>
      <w:bookmarkEnd w:id="1305"/>
      <w:bookmarkEnd w:id="1306"/>
      <w:bookmarkEnd w:id="1307"/>
    </w:p>
    <w:p w14:paraId="3F09ABF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10.14.1 钻孔</w:t>
      </w:r>
    </w:p>
    <w:p w14:paraId="7116C8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钻孔按施工图纸所示尺寸计算有效钻孔长度以米为单位计量，由发包人按《工程量清单》相应项目有效工程量的每米工程单价支付。</w:t>
      </w:r>
    </w:p>
    <w:p w14:paraId="121398B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10.14.2 灌浆</w:t>
      </w:r>
    </w:p>
    <w:p w14:paraId="14D6C1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）帷幕灌浆、固结灌浆的灌浆按施工图纸所示尺寸计算有效灌浆长度以米为单位计量，由发包人按《工程量清单》相应项目有效工程量的每米工程单价支付。</w:t>
      </w:r>
    </w:p>
    <w:p w14:paraId="0DD3ED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）回填灌浆、接缝灌浆和接触灌浆按施工图纸所示灌浆区域计算的有效灌浆面积以平方米为单位计量，由发包人按《工程量清单》相应项目有效工程量的每平方米工程单价支付。</w:t>
      </w:r>
    </w:p>
    <w:p w14:paraId="163A8A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化学灌浆（包括丙烯酸盐类、丙烯酸胺类、聚氨酯类和改性环氧树脂类灌浆等）按施工图纸所示化学灌浆区域缝长（灌段）以米为单位计量，由发包人按《工程量清单》相应项目有效工程量的每米工程单价支付。</w:t>
      </w:r>
    </w:p>
    <w:p w14:paraId="5EEDB9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）劈裂灌浆、充填灌浆按施工图纸所示灌浆区域计算的有效灌浆长度以米为单位计量，由发包人按《工程量清单》相应项目有效工程量的每米工程单价支付。</w:t>
      </w:r>
    </w:p>
    <w:p w14:paraId="60F995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）灌浆管预埋、金属埋件（止水、止浆片等）等所需费用，包含在相应灌浆项目的工程单价中，发包人不另行支付。</w:t>
      </w:r>
    </w:p>
    <w:p w14:paraId="61F256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）检查孔的钻孔、灌浆、压水试验应按设计要求计算的有效长度以米或每试段为单位计量，由发包人按《工程量清单》相应项目有效工程量的每米或每试段工程单价支付。</w:t>
      </w:r>
    </w:p>
    <w:p w14:paraId="28F58944">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6E9FC6EC">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308" w:name="_Toc31291"/>
      <w:bookmarkStart w:id="1309" w:name="_Toc29030"/>
      <w:bookmarkStart w:id="1310" w:name="_Toc26490"/>
      <w:r>
        <w:rPr>
          <w:rFonts w:ascii="Times New Roman" w:hAnsi="Times New Roman" w:eastAsia="Times New Roman" w:cs="Times New Roman"/>
          <w:b/>
          <w:bCs/>
          <w:color w:val="auto"/>
          <w:sz w:val="28"/>
          <w:szCs w:val="28"/>
          <w:lang w:eastAsia="zh-CN"/>
        </w:rPr>
        <w:t>11</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基础防渗墙工程</w:t>
      </w:r>
      <w:bookmarkEnd w:id="1308"/>
      <w:bookmarkEnd w:id="1309"/>
      <w:bookmarkEnd w:id="1310"/>
    </w:p>
    <w:p w14:paraId="029F480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11" w:name="_Toc16015"/>
      <w:bookmarkStart w:id="1312" w:name="_Toc17404"/>
      <w:bookmarkStart w:id="1313" w:name="_Toc21477"/>
      <w:r>
        <w:rPr>
          <w:rFonts w:hint="eastAsia" w:ascii="宋体" w:hAnsi="宋体" w:eastAsia="宋体" w:cs="宋体"/>
          <w:b/>
          <w:bCs/>
          <w:color w:val="auto"/>
          <w:sz w:val="24"/>
          <w:szCs w:val="24"/>
          <w:lang w:eastAsia="zh-CN"/>
        </w:rPr>
        <w:t>11.1 一般规定</w:t>
      </w:r>
      <w:bookmarkEnd w:id="1311"/>
      <w:bookmarkEnd w:id="1312"/>
      <w:bookmarkEnd w:id="1313"/>
    </w:p>
    <w:p w14:paraId="339B8EA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11.1.1 应用范围</w:t>
      </w:r>
    </w:p>
    <w:p w14:paraId="71BCB9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施工图纸所示的永久和临时工程建筑物的松散透水地基的防渗处理工程。基础防渗墙的结构型式有混凝土防渗墙工程（如钢筋混凝土、塑性混凝土、固化灰浆等）和高压喷射灌浆防渗墙工程。</w:t>
      </w:r>
    </w:p>
    <w:p w14:paraId="70336DA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11.1.2 承包人的责任</w:t>
      </w:r>
    </w:p>
    <w:p w14:paraId="0001E6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）承包人应负责本合同基础防渗墙工程的地质复勘工作，以及进行防渗工程的施工布置，测定防渗墙中心线，划分槽孔或布置钻孔孔位，确定槽孔或高喷孔的施工顺序。</w:t>
      </w:r>
    </w:p>
    <w:p w14:paraId="6405BE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）承包人应负责混凝土防渗墙的材料供应、槽段造孔、浆液配制、泥浆置换、墙体浇筑、钢筋笼沉放以及高喷墙的钻孔、制浆、喷射灌浆及试验检验等全部施工作业。</w:t>
      </w:r>
    </w:p>
    <w:p w14:paraId="4B7ABB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）承包人应负责提供防渗墙施工作业所需的全部人工、材料、施工设备和辅助设施，包括施工图纸规定的专用控制设备（如钻孔测斜仪、槽孔测斜仪和观测仪器等）。</w:t>
      </w:r>
    </w:p>
    <w:p w14:paraId="3E7ED64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11.1.3 主要提交件</w:t>
      </w:r>
    </w:p>
    <w:p w14:paraId="22EF5A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）混凝土防渗墙施工措施计划</w:t>
      </w:r>
    </w:p>
    <w:p w14:paraId="536A12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防渗墙工程开工前</w:t>
      </w:r>
      <w:r>
        <w:rPr>
          <w:rFonts w:ascii="Times New Roman" w:hAnsi="Times New Roman" w:eastAsia="Times New Roman" w:cs="Times New Roman"/>
          <w:color w:val="auto"/>
          <w:sz w:val="24"/>
          <w:szCs w:val="24"/>
          <w:u w:val="single"/>
          <w:lang w:eastAsia="zh-CN"/>
        </w:rPr>
        <w:t>7</w:t>
      </w:r>
      <w:r>
        <w:rPr>
          <w:rFonts w:ascii="宋体" w:hAnsi="宋体" w:eastAsia="宋体" w:cs="宋体"/>
          <w:color w:val="auto"/>
          <w:sz w:val="24"/>
          <w:szCs w:val="24"/>
          <w:lang w:eastAsia="zh-CN"/>
        </w:rPr>
        <w:t>天，承包人应按施工图纸和本章第</w:t>
      </w:r>
      <w:r>
        <w:rPr>
          <w:rFonts w:ascii="Times New Roman" w:hAnsi="Times New Roman" w:eastAsia="Times New Roman" w:cs="Times New Roman"/>
          <w:color w:val="auto"/>
          <w:sz w:val="24"/>
          <w:szCs w:val="24"/>
          <w:lang w:eastAsia="zh-CN"/>
        </w:rPr>
        <w:t>11.2</w:t>
      </w:r>
      <w:r>
        <w:rPr>
          <w:rFonts w:ascii="宋体" w:hAnsi="宋体" w:eastAsia="宋体" w:cs="宋体"/>
          <w:color w:val="auto"/>
          <w:sz w:val="24"/>
          <w:szCs w:val="24"/>
          <w:lang w:eastAsia="zh-CN"/>
        </w:rPr>
        <w:t>节的规定，编制混凝土防渗墙施工措施计划，提交监理人批准。其内容包括：</w:t>
      </w:r>
    </w:p>
    <w:p w14:paraId="275490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）防渗墙槽段划分和合拢段布置。</w:t>
      </w:r>
    </w:p>
    <w:p w14:paraId="722E68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）挖槽（造孔）设备和辅助设施布置。</w:t>
      </w:r>
    </w:p>
    <w:p w14:paraId="797B19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）槽孔建造施工工艺。</w:t>
      </w:r>
    </w:p>
    <w:p w14:paraId="028449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）泥浆试验、泥浆置换和清孔方法。</w:t>
      </w:r>
    </w:p>
    <w:p w14:paraId="280C1A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）钢筋笼制作和沉放。</w:t>
      </w:r>
    </w:p>
    <w:p w14:paraId="735B4B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）防渗墙观测仪器布置及预埋方法。</w:t>
      </w:r>
    </w:p>
    <w:p w14:paraId="107CCF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）混凝土配合比试验及其性能。</w:t>
      </w:r>
    </w:p>
    <w:p w14:paraId="1F31BD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）墙体浇筑工艺和墙段连接措施。</w:t>
      </w:r>
    </w:p>
    <w:p w14:paraId="5247E9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）废浆及沉渣排放措施。</w:t>
      </w:r>
    </w:p>
    <w:p w14:paraId="2BCC18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）施工进度计划。</w:t>
      </w:r>
    </w:p>
    <w:p w14:paraId="4FE57D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）混凝土防渗墙质量检查记录和报表</w:t>
      </w:r>
    </w:p>
    <w:p w14:paraId="31FD97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施工过程中，承包人应向监理人提供以下各项施工记录和质量报表：</w:t>
      </w:r>
    </w:p>
    <w:p w14:paraId="68B489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）防渗墙轴线及槽段测量放样资料。</w:t>
      </w:r>
    </w:p>
    <w:p w14:paraId="711590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）墙体材料试验和配合比试验成果。</w:t>
      </w:r>
    </w:p>
    <w:p w14:paraId="63553A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）槽孔造孔、泥浆置换、清孔、钢筋笼制作及沉放、墙体浇筑等施工记录。</w:t>
      </w:r>
    </w:p>
    <w:p w14:paraId="57BB66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）质量检查记录和质量事故处理记录等。</w:t>
      </w:r>
    </w:p>
    <w:p w14:paraId="4B52C1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）高压喷射灌浆防渗墙施工措施计划</w:t>
      </w:r>
    </w:p>
    <w:p w14:paraId="40D12D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高压喷射灌浆防渗墙工程开工前</w:t>
      </w:r>
      <w:r>
        <w:rPr>
          <w:rFonts w:hint="eastAsia" w:ascii="宋体" w:hAnsi="宋体" w:eastAsia="宋体" w:cs="宋体"/>
          <w:color w:val="auto"/>
          <w:sz w:val="24"/>
          <w:szCs w:val="24"/>
          <w:u w:val="single"/>
          <w:lang w:eastAsia="zh-CN"/>
        </w:rPr>
        <w:t>56</w:t>
      </w:r>
      <w:r>
        <w:rPr>
          <w:rFonts w:ascii="宋体" w:hAnsi="宋体" w:eastAsia="宋体" w:cs="宋体"/>
          <w:color w:val="auto"/>
          <w:sz w:val="24"/>
          <w:szCs w:val="24"/>
          <w:lang w:eastAsia="zh-CN"/>
        </w:rPr>
        <w:t>天，承包人应按本章第</w:t>
      </w:r>
      <w:r>
        <w:rPr>
          <w:rFonts w:ascii="Times New Roman" w:hAnsi="Times New Roman" w:eastAsia="Times New Roman" w:cs="Times New Roman"/>
          <w:color w:val="auto"/>
          <w:sz w:val="24"/>
          <w:szCs w:val="24"/>
          <w:lang w:eastAsia="zh-CN"/>
        </w:rPr>
        <w:t>11.3</w:t>
      </w:r>
      <w:r>
        <w:rPr>
          <w:rFonts w:ascii="宋体" w:hAnsi="宋体" w:eastAsia="宋体" w:cs="宋体"/>
          <w:color w:val="auto"/>
          <w:sz w:val="24"/>
          <w:szCs w:val="24"/>
          <w:lang w:eastAsia="zh-CN"/>
        </w:rPr>
        <w:t>节的要求，编制高压喷射灌浆防渗墙施工措施计划，提交监理人批准。其内容包括：</w:t>
      </w:r>
    </w:p>
    <w:p w14:paraId="33C01F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）高喷灌浆钻孔布置图。</w:t>
      </w:r>
    </w:p>
    <w:p w14:paraId="6C9765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）钻喷设备和辅助设施布置。</w:t>
      </w:r>
    </w:p>
    <w:p w14:paraId="071DDB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）钻孔及喷射灌浆技术和方法。</w:t>
      </w:r>
    </w:p>
    <w:p w14:paraId="1F8375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）墙体喷射灌浆质量控制及检查方法。</w:t>
      </w:r>
    </w:p>
    <w:p w14:paraId="112EE8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）废浆回收和处理。</w:t>
      </w:r>
    </w:p>
    <w:p w14:paraId="4FA373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）施工进度计划。</w:t>
      </w:r>
    </w:p>
    <w:p w14:paraId="4C8566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）高压喷射灌浆防渗墙质量检查记录和报表</w:t>
      </w:r>
    </w:p>
    <w:p w14:paraId="34BA13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施工过程中，承包人应向监理人提供以下质量检查和检验的各项施工记录和质量报表：</w:t>
      </w:r>
    </w:p>
    <w:p w14:paraId="6184DE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）高喷防渗墙轴线、钻孔孔位测量放样成果。</w:t>
      </w:r>
    </w:p>
    <w:p w14:paraId="4156C6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）灌浆材料试验成果。</w:t>
      </w:r>
    </w:p>
    <w:p w14:paraId="390C1B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）现场高压喷射灌浆工艺试验报告。</w:t>
      </w:r>
    </w:p>
    <w:p w14:paraId="207BE5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）成孔、插管、喷射灌浆等施工记录。</w:t>
      </w:r>
    </w:p>
    <w:p w14:paraId="4C3213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）质量检查记录和质量事故处理记录等。</w:t>
      </w:r>
    </w:p>
    <w:p w14:paraId="381AE09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11.1.4 引用标准</w:t>
      </w:r>
    </w:p>
    <w:p w14:paraId="7A25D6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）《通用硅酸盐水泥》（</w:t>
      </w:r>
      <w:r>
        <w:rPr>
          <w:rFonts w:hint="eastAsia" w:ascii="Times New Roman" w:hAnsi="Times New Roman" w:eastAsia="宋体" w:cs="Times New Roman"/>
          <w:color w:val="auto"/>
          <w:sz w:val="24"/>
          <w:szCs w:val="24"/>
          <w:lang w:eastAsia="zh-CN"/>
        </w:rPr>
        <w:t>GB 175-2023</w:t>
      </w:r>
      <w:r>
        <w:rPr>
          <w:rFonts w:ascii="宋体" w:hAnsi="宋体" w:eastAsia="宋体" w:cs="宋体"/>
          <w:color w:val="auto"/>
          <w:sz w:val="24"/>
          <w:szCs w:val="24"/>
          <w:lang w:eastAsia="zh-CN"/>
        </w:rPr>
        <w:t>）。</w:t>
      </w:r>
    </w:p>
    <w:p w14:paraId="18A751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）《混凝土外加剂应用技术规范》（</w:t>
      </w:r>
      <w:r>
        <w:rPr>
          <w:rFonts w:hint="eastAsia" w:ascii="Times New Roman" w:hAnsi="Times New Roman" w:eastAsia="宋体" w:cs="Times New Roman"/>
          <w:color w:val="auto"/>
          <w:sz w:val="24"/>
          <w:szCs w:val="24"/>
          <w:lang w:eastAsia="zh-CN"/>
        </w:rPr>
        <w:t>GB 50119-2013</w:t>
      </w:r>
      <w:r>
        <w:rPr>
          <w:rFonts w:ascii="宋体" w:hAnsi="宋体" w:eastAsia="宋体" w:cs="宋体"/>
          <w:color w:val="auto"/>
          <w:sz w:val="24"/>
          <w:szCs w:val="24"/>
          <w:lang w:eastAsia="zh-CN"/>
        </w:rPr>
        <w:t>）。</w:t>
      </w:r>
    </w:p>
    <w:p w14:paraId="65E3F2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w:t>
      </w:r>
    </w:p>
    <w:p w14:paraId="74D001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）《水电水利工程高压喷射灌浆技术规范》（</w:t>
      </w:r>
      <w:r>
        <w:rPr>
          <w:rFonts w:hint="eastAsia" w:ascii="Times New Roman" w:hAnsi="Times New Roman" w:eastAsia="宋体" w:cs="Times New Roman"/>
          <w:color w:val="auto"/>
          <w:sz w:val="24"/>
          <w:szCs w:val="24"/>
          <w:lang w:eastAsia="zh-CN"/>
        </w:rPr>
        <w:t>DL/T 5200-2019</w:t>
      </w:r>
      <w:r>
        <w:rPr>
          <w:rFonts w:ascii="宋体" w:hAnsi="宋体" w:eastAsia="宋体" w:cs="宋体"/>
          <w:color w:val="auto"/>
          <w:sz w:val="24"/>
          <w:szCs w:val="24"/>
          <w:lang w:eastAsia="zh-CN"/>
        </w:rPr>
        <w:t>）。</w:t>
      </w:r>
    </w:p>
    <w:p w14:paraId="6AC8C8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）《水工混凝土钢筋施工规范》（</w:t>
      </w:r>
      <w:r>
        <w:rPr>
          <w:rFonts w:hint="eastAsia" w:ascii="Times New Roman" w:hAnsi="Times New Roman" w:eastAsia="宋体" w:cs="Times New Roman"/>
          <w:color w:val="auto"/>
          <w:sz w:val="24"/>
          <w:szCs w:val="24"/>
          <w:lang w:eastAsia="zh-CN"/>
        </w:rPr>
        <w:t>DL/T 5169-2013</w:t>
      </w:r>
      <w:r>
        <w:rPr>
          <w:rFonts w:ascii="宋体" w:hAnsi="宋体" w:eastAsia="宋体" w:cs="宋体"/>
          <w:color w:val="auto"/>
          <w:sz w:val="24"/>
          <w:szCs w:val="24"/>
          <w:lang w:eastAsia="zh-CN"/>
        </w:rPr>
        <w:t>）。</w:t>
      </w:r>
    </w:p>
    <w:p w14:paraId="33B24B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w:t>
      </w:r>
    </w:p>
    <w:p w14:paraId="5A1362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）《钻井液材料规范》（</w:t>
      </w:r>
      <w:r>
        <w:rPr>
          <w:rFonts w:hint="eastAsia" w:ascii="Times New Roman" w:hAnsi="Times New Roman" w:eastAsia="宋体" w:cs="Times New Roman"/>
          <w:color w:val="auto"/>
          <w:sz w:val="24"/>
          <w:szCs w:val="24"/>
          <w:lang w:eastAsia="zh-CN"/>
        </w:rPr>
        <w:t>GB/T 5005-2010</w:t>
      </w:r>
      <w:r>
        <w:rPr>
          <w:rFonts w:ascii="宋体" w:hAnsi="宋体" w:eastAsia="宋体" w:cs="宋体"/>
          <w:color w:val="auto"/>
          <w:sz w:val="24"/>
          <w:szCs w:val="24"/>
          <w:lang w:eastAsia="zh-CN"/>
        </w:rPr>
        <w:t>）。</w:t>
      </w:r>
    </w:p>
    <w:p w14:paraId="34C300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）《混凝土用水标准》（</w:t>
      </w:r>
      <w:r>
        <w:rPr>
          <w:rFonts w:hint="eastAsia" w:ascii="Times New Roman" w:hAnsi="Times New Roman" w:eastAsia="宋体" w:cs="Times New Roman"/>
          <w:color w:val="auto"/>
          <w:sz w:val="24"/>
          <w:szCs w:val="24"/>
          <w:lang w:eastAsia="zh-CN"/>
        </w:rPr>
        <w:t>JGJ 63-2006</w:t>
      </w:r>
      <w:r>
        <w:rPr>
          <w:rFonts w:ascii="宋体" w:hAnsi="宋体" w:eastAsia="宋体" w:cs="宋体"/>
          <w:color w:val="auto"/>
          <w:sz w:val="24"/>
          <w:szCs w:val="24"/>
          <w:lang w:eastAsia="zh-CN"/>
        </w:rPr>
        <w:t>）。</w:t>
      </w:r>
    </w:p>
    <w:p w14:paraId="37FA3C5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14" w:name="_Toc12758"/>
      <w:bookmarkStart w:id="1315" w:name="_Toc16994"/>
      <w:bookmarkStart w:id="1316" w:name="_Toc560"/>
      <w:r>
        <w:rPr>
          <w:rFonts w:hint="eastAsia" w:ascii="宋体" w:hAnsi="宋体" w:eastAsia="宋体" w:cs="宋体"/>
          <w:b/>
          <w:bCs/>
          <w:color w:val="auto"/>
          <w:sz w:val="24"/>
          <w:szCs w:val="24"/>
          <w:lang w:eastAsia="zh-CN"/>
        </w:rPr>
        <w:t>11.2 混凝土防渗墙</w:t>
      </w:r>
      <w:bookmarkEnd w:id="1314"/>
      <w:bookmarkEnd w:id="1315"/>
      <w:bookmarkEnd w:id="1316"/>
    </w:p>
    <w:p w14:paraId="15EA3BF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11.2.1 一般要求</w:t>
      </w:r>
    </w:p>
    <w:p w14:paraId="560A27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）混凝土防渗墙施工场地应平整坚实，建造槽孔前应修筑现浇混凝土导墙。</w:t>
      </w:r>
    </w:p>
    <w:p w14:paraId="5E9E08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对重要或有特殊要求的工程，承包人应根据监理人的指示，在工程地质条件相类似的地段或在防渗墙中心线部位进行生产性试验，以验证设定的造孔、固壁泥浆、墙体浇筑等施工工艺和参数的适应性，并将试验成果提交监理人。</w:t>
      </w:r>
    </w:p>
    <w:p w14:paraId="6FB425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）承包人应做好槽孔施工废浆排放，防止污染环境，并应设置地表水排放系统，防止地表水渗入槽孔内影响泥浆性能和破坏孔壁稳定。</w:t>
      </w:r>
    </w:p>
    <w:p w14:paraId="6CFCD1A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11.2.2 墙体材料与配合比</w:t>
      </w:r>
    </w:p>
    <w:p w14:paraId="3A0323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）普通混凝土防渗墙所用的水泥、粗和细骨料、外加剂及水等材料，应遵守《水利水电工程混凝土防渗墙施工技术规范》（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5.0.1</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5.0.11</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5.0.13</w:t>
      </w:r>
      <w:r>
        <w:rPr>
          <w:rFonts w:ascii="宋体" w:hAnsi="宋体" w:eastAsia="宋体" w:cs="宋体"/>
          <w:color w:val="auto"/>
          <w:sz w:val="24"/>
          <w:szCs w:val="24"/>
          <w:lang w:eastAsia="zh-CN"/>
        </w:rPr>
        <w:t>条，以及《混凝土用水标准》（</w:t>
      </w:r>
      <w:r>
        <w:rPr>
          <w:rFonts w:hint="eastAsia" w:ascii="Times New Roman" w:hAnsi="Times New Roman" w:eastAsia="宋体" w:cs="Times New Roman"/>
          <w:color w:val="auto"/>
          <w:sz w:val="24"/>
          <w:szCs w:val="24"/>
          <w:lang w:eastAsia="zh-CN"/>
        </w:rPr>
        <w:t>JGJ 63-2006</w:t>
      </w:r>
      <w:r>
        <w:rPr>
          <w:rFonts w:ascii="宋体" w:hAnsi="宋体" w:eastAsia="宋体" w:cs="宋体"/>
          <w:color w:val="auto"/>
          <w:sz w:val="24"/>
          <w:szCs w:val="24"/>
          <w:lang w:eastAsia="zh-CN"/>
        </w:rPr>
        <w:t>）的有关规定。</w:t>
      </w:r>
    </w:p>
    <w:p w14:paraId="256CEB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）塑性混凝土防渗墙所用的各项材料应满足以下要求：</w:t>
      </w:r>
    </w:p>
    <w:p w14:paraId="5E9EFA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）水泥强度等级应遵守《通用硅酸盐水泥》（</w:t>
      </w:r>
      <w:r>
        <w:rPr>
          <w:rFonts w:hint="eastAsia" w:ascii="Times New Roman" w:hAnsi="Times New Roman" w:eastAsia="宋体" w:cs="Times New Roman"/>
          <w:color w:val="auto"/>
          <w:sz w:val="24"/>
          <w:szCs w:val="24"/>
          <w:lang w:eastAsia="zh-CN"/>
        </w:rPr>
        <w:t>GB 175-2023</w:t>
      </w:r>
      <w:r>
        <w:rPr>
          <w:rFonts w:ascii="宋体" w:hAnsi="宋体" w:eastAsia="宋体" w:cs="宋体"/>
          <w:color w:val="auto"/>
          <w:sz w:val="24"/>
          <w:szCs w:val="24"/>
          <w:lang w:eastAsia="zh-CN"/>
        </w:rPr>
        <w:t>）的规定，承包人应通过试验选定水泥品种。</w:t>
      </w:r>
    </w:p>
    <w:p w14:paraId="13F26C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）骨料应遵守《水利水电工程混凝土防渗墙施工技术规范》（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7.0.3</w:t>
      </w:r>
      <w:r>
        <w:rPr>
          <w:rFonts w:ascii="宋体" w:hAnsi="宋体" w:eastAsia="宋体" w:cs="宋体"/>
          <w:color w:val="auto"/>
          <w:sz w:val="24"/>
          <w:szCs w:val="24"/>
          <w:lang w:eastAsia="zh-CN"/>
        </w:rPr>
        <w:t>条的规定。</w:t>
      </w:r>
    </w:p>
    <w:p w14:paraId="56334D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）膨润土的用量不宜少于</w:t>
      </w:r>
      <w:r>
        <w:rPr>
          <w:rFonts w:ascii="Times New Roman" w:hAnsi="Times New Roman" w:eastAsia="Times New Roman" w:cs="Times New Roman"/>
          <w:color w:val="auto"/>
          <w:sz w:val="24"/>
          <w:szCs w:val="24"/>
          <w:lang w:eastAsia="zh-CN"/>
        </w:rPr>
        <w:t>40kg/m</w:t>
      </w:r>
      <w:r>
        <w:rPr>
          <w:rFonts w:ascii="Times New Roman" w:hAnsi="Times New Roman" w:eastAsia="Times New Roman" w:cs="Times New Roman"/>
          <w:color w:val="auto"/>
          <w:sz w:val="16"/>
          <w:szCs w:val="16"/>
          <w:vertAlign w:val="superscript"/>
          <w:lang w:eastAsia="zh-CN"/>
        </w:rPr>
        <w:t>3</w:t>
      </w:r>
      <w:r>
        <w:rPr>
          <w:rFonts w:ascii="宋体" w:hAnsi="宋体" w:eastAsia="宋体" w:cs="宋体"/>
          <w:color w:val="auto"/>
          <w:sz w:val="24"/>
          <w:szCs w:val="24"/>
          <w:lang w:eastAsia="zh-CN"/>
        </w:rPr>
        <w:t>。</w:t>
      </w:r>
    </w:p>
    <w:p w14:paraId="0937BA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）各种外加剂的掺量应通过试验确定，并应遵守《混凝土外加剂应用技术规范》（</w:t>
      </w:r>
      <w:r>
        <w:rPr>
          <w:rFonts w:hint="eastAsia" w:ascii="Times New Roman" w:hAnsi="Times New Roman" w:eastAsia="宋体" w:cs="Times New Roman"/>
          <w:color w:val="auto"/>
          <w:sz w:val="24"/>
          <w:szCs w:val="24"/>
          <w:lang w:eastAsia="zh-CN"/>
        </w:rPr>
        <w:t>GB 50119-2013</w:t>
      </w:r>
      <w:r>
        <w:rPr>
          <w:rFonts w:ascii="宋体" w:hAnsi="宋体" w:eastAsia="宋体" w:cs="宋体"/>
          <w:color w:val="auto"/>
          <w:sz w:val="24"/>
          <w:szCs w:val="24"/>
          <w:lang w:eastAsia="zh-CN"/>
        </w:rPr>
        <w:t>）的有关规定。</w:t>
      </w:r>
    </w:p>
    <w:p w14:paraId="39F29D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）混凝土拌和用水应遵守《混凝土用水标准》（</w:t>
      </w:r>
      <w:r>
        <w:rPr>
          <w:rFonts w:hint="eastAsia" w:ascii="Times New Roman" w:hAnsi="Times New Roman" w:eastAsia="宋体" w:cs="Times New Roman"/>
          <w:color w:val="auto"/>
          <w:sz w:val="24"/>
          <w:szCs w:val="24"/>
          <w:lang w:eastAsia="zh-CN"/>
        </w:rPr>
        <w:t>JGJ 63-2006</w:t>
      </w:r>
      <w:r>
        <w:rPr>
          <w:rFonts w:ascii="宋体" w:hAnsi="宋体" w:eastAsia="宋体" w:cs="宋体"/>
          <w:color w:val="auto"/>
          <w:sz w:val="24"/>
          <w:szCs w:val="24"/>
          <w:lang w:eastAsia="zh-CN"/>
        </w:rPr>
        <w:t>）的有关规定。</w:t>
      </w:r>
    </w:p>
    <w:p w14:paraId="2BA135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）固化灰浆防渗墙采用的材料和配合比应遵守《水利水电工程混凝土防渗墙施工技术规范》（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7.0.7</w:t>
      </w:r>
      <w:r>
        <w:rPr>
          <w:rFonts w:ascii="宋体" w:hAnsi="宋体" w:eastAsia="宋体" w:cs="宋体"/>
          <w:color w:val="auto"/>
          <w:sz w:val="24"/>
          <w:szCs w:val="24"/>
          <w:lang w:eastAsia="zh-CN"/>
        </w:rPr>
        <w:t>条的有关规定。</w:t>
      </w:r>
    </w:p>
    <w:p w14:paraId="629EEB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）承包人应进行塑性混凝土和固化灰浆的室内和现场混凝土配合比试验，并将试验成果提交监理人批准。</w:t>
      </w:r>
    </w:p>
    <w:p w14:paraId="05BB0AD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11.2.3 混凝土防渗墙施工</w:t>
      </w:r>
    </w:p>
    <w:p w14:paraId="739AD9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）防渗墙的造孔应遵守</w:t>
      </w:r>
      <w:r>
        <w:rPr>
          <w:rFonts w:ascii="宋体" w:hAnsi="宋体" w:eastAsia="宋体" w:cs="宋体"/>
          <w:color w:val="auto"/>
          <w:spacing w:val="40"/>
          <w:sz w:val="24"/>
          <w:szCs w:val="24"/>
          <w:lang w:eastAsia="zh-CN"/>
        </w:rPr>
        <w:t>《水利水电工程混凝土防渗墙施工技术规范》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章的有关规定。</w:t>
      </w:r>
    </w:p>
    <w:p w14:paraId="169DB5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）建造槽孔的泥浆应遵守</w:t>
      </w:r>
      <w:r>
        <w:rPr>
          <w:rFonts w:ascii="宋体" w:hAnsi="宋体" w:eastAsia="宋体" w:cs="宋体"/>
          <w:color w:val="auto"/>
          <w:spacing w:val="40"/>
          <w:sz w:val="24"/>
          <w:szCs w:val="24"/>
          <w:lang w:eastAsia="zh-CN"/>
        </w:rPr>
        <w:t>《水利水电工程混凝土防渗墙施工技术规范》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章的有关规定。</w:t>
      </w:r>
    </w:p>
    <w:p w14:paraId="3B4194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）混凝土的拌和与运输应遵守《水利水电工程混凝土防渗墙施工技术规范》（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8.1</w:t>
      </w:r>
      <w:r>
        <w:rPr>
          <w:rFonts w:ascii="宋体" w:hAnsi="宋体" w:eastAsia="宋体" w:cs="宋体"/>
          <w:color w:val="auto"/>
          <w:sz w:val="24"/>
          <w:szCs w:val="24"/>
          <w:lang w:eastAsia="zh-CN"/>
        </w:rPr>
        <w:t>节的有关规定。</w:t>
      </w:r>
    </w:p>
    <w:p w14:paraId="5DE910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）钢筋笼制作和安装：</w:t>
      </w:r>
    </w:p>
    <w:p w14:paraId="512C55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）钢筋笼的结构设计应遵守</w:t>
      </w:r>
      <w:r>
        <w:rPr>
          <w:rFonts w:ascii="宋体" w:hAnsi="宋体" w:eastAsia="宋体" w:cs="宋体"/>
          <w:color w:val="auto"/>
          <w:spacing w:val="28"/>
          <w:sz w:val="24"/>
          <w:szCs w:val="24"/>
          <w:lang w:eastAsia="zh-CN"/>
        </w:rPr>
        <w:t>《水利水电工程混凝土防渗墙施工技术规范》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10.1.1</w:t>
      </w:r>
      <w:r>
        <w:rPr>
          <w:rFonts w:ascii="宋体" w:hAnsi="宋体" w:eastAsia="宋体" w:cs="宋体"/>
          <w:color w:val="auto"/>
          <w:sz w:val="24"/>
          <w:szCs w:val="24"/>
          <w:lang w:eastAsia="zh-CN"/>
        </w:rPr>
        <w:t>条的规定。其外形尺寸应根据相应槽段长度、深度、接头型式及具备的起吊能力等因素确定。</w:t>
      </w:r>
    </w:p>
    <w:p w14:paraId="2CD041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）钢筋笼制作最大允许误差应遵守《水利水电工程混凝土防渗墙施工技术规范》（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10.1.5</w:t>
      </w:r>
      <w:r>
        <w:rPr>
          <w:rFonts w:ascii="宋体" w:hAnsi="宋体" w:eastAsia="宋体" w:cs="宋体"/>
          <w:color w:val="auto"/>
          <w:sz w:val="24"/>
          <w:szCs w:val="24"/>
          <w:lang w:eastAsia="zh-CN"/>
        </w:rPr>
        <w:t>条的规定。</w:t>
      </w:r>
    </w:p>
    <w:p w14:paraId="4C7890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筋笼入槽时若遇阻碍，应进行槽孔处理，不得强行下沉；钢筋笼入槽后其顶底高程位置应符合本合同施工图纸的规定，并应采取措施防止混凝土浇筑时钢筋笼上浮；钢筋笼入槽后的定位最大允许偏差应遵守《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10.1.6</w:t>
      </w:r>
      <w:r>
        <w:rPr>
          <w:rFonts w:ascii="宋体" w:hAnsi="宋体" w:eastAsia="宋体" w:cs="宋体"/>
          <w:color w:val="auto"/>
          <w:sz w:val="24"/>
          <w:szCs w:val="24"/>
          <w:lang w:eastAsia="zh-CN"/>
        </w:rPr>
        <w:t>条的规定。</w:t>
      </w:r>
    </w:p>
    <w:p w14:paraId="484534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）观测仪器的安装与埋设应遵守《水利水电工程混凝土防渗墙施工技术规范》（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10.3</w:t>
      </w:r>
      <w:r>
        <w:rPr>
          <w:rFonts w:ascii="宋体" w:hAnsi="宋体" w:eastAsia="宋体" w:cs="宋体"/>
          <w:color w:val="auto"/>
          <w:sz w:val="24"/>
          <w:szCs w:val="24"/>
          <w:lang w:eastAsia="zh-CN"/>
        </w:rPr>
        <w:t>节的规定。</w:t>
      </w:r>
    </w:p>
    <w:p w14:paraId="21EF06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）墙体浇筑：</w:t>
      </w:r>
    </w:p>
    <w:p w14:paraId="69E0D9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）泥浆下浇筑墙体混凝土前，槽孔应清孔换浆，经监理人检验合格后方可进行浇筑。</w:t>
      </w:r>
    </w:p>
    <w:p w14:paraId="7213EA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）钢筋混凝土或塑性混凝土浇筑，应遵守《水利水电工程混凝土防渗墙施工技术规范》（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8.1</w:t>
      </w:r>
      <w:r>
        <w:rPr>
          <w:rFonts w:ascii="宋体" w:hAnsi="宋体" w:eastAsia="宋体" w:cs="宋体"/>
          <w:color w:val="auto"/>
          <w:sz w:val="24"/>
          <w:szCs w:val="24"/>
          <w:lang w:eastAsia="zh-CN"/>
        </w:rPr>
        <w:t>节的有关规定。</w:t>
      </w:r>
    </w:p>
    <w:p w14:paraId="0104EA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）固化灰浆浇筑应遵守</w:t>
      </w:r>
      <w:r>
        <w:rPr>
          <w:rFonts w:ascii="宋体" w:hAnsi="宋体" w:eastAsia="宋体" w:cs="宋体"/>
          <w:color w:val="auto"/>
          <w:spacing w:val="40"/>
          <w:sz w:val="24"/>
          <w:szCs w:val="24"/>
          <w:lang w:eastAsia="zh-CN"/>
        </w:rPr>
        <w:t>《水利水电工程混凝土防渗墙施工技术规范》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8.2</w:t>
      </w:r>
      <w:r>
        <w:rPr>
          <w:rFonts w:ascii="宋体" w:hAnsi="宋体" w:eastAsia="宋体" w:cs="宋体"/>
          <w:color w:val="auto"/>
          <w:sz w:val="24"/>
          <w:szCs w:val="24"/>
          <w:lang w:eastAsia="zh-CN"/>
        </w:rPr>
        <w:t>节的有关规定。</w:t>
      </w:r>
    </w:p>
    <w:p w14:paraId="34A8DF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）墙段连接应遵守《水利水电工程混凝土防渗墙施工技术规范》</w:t>
      </w:r>
      <w:r>
        <w:rPr>
          <w:rFonts w:ascii="宋体" w:hAnsi="宋体" w:eastAsia="宋体" w:cs="宋体"/>
          <w:color w:val="auto"/>
          <w:spacing w:val="-20"/>
          <w:sz w:val="24"/>
          <w:szCs w:val="24"/>
          <w:lang w:eastAsia="zh-CN"/>
        </w:rPr>
        <w:t>（</w:t>
      </w:r>
      <w:r>
        <w:rPr>
          <w:rFonts w:hint="eastAsia" w:ascii="Times New Roman" w:hAnsi="Times New Roman" w:eastAsia="宋体" w:cs="Times New Roman"/>
          <w:color w:val="auto"/>
          <w:spacing w:val="-20"/>
          <w:sz w:val="24"/>
          <w:szCs w:val="24"/>
          <w:lang w:eastAsia="zh-CN"/>
        </w:rPr>
        <w:t xml:space="preserve">SL </w:t>
      </w:r>
      <w:r>
        <w:rPr>
          <w:rFonts w:ascii="Times New Roman" w:hAnsi="Times New Roman" w:eastAsia="Times New Roman" w:cs="Times New Roman"/>
          <w:color w:val="auto"/>
          <w:spacing w:val="-20"/>
          <w:sz w:val="24"/>
          <w:szCs w:val="24"/>
          <w:lang w:eastAsia="zh-CN"/>
        </w:rPr>
        <w:t>174-2014</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章的规定。</w:t>
      </w:r>
    </w:p>
    <w:p w14:paraId="4D8B602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11.2.4 质量检查和验收</w:t>
      </w:r>
    </w:p>
    <w:p w14:paraId="76F442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承包人应会同监理人按本章第</w:t>
      </w:r>
      <w:r>
        <w:rPr>
          <w:rFonts w:ascii="Times New Roman" w:hAnsi="Times New Roman" w:eastAsia="Times New Roman" w:cs="Times New Roman"/>
          <w:color w:val="auto"/>
          <w:sz w:val="24"/>
          <w:szCs w:val="24"/>
          <w:lang w:eastAsia="zh-CN"/>
        </w:rPr>
        <w:t>11.2.2</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11.2.5</w:t>
      </w:r>
      <w:r>
        <w:rPr>
          <w:rFonts w:ascii="宋体" w:hAnsi="宋体" w:eastAsia="宋体" w:cs="宋体"/>
          <w:color w:val="auto"/>
          <w:sz w:val="24"/>
          <w:szCs w:val="24"/>
          <w:lang w:eastAsia="zh-CN"/>
        </w:rPr>
        <w:t>项的规定，进行钢筋混凝土和塑性混凝土防渗墙的质量检查和验收。</w:t>
      </w:r>
    </w:p>
    <w:p w14:paraId="139E42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）槽孔终孔质量检查。</w:t>
      </w:r>
    </w:p>
    <w:p w14:paraId="395AC9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）槽孔终孔的孔位、孔深、孔斜、槽宽与槽孔嵌入基岩深度。</w:t>
      </w:r>
    </w:p>
    <w:p w14:paraId="6AFB5A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）一、二期槽孔间接头孔的套接厚度。</w:t>
      </w:r>
    </w:p>
    <w:p w14:paraId="47D4EC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）浇筑前槽孔清孔质量检查。</w:t>
      </w:r>
    </w:p>
    <w:p w14:paraId="4E73CE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）孔内泥浆性能和淤积厚度。</w:t>
      </w:r>
    </w:p>
    <w:p w14:paraId="4BCDE7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）接头孔壁刷洗质量。</w:t>
      </w:r>
    </w:p>
    <w:p w14:paraId="353102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）钢筋笼制造与沉放质量检查。</w:t>
      </w:r>
    </w:p>
    <w:p w14:paraId="3448E2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）钢筋笼尺寸，导向装置及加工质量。</w:t>
      </w:r>
    </w:p>
    <w:p w14:paraId="6B2859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）钢筋笼吊放位置及节间连接质量。</w:t>
      </w:r>
    </w:p>
    <w:p w14:paraId="060BA1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）混凝土浇筑质量检查。</w:t>
      </w:r>
    </w:p>
    <w:p w14:paraId="07499E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）混凝土出机口和现场取样的物理力学性能检验。</w:t>
      </w:r>
    </w:p>
    <w:p w14:paraId="2E41BF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）混凝土终浇高程。</w:t>
      </w:r>
    </w:p>
    <w:p w14:paraId="2B4B3D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）混凝土或塑性混凝土防渗墙体的均匀性及防渗性能检验。</w:t>
      </w:r>
    </w:p>
    <w:p w14:paraId="008320E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11.2.5 混凝土防渗墙的完工验收</w:t>
      </w:r>
    </w:p>
    <w:p w14:paraId="419324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混凝土防渗墙工程全部完工后，承包人应向监理人申请完工验收，并提交以下完工资料：</w:t>
      </w:r>
    </w:p>
    <w:p w14:paraId="44EFEF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）混凝土防渗墙竣工图及说明书。</w:t>
      </w:r>
    </w:p>
    <w:p w14:paraId="43B599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）墙体材料试验成果。</w:t>
      </w:r>
    </w:p>
    <w:p w14:paraId="28C926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）墙体质量检验（钻孔取芯、注水试验、沉渣厚度等）记录和现场抽样检验成果。</w:t>
      </w:r>
    </w:p>
    <w:p w14:paraId="47C893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）质量检查记录和质量事故处理报告。</w:t>
      </w:r>
    </w:p>
    <w:p w14:paraId="74C816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）监理人要求提交的其它完工资料。</w:t>
      </w:r>
    </w:p>
    <w:p w14:paraId="3B24DBD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17" w:name="_Toc8923"/>
      <w:bookmarkStart w:id="1318" w:name="_Toc16878"/>
      <w:bookmarkStart w:id="1319" w:name="_Toc17117"/>
      <w:r>
        <w:rPr>
          <w:rFonts w:hint="eastAsia" w:ascii="宋体" w:hAnsi="宋体" w:eastAsia="宋体" w:cs="宋体"/>
          <w:b/>
          <w:bCs/>
          <w:color w:val="auto"/>
          <w:sz w:val="24"/>
          <w:szCs w:val="24"/>
          <w:lang w:eastAsia="zh-CN"/>
        </w:rPr>
        <w:t>11.3 高压喷射灌浆</w:t>
      </w:r>
      <w:bookmarkEnd w:id="1317"/>
      <w:bookmarkEnd w:id="1318"/>
      <w:bookmarkEnd w:id="1319"/>
    </w:p>
    <w:p w14:paraId="10129B4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11.3.1 一般要求</w:t>
      </w:r>
    </w:p>
    <w:p w14:paraId="34DABF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）高压喷射灌浆适用于淤泥质土、粉质粘土、粉土、砂土、砾石、卵（碎）石等松散透水地基或填筑体内的防渗工程的高压喷射灌浆。</w:t>
      </w:r>
    </w:p>
    <w:p w14:paraId="46EE25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）施工场地应全面规划，开挖排浆沟和集浆池，做好冒浆排放措施和环境保护措施。</w:t>
      </w:r>
    </w:p>
    <w:p w14:paraId="3915A0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）高压喷射灌浆的方法应根据施工图纸要求和地质条件选用三管法、双管法或单管法，承包人选用的施工方法和喷射方式及其施工参数，应提交监理人批准。</w:t>
      </w:r>
    </w:p>
    <w:p w14:paraId="0DCB22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）高压喷射灌浆的施工场地应平整、稳固，凡遇有低洼、表土松散、紧临边坡的区域，应采用回填、夯实、加固和边坡坡脚保护措施。</w:t>
      </w:r>
    </w:p>
    <w:p w14:paraId="44ECD0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）在喷射灌浆施工前，承包人应按施工图纸规定的喷射灌浆方法进行机械设备试运行。</w:t>
      </w:r>
    </w:p>
    <w:p w14:paraId="4BFA542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11.3.2 喷射浆液</w:t>
      </w:r>
    </w:p>
    <w:p w14:paraId="5D7AB9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喷射浆液应遵守《水电水利工程高压喷射灌浆技术规范》（</w:t>
      </w:r>
      <w:r>
        <w:rPr>
          <w:rFonts w:hint="eastAsia" w:ascii="Times New Roman" w:hAnsi="Times New Roman" w:eastAsia="宋体" w:cs="Times New Roman"/>
          <w:color w:val="auto"/>
          <w:sz w:val="24"/>
          <w:szCs w:val="24"/>
          <w:lang w:eastAsia="zh-CN"/>
        </w:rPr>
        <w:t>DL/T 5200-2019</w:t>
      </w:r>
      <w:r>
        <w:rPr>
          <w:rFonts w:ascii="宋体" w:hAnsi="宋体" w:eastAsia="宋体" w:cs="宋体"/>
          <w:color w:val="auto"/>
          <w:sz w:val="24"/>
          <w:szCs w:val="24"/>
          <w:lang w:eastAsia="zh-CN"/>
        </w:rPr>
        <w:t>）的有关规定。</w:t>
      </w:r>
    </w:p>
    <w:p w14:paraId="481BF3F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11.3.3 现场高压喷射灌浆试验</w:t>
      </w:r>
    </w:p>
    <w:p w14:paraId="736BE6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在现场高压喷射灌浆作业开始前，承包人应按本合同施工图纸的要求和监理人指示，选择地质条件具有代表性的地段，进行高压喷射灌浆的现场工艺试验，以确定高喷灌浆的方法及其适用性，确定有效桩径（或喷射范围）、施工参数、浆液性能要求、适宜的孔距排距、墙体防渗性能等。</w:t>
      </w:r>
    </w:p>
    <w:p w14:paraId="0D7E97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）试验结束后，应根据监理人指示开挖检查或钻取芯样进行固结体的均匀性、整体性、强度和渗透性等试验，并将试验成果提交监理人。</w:t>
      </w:r>
    </w:p>
    <w:p w14:paraId="4C8BC84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11.3.4 高压喷射灌浆施工</w:t>
      </w:r>
    </w:p>
    <w:p w14:paraId="298F9F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高压喷射灌浆施工应遵守</w:t>
      </w:r>
      <w:r>
        <w:rPr>
          <w:rFonts w:ascii="宋体" w:hAnsi="宋体" w:eastAsia="宋体" w:cs="宋体"/>
          <w:color w:val="auto"/>
          <w:spacing w:val="-20"/>
          <w:sz w:val="24"/>
          <w:szCs w:val="24"/>
          <w:lang w:eastAsia="zh-CN"/>
        </w:rPr>
        <w:t>《水电水利工程高压喷射灌浆技术规范》（</w:t>
      </w:r>
      <w:r>
        <w:rPr>
          <w:rFonts w:hint="eastAsia" w:ascii="Times New Roman" w:hAnsi="Times New Roman" w:eastAsia="宋体" w:cs="Times New Roman"/>
          <w:color w:val="auto"/>
          <w:spacing w:val="-20"/>
          <w:sz w:val="24"/>
          <w:szCs w:val="24"/>
          <w:lang w:eastAsia="zh-CN"/>
        </w:rPr>
        <w:t>DL/T 5200-2019</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的有关规定。</w:t>
      </w:r>
    </w:p>
    <w:p w14:paraId="05EE16D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11.3.5 质量检查和验收</w:t>
      </w:r>
    </w:p>
    <w:p w14:paraId="19EF82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承包人应会同监理人按本章第</w:t>
      </w:r>
      <w:r>
        <w:rPr>
          <w:rFonts w:ascii="Times New Roman" w:hAnsi="Times New Roman" w:eastAsia="Times New Roman" w:cs="Times New Roman"/>
          <w:color w:val="auto"/>
          <w:sz w:val="24"/>
          <w:szCs w:val="24"/>
          <w:lang w:eastAsia="zh-CN"/>
        </w:rPr>
        <w:t>11.3.2</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11.3.4</w:t>
      </w:r>
      <w:r>
        <w:rPr>
          <w:rFonts w:ascii="宋体" w:hAnsi="宋体" w:eastAsia="宋体" w:cs="宋体"/>
          <w:color w:val="auto"/>
          <w:sz w:val="24"/>
          <w:szCs w:val="24"/>
          <w:lang w:eastAsia="zh-CN"/>
        </w:rPr>
        <w:t>项规定进行以下内容的质量检查。</w:t>
      </w:r>
    </w:p>
    <w:p w14:paraId="147FE2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）高压喷射灌浆作业前质量检查的内容包括：</w:t>
      </w:r>
    </w:p>
    <w:p w14:paraId="0910AA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）桩位的现场放样成果。</w:t>
      </w:r>
    </w:p>
    <w:p w14:paraId="5F5882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）材料和浆液配合比试验成果。</w:t>
      </w:r>
    </w:p>
    <w:p w14:paraId="619610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）钻孔偏斜率。</w:t>
      </w:r>
    </w:p>
    <w:p w14:paraId="550A9D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）高压喷射灌浆作业过程中进行质量检查的内容包括：</w:t>
      </w:r>
    </w:p>
    <w:p w14:paraId="134663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）喷射插管插入深度。</w:t>
      </w:r>
    </w:p>
    <w:p w14:paraId="0E7607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）现场高压喷射灌浆工艺试验成果。</w:t>
      </w:r>
    </w:p>
    <w:p w14:paraId="60FFDF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）回（反）浆试件的试验成果。</w:t>
      </w:r>
    </w:p>
    <w:p w14:paraId="5325DB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）高压喷射灌浆作业结束后，承包人应会同监理人按施工图纸规定及监理人的指示进行以下项目的质量检查：</w:t>
      </w:r>
    </w:p>
    <w:p w14:paraId="6E663B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）高压喷射灌浆桩（孔）的平面位置。</w:t>
      </w:r>
    </w:p>
    <w:p w14:paraId="63064D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）高喷墙的墙体厚度、垂直度、连续性、均匀性和搭接程度。</w:t>
      </w:r>
    </w:p>
    <w:p w14:paraId="03D1A5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高压喷射灌浆固结体的强度和透水性，以及高压喷射灌浆固结体的质量检查应按施工图纸的要求进行开挖检查、钻孔取芯和压水试验等方法，固结体的渗透性能和抗压强度遵守《水电水利工程高压喷射灌浆技术规范》（</w:t>
      </w:r>
      <w:r>
        <w:rPr>
          <w:rFonts w:hint="eastAsia" w:ascii="Times New Roman" w:hAnsi="Times New Roman" w:eastAsia="宋体" w:cs="Times New Roman"/>
          <w:color w:val="auto"/>
          <w:sz w:val="24"/>
          <w:szCs w:val="24"/>
          <w:lang w:eastAsia="zh-CN"/>
        </w:rPr>
        <w:t>DL/T 5200-2019</w:t>
      </w:r>
      <w:r>
        <w:rPr>
          <w:rFonts w:ascii="宋体" w:hAnsi="宋体" w:eastAsia="宋体" w:cs="宋体"/>
          <w:color w:val="auto"/>
          <w:sz w:val="24"/>
          <w:szCs w:val="24"/>
          <w:lang w:eastAsia="zh-CN"/>
        </w:rPr>
        <w:t>）的有关规定。</w:t>
      </w:r>
    </w:p>
    <w:p w14:paraId="1CB3B2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）高压喷射灌浆工程验收应遵守</w:t>
      </w:r>
      <w:r>
        <w:rPr>
          <w:rFonts w:ascii="宋体" w:hAnsi="宋体" w:eastAsia="宋体" w:cs="宋体"/>
          <w:color w:val="auto"/>
          <w:spacing w:val="34"/>
          <w:sz w:val="24"/>
          <w:szCs w:val="24"/>
          <w:lang w:eastAsia="zh-CN"/>
        </w:rPr>
        <w:t>《水电水利工程高压喷射灌浆技术规范》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DL/T 5200-2019</w:t>
      </w:r>
      <w:r>
        <w:rPr>
          <w:rFonts w:ascii="宋体" w:hAnsi="宋体" w:eastAsia="宋体" w:cs="宋体"/>
          <w:color w:val="auto"/>
          <w:sz w:val="24"/>
          <w:szCs w:val="24"/>
          <w:lang w:eastAsia="zh-CN"/>
        </w:rPr>
        <w:t>）的有关规定。</w:t>
      </w:r>
    </w:p>
    <w:p w14:paraId="34DEB54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11.3.6 完工验收</w:t>
      </w:r>
    </w:p>
    <w:p w14:paraId="5EDDC3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高喷墙工程全部完工后，承包人应按以下的规定的内容，提交完工验收资料。</w:t>
      </w:r>
    </w:p>
    <w:p w14:paraId="7CAC98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）高喷防渗墙竣工图及说明书。</w:t>
      </w:r>
    </w:p>
    <w:p w14:paraId="046B5B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）高喷浆液材料试验成果。</w:t>
      </w:r>
    </w:p>
    <w:p w14:paraId="25ACBD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）质量检查记录和现场抽样检验成果。</w:t>
      </w:r>
    </w:p>
    <w:p w14:paraId="6EE455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）现场喷射灌浆试验报告。</w:t>
      </w:r>
    </w:p>
    <w:p w14:paraId="48AD29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）质量事故处理报告。</w:t>
      </w:r>
    </w:p>
    <w:p w14:paraId="361E39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）监理人要求提供的其他完工资料。</w:t>
      </w:r>
    </w:p>
    <w:p w14:paraId="407E31A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20" w:name="_Toc31598"/>
      <w:bookmarkStart w:id="1321" w:name="_Toc2228"/>
      <w:bookmarkStart w:id="1322" w:name="_Toc4592"/>
      <w:r>
        <w:rPr>
          <w:rFonts w:hint="eastAsia" w:ascii="宋体" w:hAnsi="宋体" w:eastAsia="宋体" w:cs="宋体"/>
          <w:b/>
          <w:bCs/>
          <w:color w:val="auto"/>
          <w:sz w:val="24"/>
          <w:szCs w:val="24"/>
          <w:lang w:eastAsia="zh-CN"/>
        </w:rPr>
        <w:t>11.4 计量和支付</w:t>
      </w:r>
      <w:bookmarkEnd w:id="1320"/>
      <w:bookmarkEnd w:id="1321"/>
      <w:bookmarkEnd w:id="1322"/>
    </w:p>
    <w:p w14:paraId="4443E6C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11.4.1 混凝土防渗墙</w:t>
      </w:r>
    </w:p>
    <w:p w14:paraId="7BF843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筋混凝土防渗墙、塑性混凝土防渗墙按施工图纸所示尺寸计算的有效截水面积以平方米为单位计量，由发包人按《工程量清单》相应项目有效工程量的每平方米工程单价支付。除合同另有约定外，泥浆外运包含在相应项目的单价中，发包人不另行支付。</w:t>
      </w:r>
    </w:p>
    <w:p w14:paraId="7E32C6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）钢筋混凝土防渗墙的钢筋按施工图纸所示钢筋强度等级、直径和长度计算的有效重量以吨为单位计量，由发包人按《工程量清单》相应项目有效工程量的每吨工程单价支付。</w:t>
      </w:r>
    </w:p>
    <w:p w14:paraId="7CF28A20">
      <w:pPr>
        <w:widowControl w:val="0"/>
        <w:kinsoku/>
        <w:topLinePunct/>
        <w:autoSpaceDE/>
        <w:autoSpaceDN/>
        <w:spacing w:line="520" w:lineRule="exact"/>
        <w:ind w:firstLine="480" w:firstLineChars="200"/>
        <w:jc w:val="both"/>
        <w:rPr>
          <w:rFonts w:hint="eastAsia" w:ascii="仿宋" w:hAnsi="仿宋" w:eastAsia="仿宋" w:cs="宋体"/>
          <w:color w:val="auto"/>
          <w:sz w:val="24"/>
          <w:lang w:eastAsia="zh-CN"/>
        </w:rPr>
      </w:pPr>
      <w:r>
        <w:rPr>
          <w:rFonts w:hint="eastAsia" w:ascii="宋体" w:hAnsi="宋体" w:eastAsia="宋体" w:cs="宋体"/>
          <w:color w:val="auto"/>
          <w:sz w:val="24"/>
          <w:szCs w:val="24"/>
          <w:lang w:eastAsia="zh-CN"/>
        </w:rPr>
        <w:t>（3）单价中包括生产性试桩、钻孔、灌浆、检测、引孔等相关工作所需的全部费用。</w:t>
      </w:r>
    </w:p>
    <w:p w14:paraId="7FA9E1A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11.4.2 高压喷射灌浆</w:t>
      </w:r>
    </w:p>
    <w:p w14:paraId="334404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高压喷射灌浆按施工图纸所示尺寸计算的有效桩长乘以桩径截面面积（不扣除桩与桩之间的搭接）以立方米为单位计量，由发包人按《工程量清单》相应项目有效工程量的每立方米工程单价支付。</w:t>
      </w:r>
      <w:r>
        <w:rPr>
          <w:rFonts w:hint="eastAsia" w:ascii="宋体" w:hAnsi="宋体" w:eastAsia="宋体" w:cs="宋体"/>
          <w:color w:val="auto"/>
          <w:sz w:val="24"/>
          <w:szCs w:val="24"/>
          <w:lang w:eastAsia="zh-CN"/>
        </w:rPr>
        <w:t>单价中包括生产性试桩、钻孔、灌浆、检测、引孔等相关工作所需的全部费用。</w:t>
      </w:r>
    </w:p>
    <w:p w14:paraId="5375A9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p>
    <w:p w14:paraId="640709A7">
      <w:pPr>
        <w:widowControl w:val="0"/>
        <w:kinsoku/>
        <w:topLinePunct/>
        <w:autoSpaceDE/>
        <w:autoSpaceDN/>
        <w:spacing w:line="520" w:lineRule="exact"/>
        <w:ind w:firstLine="560" w:firstLineChars="200"/>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7D0A3517">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323" w:name="_Toc5682"/>
      <w:bookmarkStart w:id="1324" w:name="_Toc23287"/>
      <w:bookmarkStart w:id="1325" w:name="_Toc2805"/>
      <w:r>
        <w:rPr>
          <w:rFonts w:ascii="Times New Roman" w:hAnsi="Times New Roman" w:eastAsia="Times New Roman" w:cs="Times New Roman"/>
          <w:b/>
          <w:bCs/>
          <w:color w:val="auto"/>
          <w:sz w:val="28"/>
          <w:szCs w:val="28"/>
          <w:lang w:eastAsia="zh-CN"/>
        </w:rPr>
        <w:t>12</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地基及基础工程</w:t>
      </w:r>
      <w:bookmarkEnd w:id="1323"/>
      <w:bookmarkEnd w:id="1324"/>
      <w:bookmarkEnd w:id="1325"/>
    </w:p>
    <w:p w14:paraId="0BA3A30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26" w:name="_Toc22792"/>
      <w:bookmarkStart w:id="1327" w:name="_Toc15087"/>
      <w:bookmarkStart w:id="1328" w:name="_Toc3356"/>
      <w:r>
        <w:rPr>
          <w:rFonts w:hint="eastAsia" w:ascii="宋体" w:hAnsi="宋体" w:eastAsia="宋体" w:cs="宋体"/>
          <w:b/>
          <w:bCs/>
          <w:color w:val="auto"/>
          <w:sz w:val="24"/>
          <w:szCs w:val="24"/>
          <w:lang w:eastAsia="zh-CN"/>
        </w:rPr>
        <w:t>12.1-般规定</w:t>
      </w:r>
      <w:bookmarkEnd w:id="1326"/>
      <w:bookmarkEnd w:id="1327"/>
      <w:bookmarkEnd w:id="1328"/>
    </w:p>
    <w:p w14:paraId="1FB1035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12.1.1 应用范围</w:t>
      </w:r>
    </w:p>
    <w:p w14:paraId="64DA71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本章规定适用于本合同施工图纸所示的永久和临时工程建筑物的地基及基础工程。其工程结构型式包括振冲法地基工程、混凝土灌注桩、沉井、预制桩、水泥搅拌桩、塑料排水板和真空预压等基础工程。</w:t>
      </w:r>
    </w:p>
    <w:p w14:paraId="2B300C5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12.1.2 承包人的责任</w:t>
      </w:r>
    </w:p>
    <w:p w14:paraId="6D5723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）承包人应负责本合同地基基础工程的地质复勘工作，并根据发包人提供的地质资料和地质复勘成果，编制复勘工程地质剖面图，进行地基及基础工程的施工布置，确定地基基础工程的施工顺序。</w:t>
      </w:r>
    </w:p>
    <w:p w14:paraId="42F220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）承包人应负责提供地基及基础工程施工所需的材料和施工设备，以及负责地基及基础工程的施工、试验、检验等的全部施工作业。</w:t>
      </w:r>
    </w:p>
    <w:p w14:paraId="5DE164F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12.1.3 主要提交件</w:t>
      </w:r>
    </w:p>
    <w:p w14:paraId="2AEB21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地基及基础工程开工前，承包人应根据本合同施工图纸已确定的地基及基础工程布置方案，分别编制包括下列内容的施工措施计划，提交监理人批准。</w:t>
      </w:r>
    </w:p>
    <w:p w14:paraId="1969BB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）振冲地基。</w:t>
      </w:r>
      <w:r>
        <w:rPr>
          <w:rFonts w:hint="eastAsia" w:ascii="仿宋" w:hAnsi="仿宋" w:eastAsia="仿宋"/>
          <w:color w:val="auto"/>
          <w:sz w:val="24"/>
          <w:lang w:eastAsia="zh-CN"/>
        </w:rPr>
        <w:t>（略）</w:t>
      </w:r>
    </w:p>
    <w:p w14:paraId="085580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）混凝土灌注桩基础。</w:t>
      </w:r>
    </w:p>
    <w:p w14:paraId="532547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1）灌注桩基础施工场地布置图；</w:t>
      </w:r>
    </w:p>
    <w:p w14:paraId="5832F5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2）成桩机械及其配套设备的选择；</w:t>
      </w:r>
    </w:p>
    <w:p w14:paraId="360D5A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3）制桩材料和备件的配置；</w:t>
      </w:r>
    </w:p>
    <w:p w14:paraId="39549D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4）桩基施工方案及工艺；</w:t>
      </w:r>
    </w:p>
    <w:p w14:paraId="7E3DB8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5）成孔、成桩试验和措施；</w:t>
      </w:r>
    </w:p>
    <w:p w14:paraId="20CB57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6）质量检验，以及安全和环境保护措施；</w:t>
      </w:r>
    </w:p>
    <w:p w14:paraId="33D9E5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7）施工进度计划。</w:t>
      </w:r>
    </w:p>
    <w:p w14:paraId="495783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）沉井。</w:t>
      </w:r>
      <w:r>
        <w:rPr>
          <w:rFonts w:hint="eastAsia" w:ascii="仿宋" w:hAnsi="仿宋" w:eastAsia="仿宋"/>
          <w:color w:val="auto"/>
          <w:sz w:val="24"/>
          <w:lang w:eastAsia="zh-CN"/>
        </w:rPr>
        <w:t>（略）</w:t>
      </w:r>
    </w:p>
    <w:p w14:paraId="3D4E59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）预制桩。</w:t>
      </w:r>
      <w:r>
        <w:rPr>
          <w:rFonts w:hint="eastAsia" w:ascii="仿宋" w:hAnsi="仿宋" w:eastAsia="仿宋"/>
          <w:color w:val="auto"/>
          <w:sz w:val="24"/>
          <w:lang w:eastAsia="zh-CN"/>
        </w:rPr>
        <w:t>（略）</w:t>
      </w:r>
    </w:p>
    <w:p w14:paraId="01C800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）水泥搅拌桩。</w:t>
      </w:r>
    </w:p>
    <w:p w14:paraId="70DA8B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）水泥搅拌桩桩位及施工场地布置图。</w:t>
      </w:r>
    </w:p>
    <w:p w14:paraId="0B1750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）主要施工机械及其配套设备的选择。</w:t>
      </w:r>
    </w:p>
    <w:p w14:paraId="186C60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）制桩材料和备件的配置。</w:t>
      </w:r>
    </w:p>
    <w:p w14:paraId="10B98D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）桩基施工方案及工艺。</w:t>
      </w:r>
    </w:p>
    <w:p w14:paraId="396BC1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）成桩试验和措施。</w:t>
      </w:r>
    </w:p>
    <w:p w14:paraId="75F716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）质量检验，以及安全和环境保护措施。</w:t>
      </w:r>
    </w:p>
    <w:p w14:paraId="2337CE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）施工进度计划。</w:t>
      </w:r>
    </w:p>
    <w:p w14:paraId="2F08518D">
      <w:pPr>
        <w:widowControl w:val="0"/>
        <w:kinsoku/>
        <w:topLinePunct/>
        <w:autoSpaceDE/>
        <w:autoSpaceDN/>
        <w:spacing w:line="520" w:lineRule="exact"/>
        <w:ind w:firstLine="480" w:firstLineChars="200"/>
        <w:jc w:val="both"/>
        <w:rPr>
          <w:rFonts w:hint="eastAsia" w:ascii="仿宋" w:hAnsi="仿宋" w:eastAsia="仿宋"/>
          <w:color w:val="auto"/>
          <w:sz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）塑料排水板。</w:t>
      </w:r>
      <w:r>
        <w:rPr>
          <w:rFonts w:hint="eastAsia" w:ascii="仿宋" w:hAnsi="仿宋" w:eastAsia="仿宋"/>
          <w:color w:val="auto"/>
          <w:sz w:val="24"/>
          <w:lang w:eastAsia="zh-CN"/>
        </w:rPr>
        <w:t>（略）</w:t>
      </w:r>
    </w:p>
    <w:p w14:paraId="6D2D507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12.1.4 引用标准</w:t>
      </w:r>
    </w:p>
    <w:p w14:paraId="7E7488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）《建筑地基基础工程施工质量验收标准》（</w:t>
      </w:r>
      <w:r>
        <w:rPr>
          <w:rFonts w:hint="eastAsia" w:ascii="Times New Roman" w:hAnsi="Times New Roman" w:eastAsia="宋体" w:cs="Times New Roman"/>
          <w:color w:val="auto"/>
          <w:sz w:val="24"/>
          <w:szCs w:val="24"/>
          <w:lang w:eastAsia="zh-CN"/>
        </w:rPr>
        <w:t>GB 50202-2018</w:t>
      </w:r>
      <w:r>
        <w:rPr>
          <w:rFonts w:ascii="宋体" w:hAnsi="宋体" w:eastAsia="宋体" w:cs="宋体"/>
          <w:color w:val="auto"/>
          <w:sz w:val="24"/>
          <w:szCs w:val="24"/>
          <w:lang w:eastAsia="zh-CN"/>
        </w:rPr>
        <w:t>）。</w:t>
      </w:r>
    </w:p>
    <w:p w14:paraId="579AC5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w:t>
      </w:r>
    </w:p>
    <w:p w14:paraId="67A8F3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）《地下防水工程质量验收规范》（</w:t>
      </w:r>
      <w:r>
        <w:rPr>
          <w:rFonts w:hint="eastAsia" w:ascii="Times New Roman" w:hAnsi="Times New Roman" w:eastAsia="宋体" w:cs="Times New Roman"/>
          <w:color w:val="auto"/>
          <w:sz w:val="24"/>
          <w:szCs w:val="24"/>
          <w:lang w:eastAsia="zh-CN"/>
        </w:rPr>
        <w:t>GB 50208-2011</w:t>
      </w:r>
      <w:r>
        <w:rPr>
          <w:rFonts w:ascii="宋体" w:hAnsi="宋体" w:eastAsia="宋体" w:cs="宋体"/>
          <w:color w:val="auto"/>
          <w:sz w:val="24"/>
          <w:szCs w:val="24"/>
          <w:lang w:eastAsia="zh-CN"/>
        </w:rPr>
        <w:t>）。</w:t>
      </w:r>
    </w:p>
    <w:p w14:paraId="57A4FC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）《水利水电工程混凝土防渗墙施工技术规范》（</w:t>
      </w:r>
      <w:r>
        <w:rPr>
          <w:rFonts w:hint="eastAsia" w:ascii="Times New Roman" w:hAnsi="Times New Roman" w:eastAsia="宋体" w:cs="Times New Roman"/>
          <w:color w:val="auto"/>
          <w:sz w:val="24"/>
          <w:szCs w:val="24"/>
          <w:lang w:eastAsia="zh-CN"/>
        </w:rPr>
        <w:t>SL 174-2014</w:t>
      </w:r>
      <w:r>
        <w:rPr>
          <w:rFonts w:ascii="宋体" w:hAnsi="宋体" w:eastAsia="宋体" w:cs="宋体"/>
          <w:color w:val="auto"/>
          <w:sz w:val="24"/>
          <w:szCs w:val="24"/>
          <w:lang w:eastAsia="zh-CN"/>
        </w:rPr>
        <w:t>）。</w:t>
      </w:r>
    </w:p>
    <w:p w14:paraId="6F6F72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w:t>
      </w:r>
    </w:p>
    <w:p w14:paraId="2183E8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）《建筑基桩检测技术规范》（</w:t>
      </w:r>
      <w:r>
        <w:rPr>
          <w:rFonts w:hint="eastAsia" w:ascii="Times New Roman" w:hAnsi="Times New Roman" w:eastAsia="宋体" w:cs="Times New Roman"/>
          <w:color w:val="auto"/>
          <w:sz w:val="24"/>
          <w:szCs w:val="24"/>
          <w:lang w:eastAsia="zh-CN"/>
        </w:rPr>
        <w:t>JGJ 106-2014</w:t>
      </w:r>
      <w:r>
        <w:rPr>
          <w:rFonts w:ascii="宋体" w:hAnsi="宋体" w:eastAsia="宋体" w:cs="宋体"/>
          <w:color w:val="auto"/>
          <w:sz w:val="24"/>
          <w:szCs w:val="24"/>
          <w:lang w:eastAsia="zh-CN"/>
        </w:rPr>
        <w:t>）。</w:t>
      </w:r>
    </w:p>
    <w:p w14:paraId="5C83FA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）《水电水利工程振冲法地基处理技术规范》（</w:t>
      </w:r>
      <w:r>
        <w:rPr>
          <w:rFonts w:hint="eastAsia" w:ascii="Times New Roman" w:hAnsi="Times New Roman" w:eastAsia="宋体" w:cs="Times New Roman"/>
          <w:color w:val="auto"/>
          <w:sz w:val="24"/>
          <w:szCs w:val="24"/>
          <w:lang w:eastAsia="zh-CN"/>
        </w:rPr>
        <w:t xml:space="preserve">DL/T </w:t>
      </w:r>
      <w:r>
        <w:rPr>
          <w:rFonts w:ascii="Times New Roman" w:hAnsi="Times New Roman" w:eastAsia="Times New Roman" w:cs="Times New Roman"/>
          <w:color w:val="auto"/>
          <w:sz w:val="24"/>
          <w:szCs w:val="24"/>
          <w:lang w:eastAsia="zh-CN"/>
        </w:rPr>
        <w:t>5214</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2016</w:t>
      </w:r>
      <w:r>
        <w:rPr>
          <w:rFonts w:ascii="宋体" w:hAnsi="宋体" w:eastAsia="宋体" w:cs="宋体"/>
          <w:color w:val="auto"/>
          <w:sz w:val="24"/>
          <w:szCs w:val="24"/>
          <w:lang w:eastAsia="zh-CN"/>
        </w:rPr>
        <w:t>）。</w:t>
      </w:r>
    </w:p>
    <w:p w14:paraId="4E22F7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）《水工混凝土钢筋施工规范》（</w:t>
      </w:r>
      <w:r>
        <w:rPr>
          <w:rFonts w:hint="eastAsia" w:ascii="Times New Roman" w:hAnsi="Times New Roman" w:eastAsia="宋体" w:cs="Times New Roman"/>
          <w:color w:val="auto"/>
          <w:sz w:val="24"/>
          <w:szCs w:val="24"/>
          <w:lang w:eastAsia="zh-CN"/>
        </w:rPr>
        <w:t>DL/T 5169-2013</w:t>
      </w:r>
      <w:r>
        <w:rPr>
          <w:rFonts w:ascii="宋体" w:hAnsi="宋体" w:eastAsia="宋体" w:cs="宋体"/>
          <w:color w:val="auto"/>
          <w:sz w:val="24"/>
          <w:szCs w:val="24"/>
          <w:lang w:eastAsia="zh-CN"/>
        </w:rPr>
        <w:t>）。</w:t>
      </w:r>
    </w:p>
    <w:p w14:paraId="2E7377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）《建筑地基处理技术规范》（</w:t>
      </w:r>
      <w:r>
        <w:rPr>
          <w:rFonts w:hint="eastAsia" w:ascii="Times New Roman" w:hAnsi="Times New Roman" w:eastAsia="宋体" w:cs="Times New Roman"/>
          <w:color w:val="auto"/>
          <w:sz w:val="24"/>
          <w:szCs w:val="24"/>
          <w:lang w:eastAsia="zh-CN"/>
        </w:rPr>
        <w:t>JGJ 79-2012</w:t>
      </w:r>
      <w:r>
        <w:rPr>
          <w:rFonts w:ascii="宋体" w:hAnsi="宋体" w:eastAsia="宋体" w:cs="宋体"/>
          <w:color w:val="auto"/>
          <w:sz w:val="24"/>
          <w:szCs w:val="24"/>
          <w:lang w:eastAsia="zh-CN"/>
        </w:rPr>
        <w:t>）。</w:t>
      </w:r>
    </w:p>
    <w:p w14:paraId="1EC837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）《水电水利工程沉井施工技术规程》（</w:t>
      </w:r>
      <w:r>
        <w:fldChar w:fldCharType="begin"/>
      </w:r>
      <w:r>
        <w:rPr>
          <w:lang w:eastAsia="zh-CN"/>
        </w:rPr>
        <w:instrText xml:space="preserve">HYPERLINK "javascript:__doPostBack('ctl00$ctl00$ContentPlaceHolder1$ContentPlaceHolder1$rptList$ctl01$lbtnDetail','')"</w:instrText>
      </w:r>
      <w:r>
        <w:fldChar w:fldCharType="separate"/>
      </w:r>
      <w:r>
        <w:rPr>
          <w:rFonts w:hint="eastAsia" w:ascii="Times New Roman" w:hAnsi="Times New Roman" w:eastAsia="宋体" w:cs="Times New Roman"/>
          <w:color w:val="auto"/>
          <w:sz w:val="24"/>
          <w:szCs w:val="24"/>
          <w:lang w:eastAsia="zh-CN"/>
        </w:rPr>
        <w:t>DL/T 5702-2014</w:t>
      </w:r>
      <w:r>
        <w:fldChar w:fldCharType="end"/>
      </w:r>
      <w:r>
        <w:rPr>
          <w:rFonts w:ascii="宋体" w:hAnsi="宋体" w:eastAsia="宋体" w:cs="宋体"/>
          <w:color w:val="auto"/>
          <w:sz w:val="24"/>
          <w:szCs w:val="24"/>
          <w:lang w:eastAsia="zh-CN"/>
        </w:rPr>
        <w:t>）。</w:t>
      </w:r>
    </w:p>
    <w:p w14:paraId="01F9F1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）《水运工程塑料排水板应用技术规程》（</w:t>
      </w:r>
      <w:r>
        <w:rPr>
          <w:rFonts w:ascii="Times New Roman" w:hAnsi="Times New Roman" w:eastAsia="Times New Roman" w:cs="Times New Roman"/>
          <w:color w:val="auto"/>
          <w:sz w:val="24"/>
          <w:szCs w:val="24"/>
          <w:lang w:eastAsia="zh-CN"/>
        </w:rPr>
        <w:t>JTS206-1-2023</w:t>
      </w:r>
      <w:r>
        <w:rPr>
          <w:rFonts w:ascii="宋体" w:hAnsi="宋体" w:eastAsia="宋体" w:cs="宋体"/>
          <w:color w:val="auto"/>
          <w:sz w:val="24"/>
          <w:szCs w:val="24"/>
          <w:lang w:eastAsia="zh-CN"/>
        </w:rPr>
        <w:t>）。</w:t>
      </w:r>
    </w:p>
    <w:p w14:paraId="6C9F48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）《水利水电工程土工合成材料应用技术规范》（</w:t>
      </w:r>
      <w:r>
        <w:rPr>
          <w:rFonts w:hint="eastAsia" w:ascii="Times New Roman" w:hAnsi="Times New Roman" w:eastAsia="宋体" w:cs="Times New Roman"/>
          <w:color w:val="auto"/>
          <w:sz w:val="24"/>
          <w:szCs w:val="24"/>
          <w:lang w:eastAsia="zh-CN"/>
        </w:rPr>
        <w:t>SL/T 225-1998</w:t>
      </w:r>
      <w:r>
        <w:rPr>
          <w:rFonts w:ascii="宋体" w:hAnsi="宋体" w:eastAsia="宋体" w:cs="宋体"/>
          <w:color w:val="auto"/>
          <w:sz w:val="24"/>
          <w:szCs w:val="24"/>
          <w:lang w:eastAsia="zh-CN"/>
        </w:rPr>
        <w:t>）。</w:t>
      </w:r>
    </w:p>
    <w:p w14:paraId="35A16C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13</w:t>
      </w:r>
      <w:r>
        <w:rPr>
          <w:rFonts w:ascii="宋体" w:hAnsi="宋体" w:eastAsia="宋体" w:cs="宋体"/>
          <w:color w:val="auto"/>
          <w:sz w:val="24"/>
          <w:szCs w:val="24"/>
          <w:lang w:eastAsia="zh-CN"/>
        </w:rPr>
        <w:t>）《水运工程质量检验标准》（</w:t>
      </w:r>
      <w:r>
        <w:rPr>
          <w:rFonts w:ascii="Times New Roman" w:hAnsi="Times New Roman" w:eastAsia="Times New Roman" w:cs="Times New Roman"/>
          <w:color w:val="auto"/>
          <w:sz w:val="24"/>
          <w:szCs w:val="24"/>
          <w:lang w:eastAsia="zh-CN"/>
        </w:rPr>
        <w:t>JTS257-2008[2015</w:t>
      </w:r>
      <w:r>
        <w:rPr>
          <w:rFonts w:ascii="宋体" w:hAnsi="宋体" w:eastAsia="宋体" w:cs="宋体"/>
          <w:color w:val="auto"/>
          <w:sz w:val="24"/>
          <w:szCs w:val="24"/>
          <w:lang w:eastAsia="zh-CN"/>
        </w:rPr>
        <w:t>年局部修订</w:t>
      </w:r>
      <w:r>
        <w:rPr>
          <w:rFonts w:ascii="Times New Roman" w:hAnsi="Times New Roman" w:eastAsia="Times New Roman" w:cs="Times New Roman"/>
          <w:color w:val="auto"/>
          <w:sz w:val="24"/>
          <w:szCs w:val="24"/>
          <w:lang w:eastAsia="zh-CN"/>
        </w:rPr>
        <w:t>]</w:t>
      </w:r>
      <w:r>
        <w:rPr>
          <w:rFonts w:ascii="宋体" w:hAnsi="宋体" w:eastAsia="宋体" w:cs="宋体"/>
          <w:color w:val="auto"/>
          <w:sz w:val="24"/>
          <w:szCs w:val="24"/>
          <w:lang w:eastAsia="zh-CN"/>
        </w:rPr>
        <w:t>）。</w:t>
      </w:r>
    </w:p>
    <w:p w14:paraId="0CD2F0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14</w:t>
      </w:r>
      <w:r>
        <w:rPr>
          <w:rFonts w:ascii="宋体" w:hAnsi="宋体" w:eastAsia="宋体" w:cs="宋体"/>
          <w:color w:val="auto"/>
          <w:sz w:val="24"/>
          <w:szCs w:val="24"/>
          <w:lang w:eastAsia="zh-CN"/>
        </w:rPr>
        <w:t>）《型钢水泥土搅拌墙技术规程》（</w:t>
      </w:r>
      <w:r>
        <w:rPr>
          <w:rFonts w:hint="eastAsia" w:ascii="Times New Roman" w:hAnsi="Times New Roman" w:eastAsia="宋体" w:cs="Times New Roman"/>
          <w:color w:val="auto"/>
          <w:sz w:val="24"/>
          <w:szCs w:val="24"/>
          <w:lang w:eastAsia="zh-CN"/>
        </w:rPr>
        <w:t>JGJ/T 199-2010</w:t>
      </w:r>
      <w:r>
        <w:rPr>
          <w:rFonts w:ascii="宋体" w:hAnsi="宋体" w:eastAsia="宋体" w:cs="宋体"/>
          <w:color w:val="auto"/>
          <w:sz w:val="24"/>
          <w:szCs w:val="24"/>
          <w:lang w:eastAsia="zh-CN"/>
        </w:rPr>
        <w:t>）。</w:t>
      </w:r>
    </w:p>
    <w:p w14:paraId="135D8B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15</w:t>
      </w:r>
      <w:r>
        <w:rPr>
          <w:rFonts w:ascii="宋体" w:hAnsi="宋体" w:eastAsia="宋体" w:cs="宋体"/>
          <w:color w:val="auto"/>
          <w:sz w:val="24"/>
          <w:szCs w:val="24"/>
          <w:lang w:eastAsia="zh-CN"/>
        </w:rPr>
        <w:t>）《建筑基坑工程技术规程》（</w:t>
      </w:r>
      <w:r>
        <w:rPr>
          <w:rFonts w:ascii="Times New Roman" w:hAnsi="Times New Roman" w:eastAsia="Times New Roman" w:cs="Times New Roman"/>
          <w:color w:val="auto"/>
          <w:sz w:val="24"/>
          <w:szCs w:val="24"/>
          <w:lang w:eastAsia="zh-CN"/>
        </w:rPr>
        <w:t>DB33/T1096-2014</w:t>
      </w:r>
      <w:r>
        <w:rPr>
          <w:rFonts w:ascii="宋体" w:hAnsi="宋体" w:eastAsia="宋体" w:cs="宋体"/>
          <w:color w:val="auto"/>
          <w:sz w:val="24"/>
          <w:szCs w:val="24"/>
          <w:lang w:eastAsia="zh-CN"/>
        </w:rPr>
        <w:t>）。</w:t>
      </w:r>
    </w:p>
    <w:p w14:paraId="06B0ABBE">
      <w:pPr>
        <w:widowControl w:val="0"/>
        <w:kinsoku/>
        <w:topLinePunct/>
        <w:autoSpaceDE/>
        <w:autoSpaceDN/>
        <w:spacing w:line="520" w:lineRule="exact"/>
        <w:jc w:val="both"/>
        <w:outlineLvl w:val="2"/>
        <w:rPr>
          <w:rFonts w:hint="eastAsia" w:ascii="宋体" w:hAnsi="宋体" w:eastAsia="宋体" w:cs="宋体"/>
          <w:b/>
          <w:bCs/>
          <w:color w:val="auto"/>
          <w:sz w:val="24"/>
          <w:szCs w:val="24"/>
        </w:rPr>
      </w:pPr>
      <w:bookmarkStart w:id="1329" w:name="_Toc29239"/>
      <w:bookmarkStart w:id="1330" w:name="_Toc30520"/>
      <w:bookmarkStart w:id="1331" w:name="_Toc29887"/>
      <w:r>
        <w:rPr>
          <w:rFonts w:hint="eastAsia" w:ascii="宋体" w:hAnsi="宋体" w:eastAsia="宋体" w:cs="宋体"/>
          <w:b/>
          <w:bCs/>
          <w:color w:val="auto"/>
          <w:sz w:val="24"/>
          <w:szCs w:val="24"/>
        </w:rPr>
        <w:t>12.2</w:t>
      </w:r>
      <w:r>
        <w:rPr>
          <w:rFonts w:hint="eastAsia" w:ascii="宋体" w:hAnsi="宋体" w:eastAsia="宋体" w:cs="宋体"/>
          <w:b/>
          <w:bCs/>
          <w:color w:val="auto"/>
          <w:sz w:val="24"/>
          <w:szCs w:val="24"/>
          <w:lang w:eastAsia="zh-CN"/>
        </w:rPr>
        <w:t xml:space="preserve"> </w:t>
      </w:r>
      <w:bookmarkEnd w:id="1329"/>
      <w:r>
        <w:rPr>
          <w:rFonts w:hint="eastAsia" w:ascii="宋体" w:hAnsi="宋体" w:eastAsia="宋体" w:cs="宋体"/>
          <w:b/>
          <w:bCs/>
          <w:color w:val="auto"/>
          <w:sz w:val="24"/>
          <w:szCs w:val="24"/>
        </w:rPr>
        <w:t>TRD水泥搅拌墙</w:t>
      </w:r>
      <w:bookmarkEnd w:id="1330"/>
      <w:bookmarkEnd w:id="1331"/>
    </w:p>
    <w:p w14:paraId="42B95790">
      <w:pPr>
        <w:widowControl w:val="0"/>
        <w:numPr>
          <w:ilvl w:val="0"/>
          <w:numId w:val="8"/>
        </w:numPr>
        <w:kinsoku/>
        <w:topLinePunct/>
        <w:autoSpaceDE/>
        <w:autoSpaceDN/>
        <w:spacing w:line="520" w:lineRule="exact"/>
        <w:ind w:left="0" w:firstLine="42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水泥土地下连续墙采用P.0.42.5级普通硅酸盐水泥,水泥修量不小干25%(被加固土重度接18kN/mm2计算),膨润士掺量不小于5%,水灰比1.0～2.0。</w:t>
      </w:r>
    </w:p>
    <w:p w14:paraId="5B610A59">
      <w:pPr>
        <w:widowControl w:val="0"/>
        <w:numPr>
          <w:ilvl w:val="0"/>
          <w:numId w:val="8"/>
        </w:numPr>
        <w:kinsoku/>
        <w:topLinePunct/>
        <w:autoSpaceDE/>
        <w:autoSpaceDN/>
        <w:spacing w:line="520" w:lineRule="exact"/>
        <w:ind w:left="0" w:firstLine="42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墙厚700mm,墙顶和墙底允许偏差小于30mm,墙体垂直度偏差不大于1/250。</w:t>
      </w:r>
    </w:p>
    <w:p w14:paraId="34D6ECC6">
      <w:pPr>
        <w:widowControl w:val="0"/>
        <w:numPr>
          <w:ilvl w:val="0"/>
          <w:numId w:val="8"/>
        </w:numPr>
        <w:kinsoku/>
        <w:topLinePunct/>
        <w:autoSpaceDE/>
        <w:autoSpaceDN/>
        <w:spacing w:line="520" w:lineRule="exact"/>
        <w:ind w:left="0" w:firstLine="42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施工过程中一旦出现冷缝,则在接缝处对已成墙(长度为500)重新切割搅拌。</w:t>
      </w:r>
    </w:p>
    <w:p w14:paraId="344625BF">
      <w:pPr>
        <w:widowControl w:val="0"/>
        <w:numPr>
          <w:ilvl w:val="0"/>
          <w:numId w:val="8"/>
        </w:numPr>
        <w:kinsoku/>
        <w:topLinePunct/>
        <w:autoSpaceDE/>
        <w:autoSpaceDN/>
        <w:spacing w:line="520" w:lineRule="exact"/>
        <w:ind w:left="0" w:firstLine="42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拐角处采用各向两边外推2m以保证施工连续性和止水效果。</w:t>
      </w:r>
    </w:p>
    <w:p w14:paraId="0222E49C">
      <w:pPr>
        <w:widowControl w:val="0"/>
        <w:numPr>
          <w:ilvl w:val="0"/>
          <w:numId w:val="8"/>
        </w:numPr>
        <w:kinsoku/>
        <w:topLinePunct/>
        <w:autoSpaceDE/>
        <w:autoSpaceDN/>
        <w:spacing w:line="520" w:lineRule="exact"/>
        <w:ind w:left="0" w:firstLine="425"/>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应采用钻芯法检测水泥士的无侧限抗压强度及完整性。应钻取搅拌桩施工后28d龄期的水泥土芯样,抗压强度需达到1.2MPa，渗透系数不大于1.0x10cm/s。取芯数量不应少于3根。每根桩不宜少于五件试块。</w:t>
      </w:r>
      <w:r>
        <w:rPr>
          <w:rFonts w:hint="eastAsia" w:ascii="宋体" w:hAnsi="宋体" w:eastAsia="宋体" w:cs="宋体"/>
          <w:color w:val="auto"/>
          <w:sz w:val="24"/>
          <w:szCs w:val="24"/>
        </w:rPr>
        <w:t>钻孔取芯后空隙应注浆填充。</w:t>
      </w:r>
    </w:p>
    <w:p w14:paraId="0FA8EE72">
      <w:pPr>
        <w:widowControl w:val="0"/>
        <w:numPr>
          <w:ilvl w:val="0"/>
          <w:numId w:val="8"/>
        </w:numPr>
        <w:kinsoku/>
        <w:topLinePunct/>
        <w:autoSpaceDE/>
        <w:autoSpaceDN/>
        <w:spacing w:line="520" w:lineRule="exact"/>
        <w:ind w:left="0" w:firstLine="42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等厚度水泥士搅拌墙的设计墙深进行切割箱数量的准备,并通过分段续接切割箱挖掘,打入到设计深度。切割箱安装完毕后。进行等厚度水泥士墙体的施工。通过注入挖掘液先行挖掘士体至水平延长范围，再回撒横移充分混合、搅拌士体,切割箱内部的多段式测斜仪，可进行墙体的垂直精度管理。拔出切割箱时不应使孔内产生负压而造成周边地基沉降,注浆泵的工作流量应根据实际挖掘速度的变化作调整。</w:t>
      </w:r>
    </w:p>
    <w:p w14:paraId="5ED0409D">
      <w:pPr>
        <w:widowControl w:val="0"/>
        <w:numPr>
          <w:ilvl w:val="0"/>
          <w:numId w:val="8"/>
        </w:numPr>
        <w:kinsoku/>
        <w:topLinePunct/>
        <w:autoSpaceDE/>
        <w:autoSpaceDN/>
        <w:spacing w:line="520" w:lineRule="exact"/>
        <w:ind w:left="0" w:firstLine="42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等厚度水泥土搅拌墙应连续施工,当天成型墙体应搭棧已成型墙体约30～50cm,搭接区域应严格控制控掘速度,使国化液与混合泥浆充分混合、搅拌，搭接施工中须放慢搅拌速度保证替接质量。</w:t>
      </w:r>
    </w:p>
    <w:p w14:paraId="764BB687">
      <w:pPr>
        <w:widowControl w:val="0"/>
        <w:numPr>
          <w:ilvl w:val="0"/>
          <w:numId w:val="8"/>
        </w:numPr>
        <w:kinsoku/>
        <w:topLinePunct/>
        <w:autoSpaceDE/>
        <w:autoSpaceDN/>
        <w:spacing w:line="520" w:lineRule="exact"/>
        <w:ind w:left="0" w:firstLine="42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对于影响等厚度水泥土搅拌墙成墙质量的不良地质和地下障碍物,应事先予以处理后再进行等厚度水泥土搅拌墙的施工,同时应适当提高水泥掺量。</w:t>
      </w:r>
    </w:p>
    <w:p w14:paraId="51A63DAC">
      <w:pPr>
        <w:widowControl w:val="0"/>
        <w:numPr>
          <w:ilvl w:val="0"/>
          <w:numId w:val="8"/>
        </w:numPr>
        <w:kinsoku/>
        <w:topLinePunct/>
        <w:autoSpaceDE/>
        <w:autoSpaceDN/>
        <w:spacing w:line="520" w:lineRule="exact"/>
        <w:ind w:left="0" w:firstLine="425"/>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未尽事宜参见《渠式切割水泥士连续墙技术规程》(DBu33/T1086-2023)。</w:t>
      </w:r>
    </w:p>
    <w:p w14:paraId="7198C73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32" w:name="_Toc22176"/>
      <w:bookmarkStart w:id="1333" w:name="_Toc26109"/>
      <w:bookmarkStart w:id="1334" w:name="_Toc4702"/>
      <w:r>
        <w:rPr>
          <w:rFonts w:hint="eastAsia" w:ascii="宋体" w:hAnsi="宋体" w:eastAsia="宋体" w:cs="宋体"/>
          <w:b/>
          <w:bCs/>
          <w:color w:val="auto"/>
          <w:sz w:val="24"/>
          <w:szCs w:val="24"/>
          <w:lang w:eastAsia="zh-CN"/>
        </w:rPr>
        <w:t>12.3 混凝土灌注桩基础</w:t>
      </w:r>
      <w:bookmarkEnd w:id="1332"/>
      <w:bookmarkEnd w:id="1333"/>
      <w:bookmarkEnd w:id="1334"/>
    </w:p>
    <w:p w14:paraId="0D1FCA7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12.3.1 一般要求</w:t>
      </w:r>
    </w:p>
    <w:p w14:paraId="17A651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）本工程的混凝土灌注桩分为泥浆护壁钻孔灌注桩和沉管灌注桩。其适用范围为泥浆护壁正、反循环钻孔灌注桩、锤击沉管灌注桩和振动沉管灌注桩基础等的施工作业。</w:t>
      </w:r>
    </w:p>
    <w:p w14:paraId="6287FC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）承包人应根据施工图纸规定的桩位、桩型、桩径、桩长，复勘场地地质条件和持力层埋藏深度，选择成孔和成桩施工机具设备（包括打桩、锤击和压桩等的压力机械）。</w:t>
      </w:r>
    </w:p>
    <w:p w14:paraId="15E655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）成孔和成桩设备安装就位应平整和稳固，确保施工中不发生倾斜、移动；在桩架或桩管上应设置用于施工中观测深度和斜度的装置。</w:t>
      </w:r>
    </w:p>
    <w:p w14:paraId="407A99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）桩基工程施工前，应按施工图纸的规定和监理人的指示，进行成孔或成桩试验，以检验施工参数和工艺，并应将试验成果提交监理人。</w:t>
      </w:r>
    </w:p>
    <w:p w14:paraId="3A6DCBC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12.3.2 混凝土灌注桩施工</w:t>
      </w:r>
    </w:p>
    <w:p w14:paraId="212EEA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）材料。</w:t>
      </w:r>
    </w:p>
    <w:p w14:paraId="1FDAC7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）泥浆材料使用的膨润土和黏土质量应遵守</w:t>
      </w:r>
      <w:r>
        <w:rPr>
          <w:rFonts w:ascii="宋体" w:hAnsi="宋体" w:eastAsia="宋体" w:cs="宋体"/>
          <w:color w:val="auto"/>
          <w:spacing w:val="-20"/>
          <w:sz w:val="24"/>
          <w:szCs w:val="24"/>
          <w:lang w:eastAsia="zh-CN"/>
        </w:rPr>
        <w:t>《建筑桩基技术规范》（</w:t>
      </w:r>
      <w:r>
        <w:rPr>
          <w:rFonts w:hint="eastAsia" w:ascii="Times New Roman" w:hAnsi="Times New Roman" w:eastAsia="宋体" w:cs="Times New Roman"/>
          <w:color w:val="auto"/>
          <w:spacing w:val="-20"/>
          <w:sz w:val="24"/>
          <w:szCs w:val="24"/>
          <w:lang w:eastAsia="zh-CN"/>
        </w:rPr>
        <w:t>JGJ 94-2008</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w:t>
      </w:r>
      <w:r>
        <w:rPr>
          <w:rFonts w:ascii="宋体" w:hAnsi="宋体" w:eastAsia="宋体" w:cs="宋体"/>
          <w:color w:val="auto"/>
          <w:sz w:val="24"/>
          <w:szCs w:val="24"/>
          <w:lang w:eastAsia="zh-CN"/>
        </w:rPr>
        <w:t>节的规定。</w:t>
      </w:r>
    </w:p>
    <w:p w14:paraId="2727E6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）混凝土使用的水泥、骨料和外加剂应遵守</w:t>
      </w:r>
      <w:r>
        <w:rPr>
          <w:rFonts w:ascii="宋体" w:hAnsi="宋体" w:eastAsia="宋体" w:cs="宋体"/>
          <w:color w:val="auto"/>
          <w:spacing w:val="-20"/>
          <w:sz w:val="24"/>
          <w:szCs w:val="24"/>
          <w:lang w:eastAsia="zh-CN"/>
        </w:rPr>
        <w:t>《建筑桩基技术规范》（</w:t>
      </w:r>
      <w:r>
        <w:rPr>
          <w:rFonts w:hint="eastAsia" w:ascii="Times New Roman" w:hAnsi="Times New Roman" w:eastAsia="宋体" w:cs="Times New Roman"/>
          <w:color w:val="auto"/>
          <w:spacing w:val="-20"/>
          <w:sz w:val="24"/>
          <w:szCs w:val="24"/>
          <w:lang w:eastAsia="zh-CN"/>
        </w:rPr>
        <w:t>JGJ 94-2008</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6.2</w:t>
      </w:r>
      <w:r>
        <w:rPr>
          <w:rFonts w:ascii="宋体" w:hAnsi="宋体" w:eastAsia="宋体" w:cs="宋体"/>
          <w:color w:val="auto"/>
          <w:sz w:val="24"/>
          <w:szCs w:val="24"/>
          <w:lang w:eastAsia="zh-CN"/>
        </w:rPr>
        <w:t>节和</w:t>
      </w:r>
      <w:r>
        <w:rPr>
          <w:rFonts w:ascii="Times New Roman" w:hAnsi="Times New Roman" w:eastAsia="Times New Roman" w:cs="Times New Roman"/>
          <w:color w:val="auto"/>
          <w:sz w:val="24"/>
          <w:szCs w:val="24"/>
          <w:lang w:eastAsia="zh-CN"/>
        </w:rPr>
        <w:t>6.3</w:t>
      </w:r>
      <w:r>
        <w:rPr>
          <w:rFonts w:ascii="宋体" w:hAnsi="宋体" w:eastAsia="宋体" w:cs="宋体"/>
          <w:color w:val="auto"/>
          <w:sz w:val="24"/>
          <w:szCs w:val="24"/>
          <w:lang w:eastAsia="zh-CN"/>
        </w:rPr>
        <w:t>节的有关规定。</w:t>
      </w:r>
    </w:p>
    <w:p w14:paraId="40CBB6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）灌注桩钢筋笼使用的钢筋材料质量应遵守</w:t>
      </w:r>
      <w:r>
        <w:rPr>
          <w:rFonts w:ascii="宋体" w:hAnsi="宋体" w:eastAsia="宋体" w:cs="宋体"/>
          <w:color w:val="auto"/>
          <w:spacing w:val="-20"/>
          <w:sz w:val="24"/>
          <w:szCs w:val="24"/>
          <w:lang w:eastAsia="zh-CN"/>
        </w:rPr>
        <w:t>《建筑桩基技术规范》（</w:t>
      </w:r>
      <w:r>
        <w:rPr>
          <w:rFonts w:hint="eastAsia" w:ascii="Times New Roman" w:hAnsi="Times New Roman" w:eastAsia="宋体" w:cs="Times New Roman"/>
          <w:color w:val="auto"/>
          <w:spacing w:val="-20"/>
          <w:sz w:val="24"/>
          <w:szCs w:val="24"/>
          <w:lang w:eastAsia="zh-CN"/>
        </w:rPr>
        <w:t>JGJ 94-2008</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6.2.5</w:t>
      </w:r>
      <w:r>
        <w:rPr>
          <w:rFonts w:ascii="宋体" w:hAnsi="宋体" w:eastAsia="宋体" w:cs="宋体"/>
          <w:color w:val="auto"/>
          <w:sz w:val="24"/>
          <w:szCs w:val="24"/>
          <w:lang w:eastAsia="zh-CN"/>
        </w:rPr>
        <w:t>条的规定。</w:t>
      </w:r>
    </w:p>
    <w:p w14:paraId="621D99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）沉管灌注桩桩头应选用钢筋混凝土预制桩头；</w:t>
      </w:r>
      <w:r>
        <w:rPr>
          <w:rFonts w:ascii="宋体" w:hAnsi="宋体" w:eastAsia="宋体" w:cs="宋体"/>
          <w:color w:val="auto"/>
          <w:spacing w:val="-20"/>
          <w:sz w:val="24"/>
          <w:szCs w:val="24"/>
          <w:lang w:eastAsia="zh-CN"/>
        </w:rPr>
        <w:t>其混凝土强度等级应不低于</w:t>
      </w:r>
      <w:r>
        <w:rPr>
          <w:rFonts w:ascii="Times New Roman" w:hAnsi="Times New Roman" w:eastAsia="Times New Roman" w:cs="Times New Roman"/>
          <w:color w:val="auto"/>
          <w:spacing w:val="-20"/>
          <w:sz w:val="24"/>
          <w:szCs w:val="24"/>
          <w:lang w:eastAsia="zh-CN"/>
        </w:rPr>
        <w:t>C30</w:t>
      </w:r>
      <w:r>
        <w:rPr>
          <w:rFonts w:ascii="宋体" w:hAnsi="宋体" w:eastAsia="宋体" w:cs="宋体"/>
          <w:color w:val="auto"/>
          <w:sz w:val="24"/>
          <w:szCs w:val="24"/>
          <w:lang w:eastAsia="zh-CN"/>
        </w:rPr>
        <w:t>，钢号应选用</w:t>
      </w:r>
      <w:r>
        <w:rPr>
          <w:rFonts w:ascii="Times New Roman" w:hAnsi="Times New Roman" w:eastAsia="Times New Roman" w:cs="Times New Roman"/>
          <w:color w:val="auto"/>
          <w:sz w:val="24"/>
          <w:szCs w:val="24"/>
          <w:lang w:eastAsia="zh-CN"/>
        </w:rPr>
        <w:t>I</w:t>
      </w:r>
      <w:r>
        <w:rPr>
          <w:rFonts w:ascii="宋体" w:hAnsi="宋体" w:eastAsia="宋体" w:cs="宋体"/>
          <w:color w:val="auto"/>
          <w:sz w:val="24"/>
          <w:szCs w:val="24"/>
          <w:lang w:eastAsia="zh-CN"/>
        </w:rPr>
        <w:t>级钢。在硬土层中施工，尚应采用环形钢板加强。</w:t>
      </w:r>
    </w:p>
    <w:p w14:paraId="249351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）泥浆制备。</w:t>
      </w:r>
    </w:p>
    <w:p w14:paraId="42AA54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护壁泥浆选用膨润土或高塑性黏土制备的泥浆性能指标应遵守《建筑桩基技术规范》（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6.3.1</w:t>
      </w:r>
      <w:r>
        <w:rPr>
          <w:rFonts w:ascii="宋体" w:hAnsi="宋体" w:eastAsia="宋体" w:cs="宋体"/>
          <w:color w:val="auto"/>
          <w:sz w:val="24"/>
          <w:szCs w:val="24"/>
          <w:lang w:eastAsia="zh-CN"/>
        </w:rPr>
        <w:t>和</w:t>
      </w:r>
      <w:r>
        <w:rPr>
          <w:rFonts w:ascii="Times New Roman" w:hAnsi="Times New Roman" w:eastAsia="Times New Roman" w:cs="Times New Roman"/>
          <w:color w:val="auto"/>
          <w:sz w:val="24"/>
          <w:szCs w:val="24"/>
          <w:lang w:eastAsia="zh-CN"/>
        </w:rPr>
        <w:t>6.3.2</w:t>
      </w:r>
      <w:r>
        <w:rPr>
          <w:rFonts w:ascii="宋体" w:hAnsi="宋体" w:eastAsia="宋体" w:cs="宋体"/>
          <w:color w:val="auto"/>
          <w:sz w:val="24"/>
          <w:szCs w:val="24"/>
          <w:lang w:eastAsia="zh-CN"/>
        </w:rPr>
        <w:t>条的规定。</w:t>
      </w:r>
    </w:p>
    <w:p w14:paraId="1B81F4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）钻孔与沉管施工。</w:t>
      </w:r>
    </w:p>
    <w:p w14:paraId="638EFA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）泥浆护壁正、反循环钻孔灌注桩钻进成孔施工应遵守《建筑桩基技术规范》（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6.3.4</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6.3.8</w:t>
      </w:r>
      <w:r>
        <w:rPr>
          <w:rFonts w:ascii="宋体" w:hAnsi="宋体" w:eastAsia="宋体" w:cs="宋体"/>
          <w:color w:val="auto"/>
          <w:sz w:val="24"/>
          <w:szCs w:val="24"/>
          <w:lang w:eastAsia="zh-CN"/>
        </w:rPr>
        <w:t>条的有关规定。</w:t>
      </w:r>
    </w:p>
    <w:p w14:paraId="7F36361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）锤击沉管灌注桩沉管施工应遵守《建筑桩基技术规范》（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6.5</w:t>
      </w:r>
      <w:r>
        <w:rPr>
          <w:rFonts w:ascii="宋体" w:hAnsi="宋体" w:eastAsia="宋体" w:cs="宋体"/>
          <w:color w:val="auto"/>
          <w:sz w:val="24"/>
          <w:szCs w:val="24"/>
          <w:lang w:eastAsia="zh-CN"/>
        </w:rPr>
        <w:t>节有关规定。</w:t>
      </w:r>
    </w:p>
    <w:p w14:paraId="5DC626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）振动沉管灌注桩沉管施工应遵守</w:t>
      </w:r>
      <w:r>
        <w:rPr>
          <w:rFonts w:ascii="宋体" w:hAnsi="宋体" w:eastAsia="宋体" w:cs="宋体"/>
          <w:color w:val="auto"/>
          <w:spacing w:val="20"/>
          <w:sz w:val="24"/>
          <w:szCs w:val="24"/>
          <w:lang w:eastAsia="zh-CN"/>
        </w:rPr>
        <w:t>《建筑桩基技术规范》（</w:t>
      </w:r>
      <w:r>
        <w:rPr>
          <w:rFonts w:hint="eastAsia" w:ascii="Times New Roman" w:hAnsi="Times New Roman" w:eastAsia="宋体" w:cs="Times New Roman"/>
          <w:color w:val="auto"/>
          <w:spacing w:val="20"/>
          <w:sz w:val="24"/>
          <w:szCs w:val="24"/>
          <w:lang w:eastAsia="zh-CN"/>
        </w:rPr>
        <w:t>JGJ 94-2008</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6.5.7</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6.5.10</w:t>
      </w:r>
      <w:r>
        <w:rPr>
          <w:rFonts w:ascii="宋体" w:hAnsi="宋体" w:eastAsia="宋体" w:cs="宋体"/>
          <w:color w:val="auto"/>
          <w:sz w:val="24"/>
          <w:szCs w:val="24"/>
          <w:lang w:eastAsia="zh-CN"/>
        </w:rPr>
        <w:t>条有关规定。</w:t>
      </w:r>
    </w:p>
    <w:p w14:paraId="15B4CA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）冲击成孔与清孔。</w:t>
      </w:r>
    </w:p>
    <w:p w14:paraId="53BFAA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冲击成孔与清孔应遵守《建筑桩基技术规范》（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6.3.13</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6.3.17</w:t>
      </w:r>
      <w:r>
        <w:rPr>
          <w:rFonts w:ascii="宋体" w:hAnsi="宋体" w:eastAsia="宋体" w:cs="宋体"/>
          <w:color w:val="auto"/>
          <w:sz w:val="24"/>
          <w:szCs w:val="24"/>
          <w:lang w:eastAsia="zh-CN"/>
        </w:rPr>
        <w:t>条的有关规定，灌注桩成孔施工允许偏差应满足</w:t>
      </w:r>
      <w:r>
        <w:rPr>
          <w:rFonts w:ascii="宋体" w:hAnsi="宋体" w:eastAsia="宋体" w:cs="宋体"/>
          <w:color w:val="auto"/>
          <w:spacing w:val="-20"/>
          <w:sz w:val="24"/>
          <w:szCs w:val="24"/>
          <w:lang w:eastAsia="zh-CN"/>
        </w:rPr>
        <w:t>《建筑桩基技术规范》（</w:t>
      </w:r>
      <w:r>
        <w:rPr>
          <w:rFonts w:hint="eastAsia" w:ascii="Times New Roman" w:hAnsi="Times New Roman" w:eastAsia="宋体" w:cs="Times New Roman"/>
          <w:color w:val="auto"/>
          <w:spacing w:val="-20"/>
          <w:sz w:val="24"/>
          <w:szCs w:val="24"/>
          <w:lang w:eastAsia="zh-CN"/>
        </w:rPr>
        <w:t>JGJ 94-2008</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6.2.4</w:t>
      </w:r>
      <w:r>
        <w:rPr>
          <w:rFonts w:ascii="宋体" w:hAnsi="宋体" w:eastAsia="宋体" w:cs="宋体"/>
          <w:color w:val="auto"/>
          <w:sz w:val="24"/>
          <w:szCs w:val="24"/>
          <w:lang w:eastAsia="zh-CN"/>
        </w:rPr>
        <w:t>条的要求。</w:t>
      </w:r>
    </w:p>
    <w:p w14:paraId="7AFED0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）钢筋笼制作与吊放。</w:t>
      </w:r>
    </w:p>
    <w:p w14:paraId="1CA47E1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）钢筋笼的制作应遵守《建筑桩基技术规范》（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6.2.5</w:t>
      </w:r>
      <w:r>
        <w:rPr>
          <w:rFonts w:ascii="宋体" w:hAnsi="宋体" w:eastAsia="宋体" w:cs="宋体"/>
          <w:color w:val="auto"/>
          <w:sz w:val="24"/>
          <w:szCs w:val="24"/>
          <w:lang w:eastAsia="zh-CN"/>
        </w:rPr>
        <w:t>条的有关的规定。</w:t>
      </w:r>
    </w:p>
    <w:p w14:paraId="6D85D5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）分段制作的钢筋笼连接方式应按施工图纸的要求及遵守有关技术规范的规定。</w:t>
      </w:r>
    </w:p>
    <w:p w14:paraId="4256C2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）水下混凝土制备和灌注。</w:t>
      </w:r>
    </w:p>
    <w:p w14:paraId="157DE1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水下混凝土制备和灌注应遵守《建筑桩基技术规范》</w:t>
      </w:r>
      <w:r>
        <w:rPr>
          <w:rFonts w:ascii="宋体" w:hAnsi="宋体" w:eastAsia="宋体" w:cs="宋体"/>
          <w:color w:val="auto"/>
          <w:spacing w:val="-20"/>
          <w:sz w:val="24"/>
          <w:szCs w:val="24"/>
          <w:lang w:eastAsia="zh-CN"/>
        </w:rPr>
        <w:t>（</w:t>
      </w:r>
      <w:r>
        <w:rPr>
          <w:rFonts w:hint="eastAsia" w:ascii="Times New Roman" w:hAnsi="Times New Roman" w:eastAsia="宋体" w:cs="Times New Roman"/>
          <w:color w:val="auto"/>
          <w:spacing w:val="-20"/>
          <w:sz w:val="24"/>
          <w:szCs w:val="24"/>
          <w:lang w:eastAsia="zh-CN"/>
        </w:rPr>
        <w:t>JGJ 94-2008</w:t>
      </w:r>
      <w:r>
        <w:rPr>
          <w:rFonts w:ascii="宋体" w:hAnsi="宋体" w:eastAsia="宋体" w:cs="宋体"/>
          <w:color w:val="auto"/>
          <w:spacing w:val="-20"/>
          <w:sz w:val="24"/>
          <w:szCs w:val="24"/>
          <w:lang w:eastAsia="zh-CN"/>
        </w:rPr>
        <w:t>）第</w:t>
      </w:r>
      <w:r>
        <w:rPr>
          <w:rFonts w:ascii="Times New Roman" w:hAnsi="Times New Roman" w:eastAsia="Times New Roman" w:cs="Times New Roman"/>
          <w:color w:val="auto"/>
          <w:spacing w:val="-20"/>
          <w:sz w:val="24"/>
          <w:szCs w:val="24"/>
          <w:lang w:eastAsia="zh-CN"/>
        </w:rPr>
        <w:t>6.3.26</w:t>
      </w:r>
      <w:r>
        <w:rPr>
          <w:rFonts w:hint="eastAsia" w:ascii="宋体" w:hAnsi="宋体" w:eastAsia="宋体" w:cs="宋体"/>
          <w:color w:val="auto"/>
          <w:spacing w:val="-20"/>
          <w:sz w:val="24"/>
          <w:szCs w:val="24"/>
          <w:lang w:eastAsia="zh-CN"/>
        </w:rPr>
        <w:t>～</w:t>
      </w:r>
      <w:r>
        <w:rPr>
          <w:rFonts w:ascii="Times New Roman" w:hAnsi="Times New Roman" w:eastAsia="Times New Roman" w:cs="Times New Roman"/>
          <w:color w:val="auto"/>
          <w:spacing w:val="-20"/>
          <w:sz w:val="24"/>
          <w:szCs w:val="24"/>
          <w:lang w:eastAsia="zh-CN"/>
        </w:rPr>
        <w:t>6.3.30</w:t>
      </w:r>
      <w:r>
        <w:rPr>
          <w:rFonts w:ascii="宋体" w:hAnsi="宋体" w:eastAsia="宋体" w:cs="宋体"/>
          <w:color w:val="auto"/>
          <w:sz w:val="24"/>
          <w:szCs w:val="24"/>
          <w:lang w:eastAsia="zh-CN"/>
        </w:rPr>
        <w:t>条的有关规定。</w:t>
      </w:r>
    </w:p>
    <w:p w14:paraId="193001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）沉管起拔。</w:t>
      </w:r>
    </w:p>
    <w:p w14:paraId="61BCFB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）配有钢筋笼的沉管，在放置钢筋笼前，应先灌注部分混凝土至笼底高程，放置钢筋笼后再灌注混凝土至桩顶。</w:t>
      </w:r>
    </w:p>
    <w:p w14:paraId="2A0FED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）分段起拔沉管时，前一段拔管高度应能容纳下一段灌入的混凝土量。</w:t>
      </w:r>
    </w:p>
    <w:p w14:paraId="401DA0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）采用倒打拔管法时，在管底未拔到桩顶高程前，倒打和轻击不得中断。</w:t>
      </w:r>
    </w:p>
    <w:p w14:paraId="4BA121C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12.3.3 质量检查和验收</w:t>
      </w:r>
    </w:p>
    <w:p w14:paraId="7F9902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承包人应会同监理人进行以下项目的质量检查和验收，将其检查和验收记录提交监理人。</w:t>
      </w:r>
    </w:p>
    <w:p w14:paraId="2BFBAE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）灌注桩混凝土浇筑前，应检查的内容包括：</w:t>
      </w:r>
    </w:p>
    <w:p w14:paraId="7171B1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）桩位现场放样成果检查。</w:t>
      </w:r>
    </w:p>
    <w:p w14:paraId="31C4B5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）终孔和清孔质量的检查。</w:t>
      </w:r>
    </w:p>
    <w:p w14:paraId="62835E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）钢筋笼加工尺寸和焊接质量的检查及钢筋笼吊放定位尺寸和保护层厚度的检查。</w:t>
      </w:r>
    </w:p>
    <w:p w14:paraId="64C27B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）导管和预埋管埋设位置和埋设深度的检查。</w:t>
      </w:r>
    </w:p>
    <w:p w14:paraId="140828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）灌注桩混凝土浇筑质量的检查内容包括：</w:t>
      </w:r>
    </w:p>
    <w:p w14:paraId="18078C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）混凝土原材料的抽样检查。</w:t>
      </w:r>
    </w:p>
    <w:p w14:paraId="74B0579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）混凝土现场取样试验的成果检验。</w:t>
      </w:r>
    </w:p>
    <w:p w14:paraId="2C1CA5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）水下混凝土浇筑工艺和浇筑质量检查。</w:t>
      </w:r>
    </w:p>
    <w:p w14:paraId="621280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）灌注桩成桩质量检查内容包括：</w:t>
      </w:r>
    </w:p>
    <w:p w14:paraId="7ADB30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）灌注桩桩位的检查。</w:t>
      </w:r>
    </w:p>
    <w:p w14:paraId="45E4CD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）灌注桩的有效桩径的检查。</w:t>
      </w:r>
    </w:p>
    <w:p w14:paraId="759E39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）灌注桩的顶底高程和有效长度的检查。</w:t>
      </w:r>
    </w:p>
    <w:p w14:paraId="52141E1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）灌注桩的贯入度标准检验。</w:t>
      </w:r>
    </w:p>
    <w:p w14:paraId="68D30F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）灌注桩承载力检验成果的质量检查。</w:t>
      </w:r>
    </w:p>
    <w:p w14:paraId="040F355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）灌注桩的成桩检验。</w:t>
      </w:r>
    </w:p>
    <w:p w14:paraId="567D9A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混凝土灌注桩的质量检验标准应符合《建筑地基基础工程施工质量验收标准》（</w:t>
      </w:r>
      <w:r>
        <w:rPr>
          <w:rFonts w:hint="eastAsia" w:ascii="Times New Roman" w:hAnsi="Times New Roman" w:eastAsia="宋体" w:cs="Times New Roman"/>
          <w:color w:val="auto"/>
          <w:sz w:val="24"/>
          <w:szCs w:val="24"/>
          <w:lang w:eastAsia="zh-CN"/>
        </w:rPr>
        <w:t>GB 50202-2018</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节～</w:t>
      </w:r>
      <w:r>
        <w:rPr>
          <w:rFonts w:ascii="Times New Roman" w:hAnsi="Times New Roman" w:eastAsia="Times New Roman" w:cs="Times New Roman"/>
          <w:color w:val="auto"/>
          <w:sz w:val="24"/>
          <w:szCs w:val="24"/>
          <w:lang w:eastAsia="zh-CN"/>
        </w:rPr>
        <w:t>5.9</w:t>
      </w:r>
      <w:r>
        <w:rPr>
          <w:rFonts w:ascii="宋体" w:hAnsi="宋体" w:eastAsia="宋体" w:cs="宋体"/>
          <w:color w:val="auto"/>
          <w:sz w:val="24"/>
          <w:szCs w:val="24"/>
          <w:lang w:eastAsia="zh-CN"/>
        </w:rPr>
        <w:t>节规定。</w:t>
      </w:r>
    </w:p>
    <w:p w14:paraId="2B9A294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12.3.4 灌注桩工程的完工验收</w:t>
      </w:r>
    </w:p>
    <w:p w14:paraId="542F69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混凝土灌注桩工程全部完工后，承包人应向监理人申请完工验收，并提交完工验收资料：</w:t>
      </w:r>
    </w:p>
    <w:p w14:paraId="39F9EC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）混凝土灌注桩基工程等竣工图和说明书。</w:t>
      </w:r>
    </w:p>
    <w:p w14:paraId="43EC48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）混凝土灌注桩基工程材料试验成果报告。</w:t>
      </w:r>
    </w:p>
    <w:p w14:paraId="5A9600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）混凝土灌注桩基工程试桩、桩基承载试验报告和桩位定位测量试验记录。</w:t>
      </w:r>
    </w:p>
    <w:p w14:paraId="47AC9A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）质量检查记录和质量事故处理报告。</w:t>
      </w:r>
    </w:p>
    <w:p w14:paraId="43BE1C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）监理人要求提交的其他完工资料。</w:t>
      </w:r>
    </w:p>
    <w:p w14:paraId="6F54688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35" w:name="_Toc10997"/>
      <w:bookmarkStart w:id="1336" w:name="_Toc20186"/>
      <w:bookmarkStart w:id="1337" w:name="_Toc17985"/>
      <w:r>
        <w:rPr>
          <w:rFonts w:hint="eastAsia" w:ascii="宋体" w:hAnsi="宋体" w:eastAsia="宋体" w:cs="宋体"/>
          <w:b/>
          <w:bCs/>
          <w:color w:val="auto"/>
          <w:sz w:val="24"/>
          <w:szCs w:val="24"/>
          <w:lang w:eastAsia="zh-CN"/>
        </w:rPr>
        <w:t xml:space="preserve">12.4 </w:t>
      </w:r>
      <w:bookmarkEnd w:id="1335"/>
      <w:r>
        <w:rPr>
          <w:rFonts w:hint="eastAsia" w:ascii="宋体" w:hAnsi="宋体" w:eastAsia="宋体" w:cs="宋体"/>
          <w:b/>
          <w:bCs/>
          <w:color w:val="auto"/>
          <w:sz w:val="24"/>
          <w:szCs w:val="24"/>
          <w:lang w:eastAsia="zh-CN"/>
        </w:rPr>
        <w:t>喷搅一体化水泥土桩</w:t>
      </w:r>
      <w:bookmarkEnd w:id="1336"/>
      <w:bookmarkEnd w:id="1337"/>
    </w:p>
    <w:p w14:paraId="143A8C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被动区及主动区加固用喷搅一体化水泥土桩(以下简称“水泥土桩”)桩径为1.6m,搭接宽度400mm；采用42.5普通硅酸盐水泥,建议水泥掺量30%,具体掺量应根据现场试验确定,土体重度按18.00kN/m³计算；水灰比为1.0～1.2,注浆压力不小于40MPa；水泥应新鲜、干燥、无结块现象,并应对地基土体的有机质成分及其含量进行调查,必要时采用外加剂以保证成桩质量。</w:t>
      </w:r>
    </w:p>
    <w:p w14:paraId="253206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施工设备组成主要包括：钻机、多孔钻具(三重管)、高压水泵、搅拌系统、空气压缩机、起吊设备等；桩机先行下钻(孔径30cm)至设计深度,喷射清水切削液化土体,提升钻头至液化土体处并打开搅拌叶片,叶片打开后,开始喷射水泥浆液,边提升喷射边搅拌,形成喷搅一体化水泥土桩。本工程需穿越人工填土可能存在大块石,为确保成桩质量,应在正式施工前进行成孔试验,确定合适成孔设备及工艺。</w:t>
      </w:r>
    </w:p>
    <w:p w14:paraId="0B27D3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施工机械需具备自动化数据采集系统及数字化显示系统,对施工深度、扭矩、钻杆下压力、转速、提升速度、累计提升量、钻杆倾斜度、喷射流量等数据进行实时监控,确保提升速度与喷射流量的匹配度,做到精细化控制,确保成桩质量；施工机械需具备数据自动存储功能,以便进行成桩数据分析及质量管理。</w:t>
      </w:r>
    </w:p>
    <w:p w14:paraId="11E692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（4）桩位定位偏差不超过50mm,桩径偏差不超过50mm,垂直度偏差不超过1%。</w:t>
      </w:r>
    </w:p>
    <w:p w14:paraId="559C8D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（5）控制钻具提升速度,一般提升速度不大于0.5m/min(实施阶段根据工艺性试验确定),桩体施工必须保持连续性和均匀性。</w:t>
      </w:r>
    </w:p>
    <w:p w14:paraId="71DA81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（6）在水泥土桩的施工过程中,须对基坑周边沉降及位移进行监测,并根据监测资料,合理控制施工过程中设备的压力、扭矩和提升速度等参数。</w:t>
      </w:r>
    </w:p>
    <w:p w14:paraId="66A454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（7）水泥土桩施工前需清除施工范围内的地下障碍物,并采用粘性土回填压实。</w:t>
      </w:r>
    </w:p>
    <w:p w14:paraId="495999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（8）水泥土桩大面积施工前必须进行试桩,以明确水泥土桩的相关施工参数,并经设计确认后实施。</w:t>
      </w:r>
    </w:p>
    <w:p w14:paraId="0D60BCD4">
      <w:pPr>
        <w:widowControl w:val="0"/>
        <w:kinsoku/>
        <w:topLinePunct/>
        <w:autoSpaceDE/>
        <w:autoSpaceDN/>
        <w:spacing w:line="520" w:lineRule="exact"/>
        <w:ind w:firstLine="480" w:firstLineChars="200"/>
        <w:jc w:val="both"/>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9）水泥土桩施工完成并达到28天龄期后,应现场随机抽样并进行钻孔取芯检测。被动区及主动区加固28d钻孔取芯无侧限抗压强度标准值在粘性土层中不小于0.8MPa,在砂质土层中不小于1.2MPa。桩体强度达到要求且检测报告经设计单位确认后,方可进行基坑开挖。取芯试验应采用地质钻机并选择可靠的取芯工具,钻取的芯样应立即密封并及时进行无侧限抗压强度试验。每种桩型的抽检数量不少于其总桩数的3%,且不少于3根,每组芯样不少于3个试块。</w:t>
      </w:r>
    </w:p>
    <w:p w14:paraId="5338C1A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38" w:name="_Toc6508"/>
      <w:bookmarkStart w:id="1339" w:name="_Toc24717"/>
      <w:bookmarkStart w:id="1340" w:name="_Toc13562"/>
      <w:r>
        <w:rPr>
          <w:rFonts w:hint="eastAsia" w:ascii="宋体" w:hAnsi="宋体" w:eastAsia="宋体" w:cs="宋体"/>
          <w:b/>
          <w:bCs/>
          <w:color w:val="auto"/>
          <w:sz w:val="24"/>
          <w:szCs w:val="24"/>
          <w:lang w:eastAsia="zh-CN"/>
        </w:rPr>
        <w:t>12.5 混凝土预制桩</w:t>
      </w:r>
      <w:bookmarkEnd w:id="1338"/>
      <w:bookmarkEnd w:id="1339"/>
      <w:bookmarkEnd w:id="1340"/>
    </w:p>
    <w:p w14:paraId="4369AC5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12.5.1 一般要求</w:t>
      </w:r>
    </w:p>
    <w:p w14:paraId="480621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）混凝土预制桩的预制场地必须平整、坚实，并设沉淀池、排水沟渠等设施。混凝土预制桩制作完成后，作为隔离桩使用的塑料薄膜、油毡等，不得随意丢弃，应收集并集中进行处理。</w:t>
      </w:r>
    </w:p>
    <w:p w14:paraId="2E519A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）承包人应根据施工图纸规定的桩位、桩型、桩径、桩长，复勘场地地质条件和持力层埋藏深度，选择合适的成桩施工机具设备。</w:t>
      </w:r>
    </w:p>
    <w:p w14:paraId="0B9B73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）成桩设备安装就位应平整和稳固，确保施工中不发生倾斜、移动；在桩架或桩管上应设置用于施工中观测深度和斜度的装置。</w:t>
      </w:r>
    </w:p>
    <w:p w14:paraId="65AC77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）桩基工程施工前，应按施工图纸的规定和监理人的指示，进行成桩试验，以检验施工参数和工艺，并应将试验成果提交监理人。</w:t>
      </w:r>
    </w:p>
    <w:p w14:paraId="246612A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12.5.2 预制桩制作</w:t>
      </w:r>
    </w:p>
    <w:p w14:paraId="7AE782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）制桩模板宜采用钢模板，模板应具有足够的刚度，并应平整，尺寸应准确。</w:t>
      </w:r>
    </w:p>
    <w:p w14:paraId="1E8C8B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）预制桩钢筋骨架的允许偏差应遵守《建筑桩基技术规范》（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7.1.4</w:t>
      </w:r>
      <w:r>
        <w:rPr>
          <w:rFonts w:ascii="宋体" w:hAnsi="宋体" w:eastAsia="宋体" w:cs="宋体"/>
          <w:color w:val="auto"/>
          <w:sz w:val="24"/>
          <w:szCs w:val="24"/>
          <w:lang w:eastAsia="zh-CN"/>
        </w:rPr>
        <w:t>条的有关规定。</w:t>
      </w:r>
    </w:p>
    <w:p w14:paraId="10CABC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）锤击预制桩的骨料粒径宜为</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40mm</w:t>
      </w:r>
      <w:r>
        <w:rPr>
          <w:rFonts w:ascii="宋体" w:hAnsi="宋体" w:eastAsia="宋体" w:cs="宋体"/>
          <w:color w:val="auto"/>
          <w:sz w:val="24"/>
          <w:szCs w:val="24"/>
          <w:lang w:eastAsia="zh-CN"/>
        </w:rPr>
        <w:t>。</w:t>
      </w:r>
    </w:p>
    <w:p w14:paraId="4CA326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）混凝土预制桩的表面应平整、密实，制作允许偏差应遵守《建筑桩基技术规范》（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7.1.10</w:t>
      </w:r>
      <w:r>
        <w:rPr>
          <w:rFonts w:ascii="宋体" w:hAnsi="宋体" w:eastAsia="宋体" w:cs="宋体"/>
          <w:color w:val="auto"/>
          <w:sz w:val="24"/>
          <w:szCs w:val="24"/>
          <w:lang w:eastAsia="zh-CN"/>
        </w:rPr>
        <w:t>条的有关规定。</w:t>
      </w:r>
    </w:p>
    <w:p w14:paraId="29FB8B6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12.5.3 预制桩的起吊、运输和堆放</w:t>
      </w:r>
    </w:p>
    <w:p w14:paraId="321F8A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预制桩的起吊、运输和堆放应遵守《建筑桩基技术规范》（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7.2</w:t>
      </w:r>
      <w:r>
        <w:rPr>
          <w:rFonts w:ascii="宋体" w:hAnsi="宋体" w:eastAsia="宋体" w:cs="宋体"/>
          <w:color w:val="auto"/>
          <w:sz w:val="24"/>
          <w:szCs w:val="24"/>
          <w:lang w:eastAsia="zh-CN"/>
        </w:rPr>
        <w:t>节的有关规定。</w:t>
      </w:r>
    </w:p>
    <w:p w14:paraId="7F1A67D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12.5.4 预制桩的接桩</w:t>
      </w:r>
    </w:p>
    <w:p w14:paraId="330DEA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预制桩的接桩应遵守《建筑桩基技术规范》（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7.3</w:t>
      </w:r>
      <w:r>
        <w:rPr>
          <w:rFonts w:ascii="宋体" w:hAnsi="宋体" w:eastAsia="宋体" w:cs="宋体"/>
          <w:color w:val="auto"/>
          <w:sz w:val="24"/>
          <w:szCs w:val="24"/>
          <w:lang w:eastAsia="zh-CN"/>
        </w:rPr>
        <w:t>节的有关规定。</w:t>
      </w:r>
    </w:p>
    <w:p w14:paraId="37E87E6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12.5.5 锤击沉桩</w:t>
      </w:r>
    </w:p>
    <w:p w14:paraId="6D46A8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锤击沉桩应遵守《建筑桩基技术规范》（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7.4</w:t>
      </w:r>
      <w:r>
        <w:rPr>
          <w:rFonts w:ascii="宋体" w:hAnsi="宋体" w:eastAsia="宋体" w:cs="宋体"/>
          <w:color w:val="auto"/>
          <w:sz w:val="24"/>
          <w:szCs w:val="24"/>
          <w:lang w:eastAsia="zh-CN"/>
        </w:rPr>
        <w:t>节的有关规定。</w:t>
      </w:r>
    </w:p>
    <w:p w14:paraId="4AC03FE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12.5.6 静压沉桩</w:t>
      </w:r>
    </w:p>
    <w:p w14:paraId="4C60F7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静压沉桩应遵守《建筑桩基技术规范》（</w:t>
      </w:r>
      <w:r>
        <w:rPr>
          <w:rFonts w:hint="eastAsia" w:ascii="Times New Roman" w:hAnsi="Times New Roman" w:eastAsia="宋体" w:cs="Times New Roman"/>
          <w:color w:val="auto"/>
          <w:sz w:val="24"/>
          <w:szCs w:val="24"/>
          <w:lang w:eastAsia="zh-CN"/>
        </w:rPr>
        <w:t>JGJ 94-2008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7.5</w:t>
      </w:r>
      <w:r>
        <w:rPr>
          <w:rFonts w:ascii="宋体" w:hAnsi="宋体" w:eastAsia="宋体" w:cs="宋体"/>
          <w:color w:val="auto"/>
          <w:sz w:val="24"/>
          <w:szCs w:val="24"/>
          <w:lang w:eastAsia="zh-CN"/>
        </w:rPr>
        <w:t>节的有关规定。</w:t>
      </w:r>
    </w:p>
    <w:p w14:paraId="3F1546D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12.5.7 质量检查和验收</w:t>
      </w:r>
    </w:p>
    <w:p w14:paraId="2E4AD7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静力压桩施工的质量检验标准应遵守《建筑地基基础工程施工质量验收标准》（</w:t>
      </w:r>
      <w:r>
        <w:rPr>
          <w:rFonts w:hint="eastAsia" w:ascii="Times New Roman" w:hAnsi="Times New Roman" w:eastAsia="宋体" w:cs="Times New Roman"/>
          <w:color w:val="auto"/>
          <w:sz w:val="24"/>
          <w:szCs w:val="24"/>
          <w:lang w:eastAsia="zh-CN"/>
        </w:rPr>
        <w:t>GB 50202-2018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5.5</w:t>
      </w:r>
      <w:r>
        <w:rPr>
          <w:rFonts w:ascii="宋体" w:hAnsi="宋体" w:eastAsia="宋体" w:cs="宋体"/>
          <w:color w:val="auto"/>
          <w:sz w:val="24"/>
          <w:szCs w:val="24"/>
          <w:lang w:eastAsia="zh-CN"/>
        </w:rPr>
        <w:t>节的有关规定。</w:t>
      </w:r>
    </w:p>
    <w:p w14:paraId="0845DA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锤击施工混凝土预制桩的质量检验标准应遵守《建筑地基基础工程施工质量验收标准》（</w:t>
      </w:r>
      <w:r>
        <w:rPr>
          <w:rFonts w:hint="eastAsia" w:ascii="Times New Roman" w:hAnsi="Times New Roman" w:eastAsia="宋体" w:cs="Times New Roman"/>
          <w:color w:val="auto"/>
          <w:sz w:val="24"/>
          <w:szCs w:val="24"/>
          <w:lang w:eastAsia="zh-CN"/>
        </w:rPr>
        <w:t>GB 50202-2018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5.5</w:t>
      </w:r>
      <w:r>
        <w:rPr>
          <w:rFonts w:ascii="宋体" w:hAnsi="宋体" w:eastAsia="宋体" w:cs="宋体"/>
          <w:color w:val="auto"/>
          <w:sz w:val="24"/>
          <w:szCs w:val="24"/>
          <w:lang w:eastAsia="zh-CN"/>
        </w:rPr>
        <w:t>节的有关规定。</w:t>
      </w:r>
    </w:p>
    <w:p w14:paraId="7AE7793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12.5.8 完工验收</w:t>
      </w:r>
    </w:p>
    <w:p w14:paraId="1D22C4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混凝土预制桩基础工程完工后，承包人应向监理人申请完工验收，并提交以下完工验收资料：</w:t>
      </w:r>
    </w:p>
    <w:p w14:paraId="59D249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）预制桩基工程等竣工图和说明书。</w:t>
      </w:r>
    </w:p>
    <w:p w14:paraId="7350A5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）预制桩基工程材料、钢筋骨架试验成果报告。</w:t>
      </w:r>
    </w:p>
    <w:p w14:paraId="77FCCC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）预制桩基工程试桩、桩基承载试验报告和定位测量试验记录。</w:t>
      </w:r>
    </w:p>
    <w:p w14:paraId="383592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）质量检查记录和质量事故处理报告。</w:t>
      </w:r>
    </w:p>
    <w:p w14:paraId="7A50F9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）监理人要求提交的其他完工资料。</w:t>
      </w:r>
    </w:p>
    <w:p w14:paraId="0F766CC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41" w:name="_Toc7891"/>
      <w:bookmarkStart w:id="1342" w:name="_Toc110"/>
      <w:bookmarkStart w:id="1343" w:name="_Toc5875"/>
      <w:r>
        <w:rPr>
          <w:rFonts w:hint="eastAsia" w:ascii="宋体" w:hAnsi="宋体" w:eastAsia="宋体" w:cs="宋体"/>
          <w:b/>
          <w:bCs/>
          <w:color w:val="auto"/>
          <w:sz w:val="24"/>
          <w:szCs w:val="24"/>
          <w:lang w:eastAsia="zh-CN"/>
        </w:rPr>
        <w:t>12.6 水泥搅拌桩</w:t>
      </w:r>
      <w:bookmarkEnd w:id="1341"/>
      <w:bookmarkEnd w:id="1342"/>
      <w:bookmarkEnd w:id="1343"/>
    </w:p>
    <w:p w14:paraId="4D38036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12.6.1 一般要求</w:t>
      </w:r>
    </w:p>
    <w:p w14:paraId="78E782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泥搅拌桩施工前，对施工场地及周围环境作业调查应包括机械设备和材料的运输线路、施工场地、作业空间、地下障碍物的状况等。对影响水泥土搅拌桩成桩质量及施工安全的地质条件（含地层构造、土性、地下水等）必须详细调查。</w:t>
      </w:r>
    </w:p>
    <w:p w14:paraId="649779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）水泥搅拌桩施工现场事先应予以平整，必须清除地上和地下的障碍物。遇有明浜、池塘及洼地时应抽水和清淤，回填粘性土料并予以压实，不得回填杂填土或生活垃圾。</w:t>
      </w:r>
    </w:p>
    <w:p w14:paraId="22275E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）水泥土搅拌桩施工前，应按照搅拌桩桩位布置图进行测量放样并复核验收。根据确定的施工顺序，安排配套机具、水泥等物资的放置位置。</w:t>
      </w:r>
    </w:p>
    <w:p w14:paraId="5B539A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）水泥土搅拌桩施工前应根据设计按照监理人指示进行工艺性试桩，数量不得少于</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根，以检验施工参数和工艺，并应将试验成果提交监理人。当桩周为成层土时，应对相对软弱土层增加搅拌次数或增加水泥掺量。</w:t>
      </w:r>
    </w:p>
    <w:p w14:paraId="316060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）搅拌头翼片的枚数、宽度、与搅拌轴的垂直夹角、搅拌头的回转数、提升速度应相互匹配，以确保加固深度范围内土体的任何一点均能经过</w:t>
      </w:r>
      <w:r>
        <w:rPr>
          <w:rFonts w:ascii="Times New Roman" w:hAnsi="Times New Roman" w:eastAsia="Times New Roman" w:cs="Times New Roman"/>
          <w:color w:val="auto"/>
          <w:sz w:val="24"/>
          <w:szCs w:val="24"/>
          <w:lang w:eastAsia="zh-CN"/>
        </w:rPr>
        <w:t>20</w:t>
      </w:r>
      <w:r>
        <w:rPr>
          <w:rFonts w:ascii="宋体" w:hAnsi="宋体" w:eastAsia="宋体" w:cs="宋体"/>
          <w:color w:val="auto"/>
          <w:sz w:val="24"/>
          <w:szCs w:val="24"/>
          <w:lang w:eastAsia="zh-CN"/>
        </w:rPr>
        <w:t>次以上的搅拌。</w:t>
      </w:r>
    </w:p>
    <w:p w14:paraId="595BDB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）竖向承载搅拌桩施工时，停浆（灰）面应高于桩顶设计标高</w:t>
      </w:r>
      <w:r>
        <w:rPr>
          <w:rFonts w:ascii="Times New Roman" w:hAnsi="Times New Roman" w:eastAsia="Times New Roman" w:cs="Times New Roman"/>
          <w:color w:val="auto"/>
          <w:sz w:val="24"/>
          <w:szCs w:val="24"/>
          <w:lang w:eastAsia="zh-CN"/>
        </w:rPr>
        <w:t>300</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500mm</w:t>
      </w:r>
      <w:r>
        <w:rPr>
          <w:rFonts w:ascii="宋体" w:hAnsi="宋体" w:eastAsia="宋体" w:cs="宋体"/>
          <w:color w:val="auto"/>
          <w:sz w:val="24"/>
          <w:szCs w:val="24"/>
          <w:lang w:eastAsia="zh-CN"/>
        </w:rPr>
        <w:t>。在开挖基坑时，应将搅拌桩顶端施工质量较差的桩段用人工挖除。</w:t>
      </w:r>
    </w:p>
    <w:p w14:paraId="34136D9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）施工中应保持搅拌桩机底盘的水平和导向架的竖直，搅拌桩的垂直偏差不得超过</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；桩位的偏差不得大于</w:t>
      </w:r>
      <w:r>
        <w:rPr>
          <w:rFonts w:ascii="Times New Roman" w:hAnsi="Times New Roman" w:eastAsia="Times New Roman" w:cs="Times New Roman"/>
          <w:color w:val="auto"/>
          <w:sz w:val="24"/>
          <w:szCs w:val="24"/>
          <w:lang w:eastAsia="zh-CN"/>
        </w:rPr>
        <w:t>50mm</w:t>
      </w:r>
      <w:r>
        <w:rPr>
          <w:rFonts w:ascii="宋体" w:hAnsi="宋体" w:eastAsia="宋体" w:cs="宋体"/>
          <w:color w:val="auto"/>
          <w:sz w:val="24"/>
          <w:szCs w:val="24"/>
          <w:lang w:eastAsia="zh-CN"/>
        </w:rPr>
        <w:t>；成桩直径和桩长不得小于设计值。</w:t>
      </w:r>
    </w:p>
    <w:p w14:paraId="685F731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12.6.2 水泥搅拌桩施工</w:t>
      </w:r>
    </w:p>
    <w:p w14:paraId="30D05A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）材料。</w:t>
      </w:r>
    </w:p>
    <w:p w14:paraId="442C01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）水泥：宜选用新的、强度等级为不低于</w:t>
      </w:r>
      <w:r>
        <w:rPr>
          <w:rFonts w:ascii="Times New Roman" w:hAnsi="Times New Roman" w:eastAsia="Times New Roman" w:cs="Times New Roman"/>
          <w:color w:val="auto"/>
          <w:sz w:val="24"/>
          <w:szCs w:val="24"/>
          <w:lang w:eastAsia="zh-CN"/>
        </w:rPr>
        <w:t>P.O42.5</w:t>
      </w:r>
      <w:r>
        <w:rPr>
          <w:rFonts w:ascii="宋体" w:hAnsi="宋体" w:eastAsia="宋体" w:cs="宋体"/>
          <w:color w:val="auto"/>
          <w:sz w:val="24"/>
          <w:szCs w:val="24"/>
          <w:lang w:eastAsia="zh-CN"/>
        </w:rPr>
        <w:t>级的普通硅酸盐水泥，材料用量和水灰比宜结合土质条件和机械性能等指标通过现场试验确定，三轴水泥搅拌桩材料还宜符合《型钢水泥土搅拌墙技术规程》（</w:t>
      </w:r>
      <w:r>
        <w:rPr>
          <w:rFonts w:hint="eastAsia" w:ascii="Times New Roman" w:hAnsi="Times New Roman" w:eastAsia="宋体" w:cs="Times New Roman"/>
          <w:color w:val="auto"/>
          <w:sz w:val="24"/>
          <w:szCs w:val="24"/>
          <w:lang w:eastAsia="zh-CN"/>
        </w:rPr>
        <w:t>JGJ/T 199-2010</w:t>
      </w:r>
      <w:r>
        <w:rPr>
          <w:rFonts w:ascii="宋体" w:hAnsi="宋体" w:eastAsia="宋体" w:cs="宋体"/>
          <w:color w:val="auto"/>
          <w:sz w:val="24"/>
          <w:szCs w:val="24"/>
          <w:lang w:eastAsia="zh-CN"/>
        </w:rPr>
        <w:t>）中</w:t>
      </w:r>
      <w:r>
        <w:rPr>
          <w:rFonts w:ascii="Times New Roman" w:hAnsi="Times New Roman" w:eastAsia="Times New Roman" w:cs="Times New Roman"/>
          <w:color w:val="auto"/>
          <w:sz w:val="24"/>
          <w:szCs w:val="24"/>
          <w:lang w:eastAsia="zh-CN"/>
        </w:rPr>
        <w:t>4.1.5</w:t>
      </w:r>
      <w:r>
        <w:rPr>
          <w:rFonts w:ascii="宋体" w:hAnsi="宋体" w:eastAsia="宋体" w:cs="宋体"/>
          <w:color w:val="auto"/>
          <w:sz w:val="24"/>
          <w:szCs w:val="24"/>
          <w:lang w:eastAsia="zh-CN"/>
        </w:rPr>
        <w:t>条的相关规定。每批水泥进场必须有产品合格检验单。水泥的质量还应符合国家其他有关规定。</w:t>
      </w:r>
    </w:p>
    <w:p w14:paraId="67534B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）外加剂：所采用外加剂须具备合格证与质保单，满足设计各项参数要求。</w:t>
      </w:r>
    </w:p>
    <w:p w14:paraId="018621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）主要施工器具。</w:t>
      </w:r>
    </w:p>
    <w:p w14:paraId="11B6D4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搅拌桩施工应根据地质条件和周边环境条件、成桩深度、桩径等选用不同形式和不同功率的搅拌机，与其配套的桩架性能参数应与搅拌机的成桩深度相匹配，钻杆及搅拌叶片构造应满足在成桩过程中水泥和土能充分搅拌的要求。</w:t>
      </w:r>
    </w:p>
    <w:p w14:paraId="2DFB09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搅拌桩施工主要包括深层搅拌机、起重机、水泥制配系统、导向设备及提升速度量测设备等。深层搅拌机及与之配套的起吊设备。</w:t>
      </w:r>
    </w:p>
    <w:p w14:paraId="12AD36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三轴水泥搅拌桩的施工设备还应遵守</w:t>
      </w:r>
      <w:r>
        <w:rPr>
          <w:rFonts w:ascii="宋体" w:hAnsi="宋体" w:eastAsia="宋体" w:cs="宋体"/>
          <w:color w:val="auto"/>
          <w:spacing w:val="-34"/>
          <w:sz w:val="24"/>
          <w:szCs w:val="24"/>
          <w:lang w:eastAsia="zh-CN"/>
        </w:rPr>
        <w:t>《型钢水泥土搅拌墙技术规程》（</w:t>
      </w:r>
      <w:r>
        <w:rPr>
          <w:rFonts w:hint="eastAsia" w:ascii="Times New Roman" w:hAnsi="Times New Roman" w:eastAsia="宋体" w:cs="Times New Roman"/>
          <w:color w:val="auto"/>
          <w:spacing w:val="-34"/>
          <w:sz w:val="24"/>
          <w:szCs w:val="24"/>
          <w:lang w:eastAsia="zh-CN"/>
        </w:rPr>
        <w:t>JGJ/T 199-2010</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中</w:t>
      </w:r>
      <w:r>
        <w:rPr>
          <w:rFonts w:ascii="Times New Roman" w:hAnsi="Times New Roman" w:eastAsia="Times New Roman" w:cs="Times New Roman"/>
          <w:color w:val="auto"/>
          <w:sz w:val="24"/>
          <w:szCs w:val="24"/>
          <w:lang w:eastAsia="zh-CN"/>
        </w:rPr>
        <w:t>5.1</w:t>
      </w:r>
      <w:r>
        <w:rPr>
          <w:rFonts w:ascii="宋体" w:hAnsi="宋体" w:eastAsia="宋体" w:cs="宋体"/>
          <w:color w:val="auto"/>
          <w:sz w:val="24"/>
          <w:szCs w:val="24"/>
          <w:lang w:eastAsia="zh-CN"/>
        </w:rPr>
        <w:t>节的要求。</w:t>
      </w:r>
    </w:p>
    <w:p w14:paraId="1A08EA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）主要施工步骤。</w:t>
      </w:r>
    </w:p>
    <w:p w14:paraId="632372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）搅拌机械就位、调平。</w:t>
      </w:r>
    </w:p>
    <w:p w14:paraId="61D957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）预搅下沉至设计加固深度。</w:t>
      </w:r>
    </w:p>
    <w:p w14:paraId="6A0A6E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）边喷浆（粉）、边搅拌提升直至预定的停浆（灰）面。</w:t>
      </w:r>
    </w:p>
    <w:p w14:paraId="2D3557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）重复搅拌下沉至设计加固深度。</w:t>
      </w:r>
    </w:p>
    <w:p w14:paraId="726ECF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）根据设计要求，喷浆（粉）或仅搅拌提升直至预定的停浆（灰）面。</w:t>
      </w:r>
    </w:p>
    <w:p w14:paraId="202A3D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）关闭搅拌机械；在预（复）搅下沉时，也可采用喷浆（粉）的施工工艺，但必须确保全桩长上下至少再重复搅拌一次。</w:t>
      </w:r>
    </w:p>
    <w:p w14:paraId="0F97E2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）湿法施工工艺。</w:t>
      </w:r>
    </w:p>
    <w:p w14:paraId="50C61F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）施工前应确定灰浆泵输浆量、灰浆经输浆管到达搅拌机喷浆口的时间和起吊设备提升速度等施工参数，并根据设计要求通过工艺性成桩试验确定施工工艺。</w:t>
      </w:r>
    </w:p>
    <w:p w14:paraId="5BBFA4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所使用的水泥都应过筛，制备好的浆液不得离析，泵送必须连续，拌制水泥浆液的罐数、水泥和外掺剂用量以及泵送浆液的时间等应有专人记录；喷浆量及搅拌深度必须采用经国家计量部门认证的监测仪器进行自动记录。</w:t>
      </w:r>
    </w:p>
    <w:p w14:paraId="622489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）搅拌机喷浆提升的速度和次数必须符合施工工艺的要求，并应有专人记录。</w:t>
      </w:r>
    </w:p>
    <w:p w14:paraId="2EBBDD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）当水泥浆液到达出浆口后，应喷浆搅拌</w:t>
      </w:r>
      <w:r>
        <w:rPr>
          <w:rFonts w:ascii="Times New Roman" w:hAnsi="Times New Roman" w:eastAsia="Times New Roman" w:cs="Times New Roman"/>
          <w:color w:val="auto"/>
          <w:sz w:val="24"/>
          <w:szCs w:val="24"/>
          <w:lang w:eastAsia="zh-CN"/>
        </w:rPr>
        <w:t>30s</w:t>
      </w:r>
      <w:r>
        <w:rPr>
          <w:rFonts w:ascii="宋体" w:hAnsi="宋体" w:eastAsia="宋体" w:cs="宋体"/>
          <w:color w:val="auto"/>
          <w:sz w:val="24"/>
          <w:szCs w:val="24"/>
          <w:lang w:eastAsia="zh-CN"/>
        </w:rPr>
        <w:t>，在水泥浆与桩端土充分搅拌后，再开始提升搅拌头。</w:t>
      </w:r>
    </w:p>
    <w:p w14:paraId="7839B7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）搅拌机预搅下沉时不宜冲水，当遇到硬土层下沉太慢时，方可适量冲水，但应考虑冲水对桩身强度的影响。</w:t>
      </w:r>
    </w:p>
    <w:p w14:paraId="594E01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）施工时如因故停浆，应将搅拌头下沉至停浆点以下</w:t>
      </w:r>
      <w:r>
        <w:rPr>
          <w:rFonts w:ascii="Times New Roman" w:hAnsi="Times New Roman" w:eastAsia="Times New Roman" w:cs="Times New Roman"/>
          <w:color w:val="auto"/>
          <w:sz w:val="24"/>
          <w:szCs w:val="24"/>
          <w:lang w:eastAsia="zh-CN"/>
        </w:rPr>
        <w:t>0.5m</w:t>
      </w:r>
      <w:r>
        <w:rPr>
          <w:rFonts w:ascii="宋体" w:hAnsi="宋体" w:eastAsia="宋体" w:cs="宋体"/>
          <w:color w:val="auto"/>
          <w:sz w:val="24"/>
          <w:szCs w:val="24"/>
          <w:lang w:eastAsia="zh-CN"/>
        </w:rPr>
        <w:t>处，待恢复供浆时再喷浆搅拌提升。若停机超过三小时，宜先拆卸输浆管路，并妥加清洗。</w:t>
      </w:r>
    </w:p>
    <w:p w14:paraId="208E22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）壁状加固时，相邻桩的施工时间间隔不宜超过</w:t>
      </w:r>
      <w:r>
        <w:rPr>
          <w:rFonts w:ascii="Times New Roman" w:hAnsi="Times New Roman" w:eastAsia="Times New Roman" w:cs="Times New Roman"/>
          <w:color w:val="auto"/>
          <w:sz w:val="24"/>
          <w:szCs w:val="24"/>
          <w:lang w:eastAsia="zh-CN"/>
        </w:rPr>
        <w:t>24h</w:t>
      </w:r>
      <w:r>
        <w:rPr>
          <w:rFonts w:ascii="宋体" w:hAnsi="宋体" w:eastAsia="宋体" w:cs="宋体"/>
          <w:color w:val="auto"/>
          <w:sz w:val="24"/>
          <w:szCs w:val="24"/>
          <w:lang w:eastAsia="zh-CN"/>
        </w:rPr>
        <w:t>。如间隔时间太长，与相邻桩无法搭按时，应采取局部补桩或注浆等补强措施。</w:t>
      </w:r>
    </w:p>
    <w:p w14:paraId="07E0E8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）干法施工工艺。</w:t>
      </w:r>
    </w:p>
    <w:p w14:paraId="5A4EDB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）喷粉施工前应仔细检查搅拌机械、供粉泵、送气（粉）管路、接头和阀门的密封性、可靠性。送气（粉）管路的长度不宜大于</w:t>
      </w:r>
      <w:r>
        <w:rPr>
          <w:rFonts w:ascii="Times New Roman" w:hAnsi="Times New Roman" w:eastAsia="Times New Roman" w:cs="Times New Roman"/>
          <w:color w:val="auto"/>
          <w:sz w:val="24"/>
          <w:szCs w:val="24"/>
          <w:lang w:eastAsia="zh-CN"/>
        </w:rPr>
        <w:t>6m</w:t>
      </w:r>
      <w:r>
        <w:rPr>
          <w:rFonts w:ascii="宋体" w:hAnsi="宋体" w:eastAsia="宋体" w:cs="宋体"/>
          <w:color w:val="auto"/>
          <w:sz w:val="24"/>
          <w:szCs w:val="24"/>
          <w:lang w:eastAsia="zh-CN"/>
        </w:rPr>
        <w:t>。</w:t>
      </w:r>
    </w:p>
    <w:p w14:paraId="1E5537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）水泥土搅拌法（干法）喷粉施工机械必须配置经国家计量部门确认的具有能瞬时检测并记录出粉量的粉体计量装置及搅拌深度自动记录仪。</w:t>
      </w:r>
    </w:p>
    <w:p w14:paraId="464F50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）搅拌头每旋转一周，其提升高度不得超过</w:t>
      </w:r>
      <w:r>
        <w:rPr>
          <w:rFonts w:ascii="Times New Roman" w:hAnsi="Times New Roman" w:eastAsia="Times New Roman" w:cs="Times New Roman"/>
          <w:color w:val="auto"/>
          <w:sz w:val="24"/>
          <w:szCs w:val="24"/>
          <w:lang w:eastAsia="zh-CN"/>
        </w:rPr>
        <w:t>16mm</w:t>
      </w:r>
      <w:r>
        <w:rPr>
          <w:rFonts w:ascii="宋体" w:hAnsi="宋体" w:eastAsia="宋体" w:cs="宋体"/>
          <w:color w:val="auto"/>
          <w:sz w:val="24"/>
          <w:szCs w:val="24"/>
          <w:lang w:eastAsia="zh-CN"/>
        </w:rPr>
        <w:t>。</w:t>
      </w:r>
    </w:p>
    <w:p w14:paraId="6BE30E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）搅拌头的直径应定期复核检查，其磨耗量不得大于</w:t>
      </w:r>
      <w:r>
        <w:rPr>
          <w:rFonts w:ascii="Times New Roman" w:hAnsi="Times New Roman" w:eastAsia="Times New Roman" w:cs="Times New Roman"/>
          <w:color w:val="auto"/>
          <w:sz w:val="24"/>
          <w:szCs w:val="24"/>
          <w:lang w:eastAsia="zh-CN"/>
        </w:rPr>
        <w:t>10mm</w:t>
      </w:r>
      <w:r>
        <w:rPr>
          <w:rFonts w:ascii="宋体" w:hAnsi="宋体" w:eastAsia="宋体" w:cs="宋体"/>
          <w:color w:val="auto"/>
          <w:sz w:val="24"/>
          <w:szCs w:val="24"/>
          <w:lang w:eastAsia="zh-CN"/>
        </w:rPr>
        <w:t>。</w:t>
      </w:r>
    </w:p>
    <w:p w14:paraId="00B2B8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）当搅拌头到达设计桩底以上</w:t>
      </w:r>
      <w:r>
        <w:rPr>
          <w:rFonts w:ascii="Times New Roman" w:hAnsi="Times New Roman" w:eastAsia="Times New Roman" w:cs="Times New Roman"/>
          <w:color w:val="auto"/>
          <w:sz w:val="24"/>
          <w:szCs w:val="24"/>
          <w:lang w:eastAsia="zh-CN"/>
        </w:rPr>
        <w:t>1.5m</w:t>
      </w:r>
      <w:r>
        <w:rPr>
          <w:rFonts w:ascii="宋体" w:hAnsi="宋体" w:eastAsia="宋体" w:cs="宋体"/>
          <w:color w:val="auto"/>
          <w:sz w:val="24"/>
          <w:szCs w:val="24"/>
          <w:lang w:eastAsia="zh-CN"/>
        </w:rPr>
        <w:t>时，应即开启喷粉机提前进行喷粉作业，当搅拌头提升至地面下</w:t>
      </w:r>
      <w:r>
        <w:rPr>
          <w:rFonts w:ascii="Times New Roman" w:hAnsi="Times New Roman" w:eastAsia="Times New Roman" w:cs="Times New Roman"/>
          <w:color w:val="auto"/>
          <w:sz w:val="24"/>
          <w:szCs w:val="24"/>
          <w:lang w:eastAsia="zh-CN"/>
        </w:rPr>
        <w:t>500mm</w:t>
      </w:r>
      <w:r>
        <w:rPr>
          <w:rFonts w:ascii="宋体" w:hAnsi="宋体" w:eastAsia="宋体" w:cs="宋体"/>
          <w:color w:val="auto"/>
          <w:sz w:val="24"/>
          <w:szCs w:val="24"/>
          <w:lang w:eastAsia="zh-CN"/>
        </w:rPr>
        <w:t>时，喷粉机应停止喷粉。</w:t>
      </w:r>
    </w:p>
    <w:p w14:paraId="636C42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）成桩过程中因故停止喷粉，应将搅拌头下沉至停灰面以下</w:t>
      </w:r>
      <w:r>
        <w:rPr>
          <w:rFonts w:ascii="Times New Roman" w:hAnsi="Times New Roman" w:eastAsia="Times New Roman" w:cs="Times New Roman"/>
          <w:color w:val="auto"/>
          <w:sz w:val="24"/>
          <w:szCs w:val="24"/>
          <w:lang w:eastAsia="zh-CN"/>
        </w:rPr>
        <w:t>1m</w:t>
      </w:r>
      <w:r>
        <w:rPr>
          <w:rFonts w:ascii="宋体" w:hAnsi="宋体" w:eastAsia="宋体" w:cs="宋体"/>
          <w:color w:val="auto"/>
          <w:sz w:val="24"/>
          <w:szCs w:val="24"/>
          <w:lang w:eastAsia="zh-CN"/>
        </w:rPr>
        <w:t>处，待恢复喷粉时再喷粉搅拌提升。</w:t>
      </w:r>
    </w:p>
    <w:p w14:paraId="4B4E2D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）需在地基上天然含水量小于</w:t>
      </w:r>
      <w:r>
        <w:rPr>
          <w:rFonts w:ascii="Times New Roman" w:hAnsi="Times New Roman" w:eastAsia="Times New Roman" w:cs="Times New Roman"/>
          <w:color w:val="auto"/>
          <w:sz w:val="24"/>
          <w:szCs w:val="24"/>
          <w:lang w:eastAsia="zh-CN"/>
        </w:rPr>
        <w:t>30%</w:t>
      </w:r>
      <w:r>
        <w:rPr>
          <w:rFonts w:ascii="宋体" w:hAnsi="宋体" w:eastAsia="宋体" w:cs="宋体"/>
          <w:color w:val="auto"/>
          <w:sz w:val="24"/>
          <w:szCs w:val="24"/>
          <w:lang w:eastAsia="zh-CN"/>
        </w:rPr>
        <w:t>土层中喷粉成桩时，应采用地面注水搅拌工艺。</w:t>
      </w:r>
    </w:p>
    <w:p w14:paraId="11304C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）三轴水泥搅拌桩施工</w:t>
      </w:r>
    </w:p>
    <w:p w14:paraId="04F243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）三轴水泥搅拌桩的施工准备宜遵守</w:t>
      </w:r>
      <w:r>
        <w:rPr>
          <w:rFonts w:ascii="宋体" w:hAnsi="宋体" w:eastAsia="宋体" w:cs="宋体"/>
          <w:color w:val="auto"/>
          <w:spacing w:val="-34"/>
          <w:sz w:val="24"/>
          <w:szCs w:val="24"/>
          <w:lang w:eastAsia="zh-CN"/>
        </w:rPr>
        <w:t>《型钢水泥土搅拌墙技术规程》（</w:t>
      </w:r>
      <w:r>
        <w:rPr>
          <w:rFonts w:hint="eastAsia" w:ascii="Times New Roman" w:hAnsi="Times New Roman" w:eastAsia="宋体" w:cs="Times New Roman"/>
          <w:color w:val="auto"/>
          <w:spacing w:val="-34"/>
          <w:sz w:val="24"/>
          <w:szCs w:val="24"/>
          <w:lang w:eastAsia="zh-CN"/>
        </w:rPr>
        <w:t>JGJ/T 199-2010</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中</w:t>
      </w:r>
      <w:r>
        <w:rPr>
          <w:rFonts w:ascii="Times New Roman" w:hAnsi="Times New Roman" w:eastAsia="Times New Roman" w:cs="Times New Roman"/>
          <w:color w:val="auto"/>
          <w:sz w:val="24"/>
          <w:szCs w:val="24"/>
          <w:lang w:eastAsia="zh-CN"/>
        </w:rPr>
        <w:t>5.2</w:t>
      </w:r>
      <w:r>
        <w:rPr>
          <w:rFonts w:ascii="宋体" w:hAnsi="宋体" w:eastAsia="宋体" w:cs="宋体"/>
          <w:color w:val="auto"/>
          <w:sz w:val="24"/>
          <w:szCs w:val="24"/>
          <w:lang w:eastAsia="zh-CN"/>
        </w:rPr>
        <w:t>节的要求。</w:t>
      </w:r>
    </w:p>
    <w:p w14:paraId="5D1D0F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）施工前应通过成桩试验确定搅拌下沉和提升速度、水泥浆液水灰比等工艺参数及成桩工艺；测定水泥浆从输送管到达搅拌机喷浆口的时间；当地下水有侵蚀性时，宜通过试验选用合适的水泥。</w:t>
      </w:r>
    </w:p>
    <w:p w14:paraId="3EF73E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）施工时桩机就位应对中，平面允许偏差应为</w:t>
      </w:r>
      <w:r>
        <w:rPr>
          <w:rFonts w:ascii="Times New Roman" w:hAnsi="Times New Roman" w:eastAsia="Times New Roman" w:cs="Times New Roman"/>
          <w:color w:val="auto"/>
          <w:sz w:val="24"/>
          <w:szCs w:val="24"/>
          <w:lang w:eastAsia="zh-CN"/>
        </w:rPr>
        <w:t>±20mm</w:t>
      </w:r>
      <w:r>
        <w:rPr>
          <w:rFonts w:ascii="宋体" w:hAnsi="宋体" w:eastAsia="宋体" w:cs="宋体"/>
          <w:color w:val="auto"/>
          <w:sz w:val="24"/>
          <w:szCs w:val="24"/>
          <w:lang w:eastAsia="zh-CN"/>
        </w:rPr>
        <w:t>，立柱导向架的垂直度不应大于</w:t>
      </w:r>
      <w:r>
        <w:rPr>
          <w:rFonts w:ascii="Times New Roman" w:hAnsi="Times New Roman" w:eastAsia="Times New Roman" w:cs="Times New Roman"/>
          <w:color w:val="auto"/>
          <w:sz w:val="24"/>
          <w:szCs w:val="24"/>
          <w:lang w:eastAsia="zh-CN"/>
        </w:rPr>
        <w:t>1/250</w:t>
      </w:r>
      <w:r>
        <w:rPr>
          <w:rFonts w:ascii="宋体" w:hAnsi="宋体" w:eastAsia="宋体" w:cs="宋体"/>
          <w:color w:val="auto"/>
          <w:sz w:val="24"/>
          <w:szCs w:val="24"/>
          <w:lang w:eastAsia="zh-CN"/>
        </w:rPr>
        <w:t>。</w:t>
      </w:r>
    </w:p>
    <w:p w14:paraId="2E2E0F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）搅拌下沉速度宜控制在</w:t>
      </w:r>
      <w:r>
        <w:rPr>
          <w:rFonts w:ascii="Times New Roman" w:hAnsi="Times New Roman" w:eastAsia="Times New Roman" w:cs="Times New Roman"/>
          <w:color w:val="auto"/>
          <w:sz w:val="24"/>
          <w:szCs w:val="24"/>
          <w:lang w:eastAsia="zh-CN"/>
        </w:rPr>
        <w:t>0.5m/min</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1m/min</w:t>
      </w:r>
      <w:r>
        <w:rPr>
          <w:rFonts w:ascii="宋体" w:hAnsi="宋体" w:eastAsia="宋体" w:cs="宋体"/>
          <w:color w:val="auto"/>
          <w:sz w:val="24"/>
          <w:szCs w:val="24"/>
          <w:lang w:eastAsia="zh-CN"/>
        </w:rPr>
        <w:t>，提升速度宜控制在</w:t>
      </w:r>
      <w:r>
        <w:rPr>
          <w:rFonts w:ascii="Times New Roman" w:hAnsi="Times New Roman" w:eastAsia="Times New Roman" w:cs="Times New Roman"/>
          <w:color w:val="auto"/>
          <w:sz w:val="24"/>
          <w:szCs w:val="24"/>
          <w:lang w:eastAsia="zh-CN"/>
        </w:rPr>
        <w:t>1m/min</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2m/min</w:t>
      </w:r>
      <w:r>
        <w:rPr>
          <w:rFonts w:ascii="宋体" w:hAnsi="宋体" w:eastAsia="宋体" w:cs="宋体"/>
          <w:color w:val="auto"/>
          <w:sz w:val="24"/>
          <w:szCs w:val="24"/>
          <w:lang w:eastAsia="zh-CN"/>
        </w:rPr>
        <w:t>，并保持匀速下沉或提升。提升时不应在孔内产生负压造成周边土体的过大扰动，搅拌次数和搅拌时间应能保证水泥土搅拌桩的成桩质量。</w:t>
      </w:r>
    </w:p>
    <w:p w14:paraId="380564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）对于硬质土层，当成桩有困难时，可采用预先松动土层的先行钻孔套打方式施工。</w:t>
      </w:r>
    </w:p>
    <w:p w14:paraId="41E30F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）搅拌机头在正常情况下应上下各一次对土体进行喷浆搅拌，对含砂量大的土层，宜在搅拌桩底部</w:t>
      </w:r>
      <w:r>
        <w:rPr>
          <w:rFonts w:ascii="Times New Roman" w:hAnsi="Times New Roman" w:eastAsia="Times New Roman" w:cs="Times New Roman"/>
          <w:color w:val="auto"/>
          <w:sz w:val="24"/>
          <w:szCs w:val="24"/>
          <w:lang w:eastAsia="zh-CN"/>
        </w:rPr>
        <w:t>2m</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3m</w:t>
      </w:r>
      <w:r>
        <w:rPr>
          <w:rFonts w:ascii="宋体" w:hAnsi="宋体" w:eastAsia="宋体" w:cs="宋体"/>
          <w:color w:val="auto"/>
          <w:sz w:val="24"/>
          <w:szCs w:val="24"/>
          <w:lang w:eastAsia="zh-CN"/>
        </w:rPr>
        <w:t>范围内上下重复喷浆搅拌一次。</w:t>
      </w:r>
    </w:p>
    <w:p w14:paraId="3EE36D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）三轴水泥搅拌桩的施工宜遵守</w:t>
      </w:r>
      <w:r>
        <w:rPr>
          <w:rFonts w:ascii="宋体" w:hAnsi="宋体" w:eastAsia="宋体" w:cs="宋体"/>
          <w:color w:val="auto"/>
          <w:spacing w:val="-20"/>
          <w:sz w:val="24"/>
          <w:szCs w:val="24"/>
          <w:lang w:eastAsia="zh-CN"/>
        </w:rPr>
        <w:t>《型钢水泥土搅拌墙技术规程》（</w:t>
      </w:r>
      <w:r>
        <w:rPr>
          <w:rFonts w:hint="eastAsia" w:ascii="Times New Roman" w:hAnsi="Times New Roman" w:eastAsia="宋体" w:cs="Times New Roman"/>
          <w:color w:val="auto"/>
          <w:spacing w:val="-20"/>
          <w:sz w:val="24"/>
          <w:szCs w:val="24"/>
          <w:lang w:eastAsia="zh-CN"/>
        </w:rPr>
        <w:t>JGJ/T 199-2010</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中</w:t>
      </w:r>
      <w:r>
        <w:rPr>
          <w:rFonts w:ascii="Times New Roman" w:hAnsi="Times New Roman" w:eastAsia="Times New Roman" w:cs="Times New Roman"/>
          <w:color w:val="auto"/>
          <w:sz w:val="24"/>
          <w:szCs w:val="24"/>
          <w:lang w:eastAsia="zh-CN"/>
        </w:rPr>
        <w:t>5.3</w:t>
      </w:r>
      <w:r>
        <w:rPr>
          <w:rFonts w:ascii="宋体" w:hAnsi="宋体" w:eastAsia="宋体" w:cs="宋体"/>
          <w:color w:val="auto"/>
          <w:sz w:val="24"/>
          <w:szCs w:val="24"/>
          <w:lang w:eastAsia="zh-CN"/>
        </w:rPr>
        <w:t>节的有关要求。</w:t>
      </w:r>
    </w:p>
    <w:p w14:paraId="35FAB1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）三轴水泥搅拌桩施工过程中的环境保护应遵守《型钢水泥土搅拌墙技术规程》（</w:t>
      </w:r>
      <w:r>
        <w:rPr>
          <w:rFonts w:hint="eastAsia" w:ascii="Times New Roman" w:hAnsi="Times New Roman" w:eastAsia="宋体" w:cs="Times New Roman"/>
          <w:color w:val="auto"/>
          <w:sz w:val="24"/>
          <w:szCs w:val="24"/>
          <w:lang w:eastAsia="zh-CN"/>
        </w:rPr>
        <w:t>JGJ/T 199-2010</w:t>
      </w:r>
      <w:r>
        <w:rPr>
          <w:rFonts w:ascii="宋体" w:hAnsi="宋体" w:eastAsia="宋体" w:cs="宋体"/>
          <w:color w:val="auto"/>
          <w:sz w:val="24"/>
          <w:szCs w:val="24"/>
          <w:lang w:eastAsia="zh-CN"/>
        </w:rPr>
        <w:t>）中</w:t>
      </w:r>
      <w:r>
        <w:rPr>
          <w:rFonts w:ascii="Times New Roman" w:hAnsi="Times New Roman" w:eastAsia="Times New Roman" w:cs="Times New Roman"/>
          <w:color w:val="auto"/>
          <w:sz w:val="24"/>
          <w:szCs w:val="24"/>
          <w:lang w:eastAsia="zh-CN"/>
        </w:rPr>
        <w:t>5.5</w:t>
      </w:r>
      <w:r>
        <w:rPr>
          <w:rFonts w:ascii="宋体" w:hAnsi="宋体" w:eastAsia="宋体" w:cs="宋体"/>
          <w:color w:val="auto"/>
          <w:sz w:val="24"/>
          <w:szCs w:val="24"/>
          <w:lang w:eastAsia="zh-CN"/>
        </w:rPr>
        <w:t>节的有关要求。</w:t>
      </w:r>
    </w:p>
    <w:p w14:paraId="6D75328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12.6.3 质量检查和验收</w:t>
      </w:r>
    </w:p>
    <w:p w14:paraId="442165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承包人应会同监理人进行以下项目的质量检查和验收，将其检查和验收记录提交监理人。</w:t>
      </w:r>
    </w:p>
    <w:p w14:paraId="504E18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）水泥搅拌桩施工前应检查的内容包括：</w:t>
      </w:r>
    </w:p>
    <w:p w14:paraId="5F1341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）桩位现场放样成果检查。</w:t>
      </w:r>
    </w:p>
    <w:p w14:paraId="00D274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）水泥及外掺剂质量。</w:t>
      </w:r>
    </w:p>
    <w:p w14:paraId="24C4B6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）水泥搅拌桩施工质量的检查主要内容包括：</w:t>
      </w:r>
    </w:p>
    <w:p w14:paraId="29AB16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泥土搅拌桩的质量控制应贯穿在施工的全过程，并应坚持全程施工监理。施工过程中必须随时检查施工记录和计量记录，并对照规定的施工工艺对每根桩进行质量评定。检查重点是：水泥用量、桩长、搅拌头转数和提升速度、复搅次数和复搅深度、停浆处理方法等。</w:t>
      </w:r>
    </w:p>
    <w:p w14:paraId="2399F7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）水泥搅拌桩的施工质量检验可采用以下方法：</w:t>
      </w:r>
    </w:p>
    <w:p w14:paraId="64C8AE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①成桩</w:t>
      </w:r>
      <w:r>
        <w:rPr>
          <w:rFonts w:ascii="Times New Roman" w:hAnsi="Times New Roman" w:eastAsia="Times New Roman" w:cs="Times New Roman"/>
          <w:color w:val="auto"/>
          <w:sz w:val="24"/>
          <w:szCs w:val="24"/>
          <w:lang w:eastAsia="zh-CN"/>
        </w:rPr>
        <w:t>7d</w:t>
      </w:r>
      <w:r>
        <w:rPr>
          <w:rFonts w:ascii="宋体" w:hAnsi="宋体" w:eastAsia="宋体" w:cs="宋体"/>
          <w:color w:val="auto"/>
          <w:sz w:val="24"/>
          <w:szCs w:val="24"/>
          <w:lang w:eastAsia="zh-CN"/>
        </w:rPr>
        <w:t>后，采用浅部开挖桩头（深度宜超过停浆（灰）面下</w:t>
      </w:r>
      <w:r>
        <w:rPr>
          <w:rFonts w:ascii="Times New Roman" w:hAnsi="Times New Roman" w:eastAsia="Times New Roman" w:cs="Times New Roman"/>
          <w:color w:val="auto"/>
          <w:sz w:val="24"/>
          <w:szCs w:val="24"/>
          <w:lang w:eastAsia="zh-CN"/>
        </w:rPr>
        <w:t>0.5m</w:t>
      </w:r>
      <w:r>
        <w:rPr>
          <w:rFonts w:ascii="宋体" w:hAnsi="宋体" w:eastAsia="宋体" w:cs="宋体"/>
          <w:color w:val="auto"/>
          <w:sz w:val="24"/>
          <w:szCs w:val="24"/>
          <w:lang w:eastAsia="zh-CN"/>
        </w:rPr>
        <w:t>），目测检查搅拌的均匀性，量测成桩直径，检查量为总桩数的</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w:t>
      </w:r>
    </w:p>
    <w:p w14:paraId="01D588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②成桩后</w:t>
      </w:r>
      <w:r>
        <w:rPr>
          <w:rFonts w:ascii="Times New Roman" w:hAnsi="Times New Roman" w:eastAsia="Times New Roman" w:cs="Times New Roman"/>
          <w:color w:val="auto"/>
          <w:sz w:val="24"/>
          <w:szCs w:val="24"/>
          <w:lang w:eastAsia="zh-CN"/>
        </w:rPr>
        <w:t>3d</w:t>
      </w:r>
      <w:r>
        <w:rPr>
          <w:rFonts w:ascii="宋体" w:hAnsi="宋体" w:eastAsia="宋体" w:cs="宋体"/>
          <w:color w:val="auto"/>
          <w:sz w:val="24"/>
          <w:szCs w:val="24"/>
          <w:lang w:eastAsia="zh-CN"/>
        </w:rPr>
        <w:t>内，可用轻型动力触探（</w:t>
      </w:r>
      <w:r>
        <w:rPr>
          <w:rFonts w:ascii="Times New Roman" w:hAnsi="Times New Roman" w:eastAsia="Times New Roman" w:cs="Times New Roman"/>
          <w:color w:val="auto"/>
          <w:sz w:val="24"/>
          <w:szCs w:val="24"/>
          <w:lang w:eastAsia="zh-CN"/>
        </w:rPr>
        <w:t>N</w:t>
      </w:r>
      <w:r>
        <w:rPr>
          <w:rFonts w:ascii="Times New Roman" w:hAnsi="Times New Roman" w:eastAsia="Times New Roman" w:cs="Times New Roman"/>
          <w:color w:val="auto"/>
          <w:sz w:val="16"/>
          <w:szCs w:val="16"/>
          <w:lang w:eastAsia="zh-CN"/>
        </w:rPr>
        <w:t>10</w:t>
      </w:r>
      <w:r>
        <w:rPr>
          <w:rFonts w:ascii="宋体" w:hAnsi="宋体" w:eastAsia="宋体" w:cs="宋体"/>
          <w:color w:val="auto"/>
          <w:sz w:val="24"/>
          <w:szCs w:val="24"/>
          <w:lang w:eastAsia="zh-CN"/>
        </w:rPr>
        <w:t>）检查每米桩身的均匀性。检验数量为施工总桩数的</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，且不少于</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根。</w:t>
      </w:r>
    </w:p>
    <w:p w14:paraId="77EEEB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）竖向承载水泥土搅拌桩地基竣工验收时，承载力检验应采用复合地基载荷试验和单桩载荷试验。</w:t>
      </w:r>
    </w:p>
    <w:p w14:paraId="23D91F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）载荷试验必须在桩身强度满足试验荷载条件时，并宜在成桩</w:t>
      </w:r>
      <w:r>
        <w:rPr>
          <w:rFonts w:ascii="Times New Roman" w:hAnsi="Times New Roman" w:eastAsia="Times New Roman" w:cs="Times New Roman"/>
          <w:color w:val="auto"/>
          <w:sz w:val="24"/>
          <w:szCs w:val="24"/>
          <w:lang w:eastAsia="zh-CN"/>
        </w:rPr>
        <w:t>28d</w:t>
      </w:r>
      <w:r>
        <w:rPr>
          <w:rFonts w:ascii="宋体" w:hAnsi="宋体" w:eastAsia="宋体" w:cs="宋体"/>
          <w:color w:val="auto"/>
          <w:sz w:val="24"/>
          <w:szCs w:val="24"/>
          <w:lang w:eastAsia="zh-CN"/>
        </w:rPr>
        <w:t>后进行，检验数量为桩总数的</w:t>
      </w:r>
      <w:r>
        <w:rPr>
          <w:rFonts w:ascii="Times New Roman" w:hAnsi="Times New Roman" w:eastAsia="Times New Roman" w:cs="Times New Roman"/>
          <w:color w:val="auto"/>
          <w:sz w:val="24"/>
          <w:szCs w:val="24"/>
          <w:lang w:eastAsia="zh-CN"/>
        </w:rPr>
        <w:t>0.5%</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，且每项单体工程不应少于</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点。</w:t>
      </w:r>
    </w:p>
    <w:p w14:paraId="5BAA62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经触探和载荷试验检验后对桩身质量有怀疑时，应在成桩</w:t>
      </w:r>
      <w:r>
        <w:rPr>
          <w:rFonts w:ascii="Times New Roman" w:hAnsi="Times New Roman" w:eastAsia="Times New Roman" w:cs="Times New Roman"/>
          <w:color w:val="auto"/>
          <w:sz w:val="24"/>
          <w:szCs w:val="24"/>
          <w:lang w:eastAsia="zh-CN"/>
        </w:rPr>
        <w:t>28d</w:t>
      </w:r>
      <w:r>
        <w:rPr>
          <w:rFonts w:ascii="宋体" w:hAnsi="宋体" w:eastAsia="宋体" w:cs="宋体"/>
          <w:color w:val="auto"/>
          <w:sz w:val="24"/>
          <w:szCs w:val="24"/>
          <w:lang w:eastAsia="zh-CN"/>
        </w:rPr>
        <w:t>后，用双管单动取样器钻取芯样作抗压强度检验，检验数量为施工总桩数的</w:t>
      </w:r>
      <w:r>
        <w:rPr>
          <w:rFonts w:ascii="Times New Roman" w:hAnsi="Times New Roman" w:eastAsia="Times New Roman" w:cs="Times New Roman"/>
          <w:color w:val="auto"/>
          <w:sz w:val="24"/>
          <w:szCs w:val="24"/>
          <w:lang w:eastAsia="zh-CN"/>
        </w:rPr>
        <w:t>0.5%</w:t>
      </w:r>
      <w:r>
        <w:rPr>
          <w:rFonts w:ascii="宋体" w:hAnsi="宋体" w:eastAsia="宋体" w:cs="宋体"/>
          <w:color w:val="auto"/>
          <w:sz w:val="24"/>
          <w:szCs w:val="24"/>
          <w:lang w:eastAsia="zh-CN"/>
        </w:rPr>
        <w:t>，且不少于</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根。</w:t>
      </w:r>
    </w:p>
    <w:p w14:paraId="3289D4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）对相邻桩搭接要求严格的工程，应在成桩</w:t>
      </w:r>
      <w:r>
        <w:rPr>
          <w:rFonts w:ascii="Times New Roman" w:hAnsi="Times New Roman" w:eastAsia="Times New Roman" w:cs="Times New Roman"/>
          <w:color w:val="auto"/>
          <w:sz w:val="24"/>
          <w:szCs w:val="24"/>
          <w:lang w:eastAsia="zh-CN"/>
        </w:rPr>
        <w:t>15d</w:t>
      </w:r>
      <w:r>
        <w:rPr>
          <w:rFonts w:ascii="宋体" w:hAnsi="宋体" w:eastAsia="宋体" w:cs="宋体"/>
          <w:color w:val="auto"/>
          <w:sz w:val="24"/>
          <w:szCs w:val="24"/>
          <w:lang w:eastAsia="zh-CN"/>
        </w:rPr>
        <w:t>后，选取数根桩进行开挖，检查搭接情况。</w:t>
      </w:r>
    </w:p>
    <w:p w14:paraId="6CBC4C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）基槽开挖后，应检验桩位、桩数与桩顶质量，如不符合设计要求，应采取有效补强措施。</w:t>
      </w:r>
    </w:p>
    <w:p w14:paraId="0ED7F6C7">
      <w:pPr>
        <w:widowControl w:val="0"/>
        <w:kinsoku/>
        <w:topLinePunct/>
        <w:autoSpaceDE/>
        <w:autoSpaceDN/>
        <w:spacing w:line="520" w:lineRule="exact"/>
        <w:ind w:firstLine="480" w:firstLineChars="200"/>
        <w:jc w:val="both"/>
        <w:rPr>
          <w:rFonts w:ascii="Times New Roman" w:hAnsi="Times New Roman" w:eastAsia="Times New Roman" w:cs="Times New Roman"/>
          <w:color w:val="auto"/>
          <w:sz w:val="24"/>
          <w:szCs w:val="24"/>
          <w:lang w:eastAsia="zh-CN"/>
        </w:rPr>
      </w:pPr>
      <w:r>
        <w:rPr>
          <w:rFonts w:ascii="Times New Roman" w:hAnsi="Times New Roman" w:eastAsia="Times New Roman" w:cs="Times New Roman"/>
          <w:color w:val="auto"/>
          <w:sz w:val="24"/>
          <w:szCs w:val="24"/>
          <w:lang w:eastAsia="zh-CN"/>
        </w:rPr>
        <w:t>7）三轴水泥搅拌桩的质量检查与验收宜遵守</w:t>
      </w:r>
      <w:r>
        <w:rPr>
          <w:rFonts w:ascii="Times New Roman" w:hAnsi="Times New Roman" w:eastAsia="Times New Roman" w:cs="Times New Roman"/>
          <w:color w:val="auto"/>
          <w:spacing w:val="28"/>
          <w:sz w:val="24"/>
          <w:szCs w:val="24"/>
          <w:lang w:eastAsia="zh-CN"/>
        </w:rPr>
        <w:t>《型钢水泥土搅拌墙技术规程》</w:t>
      </w:r>
      <w:r>
        <w:rPr>
          <w:rFonts w:ascii="Times New Roman" w:hAnsi="Times New Roman" w:eastAsia="Times New Roman" w:cs="Times New Roman"/>
          <w:color w:val="auto"/>
          <w:sz w:val="24"/>
          <w:szCs w:val="24"/>
          <w:lang w:eastAsia="zh-CN"/>
        </w:rPr>
        <w:t>12.6.4</w:t>
      </w:r>
      <w:r>
        <w:rPr>
          <w:rFonts w:hint="eastAsia" w:ascii="Times New Roman" w:hAnsi="Times New Roman" w:eastAsia="Times New Roman" w:cs="Times New Roman"/>
          <w:color w:val="auto"/>
          <w:sz w:val="24"/>
          <w:szCs w:val="24"/>
          <w:lang w:eastAsia="zh-CN"/>
        </w:rPr>
        <w:t xml:space="preserve"> </w:t>
      </w:r>
      <w:r>
        <w:rPr>
          <w:rFonts w:ascii="Times New Roman" w:hAnsi="Times New Roman" w:eastAsia="Times New Roman" w:cs="Times New Roman"/>
          <w:color w:val="auto"/>
          <w:sz w:val="24"/>
          <w:szCs w:val="24"/>
          <w:lang w:eastAsia="zh-CN"/>
        </w:rPr>
        <w:t>水泥搅拌桩工程的完工验收</w:t>
      </w:r>
    </w:p>
    <w:p w14:paraId="0E22F2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水泥搅拌桩工程全部完工后，承包人应向监理人申请完工验收，并提交完工验收资料。</w:t>
      </w:r>
    </w:p>
    <w:p w14:paraId="6DB0B5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）水泥搅拌桩工程竣工图和说明书。</w:t>
      </w:r>
    </w:p>
    <w:p w14:paraId="2F2C3E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）水泥搅拌桩工程材料检验成果报告。</w:t>
      </w:r>
    </w:p>
    <w:p w14:paraId="4F68BD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）水泥搅拌桩工程载荷试验、承载力试验报告。</w:t>
      </w:r>
    </w:p>
    <w:p w14:paraId="0038EC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）质量检查记录和质量事故处理报告。</w:t>
      </w:r>
    </w:p>
    <w:p w14:paraId="22CC16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）监理人要求提交的其他完工资料。</w:t>
      </w:r>
    </w:p>
    <w:p w14:paraId="0A80C45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44" w:name="_Toc12988"/>
      <w:bookmarkStart w:id="1345" w:name="_Toc25231"/>
      <w:bookmarkStart w:id="1346" w:name="_Toc119"/>
      <w:r>
        <w:rPr>
          <w:rFonts w:hint="eastAsia" w:ascii="宋体" w:hAnsi="宋体" w:eastAsia="宋体" w:cs="宋体"/>
          <w:b/>
          <w:bCs/>
          <w:color w:val="auto"/>
          <w:sz w:val="24"/>
          <w:szCs w:val="24"/>
          <w:lang w:eastAsia="zh-CN"/>
        </w:rPr>
        <w:t xml:space="preserve">12.7 </w:t>
      </w:r>
      <w:bookmarkEnd w:id="1344"/>
      <w:r>
        <w:rPr>
          <w:rFonts w:hint="eastAsia" w:ascii="宋体" w:hAnsi="宋体" w:eastAsia="宋体" w:cs="宋体"/>
          <w:b/>
          <w:bCs/>
          <w:color w:val="auto"/>
          <w:sz w:val="24"/>
          <w:szCs w:val="24"/>
          <w:lang w:eastAsia="zh-CN"/>
        </w:rPr>
        <w:t>PC工法组合钢管桩施工</w:t>
      </w:r>
      <w:bookmarkEnd w:id="1345"/>
      <w:bookmarkEnd w:id="1346"/>
    </w:p>
    <w:p w14:paraId="08F93E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1)PC工法组合钢管桩采用直径915mm,壁厚为14mm的螺旋焊管,钢管采用Q355B钢。</w:t>
      </w:r>
    </w:p>
    <w:p w14:paraId="5CE1BE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2)PC工法组合钢管桩空隙推荐采用小企口拉森SP-IV型钢板桩(PU400×170),如采用其他钢板桩,截面模量不得小于该型号,宽度不得大于该型号。</w:t>
      </w:r>
    </w:p>
    <w:p w14:paraId="5B590A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3)PC工法组合钢管桩应由专业施工单位进行施工,施工前应进行成桩试验,并根据试桩实际情况合理选用施工机具。</w:t>
      </w:r>
    </w:p>
    <w:p w14:paraId="01ED4A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4)PC工法组合钢管桩长度、组合形式、材料强度等应满足设计要求,并满足相应钢结构规范。</w:t>
      </w:r>
    </w:p>
    <w:p w14:paraId="075677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5)PC工法组合钢管桩施工时,钢管桩和钢板桩需连续施工,不能跳打施工。</w:t>
      </w:r>
    </w:p>
    <w:p w14:paraId="1B2ECE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6)钢管桩施工</w:t>
      </w:r>
    </w:p>
    <w:p w14:paraId="6DBCD9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(1)钢管桩施打前,应设置测量观测点,控制其施打的定位。</w:t>
      </w:r>
    </w:p>
    <w:p w14:paraId="0103FD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管桩宜采用整材,分段焊接时应采用坡口等强焊接并外焊4块弧形钢板,对接焊缝的坡口形式和要求应满足现行国家行业标准《建筑钢结构焊接技术规程》JGJ81的有关规定,焊缝质量等级不应低于二级,施工前采用超声探伤等非破损方法 检测。单根钢管桩焊接接头不宜超过2个,焊接接头距离坑底面不应小于2m,且相邻两根钢管桩接头应错开1m以上。钢管桩焊接接头形式和焊接质量尚应满足钢管桩回收起拔要求。</w:t>
      </w:r>
    </w:p>
    <w:p w14:paraId="1131D0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(3)必须控制好施工速度,第一根钢管桩应缓慢打入,其余钢管桩下沉和回收速度一般为1m/min,回收速度同时应满足注浆要求。</w:t>
      </w:r>
    </w:p>
    <w:p w14:paraId="3F2448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(4)施工时应采取有效施工措施减少影响,必要时采用旋挖钻引孔。</w:t>
      </w:r>
    </w:p>
    <w:p w14:paraId="6E0D91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(5)钢管桩要确保平整度和垂直度,第一根桩垂直度应控制在0.5%桩长以内,其他钢管桩垂直度应控制在1%桩长以内,不满足要求时应纠正或拔起重新施打。不允许有扭曲现象,平面偏差不大于10mm,标高误差不大于100mm。</w:t>
      </w:r>
    </w:p>
    <w:p w14:paraId="1998CF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(6)钢管桩桩长超过18m时,允许接桩,但单根钢管只允许接桩一次。钢管接桩采用焊接连接,焊缝等级为二级,焊材强度不得低于钢管强度。钢管沿围堰轴线应合理布置,严禁相邻两根焊接钢管的接头位于同一平面。</w:t>
      </w:r>
    </w:p>
    <w:p w14:paraId="165FAD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钢管桩打设前应对河道中可能影响钢管桩施工的抛石、砖等杂物挖除,对水面以下不能出露的部位,应先采用铁链或钢丝绳拖以扫,确定有无障碍物或障碍物位置；并根据钢管桩特性、土质及本工程所处的环境等特点情况选定合理、安全的施工机械和施工方法。</w:t>
      </w:r>
    </w:p>
    <w:p w14:paraId="6F9911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7)钢板桩施工</w:t>
      </w:r>
    </w:p>
    <w:p w14:paraId="5E325D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(1)钢板桩打设时,应对水面以下不能出露的部位,先采用铁链或钢丝绳拖扫,以确定有无障碍物或障碍物位置；并根据钢板桩特程所处的环境等特点情况选定合理、安全的施工机械和施工方法。</w:t>
      </w:r>
    </w:p>
    <w:p w14:paraId="4D2B7B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(2)钢板桩施工须采用导桩及导向围檩,其位置必须确保正位,经校核后才能沉桩。</w:t>
      </w:r>
    </w:p>
    <w:p w14:paraId="182DC6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(3)钢板桩施工时最大转弯角度不得超过5%%D,大角度转弯时需设置角桩。</w:t>
      </w:r>
    </w:p>
    <w:p w14:paraId="2F211C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(4)钢板桩沉桩必须采用相关措施保证成桩垂直度等相关要求,施工单位应对第一根/定位桩(5)钢板桩沉桩精度要求如下：</w:t>
      </w:r>
    </w:p>
    <w:p w14:paraId="2446DF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a)桩顶水平偏差：%%P100mm；</w:t>
      </w:r>
    </w:p>
    <w:p w14:paraId="4DEDC1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b)桩顶标高偏差：+100mm,-0mm；</w:t>
      </w:r>
    </w:p>
    <w:p w14:paraId="351416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c)桩的垂直度：1/100(垂直板桩墙纵轴线方向)。</w:t>
      </w:r>
    </w:p>
    <w:p w14:paraId="5EBF1C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(6)钢板桩施工过程中若纵向累计偏差大于3%时应采取措施及时纠偏。</w:t>
      </w:r>
    </w:p>
    <w:p w14:paraId="64BE7E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(7)钢板桩打设之前,应在两侧锁口涂以黄油或热的混合油膏(质量配合比为：黄油：沥青：干锯末：干黏土=2：2：2：1),以减少插打时的摩阻力,并增加防渗性能。</w:t>
      </w:r>
    </w:p>
    <w:p w14:paraId="7B12D6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8)PC工法组合钢管桩回收</w:t>
      </w:r>
    </w:p>
    <w:p w14:paraId="1CABE7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(1)PC工法组合钢板桩拔除前应做好监测准备工作,结合地质及打桩情况选择合适的拔除方法和设备。</w:t>
      </w:r>
    </w:p>
    <w:p w14:paraId="09DD0D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(2)钢管桩回收时开挖沟槽应采用分段开挖,长度不宜大于5m,PC工法组合钢管回收后应立即回填沟槽。</w:t>
      </w:r>
    </w:p>
    <w:p w14:paraId="0063F4C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47" w:name="_Toc29896"/>
      <w:bookmarkStart w:id="1348" w:name="_Toc1807"/>
      <w:bookmarkStart w:id="1349" w:name="_Toc2067"/>
      <w:r>
        <w:rPr>
          <w:rFonts w:hint="eastAsia" w:ascii="宋体" w:hAnsi="宋体" w:eastAsia="宋体" w:cs="宋体"/>
          <w:b/>
          <w:bCs/>
          <w:color w:val="auto"/>
          <w:sz w:val="24"/>
          <w:szCs w:val="24"/>
          <w:lang w:eastAsia="zh-CN"/>
        </w:rPr>
        <w:t>12.8 真空预压（略）</w:t>
      </w:r>
      <w:bookmarkEnd w:id="1347"/>
      <w:bookmarkEnd w:id="1348"/>
      <w:bookmarkEnd w:id="1349"/>
    </w:p>
    <w:p w14:paraId="15B170B3">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50" w:name="_Toc23162"/>
      <w:bookmarkStart w:id="1351" w:name="_Toc9590"/>
      <w:bookmarkStart w:id="1352" w:name="_Toc3233"/>
      <w:r>
        <w:rPr>
          <w:rFonts w:hint="eastAsia" w:ascii="宋体" w:hAnsi="宋体" w:eastAsia="宋体" w:cs="宋体"/>
          <w:b/>
          <w:bCs/>
          <w:color w:val="auto"/>
          <w:sz w:val="24"/>
          <w:szCs w:val="24"/>
          <w:lang w:eastAsia="zh-CN"/>
        </w:rPr>
        <w:t>12.9 计量和支付</w:t>
      </w:r>
      <w:bookmarkEnd w:id="1350"/>
      <w:bookmarkEnd w:id="1351"/>
      <w:bookmarkEnd w:id="1352"/>
    </w:p>
    <w:p w14:paraId="533D3BAC">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12.9.1 振冲地基（略）</w:t>
      </w:r>
    </w:p>
    <w:p w14:paraId="6F2729FA">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12.9.2 混凝土灌注桩基础</w:t>
      </w:r>
    </w:p>
    <w:p w14:paraId="4C824E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）钻孔灌注桩或者沉管灌注桩按施工图纸所示尺寸计算的桩体有效体积以立方米为单位计量，由发包人按《工程量清单》相应项目有效工程量的每立方米工程单价支付。</w:t>
      </w:r>
    </w:p>
    <w:p w14:paraId="3E173A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）咬合灌注桩按施工图纸所示尺寸计算的有效桩长乘以桩径截面面积以立方米为单位计量（不扣除桩与桩之间的搭接），由发包人按《工程量清单》相应项目有效工程量的每立方米工程单价支付。</w:t>
      </w:r>
    </w:p>
    <w:p w14:paraId="1C334E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3）除合同另有约定外，承包人按合同要求完成灌注桩成孔成桩试验、成桩承载力检验、校验施工参数和工艺、埋设孔口装置、空钻、造孔、清孔、护壁、钢护筒、泥浆外运以及混凝土拌和、运输、灌注、超浇、桩头凿除等工作所需的费用，包含在《工程量清单》相应灌注桩项目有效工程量的每吨或每立方米工程单价中，发包人不另行支付。</w:t>
      </w:r>
    </w:p>
    <w:p w14:paraId="775EFD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灌注桩可能会遇到块石层等特殊地质情况，实施时不因遇到块石层等特殊地质情况而调整价格。</w:t>
      </w:r>
    </w:p>
    <w:p w14:paraId="124018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）灌注桩的钢筋按施工图纸所示钢筋强度等级、直径和长度计算的有效重量以吨为单位计量，由发包人按《工程量清单》相应项目有效工程量的每吨工程单价支付。</w:t>
      </w:r>
    </w:p>
    <w:p w14:paraId="40066665">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12.9.3 沉井（略）</w:t>
      </w:r>
    </w:p>
    <w:p w14:paraId="50930C8E">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12.9.4 预制桩</w:t>
      </w:r>
    </w:p>
    <w:p w14:paraId="345571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）预制桩按施工图纸所示尺寸计算的桩体有效体积以立方米为单位计量，由发包人按《工程量清单》相应项目有效工程量的每立方米工程单价支付。</w:t>
      </w:r>
    </w:p>
    <w:p w14:paraId="4CF364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除合同另有约定外，承包人按合同要求完成地质复勘、检验试验、预制桩制作、运输、清基、修建施工平台等工作和操作损耗等所需的费用，均包含在《工程量清单》相应项目有效工程量的每立方米工程单价中，发包人不另行支付。</w:t>
      </w:r>
    </w:p>
    <w:p w14:paraId="306B25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）预制桩的钢筋按施工图纸所示钢筋强度等级、直径和长度计算的有效重量以吨为单位计量（清单中已含在混凝土构建中的除外），由发包人按《工程量清单》相应项目有效工程量的每吨工程单价支付。</w:t>
      </w:r>
    </w:p>
    <w:p w14:paraId="199356B2">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12.9.5 水泥搅拌桩</w:t>
      </w:r>
    </w:p>
    <w:p w14:paraId="4471A3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）水泥搅拌桩按施工图纸所示尺寸的有效桩长乘以桩径截面面积（不扣除桩与桩之间的搭接，其中三轴水泥搅拌桩采用套接一孔法连续施工的，首开幅按</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个圆形计算，后续单幅桩按</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个圆形进行计算）以立方米为单位计量，由发包人按《工程量清单》相应项目有效工程量的每立方米工程单价支付。</w:t>
      </w:r>
    </w:p>
    <w:p w14:paraId="5695D3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）除合同另有约定外，空搅部分长度和超浇长度费用摊入相应有效工程量的工程单价中，发包人不另行支付。</w:t>
      </w:r>
    </w:p>
    <w:p w14:paraId="4CE73F7C">
      <w:pPr>
        <w:pStyle w:val="8"/>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除合同另有约定外，承包人按合同要求完成水泥搅拌桩成桩载荷试验、承载力检验、校验施工参数和工艺以及水泥浆（粉）拌和、运输等工作所需的一切费用，均包含在《工程量清单》相应水泥搅拌桩项目有效工程量的每立方米工程单价中，发包人不另行支付。</w:t>
      </w:r>
    </w:p>
    <w:p w14:paraId="5E7B607F">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12.9.6 塑料排水板（略）</w:t>
      </w:r>
    </w:p>
    <w:p w14:paraId="3E31C9EB">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12.9.7 真空预压（略）</w:t>
      </w:r>
    </w:p>
    <w:p w14:paraId="171C17C9">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12.9.8 松木桩</w:t>
      </w:r>
    </w:p>
    <w:p w14:paraId="2BC9449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松木桩按施工图纸所示梢径、长度不同划分类别，以有效根数计量，由发包人按《工程量清单》相应项目有效工程量的每根工程单价支付。</w:t>
      </w:r>
    </w:p>
    <w:p w14:paraId="63588A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sectPr>
          <w:headerReference r:id="rId9" w:type="default"/>
          <w:footerReference r:id="rId10" w:type="default"/>
          <w:pgSz w:w="11907" w:h="16841"/>
          <w:pgMar w:top="1417" w:right="1389" w:bottom="1254" w:left="1597" w:header="0" w:footer="1093" w:gutter="0"/>
          <w:pgNumType w:fmt="numberInDash"/>
          <w:cols w:space="720" w:num="1"/>
        </w:sectPr>
      </w:pPr>
    </w:p>
    <w:p w14:paraId="56D86EE9">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353" w:name="_Toc7230"/>
      <w:bookmarkStart w:id="1354" w:name="_Toc16830"/>
      <w:bookmarkStart w:id="1355" w:name="_Toc28312"/>
      <w:r>
        <w:rPr>
          <w:rFonts w:ascii="Times New Roman" w:hAnsi="Times New Roman" w:eastAsia="Times New Roman" w:cs="Times New Roman"/>
          <w:b/>
          <w:bCs/>
          <w:color w:val="auto"/>
          <w:sz w:val="28"/>
          <w:szCs w:val="28"/>
          <w:lang w:eastAsia="zh-CN"/>
        </w:rPr>
        <w:t>13</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土石方填筑工程</w:t>
      </w:r>
      <w:bookmarkEnd w:id="1353"/>
      <w:bookmarkEnd w:id="1354"/>
      <w:bookmarkEnd w:id="1355"/>
    </w:p>
    <w:p w14:paraId="4823D58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56" w:name="_Toc13696"/>
      <w:bookmarkStart w:id="1357" w:name="_Toc21659"/>
      <w:bookmarkStart w:id="1358" w:name="_Toc14996"/>
      <w:r>
        <w:rPr>
          <w:rFonts w:hint="eastAsia" w:ascii="宋体" w:hAnsi="宋体" w:eastAsia="宋体" w:cs="宋体"/>
          <w:b/>
          <w:bCs/>
          <w:color w:val="auto"/>
          <w:sz w:val="24"/>
          <w:szCs w:val="24"/>
          <w:lang w:eastAsia="zh-CN"/>
        </w:rPr>
        <w:t>13.1 一般规定</w:t>
      </w:r>
      <w:bookmarkEnd w:id="1356"/>
      <w:bookmarkEnd w:id="1357"/>
      <w:bookmarkEnd w:id="1358"/>
    </w:p>
    <w:p w14:paraId="21C3AA0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13.1.1 应用范围</w:t>
      </w:r>
    </w:p>
    <w:p w14:paraId="6A5ED6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）本章规定适用于本合同施工图纸所示的碾压式土坝和土石坝、各种类型堆石坝、堤防工程和土石围堰等的坝体填筑及其防渗体（包括土工合成材料防渗体）的施工。</w:t>
      </w:r>
    </w:p>
    <w:p w14:paraId="5361D9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）土石方填筑工程的工作内容包括：坝料运输、现场碾压试验、坝料的填筑和碾压、坝体排水和护坡设施，以及混凝土面板堆石坝上游坡面保护措施等。</w:t>
      </w:r>
    </w:p>
    <w:p w14:paraId="6BD7262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13.1.2 承包人的责任</w:t>
      </w:r>
    </w:p>
    <w:p w14:paraId="37DF03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）承包人应根据本工程土、石料场的统一规划，以及工程施工总进度的安排，做好建筑物开挖料、料场开采料和上坝填筑料的供求平衡。</w:t>
      </w:r>
    </w:p>
    <w:p w14:paraId="0183F6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）承包人应按施工图纸的要求，负责土工合成材料的采购、验收、运输和保管，并按本技术条款的规定，完成土工合成材料防渗结构的全部施工作业。</w:t>
      </w:r>
    </w:p>
    <w:p w14:paraId="3E8876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）在施工过程中，承包人应做到坝面施工的合理安排，填筑面层次分明，作业面平整。填筑竣工后，应修整坝体下游面，使其坡面平整，颜色均匀。</w:t>
      </w:r>
    </w:p>
    <w:p w14:paraId="143E23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）在填筑过程中，承包人应采取有效措施，保护已埋设仪器和测量标志。</w:t>
      </w:r>
    </w:p>
    <w:p w14:paraId="2EDDB68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13.1.3 主要提交件</w:t>
      </w:r>
    </w:p>
    <w:p w14:paraId="0AAFA2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）土石方填筑施工措施计划</w:t>
      </w:r>
    </w:p>
    <w:p w14:paraId="0EF9B2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在土石方填筑工程开工前</w:t>
      </w:r>
      <w:r>
        <w:rPr>
          <w:rFonts w:hint="eastAsia" w:ascii="Times New Roman" w:hAnsi="Times New Roman" w:eastAsia="宋体" w:cs="Times New Roman"/>
          <w:color w:val="auto"/>
          <w:sz w:val="24"/>
          <w:szCs w:val="24"/>
          <w:u w:val="single"/>
          <w:lang w:eastAsia="zh-CN"/>
        </w:rPr>
        <w:t xml:space="preserve"> 14 </w:t>
      </w:r>
      <w:r>
        <w:rPr>
          <w:rFonts w:ascii="宋体" w:hAnsi="宋体" w:eastAsia="宋体" w:cs="宋体"/>
          <w:color w:val="auto"/>
          <w:sz w:val="24"/>
          <w:szCs w:val="24"/>
          <w:lang w:eastAsia="zh-CN"/>
        </w:rPr>
        <w:t>天，承包人应按施工图纸要求和监理人指示，编制土石方填筑施工措施计划，提交监理人批准。其内容包括：</w:t>
      </w:r>
    </w:p>
    <w:p w14:paraId="1C5447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）坝（堤防、堰）体填筑分期、料物分区图。</w:t>
      </w:r>
    </w:p>
    <w:p w14:paraId="683513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Times New Roman" w:hAnsi="Times New Roman" w:eastAsia="Times New Roman" w:cs="Times New Roman"/>
          <w:color w:val="auto"/>
          <w:sz w:val="24"/>
          <w:szCs w:val="24"/>
        </w:rPr>
        <w:t>2</w:t>
      </w:r>
      <w:r>
        <w:rPr>
          <w:rFonts w:ascii="宋体" w:hAnsi="宋体" w:eastAsia="宋体" w:cs="宋体"/>
          <w:color w:val="auto"/>
          <w:sz w:val="24"/>
          <w:szCs w:val="24"/>
        </w:rPr>
        <w:t>）土石方填筑程序和方法。</w:t>
      </w:r>
    </w:p>
    <w:p w14:paraId="57319F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）料场复查报告、各种填料加工的工艺和料物供应。</w:t>
      </w:r>
    </w:p>
    <w:p w14:paraId="25B367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）土石方平衡计划。</w:t>
      </w:r>
    </w:p>
    <w:p w14:paraId="6E9736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）施工设备、设施配置。</w:t>
      </w:r>
    </w:p>
    <w:p w14:paraId="3A1971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）质量控制和安全保证措施。</w:t>
      </w:r>
    </w:p>
    <w:p w14:paraId="7D15B0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）施工进度计划。</w:t>
      </w:r>
    </w:p>
    <w:p w14:paraId="441614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）监理人要求提交的其他文件和资料。</w:t>
      </w:r>
    </w:p>
    <w:p w14:paraId="1E281E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）地形测量资料</w:t>
      </w:r>
    </w:p>
    <w:p w14:paraId="042A49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土石方填筑工程开工前</w:t>
      </w:r>
      <w:r>
        <w:rPr>
          <w:rFonts w:hint="eastAsia" w:ascii="Times New Roman" w:hAnsi="Times New Roman" w:eastAsia="宋体" w:cs="Times New Roman"/>
          <w:color w:val="auto"/>
          <w:sz w:val="24"/>
          <w:szCs w:val="24"/>
          <w:u w:val="single"/>
          <w:lang w:eastAsia="zh-CN"/>
        </w:rPr>
        <w:t xml:space="preserve"> 14 </w:t>
      </w:r>
      <w:r>
        <w:rPr>
          <w:rFonts w:ascii="宋体" w:hAnsi="宋体" w:eastAsia="宋体" w:cs="宋体"/>
          <w:color w:val="auto"/>
          <w:sz w:val="24"/>
          <w:szCs w:val="24"/>
          <w:lang w:eastAsia="zh-CN"/>
        </w:rPr>
        <w:t>天，承包人应将填筑区基础开挖验收后实测的平、剖面地形测量资料提交监理人，经监理人验收的地形测量资料作为填筑工程量计量的原始依据。</w:t>
      </w:r>
    </w:p>
    <w:p w14:paraId="655FA5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）现场试验计划和试验成果报告</w:t>
      </w:r>
    </w:p>
    <w:p w14:paraId="2167B9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土石方填筑工程开工前</w:t>
      </w:r>
      <w:r>
        <w:rPr>
          <w:rFonts w:hint="eastAsia" w:ascii="Times New Roman" w:hAnsi="Times New Roman" w:eastAsia="宋体" w:cs="Times New Roman"/>
          <w:color w:val="auto"/>
          <w:sz w:val="24"/>
          <w:szCs w:val="24"/>
          <w:u w:val="single"/>
          <w:lang w:eastAsia="zh-CN"/>
        </w:rPr>
        <w:t xml:space="preserve"> 7 </w:t>
      </w:r>
      <w:r>
        <w:rPr>
          <w:rFonts w:ascii="宋体" w:hAnsi="宋体" w:eastAsia="宋体" w:cs="宋体"/>
          <w:color w:val="auto"/>
          <w:sz w:val="24"/>
          <w:szCs w:val="24"/>
          <w:lang w:eastAsia="zh-CN"/>
        </w:rPr>
        <w:t>天，承包人应根据本章第</w:t>
      </w:r>
      <w:r>
        <w:rPr>
          <w:rFonts w:ascii="Times New Roman" w:hAnsi="Times New Roman" w:eastAsia="Times New Roman" w:cs="Times New Roman"/>
          <w:color w:val="auto"/>
          <w:sz w:val="24"/>
          <w:szCs w:val="24"/>
          <w:lang w:eastAsia="zh-CN"/>
        </w:rPr>
        <w:t>13.2</w:t>
      </w:r>
      <w:r>
        <w:rPr>
          <w:rFonts w:ascii="宋体" w:hAnsi="宋体" w:eastAsia="宋体" w:cs="宋体"/>
          <w:color w:val="auto"/>
          <w:sz w:val="24"/>
          <w:szCs w:val="24"/>
          <w:lang w:eastAsia="zh-CN"/>
        </w:rPr>
        <w:t>款获得的料场复查资料，以及根据料场平衡计划中提供的各种土石方填筑料源，将本章</w:t>
      </w:r>
      <w:r>
        <w:rPr>
          <w:rFonts w:ascii="Times New Roman" w:hAnsi="Times New Roman" w:eastAsia="Times New Roman" w:cs="Times New Roman"/>
          <w:color w:val="auto"/>
          <w:sz w:val="24"/>
          <w:szCs w:val="24"/>
          <w:lang w:eastAsia="zh-CN"/>
        </w:rPr>
        <w:t>13.3</w:t>
      </w:r>
      <w:r>
        <w:rPr>
          <w:rFonts w:ascii="宋体" w:hAnsi="宋体" w:eastAsia="宋体" w:cs="宋体"/>
          <w:color w:val="auto"/>
          <w:sz w:val="24"/>
          <w:szCs w:val="24"/>
          <w:lang w:eastAsia="zh-CN"/>
        </w:rPr>
        <w:t>款所列的现场试验计划，提交监理人批准。试验成果应及时提交监理人。</w:t>
      </w:r>
    </w:p>
    <w:p w14:paraId="2356A1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）土工合成材料选择和施工措施</w:t>
      </w:r>
    </w:p>
    <w:p w14:paraId="4D7446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当土石方填筑工程采用土工合成材料作防渗结构或反滤、排水设施时，承包人应将土工合成材料的选择和施工措施报告，提交监理人批准。</w:t>
      </w:r>
    </w:p>
    <w:p w14:paraId="00C07B5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13.1.4 引用标准</w:t>
      </w:r>
    </w:p>
    <w:p w14:paraId="73482A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）《土工合成材料应用技术规范》（</w:t>
      </w:r>
      <w:r>
        <w:rPr>
          <w:rFonts w:hint="eastAsia" w:ascii="Times New Roman" w:hAnsi="Times New Roman" w:eastAsia="宋体" w:cs="Times New Roman"/>
          <w:color w:val="auto"/>
          <w:sz w:val="24"/>
          <w:szCs w:val="24"/>
          <w:lang w:eastAsia="zh-CN"/>
        </w:rPr>
        <w:t>GB/T 50290-2014</w:t>
      </w:r>
      <w:r>
        <w:rPr>
          <w:rFonts w:ascii="宋体" w:hAnsi="宋体" w:eastAsia="宋体" w:cs="宋体"/>
          <w:color w:val="auto"/>
          <w:sz w:val="24"/>
          <w:szCs w:val="24"/>
          <w:lang w:eastAsia="zh-CN"/>
        </w:rPr>
        <w:t>）。</w:t>
      </w:r>
    </w:p>
    <w:p w14:paraId="329404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）《水利水电工程施工组织设计规范》（</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w:t>
      </w:r>
    </w:p>
    <w:p w14:paraId="737C07A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）《水利水电工程天然建筑材料勘察规程》（</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w:t>
      </w:r>
    </w:p>
    <w:p w14:paraId="783E2A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）《水电水利工程土工试验规程》（</w:t>
      </w:r>
      <w:r>
        <w:rPr>
          <w:rFonts w:hint="eastAsia" w:ascii="Times New Roman" w:hAnsi="Times New Roman" w:eastAsia="宋体" w:cs="Times New Roman"/>
          <w:color w:val="auto"/>
          <w:sz w:val="24"/>
          <w:szCs w:val="24"/>
          <w:lang w:eastAsia="zh-CN"/>
        </w:rPr>
        <w:t>DL/T 5355-2006</w:t>
      </w:r>
      <w:r>
        <w:rPr>
          <w:rFonts w:ascii="宋体" w:hAnsi="宋体" w:eastAsia="宋体" w:cs="宋体"/>
          <w:color w:val="auto"/>
          <w:sz w:val="24"/>
          <w:szCs w:val="24"/>
          <w:lang w:eastAsia="zh-CN"/>
        </w:rPr>
        <w:t>）。</w:t>
      </w:r>
    </w:p>
    <w:p w14:paraId="03F2FC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）《土工合成材料测试规程》（</w:t>
      </w:r>
      <w:r>
        <w:rPr>
          <w:rFonts w:hint="eastAsia" w:ascii="Times New Roman" w:hAnsi="Times New Roman" w:eastAsia="宋体" w:cs="Times New Roman"/>
          <w:color w:val="auto"/>
          <w:sz w:val="24"/>
          <w:szCs w:val="24"/>
          <w:lang w:eastAsia="zh-CN"/>
        </w:rPr>
        <w:t>SL 235-2012</w:t>
      </w:r>
      <w:r>
        <w:rPr>
          <w:rFonts w:ascii="宋体" w:hAnsi="宋体" w:eastAsia="宋体" w:cs="宋体"/>
          <w:color w:val="auto"/>
          <w:sz w:val="24"/>
          <w:szCs w:val="24"/>
          <w:lang w:eastAsia="zh-CN"/>
        </w:rPr>
        <w:t>）。</w:t>
      </w:r>
    </w:p>
    <w:p w14:paraId="1BBB50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）《水利水电工程土工合成材料应用技术规范》（</w:t>
      </w:r>
      <w:r>
        <w:rPr>
          <w:rFonts w:hint="eastAsia" w:ascii="Times New Roman" w:hAnsi="Times New Roman" w:eastAsia="宋体" w:cs="Times New Roman"/>
          <w:color w:val="auto"/>
          <w:sz w:val="24"/>
          <w:szCs w:val="24"/>
          <w:lang w:eastAsia="zh-CN"/>
        </w:rPr>
        <w:t>SL/T 225-1998</w:t>
      </w:r>
      <w:r>
        <w:rPr>
          <w:rFonts w:ascii="宋体" w:hAnsi="宋体" w:eastAsia="宋体" w:cs="宋体"/>
          <w:color w:val="auto"/>
          <w:sz w:val="24"/>
          <w:szCs w:val="24"/>
          <w:lang w:eastAsia="zh-CN"/>
        </w:rPr>
        <w:t>）。</w:t>
      </w:r>
    </w:p>
    <w:p w14:paraId="7C1825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）《堤防工程施工规范》（</w:t>
      </w:r>
      <w:r>
        <w:rPr>
          <w:rFonts w:hint="eastAsia" w:ascii="Times New Roman" w:hAnsi="Times New Roman" w:eastAsia="宋体" w:cs="Times New Roman"/>
          <w:color w:val="auto"/>
          <w:sz w:val="24"/>
          <w:szCs w:val="24"/>
          <w:lang w:eastAsia="zh-CN"/>
        </w:rPr>
        <w:t>SL 260-2014</w:t>
      </w:r>
      <w:r>
        <w:rPr>
          <w:rFonts w:ascii="宋体" w:hAnsi="宋体" w:eastAsia="宋体" w:cs="宋体"/>
          <w:color w:val="auto"/>
          <w:sz w:val="24"/>
          <w:szCs w:val="24"/>
          <w:lang w:eastAsia="zh-CN"/>
        </w:rPr>
        <w:t>）。</w:t>
      </w:r>
    </w:p>
    <w:p w14:paraId="455866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）《土石坝安全监测技术规范》（</w:t>
      </w:r>
      <w:r>
        <w:rPr>
          <w:rFonts w:hint="eastAsia" w:ascii="Times New Roman" w:hAnsi="Times New Roman" w:eastAsia="宋体" w:cs="Times New Roman"/>
          <w:color w:val="auto"/>
          <w:sz w:val="24"/>
          <w:szCs w:val="24"/>
          <w:lang w:eastAsia="zh-CN"/>
        </w:rPr>
        <w:t>SL/T 551-2024</w:t>
      </w:r>
      <w:r>
        <w:rPr>
          <w:rFonts w:ascii="宋体" w:hAnsi="宋体" w:eastAsia="宋体" w:cs="宋体"/>
          <w:color w:val="auto"/>
          <w:sz w:val="24"/>
          <w:szCs w:val="24"/>
          <w:lang w:eastAsia="zh-CN"/>
        </w:rPr>
        <w:t>）。</w:t>
      </w:r>
    </w:p>
    <w:p w14:paraId="6B6CAC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）《水工碾压式沥青混凝土施工规范》（</w:t>
      </w:r>
      <w:r>
        <w:rPr>
          <w:rFonts w:hint="eastAsia" w:ascii="Times New Roman" w:hAnsi="Times New Roman" w:eastAsia="宋体" w:cs="Times New Roman"/>
          <w:color w:val="auto"/>
          <w:sz w:val="24"/>
          <w:szCs w:val="24"/>
          <w:lang w:eastAsia="zh-CN"/>
        </w:rPr>
        <w:t>DL/T 5363-2016</w:t>
      </w:r>
      <w:r>
        <w:rPr>
          <w:rFonts w:ascii="宋体" w:hAnsi="宋体" w:eastAsia="宋体" w:cs="宋体"/>
          <w:color w:val="auto"/>
          <w:sz w:val="24"/>
          <w:szCs w:val="24"/>
          <w:lang w:eastAsia="zh-CN"/>
        </w:rPr>
        <w:t>）。</w:t>
      </w:r>
    </w:p>
    <w:p w14:paraId="432C19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）《碾压式土石坝施工规范》（</w:t>
      </w:r>
      <w:r>
        <w:rPr>
          <w:rFonts w:hint="eastAsia" w:ascii="Times New Roman" w:hAnsi="Times New Roman" w:eastAsia="宋体" w:cs="Times New Roman"/>
          <w:color w:val="auto"/>
          <w:sz w:val="24"/>
          <w:szCs w:val="24"/>
          <w:lang w:eastAsia="zh-CN"/>
        </w:rPr>
        <w:t>DL/T 5129-2013</w:t>
      </w:r>
      <w:r>
        <w:rPr>
          <w:rFonts w:ascii="宋体" w:hAnsi="宋体" w:eastAsia="宋体" w:cs="宋体"/>
          <w:color w:val="auto"/>
          <w:sz w:val="24"/>
          <w:szCs w:val="24"/>
          <w:lang w:eastAsia="zh-CN"/>
        </w:rPr>
        <w:t>）。</w:t>
      </w:r>
    </w:p>
    <w:p w14:paraId="0DD225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）《混凝土面板堆石坝施工规范》（</w:t>
      </w:r>
      <w:r>
        <w:rPr>
          <w:rFonts w:hint="eastAsia" w:ascii="Times New Roman" w:hAnsi="Times New Roman" w:eastAsia="宋体" w:cs="Times New Roman"/>
          <w:color w:val="auto"/>
          <w:sz w:val="24"/>
          <w:szCs w:val="24"/>
          <w:lang w:eastAsia="zh-CN"/>
        </w:rPr>
        <w:t>SL 49-2015</w:t>
      </w:r>
      <w:r>
        <w:rPr>
          <w:rFonts w:ascii="宋体" w:hAnsi="宋体" w:eastAsia="宋体" w:cs="宋体"/>
          <w:color w:val="auto"/>
          <w:sz w:val="24"/>
          <w:szCs w:val="24"/>
          <w:lang w:eastAsia="zh-CN"/>
        </w:rPr>
        <w:t>）。</w:t>
      </w:r>
    </w:p>
    <w:p w14:paraId="51F6DED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59" w:name="_Toc23898"/>
      <w:bookmarkStart w:id="1360" w:name="_Toc10066"/>
      <w:bookmarkStart w:id="1361" w:name="_Toc7454"/>
      <w:r>
        <w:rPr>
          <w:rFonts w:hint="eastAsia" w:ascii="宋体" w:hAnsi="宋体" w:eastAsia="宋体" w:cs="宋体"/>
          <w:b/>
          <w:bCs/>
          <w:color w:val="auto"/>
          <w:sz w:val="24"/>
          <w:szCs w:val="24"/>
          <w:lang w:eastAsia="zh-CN"/>
        </w:rPr>
        <w:t>13.2 料源要求</w:t>
      </w:r>
      <w:bookmarkEnd w:id="1359"/>
      <w:bookmarkEnd w:id="1360"/>
      <w:bookmarkEnd w:id="1361"/>
    </w:p>
    <w:p w14:paraId="06CF074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13.2.1 土料</w:t>
      </w:r>
    </w:p>
    <w:p w14:paraId="4F5681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）防渗土料的填筑含水量应按施工图纸要求或碾压试验确定。料场取料的含水量不合格时，应在料场调整合格后，才能运到坝上。</w:t>
      </w:r>
    </w:p>
    <w:p w14:paraId="44B449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）砾质土（包括冰积、坡积、洪积和构造残积土）应遵守《碾压式土石坝施工规范》（</w:t>
      </w:r>
      <w:r>
        <w:rPr>
          <w:rFonts w:hint="eastAsia" w:ascii="Times New Roman" w:hAnsi="Times New Roman" w:eastAsia="宋体" w:cs="Times New Roman"/>
          <w:color w:val="auto"/>
          <w:sz w:val="24"/>
          <w:szCs w:val="24"/>
          <w:lang w:eastAsia="zh-CN"/>
        </w:rPr>
        <w:t>DL/T 5129-2013</w:t>
      </w:r>
      <w:r>
        <w:rPr>
          <w:rFonts w:ascii="宋体" w:hAnsi="宋体" w:eastAsia="宋体" w:cs="宋体"/>
          <w:color w:val="auto"/>
          <w:sz w:val="24"/>
          <w:szCs w:val="24"/>
          <w:lang w:eastAsia="zh-CN"/>
        </w:rPr>
        <w:t>）相关规定。</w:t>
      </w:r>
    </w:p>
    <w:p w14:paraId="537C25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）人工掺合砾石土所用的土料和碎石料特性及其比例，以及含水量均应符合施工图纸要求和《碾压式土石坝施工规范》（</w:t>
      </w:r>
      <w:r>
        <w:rPr>
          <w:rFonts w:hint="eastAsia" w:ascii="Times New Roman" w:hAnsi="Times New Roman" w:eastAsia="宋体" w:cs="Times New Roman"/>
          <w:color w:val="auto"/>
          <w:sz w:val="24"/>
          <w:szCs w:val="24"/>
          <w:lang w:eastAsia="zh-CN"/>
        </w:rPr>
        <w:t>DL/T 5129-2013</w:t>
      </w:r>
      <w:r>
        <w:rPr>
          <w:rFonts w:ascii="宋体" w:hAnsi="宋体" w:eastAsia="宋体" w:cs="宋体"/>
          <w:color w:val="auto"/>
          <w:sz w:val="24"/>
          <w:szCs w:val="24"/>
          <w:lang w:eastAsia="zh-CN"/>
        </w:rPr>
        <w:t>）相关规定。人工掺合料应均匀，不得有砂砾石集中现象。</w:t>
      </w:r>
    </w:p>
    <w:p w14:paraId="5CAC192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13.2.2 反滤料和垫层料的料源与要求</w:t>
      </w:r>
    </w:p>
    <w:p w14:paraId="514EB2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）土石坝防渗体的反滤料利用天然或经加工的砂砾石料，或用致密坚硬石料轧制，或用天然砂砾石料与轧制料的掺合料。反滤料的级配应符合施工图纸要求。</w:t>
      </w:r>
    </w:p>
    <w:p w14:paraId="5328B2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）混凝土面板堆石坝的垫层料采用天然砂砾石料加工或致密坚硬石料轧制，或采用天然砂砾石料与轧制骨料的掺合料。</w:t>
      </w:r>
    </w:p>
    <w:p w14:paraId="5B5B29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）垫层料的级配应满足施工图纸要求，压实后应具有低压缩性、高抗剪强度，并具有良好的施工特性。中低坝垫层料可按监理人指示适当降低要求。</w:t>
      </w:r>
    </w:p>
    <w:p w14:paraId="5356FC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）土工合成材料防渗体两侧的垫层料，可用天然砂砾石筛分制备，或采用天然风化砂料和河滩砂料；亦可采用建筑物开挖的新鲜石渣料或经砂石加工系统加工筛分的半成品料，级配应满足施工图纸要求。</w:t>
      </w:r>
    </w:p>
    <w:p w14:paraId="4B1B6C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）沥青混凝土坝的垫层料应是致密坚硬碎石料，有良好的级配，沥青混凝土最大骨料与垫层料的最大粒径的比应满足施工图纸要求。</w:t>
      </w:r>
    </w:p>
    <w:p w14:paraId="762A9E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）经加工的反滤料和垫层料应分类堆放。不得混杂，并应防止分离。</w:t>
      </w:r>
    </w:p>
    <w:p w14:paraId="5C13BD3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13.2.3 过渡料（略）</w:t>
      </w:r>
    </w:p>
    <w:p w14:paraId="7C4E81E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13.2.4 堆石料（略）</w:t>
      </w:r>
    </w:p>
    <w:p w14:paraId="6AD9769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13.2.5 抛投块体</w:t>
      </w:r>
    </w:p>
    <w:p w14:paraId="33A787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施工期，承包人应在坝脚抛投块体，防止岸坡崩塌；截流龙口的抛投料应根据施工图纸和监理人指示，并通过截流模型试验选定抛投料的材质、粒径，以及钢筋笼或混凝土异形块的尺寸和单块重量。</w:t>
      </w:r>
    </w:p>
    <w:p w14:paraId="3D0FA53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62" w:name="_Toc14153"/>
      <w:bookmarkStart w:id="1363" w:name="_Toc30426"/>
      <w:bookmarkStart w:id="1364" w:name="_Toc17293"/>
      <w:r>
        <w:rPr>
          <w:rFonts w:hint="eastAsia" w:ascii="宋体" w:hAnsi="宋体" w:eastAsia="宋体" w:cs="宋体"/>
          <w:b/>
          <w:bCs/>
          <w:color w:val="auto"/>
          <w:sz w:val="24"/>
          <w:szCs w:val="24"/>
          <w:lang w:eastAsia="zh-CN"/>
        </w:rPr>
        <w:t>13.3 填筑现场试验</w:t>
      </w:r>
      <w:bookmarkEnd w:id="1362"/>
      <w:bookmarkEnd w:id="1363"/>
      <w:bookmarkEnd w:id="1364"/>
    </w:p>
    <w:p w14:paraId="1C413DD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13.3.1 一般要求</w:t>
      </w:r>
    </w:p>
    <w:p w14:paraId="0DEE30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）土石方填筑工程开始前，承包人应根据建筑物设计要求选定的土石方填筑料，并按本章第</w:t>
      </w:r>
      <w:r>
        <w:rPr>
          <w:rFonts w:ascii="Times New Roman" w:hAnsi="Times New Roman" w:eastAsia="Times New Roman" w:cs="Times New Roman"/>
          <w:color w:val="auto"/>
          <w:sz w:val="24"/>
          <w:szCs w:val="24"/>
          <w:lang w:eastAsia="zh-CN"/>
        </w:rPr>
        <w:t>13.4.2</w:t>
      </w:r>
      <w:r>
        <w:rPr>
          <w:rFonts w:ascii="宋体" w:hAnsi="宋体" w:eastAsia="宋体" w:cs="宋体"/>
          <w:color w:val="auto"/>
          <w:lang w:eastAsia="zh-CN"/>
        </w:rPr>
        <w:t>项</w:t>
      </w:r>
      <w:r>
        <w:rPr>
          <w:rFonts w:ascii="宋体" w:hAnsi="宋体" w:eastAsia="宋体" w:cs="宋体"/>
          <w:color w:val="auto"/>
          <w:sz w:val="24"/>
          <w:szCs w:val="24"/>
          <w:lang w:eastAsia="zh-CN"/>
        </w:rPr>
        <w:t>规定的试验内容，按施工图纸要求进行与实际施工条件相似的现场工艺试验，以确定填筑施工参数。</w:t>
      </w:r>
    </w:p>
    <w:p w14:paraId="05BFF9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）每项土石方填筑现场工艺试验或现场生产性试验开始前，承包人应编制现场试验措施计划提交监理人批准。试验完成后，应将试验成果报告和试验记录提交监理人。</w:t>
      </w:r>
    </w:p>
    <w:p w14:paraId="30E4C26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13.3.2 土料碾压试验</w:t>
      </w:r>
    </w:p>
    <w:p w14:paraId="5302F5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）防渗土料应进行土料铺料方式和碾压试验，必要时进行土料含水量调整试验。</w:t>
      </w:r>
    </w:p>
    <w:p w14:paraId="339255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）土料和人工掺合料的混合试验，应进行混合方式、混合效果（土石混合的均匀性）以及含水量变化规律等试验。</w:t>
      </w:r>
    </w:p>
    <w:p w14:paraId="0FF522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土料碾压试验应按施工图纸规定的碾压机械类型、重量和行车速度，进行铺料厚度、碾压遍数和填筑含水量的比较试验。检测各种参数下压实土的干密度和含水量，砾质土或风化土料碾压前后的砾石含量，并进行现场渗透试验、原状样的室内压缩和抗剪强度试验。</w:t>
      </w:r>
    </w:p>
    <w:p w14:paraId="4A32D3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）土料碾压试验后，应检查压实土层之间及土层本身的结构状况。如发现疏松土层、结合不良或发生剪切破坏等情况，应分析原因，提出改进措施。</w:t>
      </w:r>
    </w:p>
    <w:p w14:paraId="1AF9C62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13.3.3 垫层料和堆石料碾压试验</w:t>
      </w:r>
    </w:p>
    <w:p w14:paraId="7B348F5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）根据施工图纸规定的碾压机械类型、重量和激振力，进行各种堆石料的铺料厚度、碾压遍数和加水量的比较试验；检测振动碾压前后填筑体及选定碾压遍数的填筑体干密度和颗粒级配等试验。</w:t>
      </w:r>
    </w:p>
    <w:p w14:paraId="2A6B61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）混凝土面板堆石坝应进行垫层料的斜坡碾压试验，必要时应采取保护上游坡面的施工措施，如进行喷混凝土、碾压砂浆或喷乳化沥青等的试验。当上游坡面采用挤压墙时，应通过现场试验确定其施工参数。</w:t>
      </w:r>
    </w:p>
    <w:p w14:paraId="7481CF3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65" w:name="_Toc28646"/>
      <w:bookmarkStart w:id="1366" w:name="_Toc25359"/>
      <w:bookmarkStart w:id="1367" w:name="_Toc1672"/>
      <w:r>
        <w:rPr>
          <w:rFonts w:hint="eastAsia" w:ascii="宋体" w:hAnsi="宋体" w:eastAsia="宋体" w:cs="宋体"/>
          <w:b/>
          <w:bCs/>
          <w:color w:val="auto"/>
          <w:sz w:val="24"/>
          <w:szCs w:val="24"/>
          <w:lang w:eastAsia="zh-CN"/>
        </w:rPr>
        <w:t>13.4 坝体填筑（略）</w:t>
      </w:r>
      <w:bookmarkEnd w:id="1365"/>
      <w:bookmarkEnd w:id="1366"/>
      <w:bookmarkEnd w:id="1367"/>
    </w:p>
    <w:p w14:paraId="32F7934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68" w:name="_Toc27044"/>
      <w:bookmarkStart w:id="1369" w:name="_Toc31089"/>
      <w:bookmarkStart w:id="1370" w:name="_Toc18939"/>
      <w:r>
        <w:rPr>
          <w:rFonts w:hint="eastAsia" w:ascii="宋体" w:hAnsi="宋体" w:eastAsia="宋体" w:cs="宋体"/>
          <w:b/>
          <w:bCs/>
          <w:color w:val="auto"/>
          <w:sz w:val="24"/>
          <w:szCs w:val="24"/>
          <w:lang w:eastAsia="zh-CN"/>
        </w:rPr>
        <w:t>13.5 填筑合理用料</w:t>
      </w:r>
      <w:bookmarkEnd w:id="1368"/>
      <w:bookmarkEnd w:id="1369"/>
      <w:bookmarkEnd w:id="1370"/>
    </w:p>
    <w:p w14:paraId="5ED9CF0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13.5.1 料物供求平衡计划</w:t>
      </w:r>
    </w:p>
    <w:p w14:paraId="64E911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本工程各料场开采储量、质量，以及施工开挖可用于填筑的土石方开挖料，并根据坝型、施工方法、施工进度和导流分期等进行综合分析，确定不同施工阶段各填筑料的填筑部位，制定取料和填筑的料物供求平衡计划。</w:t>
      </w:r>
    </w:p>
    <w:p w14:paraId="5C5B89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）土石方填筑期间，应随时观测施工期间河水水位和流量变化，控制坝体填筑面貌。若遇特殊情况，应备足料源，供坝体临时度汛高峰期填筑使用。</w:t>
      </w:r>
    </w:p>
    <w:p w14:paraId="3EB9085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13.5.2 合理用料</w:t>
      </w:r>
    </w:p>
    <w:p w14:paraId="5B82DA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）承包人应根据料场高程、位置、填筑部位作统一规划，合理安排施工顺序，高料高填、低料低填、减少过坝运输和交叉运输的干扰。</w:t>
      </w:r>
    </w:p>
    <w:p w14:paraId="460C51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）承包人应按本技术条款的规定和料物供求平衡计划进行坝料的开采和加工，并按监理人指定的地点堆放和贮存料场开挖料和建筑物施工开挖料。</w:t>
      </w:r>
    </w:p>
    <w:p w14:paraId="61AFCF9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71" w:name="_Toc31113"/>
      <w:bookmarkStart w:id="1372" w:name="_Toc4380"/>
      <w:bookmarkStart w:id="1373" w:name="_Toc27241"/>
      <w:r>
        <w:rPr>
          <w:rFonts w:hint="eastAsia" w:ascii="宋体" w:hAnsi="宋体" w:eastAsia="宋体" w:cs="宋体"/>
          <w:b/>
          <w:bCs/>
          <w:color w:val="auto"/>
          <w:sz w:val="24"/>
          <w:szCs w:val="24"/>
          <w:lang w:eastAsia="zh-CN"/>
        </w:rPr>
        <w:t>13.6 堤防工程施工</w:t>
      </w:r>
      <w:bookmarkEnd w:id="1371"/>
      <w:bookmarkEnd w:id="1372"/>
      <w:bookmarkEnd w:id="1373"/>
    </w:p>
    <w:p w14:paraId="30BB62D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13.6.1 一般要求</w:t>
      </w:r>
    </w:p>
    <w:p w14:paraId="1FCBB8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）堤防工程的施工测量、放样应遵守</w:t>
      </w:r>
      <w:r>
        <w:rPr>
          <w:rFonts w:ascii="宋体" w:hAnsi="宋体" w:eastAsia="宋体" w:cs="宋体"/>
          <w:color w:val="auto"/>
          <w:spacing w:val="-34"/>
          <w:sz w:val="24"/>
          <w:szCs w:val="24"/>
          <w:lang w:eastAsia="zh-CN"/>
        </w:rPr>
        <w:t>《堤防工程施工规范》（</w:t>
      </w:r>
      <w:r>
        <w:rPr>
          <w:rFonts w:hint="eastAsia" w:ascii="Times New Roman" w:hAnsi="Times New Roman" w:eastAsia="宋体" w:cs="Times New Roman"/>
          <w:color w:val="auto"/>
          <w:spacing w:val="-34"/>
          <w:sz w:val="24"/>
          <w:szCs w:val="24"/>
          <w:lang w:eastAsia="zh-CN"/>
        </w:rPr>
        <w:t>SL 260-2014</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3.2</w:t>
      </w:r>
      <w:r>
        <w:rPr>
          <w:rFonts w:ascii="宋体" w:hAnsi="宋体" w:eastAsia="宋体" w:cs="宋体"/>
          <w:color w:val="auto"/>
          <w:sz w:val="24"/>
          <w:szCs w:val="24"/>
          <w:lang w:eastAsia="zh-CN"/>
        </w:rPr>
        <w:t>节的规定。</w:t>
      </w:r>
    </w:p>
    <w:p w14:paraId="65731E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）堤防工程的料场核查应遵守《堤防工程施工规范》（</w:t>
      </w:r>
      <w:r>
        <w:rPr>
          <w:rFonts w:hint="eastAsia" w:ascii="Times New Roman" w:hAnsi="Times New Roman" w:eastAsia="宋体" w:cs="Times New Roman"/>
          <w:color w:val="auto"/>
          <w:sz w:val="24"/>
          <w:szCs w:val="24"/>
          <w:lang w:eastAsia="zh-CN"/>
        </w:rPr>
        <w:t>SL 260-2014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3.3</w:t>
      </w:r>
      <w:r>
        <w:rPr>
          <w:rFonts w:ascii="宋体" w:hAnsi="宋体" w:eastAsia="宋体" w:cs="宋体"/>
          <w:color w:val="auto"/>
          <w:sz w:val="24"/>
          <w:szCs w:val="24"/>
          <w:lang w:eastAsia="zh-CN"/>
        </w:rPr>
        <w:t>节的规定。</w:t>
      </w:r>
    </w:p>
    <w:p w14:paraId="0C73B5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）机械设备及材料准备应遵守《堤防工程施工规范》（</w:t>
      </w:r>
      <w:r>
        <w:rPr>
          <w:rFonts w:hint="eastAsia" w:ascii="Times New Roman" w:hAnsi="Times New Roman" w:eastAsia="宋体" w:cs="Times New Roman"/>
          <w:color w:val="auto"/>
          <w:sz w:val="24"/>
          <w:szCs w:val="24"/>
          <w:lang w:eastAsia="zh-CN"/>
        </w:rPr>
        <w:t>SL 260-2014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3.4</w:t>
      </w:r>
      <w:r>
        <w:rPr>
          <w:rFonts w:ascii="宋体" w:hAnsi="宋体" w:eastAsia="宋体" w:cs="宋体"/>
          <w:color w:val="auto"/>
          <w:sz w:val="24"/>
          <w:szCs w:val="24"/>
          <w:lang w:eastAsia="zh-CN"/>
        </w:rPr>
        <w:t>节的规定。</w:t>
      </w:r>
    </w:p>
    <w:p w14:paraId="4E0749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）度汛、导流的洪水标准应遵守《堤防工程施工规范》（</w:t>
      </w:r>
      <w:r>
        <w:rPr>
          <w:rFonts w:hint="eastAsia" w:ascii="Times New Roman" w:hAnsi="Times New Roman" w:eastAsia="宋体" w:cs="Times New Roman"/>
          <w:color w:val="auto"/>
          <w:sz w:val="24"/>
          <w:szCs w:val="24"/>
          <w:lang w:eastAsia="zh-CN"/>
        </w:rPr>
        <w:t>SL 260-2014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章的规定。</w:t>
      </w:r>
    </w:p>
    <w:p w14:paraId="0897634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13.6.2 筑堤施工</w:t>
      </w:r>
    </w:p>
    <w:p w14:paraId="32C7C45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）筑堤材料应遵守《堤防工程施工规范》（</w:t>
      </w:r>
      <w:r>
        <w:rPr>
          <w:rFonts w:hint="eastAsia" w:ascii="Times New Roman" w:hAnsi="Times New Roman" w:eastAsia="宋体" w:cs="Times New Roman"/>
          <w:color w:val="auto"/>
          <w:sz w:val="24"/>
          <w:szCs w:val="24"/>
          <w:lang w:eastAsia="zh-CN"/>
        </w:rPr>
        <w:t>SL 260-2014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章的规定。</w:t>
      </w:r>
    </w:p>
    <w:p w14:paraId="34C38C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）堤防的基础及堤身填筑应遵守《堤防工程施工规范》（</w:t>
      </w:r>
      <w:r>
        <w:rPr>
          <w:rFonts w:hint="eastAsia" w:ascii="Times New Roman" w:hAnsi="Times New Roman" w:eastAsia="宋体" w:cs="Times New Roman"/>
          <w:color w:val="auto"/>
          <w:sz w:val="24"/>
          <w:szCs w:val="24"/>
          <w:lang w:eastAsia="zh-CN"/>
        </w:rPr>
        <w:t>SL 260-2014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章、第</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章的规定。</w:t>
      </w:r>
    </w:p>
    <w:p w14:paraId="4CFE71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）堤防的垂直防渗应遵守《堤防工程施工规范》（</w:t>
      </w:r>
      <w:r>
        <w:rPr>
          <w:rFonts w:hint="eastAsia" w:ascii="Times New Roman" w:hAnsi="Times New Roman" w:eastAsia="宋体" w:cs="Times New Roman"/>
          <w:color w:val="auto"/>
          <w:sz w:val="24"/>
          <w:szCs w:val="24"/>
          <w:lang w:eastAsia="zh-CN"/>
        </w:rPr>
        <w:t>SL 260-2014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章的规定。</w:t>
      </w:r>
    </w:p>
    <w:p w14:paraId="584EE5A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13.6.3 质量控制和验收</w:t>
      </w:r>
    </w:p>
    <w:p w14:paraId="65CD29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堤防的质量控制和验收应遵守《堤防工程施工规范》（</w:t>
      </w:r>
      <w:r>
        <w:rPr>
          <w:rFonts w:hint="eastAsia" w:ascii="Times New Roman" w:hAnsi="Times New Roman" w:eastAsia="宋体" w:cs="Times New Roman"/>
          <w:color w:val="auto"/>
          <w:sz w:val="24"/>
          <w:szCs w:val="24"/>
          <w:lang w:eastAsia="zh-CN"/>
        </w:rPr>
        <w:t>SL 260-2014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章、第</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章的有关规定。</w:t>
      </w:r>
    </w:p>
    <w:p w14:paraId="0AC5F02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74" w:name="_Toc19733"/>
      <w:bookmarkStart w:id="1375" w:name="_Toc30915"/>
      <w:bookmarkStart w:id="1376" w:name="_Toc3532"/>
      <w:r>
        <w:rPr>
          <w:rFonts w:hint="eastAsia" w:ascii="宋体" w:hAnsi="宋体" w:eastAsia="宋体" w:cs="宋体"/>
          <w:b/>
          <w:bCs/>
          <w:color w:val="auto"/>
          <w:sz w:val="24"/>
          <w:szCs w:val="24"/>
          <w:lang w:eastAsia="zh-CN"/>
        </w:rPr>
        <w:t>13.7 土工合成材料施工</w:t>
      </w:r>
      <w:bookmarkEnd w:id="1374"/>
      <w:bookmarkEnd w:id="1375"/>
      <w:bookmarkEnd w:id="1376"/>
    </w:p>
    <w:p w14:paraId="6699E0A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13.7.1 材料</w:t>
      </w:r>
    </w:p>
    <w:p w14:paraId="384B54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用于土石坝、围堰的防渗结构、反滤和排水设施的土工合成材料包括土工织物、土工膜和土工复合材料。其材料性能应遵守《水利水电工程土工合成材料应用技术规范》（</w:t>
      </w:r>
      <w:r>
        <w:rPr>
          <w:rFonts w:hint="eastAsia" w:ascii="Times New Roman" w:hAnsi="Times New Roman" w:eastAsia="宋体" w:cs="Times New Roman"/>
          <w:color w:val="auto"/>
          <w:sz w:val="24"/>
          <w:szCs w:val="24"/>
          <w:lang w:eastAsia="zh-CN"/>
        </w:rPr>
        <w:t>SL/T 225-1998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3.2</w:t>
      </w:r>
      <w:r>
        <w:rPr>
          <w:rFonts w:ascii="宋体" w:hAnsi="宋体" w:eastAsia="宋体" w:cs="宋体"/>
          <w:color w:val="auto"/>
          <w:sz w:val="24"/>
          <w:szCs w:val="24"/>
          <w:lang w:eastAsia="zh-CN"/>
        </w:rPr>
        <w:t>节的有关规定。</w:t>
      </w:r>
    </w:p>
    <w:p w14:paraId="3CFAA40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13.7.2 运输及储存</w:t>
      </w:r>
    </w:p>
    <w:p w14:paraId="76730D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）土工合成材料的运输及储存应遵守《水利水电工程土工合成材料应用技术规范》（</w:t>
      </w:r>
      <w:r>
        <w:rPr>
          <w:rFonts w:hint="eastAsia" w:ascii="Times New Roman" w:hAnsi="Times New Roman" w:eastAsia="宋体" w:cs="Times New Roman"/>
          <w:color w:val="auto"/>
          <w:sz w:val="24"/>
          <w:szCs w:val="24"/>
          <w:lang w:eastAsia="zh-CN"/>
        </w:rPr>
        <w:t>SL/T 225-1998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3.3</w:t>
      </w:r>
      <w:r>
        <w:rPr>
          <w:rFonts w:ascii="宋体" w:hAnsi="宋体" w:eastAsia="宋体" w:cs="宋体"/>
          <w:color w:val="auto"/>
          <w:sz w:val="24"/>
          <w:szCs w:val="24"/>
          <w:lang w:eastAsia="zh-CN"/>
        </w:rPr>
        <w:t>节的规定。</w:t>
      </w:r>
    </w:p>
    <w:p w14:paraId="36CBCF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）若采用折叠装箱运输土工合成材料，不得使用带钉子的木箱；若采用卷材运输，应注意防止在装卸过程中造成卷材表面的损害。</w:t>
      </w:r>
    </w:p>
    <w:p w14:paraId="43F0E9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）土工合成材料应储存在不受损坏和方便取用的地方，尽量减少装卸次数。</w:t>
      </w:r>
    </w:p>
    <w:p w14:paraId="0C3067E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13.7.3 拼接</w:t>
      </w:r>
    </w:p>
    <w:p w14:paraId="380E0E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）土工合成材料的拼接方式及搭接长度应满足施工图纸的要求，并遵守《水利水电工程土工合成材料应用技术规范》（</w:t>
      </w:r>
      <w:r>
        <w:rPr>
          <w:rFonts w:hint="eastAsia" w:ascii="Times New Roman" w:hAnsi="Times New Roman" w:eastAsia="宋体" w:cs="Times New Roman"/>
          <w:color w:val="auto"/>
          <w:sz w:val="24"/>
          <w:szCs w:val="24"/>
          <w:lang w:eastAsia="zh-CN"/>
        </w:rPr>
        <w:t>SL/T 225-1998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5.6.2</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5.6.5</w:t>
      </w:r>
      <w:r>
        <w:rPr>
          <w:rFonts w:ascii="宋体" w:hAnsi="宋体" w:eastAsia="宋体" w:cs="宋体"/>
          <w:color w:val="auto"/>
          <w:sz w:val="24"/>
          <w:szCs w:val="24"/>
          <w:lang w:eastAsia="zh-CN"/>
        </w:rPr>
        <w:t>条的有关规定。</w:t>
      </w:r>
    </w:p>
    <w:p w14:paraId="0E572C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）在施工过程中，若气温低于</w:t>
      </w:r>
      <w:r>
        <w:rPr>
          <w:rFonts w:ascii="Times New Roman" w:hAnsi="Times New Roman" w:eastAsia="Times New Roman" w:cs="Times New Roman"/>
          <w:color w:val="auto"/>
          <w:sz w:val="24"/>
          <w:szCs w:val="24"/>
          <w:u w:val="single"/>
          <w:lang w:eastAsia="zh-CN"/>
        </w:rPr>
        <w:t>0</w:t>
      </w:r>
      <w:r>
        <w:rPr>
          <w:rFonts w:ascii="宋体" w:hAnsi="宋体" w:eastAsia="宋体" w:cs="宋体"/>
          <w:color w:val="auto"/>
          <w:sz w:val="24"/>
          <w:szCs w:val="24"/>
          <w:u w:val="single"/>
          <w:lang w:eastAsia="zh-CN"/>
        </w:rPr>
        <w:t>℃</w:t>
      </w:r>
      <w:r>
        <w:rPr>
          <w:rFonts w:ascii="宋体" w:hAnsi="宋体" w:eastAsia="宋体" w:cs="宋体"/>
          <w:color w:val="auto"/>
          <w:sz w:val="24"/>
          <w:szCs w:val="24"/>
          <w:lang w:eastAsia="zh-CN"/>
        </w:rPr>
        <w:t>,必须对粘结剂和粘结面进行加热处理。粘结强度必须符合施工图纸的要求。</w:t>
      </w:r>
    </w:p>
    <w:p w14:paraId="41453A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采用现场粘结方式拼接土工合成材料应保证有足够的搭接长度，粘结剂应均匀涂满；采用热熔焊接进行拼接时，应保证有足够的焊接宽度，尽量选用宽幅的土工合成材料，若幅宽较窄，应在现场工作棚内拼接成宽幅，以减少现场接缝和粘（搭）结工作量。</w:t>
      </w:r>
    </w:p>
    <w:p w14:paraId="17E69B9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13.7.4 土工合成材料铺设</w:t>
      </w:r>
    </w:p>
    <w:p w14:paraId="04EAA6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）采用土工膜或复合土工膜作防渗体时，应规划好跨越土工膜的行驶道路。当车辆、设备等跨越土工膜时，应采取相应的保护措施，防止损伤已铺设的土工合成材料。</w:t>
      </w:r>
    </w:p>
    <w:p w14:paraId="390EB9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）土工合成材料的铺设方法应根据坝高和材料的受力方向、施工过程中的度汛要求以及尽量减少接缝的数量等因素确定。</w:t>
      </w:r>
    </w:p>
    <w:p w14:paraId="04EA98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）为防止大风吹损，在铺设期间应采用砂袋或软性重物将土工合成材料压住。当天铺设的土工合成材料应在当天拼接完成。</w:t>
      </w:r>
    </w:p>
    <w:p w14:paraId="36D908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对施工过程中遭受损坏的土工合成材料，应及时修理，修理时应将破坏部位不符合要求的料物清除干净，补充填入合格料物后进行平整。对受损的土工合成材料，应外铺一层合格的土工合成材料，其各边长度应大于破损部位</w:t>
      </w:r>
      <w:r>
        <w:rPr>
          <w:rFonts w:hint="eastAsia" w:ascii="宋体" w:hAnsi="宋体" w:eastAsia="宋体" w:cs="宋体"/>
          <w:color w:val="auto"/>
          <w:sz w:val="24"/>
          <w:szCs w:val="24"/>
          <w:lang w:eastAsia="zh-CN"/>
        </w:rPr>
        <w:t xml:space="preserve"> </w:t>
      </w:r>
      <w:r>
        <w:rPr>
          <w:rFonts w:ascii="Times New Roman" w:hAnsi="Times New Roman" w:eastAsia="Times New Roman" w:cs="Times New Roman"/>
          <w:color w:val="auto"/>
          <w:sz w:val="24"/>
          <w:szCs w:val="24"/>
          <w:u w:val="single"/>
          <w:lang w:eastAsia="zh-CN"/>
        </w:rPr>
        <w:t>1m</w:t>
      </w:r>
      <w:r>
        <w:rPr>
          <w:rFonts w:hint="eastAsia" w:ascii="Times New Roman" w:hAnsi="Times New Roman" w:eastAsia="宋体" w:cs="Times New Roman"/>
          <w:color w:val="auto"/>
          <w:sz w:val="24"/>
          <w:szCs w:val="24"/>
          <w:u w:val="single"/>
          <w:lang w:eastAsia="zh-CN"/>
        </w:rPr>
        <w:t xml:space="preserve"> </w:t>
      </w:r>
      <w:r>
        <w:rPr>
          <w:rFonts w:ascii="宋体" w:hAnsi="宋体" w:eastAsia="宋体" w:cs="宋体"/>
          <w:color w:val="auto"/>
          <w:sz w:val="24"/>
          <w:szCs w:val="24"/>
          <w:lang w:eastAsia="zh-CN"/>
        </w:rPr>
        <w:t>以上，并将两者进行拼接处理。</w:t>
      </w:r>
    </w:p>
    <w:p w14:paraId="3F38B8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）斜墙上土工合成材料的铺设应遵守以下规定：</w:t>
      </w:r>
    </w:p>
    <w:p w14:paraId="7E0DD3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）土工合成材料铺设前，应按施工图纸要求完成支持层施工，支持层应碾压密实，坡面平整。</w:t>
      </w:r>
    </w:p>
    <w:p w14:paraId="738A83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）开挖基础锚固槽和坡面防滑槽，其断面尺寸应符合施工图纸的规定。</w:t>
      </w:r>
    </w:p>
    <w:p w14:paraId="23D16F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）对基础锚固槽、坡面防滑槽和坝坡坡面进行清理和验收后，由上向下滚铺卷材。</w:t>
      </w:r>
    </w:p>
    <w:p w14:paraId="34B302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）铺设过程中，作业人员不得穿硬底皮鞋及带钉鞋。不准在土工合成材料上卸放护坡块体，不准用带尖头的撬动工具，不准进行可能引起土工合成材料损坏的施工作业。</w:t>
      </w:r>
    </w:p>
    <w:p w14:paraId="52661C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）土工合成材料与基础及支持层之间应压平贴紧，避免架空。对易产生架空现象的坝面马道部位可设置水平槽。</w:t>
      </w:r>
    </w:p>
    <w:p w14:paraId="326C03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）心墙土工合成材料铺设应遵守以下规定：</w:t>
      </w:r>
    </w:p>
    <w:p w14:paraId="74BF9E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）中央防渗的土工膜和复合土工膜应和坝体填筑同时进行，按“之”字形铺设。其具体折皱高度和折皱角度应满足施工图纸要求。</w:t>
      </w:r>
    </w:p>
    <w:p w14:paraId="761DC1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）若沿坝轴线方向设有伸缩节、并采用单一土工隔膜时，应在隔膜两侧加细颗粒料或加土工织物。</w:t>
      </w:r>
    </w:p>
    <w:p w14:paraId="6E8E0D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）回填两侧砂砾石料时，在距土工膜</w:t>
      </w:r>
      <w:r>
        <w:rPr>
          <w:rFonts w:ascii="Times New Roman" w:hAnsi="Times New Roman" w:eastAsia="Times New Roman" w:cs="Times New Roman"/>
          <w:color w:val="auto"/>
          <w:sz w:val="24"/>
          <w:szCs w:val="24"/>
          <w:u w:val="single"/>
          <w:lang w:eastAsia="zh-CN"/>
        </w:rPr>
        <w:t>50</w:t>
      </w:r>
      <w:r>
        <w:rPr>
          <w:rFonts w:ascii="宋体" w:hAnsi="宋体" w:eastAsia="宋体" w:cs="宋体"/>
          <w:color w:val="auto"/>
          <w:sz w:val="24"/>
          <w:szCs w:val="24"/>
          <w:u w:val="single"/>
          <w:lang w:eastAsia="zh-CN"/>
        </w:rPr>
        <w:t>～</w:t>
      </w:r>
      <w:r>
        <w:rPr>
          <w:rFonts w:ascii="Times New Roman" w:hAnsi="Times New Roman" w:eastAsia="Times New Roman" w:cs="Times New Roman"/>
          <w:color w:val="auto"/>
          <w:sz w:val="24"/>
          <w:szCs w:val="24"/>
          <w:u w:val="single"/>
          <w:lang w:eastAsia="zh-CN"/>
        </w:rPr>
        <w:t>100cm</w:t>
      </w:r>
      <w:r>
        <w:rPr>
          <w:rFonts w:ascii="宋体" w:hAnsi="宋体" w:eastAsia="宋体" w:cs="宋体"/>
          <w:color w:val="auto"/>
          <w:sz w:val="24"/>
          <w:szCs w:val="24"/>
          <w:lang w:eastAsia="zh-CN"/>
        </w:rPr>
        <w:t>范围内只能用小型设备压实，不得用振动碾碾压。</w:t>
      </w:r>
    </w:p>
    <w:p w14:paraId="5AA40A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）土工膜与周边连接施工。</w:t>
      </w:r>
    </w:p>
    <w:p w14:paraId="623B1B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）土工膜应通过锚固槽与河床或岸坡的不透水基岩紧密连接，顶部应锚固于防浪墙的混凝土中，以形成整体防渗。其锚固长度应符合施工图纸的要求。</w:t>
      </w:r>
    </w:p>
    <w:p w14:paraId="108845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土工膜与周边的连接形式应符合施工图纸的要求。土工膜与下部混凝土防渗墙连接时，土工膜应直接埋入防渗墙混凝土内。与岸坡基岩或混凝土建筑物连接，可直接锚在基岩或混凝土面上，或埋入混凝土齿墙内，并同时在岸坡附近设伸缩节。</w:t>
      </w:r>
    </w:p>
    <w:p w14:paraId="56EB22D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13.7.5 保护层施工</w:t>
      </w:r>
    </w:p>
    <w:p w14:paraId="15A469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）当土工膜用于斜墙防渗时，应在铺设好的土工膜上进行保护层施工。保护层的形式应符合施工图纸的要求。</w:t>
      </w:r>
    </w:p>
    <w:p w14:paraId="5F74D8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）混凝土或石料的保护层铺设应处理好基础，保证保护层不会滑动；土料保护层、应自下而上分层填筑，铺料厚度和压实干密度应满足施工图纸的要求。</w:t>
      </w:r>
    </w:p>
    <w:p w14:paraId="20A6254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77" w:name="_Toc29125"/>
      <w:bookmarkStart w:id="1378" w:name="_Toc9107"/>
      <w:bookmarkStart w:id="1379" w:name="_Toc21419"/>
      <w:r>
        <w:rPr>
          <w:rFonts w:hint="eastAsia" w:ascii="宋体" w:hAnsi="宋体" w:eastAsia="宋体" w:cs="宋体"/>
          <w:b/>
          <w:bCs/>
          <w:color w:val="auto"/>
          <w:sz w:val="24"/>
          <w:szCs w:val="24"/>
          <w:lang w:eastAsia="zh-CN"/>
        </w:rPr>
        <w:t>13.8 质量检查和验收</w:t>
      </w:r>
      <w:bookmarkEnd w:id="1377"/>
      <w:bookmarkEnd w:id="1378"/>
      <w:bookmarkEnd w:id="1379"/>
    </w:p>
    <w:p w14:paraId="20F0B10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13.8.1 土石方填筑前的质量检查和验收</w:t>
      </w:r>
    </w:p>
    <w:p w14:paraId="4CC4B8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）填筑前的地形平面、剖面测量资料的复核检查。</w:t>
      </w:r>
    </w:p>
    <w:p w14:paraId="31F381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）填筑前基础面清理的检查和验收。</w:t>
      </w:r>
    </w:p>
    <w:p w14:paraId="65CCEE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）土石方填筑料的物理力学试验成果抽检。</w:t>
      </w:r>
    </w:p>
    <w:p w14:paraId="01D6C5A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）施工碾压参数及其试验成果的检查和验收。</w:t>
      </w:r>
    </w:p>
    <w:p w14:paraId="276903E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13.8.2 土石方填筑过程的质量检查和验收</w:t>
      </w:r>
    </w:p>
    <w:p w14:paraId="02C6F7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）坝体堆石料填筑过程的质量检查的内容、方法和程序应遵守《混凝土面板堆石坝施工规范》（</w:t>
      </w:r>
      <w:r>
        <w:rPr>
          <w:rFonts w:hint="eastAsia" w:ascii="Times New Roman" w:hAnsi="Times New Roman" w:eastAsia="宋体" w:cs="Times New Roman"/>
          <w:color w:val="auto"/>
          <w:sz w:val="24"/>
          <w:szCs w:val="24"/>
          <w:lang w:eastAsia="zh-CN"/>
        </w:rPr>
        <w:t>SL 49-2015</w:t>
      </w:r>
      <w:r>
        <w:rPr>
          <w:rFonts w:ascii="宋体" w:hAnsi="宋体" w:eastAsia="宋体" w:cs="宋体"/>
          <w:color w:val="auto"/>
          <w:sz w:val="24"/>
          <w:szCs w:val="24"/>
          <w:lang w:eastAsia="zh-CN"/>
        </w:rPr>
        <w:t>）附录</w:t>
      </w:r>
      <w:r>
        <w:rPr>
          <w:rFonts w:ascii="Times New Roman" w:hAnsi="Times New Roman" w:eastAsia="Times New Roman" w:cs="Times New Roman"/>
          <w:color w:val="auto"/>
          <w:sz w:val="24"/>
          <w:szCs w:val="24"/>
          <w:lang w:eastAsia="zh-CN"/>
        </w:rPr>
        <w:t>A</w:t>
      </w:r>
      <w:r>
        <w:rPr>
          <w:rFonts w:ascii="宋体" w:hAnsi="宋体" w:eastAsia="宋体" w:cs="宋体"/>
          <w:color w:val="auto"/>
          <w:sz w:val="24"/>
          <w:szCs w:val="24"/>
          <w:lang w:eastAsia="zh-CN"/>
        </w:rPr>
        <w:t>的规定。</w:t>
      </w:r>
    </w:p>
    <w:p w14:paraId="260296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）坝料填筑质量控制标准应符合本章第</w:t>
      </w:r>
      <w:r>
        <w:rPr>
          <w:rFonts w:ascii="Times New Roman" w:hAnsi="Times New Roman" w:eastAsia="Times New Roman" w:cs="Times New Roman"/>
          <w:color w:val="auto"/>
          <w:sz w:val="24"/>
          <w:szCs w:val="24"/>
          <w:lang w:eastAsia="zh-CN"/>
        </w:rPr>
        <w:t>13.4</w:t>
      </w:r>
      <w:r>
        <w:rPr>
          <w:rFonts w:ascii="宋体" w:hAnsi="宋体" w:eastAsia="宋体" w:cs="宋体"/>
          <w:color w:val="auto"/>
          <w:sz w:val="24"/>
          <w:szCs w:val="24"/>
          <w:lang w:eastAsia="zh-CN"/>
        </w:rPr>
        <w:t>条的规定。</w:t>
      </w:r>
    </w:p>
    <w:p w14:paraId="4C6422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）在土料场对防渗土料的含水量和颗粒级配进行检验，严格控制上坝土料的含水量。</w:t>
      </w:r>
    </w:p>
    <w:p w14:paraId="38978E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）在石料场对石料质量和尺寸外形及堆石料的级配进行检验；在反滤料场对成品料的颗粒级配、含水量、软弱颗粒含量和形状等进行检验。</w:t>
      </w:r>
    </w:p>
    <w:p w14:paraId="293FCC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）对防渗土料的含水量和干密度、砾质土颗粒级配、反滤料和堆石料的干密度、孔隙率和颗粒级配等碾压参数进行检验。</w:t>
      </w:r>
    </w:p>
    <w:p w14:paraId="0F9FDE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）对土石方填筑的每一层填筑面，应按本章第</w:t>
      </w:r>
      <w:r>
        <w:rPr>
          <w:rFonts w:ascii="Times New Roman" w:hAnsi="Times New Roman" w:eastAsia="Times New Roman" w:cs="Times New Roman"/>
          <w:color w:val="auto"/>
          <w:sz w:val="24"/>
          <w:szCs w:val="24"/>
          <w:lang w:eastAsia="zh-CN"/>
        </w:rPr>
        <w:t>13.4</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13.6</w:t>
      </w:r>
      <w:r>
        <w:rPr>
          <w:rFonts w:ascii="宋体" w:hAnsi="宋体" w:eastAsia="宋体" w:cs="宋体"/>
          <w:color w:val="auto"/>
          <w:sz w:val="24"/>
          <w:szCs w:val="24"/>
          <w:lang w:eastAsia="zh-CN"/>
        </w:rPr>
        <w:t>条的规定进行工程隐蔽部位的验收。</w:t>
      </w:r>
    </w:p>
    <w:p w14:paraId="032ECB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）取样测定堆石料干密度，其平均值不应小于施工图纸规定的设计值。</w:t>
      </w:r>
    </w:p>
    <w:p w14:paraId="35324A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）承包人应按监理人指示，针对本章第</w:t>
      </w:r>
      <w:r>
        <w:rPr>
          <w:rFonts w:ascii="Times New Roman" w:hAnsi="Times New Roman" w:eastAsia="Times New Roman" w:cs="Times New Roman"/>
          <w:color w:val="auto"/>
          <w:sz w:val="24"/>
          <w:szCs w:val="24"/>
          <w:lang w:eastAsia="zh-CN"/>
        </w:rPr>
        <w:t>13.4</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13.6</w:t>
      </w:r>
      <w:r>
        <w:rPr>
          <w:rFonts w:ascii="宋体" w:hAnsi="宋体" w:eastAsia="宋体" w:cs="宋体"/>
          <w:color w:val="auto"/>
          <w:sz w:val="24"/>
          <w:szCs w:val="24"/>
          <w:lang w:eastAsia="zh-CN"/>
        </w:rPr>
        <w:t>条的施工内容，提交各项质量检查报经监理人验收后作为土石方填筑工程完工验收的附件。</w:t>
      </w:r>
    </w:p>
    <w:p w14:paraId="6567014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13.8.3 堤防工程的施工质量控制和验收</w:t>
      </w:r>
    </w:p>
    <w:p w14:paraId="3BA9B1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）堤防工程填筑质量标准应符合本章第</w:t>
      </w:r>
      <w:r>
        <w:rPr>
          <w:rFonts w:ascii="Times New Roman" w:hAnsi="Times New Roman" w:eastAsia="Times New Roman" w:cs="Times New Roman"/>
          <w:color w:val="auto"/>
          <w:sz w:val="24"/>
          <w:szCs w:val="24"/>
          <w:lang w:eastAsia="zh-CN"/>
        </w:rPr>
        <w:t>13.6.2</w:t>
      </w:r>
      <w:r>
        <w:rPr>
          <w:rFonts w:ascii="宋体" w:hAnsi="宋体" w:eastAsia="宋体" w:cs="宋体"/>
          <w:color w:val="auto"/>
          <w:sz w:val="24"/>
          <w:szCs w:val="24"/>
          <w:lang w:eastAsia="zh-CN"/>
        </w:rPr>
        <w:t>项的规定。</w:t>
      </w:r>
    </w:p>
    <w:p w14:paraId="780C57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）堤防工程施工质量控制和验收应遵守</w:t>
      </w:r>
      <w:r>
        <w:rPr>
          <w:rFonts w:ascii="宋体" w:hAnsi="宋体" w:eastAsia="宋体" w:cs="宋体"/>
          <w:color w:val="auto"/>
          <w:spacing w:val="-34"/>
          <w:sz w:val="24"/>
          <w:szCs w:val="24"/>
          <w:lang w:eastAsia="zh-CN"/>
        </w:rPr>
        <w:t>《堤防工程施工规范》（</w:t>
      </w:r>
      <w:r>
        <w:rPr>
          <w:rFonts w:hint="eastAsia" w:ascii="Times New Roman" w:hAnsi="Times New Roman" w:eastAsia="宋体" w:cs="Times New Roman"/>
          <w:color w:val="auto"/>
          <w:spacing w:val="-34"/>
          <w:sz w:val="24"/>
          <w:szCs w:val="24"/>
          <w:lang w:eastAsia="zh-CN"/>
        </w:rPr>
        <w:t>SL 260-2014</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章、第</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章的规定。</w:t>
      </w:r>
    </w:p>
    <w:p w14:paraId="0C8A1E7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13.8.4 土工合成材料防渗体的质量检查和验收</w:t>
      </w:r>
    </w:p>
    <w:p w14:paraId="29C096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13.8.1</w:t>
      </w:r>
      <w:r>
        <w:rPr>
          <w:rFonts w:ascii="宋体" w:hAnsi="宋体" w:eastAsia="宋体" w:cs="宋体"/>
          <w:color w:val="auto"/>
          <w:lang w:eastAsia="zh-CN"/>
        </w:rPr>
        <w:t>项</w:t>
      </w:r>
      <w:r>
        <w:rPr>
          <w:rFonts w:ascii="宋体" w:hAnsi="宋体" w:eastAsia="宋体" w:cs="宋体"/>
          <w:color w:val="auto"/>
          <w:sz w:val="24"/>
          <w:szCs w:val="24"/>
          <w:lang w:eastAsia="zh-CN"/>
        </w:rPr>
        <w:t>的有关规定。对运到工地的每批土工合成材料进行检查和验收。</w:t>
      </w:r>
    </w:p>
    <w:p w14:paraId="5C55A9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）每层土工合成材料被回填覆盖前，承包人应会同监理人按工程隐蔽部位的验收要求，对土工合成材料防渗体施工质量进行以下项目的检验和验收：</w:t>
      </w:r>
    </w:p>
    <w:p w14:paraId="5D454E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）每层土工合成材料被覆盖前，应根据《水利水电工程土工合成材料应用技术规范》（</w:t>
      </w:r>
      <w:r>
        <w:rPr>
          <w:rFonts w:hint="eastAsia" w:ascii="Times New Roman" w:hAnsi="Times New Roman" w:eastAsia="宋体" w:cs="Times New Roman"/>
          <w:color w:val="auto"/>
          <w:sz w:val="24"/>
          <w:szCs w:val="24"/>
          <w:lang w:eastAsia="zh-CN"/>
        </w:rPr>
        <w:t>SL/T 225-1998</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5.6.9</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项、第</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项的规定，采用目测或用真空法、充气法检查有无漏接，接缝烫损和折皱等缺陷。</w:t>
      </w:r>
    </w:p>
    <w:p w14:paraId="46E30D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w:t>
      </w:r>
      <w:r>
        <w:rPr>
          <w:rFonts w:ascii="宋体" w:hAnsi="宋体" w:eastAsia="宋体" w:cs="宋体"/>
          <w:color w:val="auto"/>
          <w:spacing w:val="-17"/>
          <w:sz w:val="24"/>
          <w:szCs w:val="24"/>
          <w:lang w:eastAsia="zh-CN"/>
        </w:rPr>
        <w:t>《水利水电工程土工合成材料应用技术规范》（</w:t>
      </w:r>
      <w:r>
        <w:rPr>
          <w:rFonts w:hint="eastAsia" w:ascii="Times New Roman" w:hAnsi="Times New Roman" w:eastAsia="宋体" w:cs="Times New Roman"/>
          <w:color w:val="auto"/>
          <w:spacing w:val="-17"/>
          <w:sz w:val="24"/>
          <w:szCs w:val="24"/>
          <w:lang w:eastAsia="zh-CN"/>
        </w:rPr>
        <w:t>SL/T 225-1998</w:t>
      </w:r>
      <w:r>
        <w:rPr>
          <w:rFonts w:ascii="宋体" w:hAnsi="宋体" w:eastAsia="宋体" w:cs="宋体"/>
          <w:color w:val="auto"/>
          <w:spacing w:val="-17"/>
          <w:sz w:val="24"/>
          <w:szCs w:val="24"/>
          <w:lang w:eastAsia="zh-CN"/>
        </w:rPr>
        <w:t>）</w:t>
      </w:r>
      <w:r>
        <w:rPr>
          <w:rFonts w:ascii="宋体" w:hAnsi="宋体" w:eastAsia="宋体" w:cs="宋体"/>
          <w:color w:val="auto"/>
          <w:spacing w:val="-20"/>
          <w:sz w:val="24"/>
          <w:szCs w:val="24"/>
          <w:lang w:eastAsia="zh-CN"/>
        </w:rPr>
        <w:t>第</w:t>
      </w:r>
      <w:r>
        <w:rPr>
          <w:rFonts w:ascii="Times New Roman" w:hAnsi="Times New Roman" w:eastAsia="Times New Roman" w:cs="Times New Roman"/>
          <w:color w:val="auto"/>
          <w:spacing w:val="-20"/>
          <w:sz w:val="24"/>
          <w:szCs w:val="24"/>
          <w:lang w:eastAsia="zh-CN"/>
        </w:rPr>
        <w:t>5.6.9</w:t>
      </w:r>
      <w:r>
        <w:rPr>
          <w:rFonts w:ascii="宋体" w:hAnsi="宋体" w:eastAsia="宋体" w:cs="宋体"/>
          <w:color w:val="auto"/>
          <w:spacing w:val="-20"/>
          <w:sz w:val="24"/>
          <w:szCs w:val="24"/>
          <w:lang w:eastAsia="zh-CN"/>
        </w:rPr>
        <w:t>条第</w:t>
      </w:r>
      <w:r>
        <w:rPr>
          <w:rFonts w:ascii="Times New Roman" w:hAnsi="Times New Roman" w:eastAsia="Times New Roman" w:cs="Times New Roman"/>
          <w:color w:val="auto"/>
          <w:spacing w:val="-20"/>
          <w:sz w:val="24"/>
          <w:szCs w:val="24"/>
          <w:lang w:eastAsia="zh-CN"/>
        </w:rPr>
        <w:t>3</w:t>
      </w:r>
      <w:r>
        <w:rPr>
          <w:rFonts w:ascii="宋体" w:hAnsi="宋体" w:eastAsia="宋体" w:cs="宋体"/>
          <w:color w:val="auto"/>
          <w:spacing w:val="-20"/>
          <w:sz w:val="24"/>
          <w:szCs w:val="24"/>
          <w:lang w:eastAsia="zh-CN"/>
        </w:rPr>
        <w:t>项的规定，进行拉伸强度试验，要求接缝处强度不低于母材的</w:t>
      </w:r>
      <w:r>
        <w:rPr>
          <w:rFonts w:ascii="Times New Roman" w:hAnsi="Times New Roman" w:eastAsia="Times New Roman" w:cs="Times New Roman"/>
          <w:color w:val="auto"/>
          <w:spacing w:val="-20"/>
          <w:sz w:val="24"/>
          <w:szCs w:val="24"/>
          <w:lang w:eastAsia="zh-CN"/>
        </w:rPr>
        <w:t>80%</w:t>
      </w:r>
      <w:r>
        <w:rPr>
          <w:rFonts w:ascii="宋体" w:hAnsi="宋体" w:eastAsia="宋体" w:cs="宋体"/>
          <w:color w:val="auto"/>
          <w:spacing w:val="-20"/>
          <w:sz w:val="24"/>
          <w:szCs w:val="24"/>
          <w:lang w:eastAsia="zh-CN"/>
        </w:rPr>
        <w:t>，且试件断裂不得在接缝处，防止接缝不合格。</w:t>
      </w:r>
    </w:p>
    <w:p w14:paraId="0F80398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13.8.5 完工验收</w:t>
      </w:r>
    </w:p>
    <w:p w14:paraId="452BAB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填筑工程全部完工后，承包人应向监理人申请完工验收，并提交以下完工验收资料：</w:t>
      </w:r>
    </w:p>
    <w:p w14:paraId="375AC9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）坝（堤）体土石方填筑工程（包括填筑体防渗结构及土工布防渗结构）竣工图。</w:t>
      </w:r>
    </w:p>
    <w:p w14:paraId="30ED8F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）坝基及其排水孔（洞）、灌浆洞地质编录资料。</w:t>
      </w:r>
    </w:p>
    <w:p w14:paraId="24B33A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）现场试验成果。</w:t>
      </w:r>
    </w:p>
    <w:p w14:paraId="0AD7A7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）坝（堤）体填筑质量及土工布施工质量（包括质量事故处理）报告。</w:t>
      </w:r>
    </w:p>
    <w:p w14:paraId="0E2F74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）施工期坝（堤）体安全监测的观测成果。</w:t>
      </w:r>
    </w:p>
    <w:p w14:paraId="4D8DE0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）工程隐蔽部位的检查验收报告。</w:t>
      </w:r>
    </w:p>
    <w:p w14:paraId="56E88F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）监理人要求提供的其他资料。</w:t>
      </w:r>
    </w:p>
    <w:p w14:paraId="32CC13D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80" w:name="_Toc22620"/>
      <w:bookmarkStart w:id="1381" w:name="_Toc1558"/>
      <w:bookmarkStart w:id="1382" w:name="_Toc30877"/>
      <w:r>
        <w:rPr>
          <w:rFonts w:hint="eastAsia" w:ascii="宋体" w:hAnsi="宋体" w:eastAsia="宋体" w:cs="宋体"/>
          <w:b/>
          <w:bCs/>
          <w:color w:val="auto"/>
          <w:sz w:val="24"/>
          <w:szCs w:val="24"/>
          <w:lang w:eastAsia="zh-CN"/>
        </w:rPr>
        <w:t>13.9 计量和支付</w:t>
      </w:r>
      <w:bookmarkEnd w:id="1380"/>
      <w:bookmarkEnd w:id="1381"/>
      <w:bookmarkEnd w:id="1382"/>
    </w:p>
    <w:p w14:paraId="5A22028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13.9.1 土石填筑</w:t>
      </w:r>
    </w:p>
    <w:p w14:paraId="65C81D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w:t>
      </w:r>
      <w:r>
        <w:rPr>
          <w:rFonts w:hint="eastAsia" w:ascii="宋体" w:hAnsi="宋体" w:eastAsia="宋体" w:cs="宋体"/>
          <w:color w:val="auto"/>
          <w:sz w:val="24"/>
          <w:szCs w:val="24"/>
          <w:lang w:eastAsia="zh-CN"/>
        </w:rPr>
        <w:t>坝（堤）体填筑按施工图纸所示尺寸计算的有效压实方体积以立方米为单位计量，围垦工程闭气土方填筑、抛石填堤工程量应计入设计（永久）沉降量，由发包人按《工程量清单》相应项目有效工程量的每立方米工程单价支付。</w:t>
      </w:r>
    </w:p>
    <w:p w14:paraId="490E9E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土石方填筑</w:t>
      </w:r>
      <w:r>
        <w:rPr>
          <w:rFonts w:ascii="宋体" w:hAnsi="宋体" w:eastAsia="宋体" w:cs="宋体"/>
          <w:color w:val="auto"/>
          <w:sz w:val="24"/>
          <w:szCs w:val="24"/>
          <w:lang w:eastAsia="zh-CN"/>
        </w:rPr>
        <w:t>完成后，最终结算的工程量应是经过施工期间压实并经自然沉陷后按施工图纸所示尺寸计算的有效压实方体积。若分次支付的累计工程量超出最终结算的工程量，发包人应扣除超出部分工程量。</w:t>
      </w:r>
    </w:p>
    <w:p w14:paraId="50F242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3</w:t>
      </w:r>
      <w:r>
        <w:rPr>
          <w:rFonts w:ascii="宋体" w:hAnsi="宋体" w:eastAsia="宋体" w:cs="宋体"/>
          <w:color w:val="auto"/>
          <w:sz w:val="24"/>
          <w:szCs w:val="24"/>
          <w:lang w:eastAsia="zh-CN"/>
        </w:rPr>
        <w:t>）除合同另有约定外，承包人对料场（土料场、石料场和存料场）进行复核、复勘、取样试验、地质测绘、工程完建后的料场整治和清理</w:t>
      </w:r>
      <w:r>
        <w:rPr>
          <w:rFonts w:hint="eastAsia" w:ascii="宋体" w:hAnsi="宋体" w:eastAsia="宋体" w:cs="宋体"/>
          <w:color w:val="auto"/>
          <w:sz w:val="24"/>
          <w:szCs w:val="24"/>
          <w:lang w:eastAsia="zh-CN"/>
        </w:rPr>
        <w:t>等所需的费用包</w:t>
      </w:r>
      <w:r>
        <w:rPr>
          <w:rFonts w:ascii="宋体" w:hAnsi="宋体" w:eastAsia="宋体" w:cs="宋体"/>
          <w:color w:val="auto"/>
          <w:sz w:val="24"/>
          <w:szCs w:val="24"/>
          <w:lang w:eastAsia="zh-CN"/>
        </w:rPr>
        <w:t>含在</w:t>
      </w:r>
      <w:r>
        <w:rPr>
          <w:rFonts w:hint="eastAsia" w:ascii="宋体" w:hAnsi="宋体" w:eastAsia="宋体" w:cs="宋体"/>
          <w:color w:val="auto"/>
          <w:sz w:val="24"/>
          <w:szCs w:val="24"/>
          <w:lang w:eastAsia="zh-CN"/>
        </w:rPr>
        <w:t>《工程量清单》相应</w:t>
      </w:r>
      <w:r>
        <w:rPr>
          <w:rFonts w:ascii="宋体" w:hAnsi="宋体" w:eastAsia="宋体" w:cs="宋体"/>
          <w:color w:val="auto"/>
          <w:sz w:val="24"/>
          <w:szCs w:val="24"/>
          <w:lang w:eastAsia="zh-CN"/>
        </w:rPr>
        <w:t>项目工程单价或总价中，发包人不另行支付。</w:t>
      </w:r>
    </w:p>
    <w:p w14:paraId="78E599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（4）现场生产性试验所需的费用（包括碾压试验）所增加的费用已包括在《工程量清单》各有关填筑料的单价中，发包人不再另行支付。</w:t>
      </w:r>
    </w:p>
    <w:p w14:paraId="1B3E99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（5）跟本章节相关的填筑工程的沉损、冲损由承包人自行考虑计入本项目有效工程量的每立方米工程单价中支付，发包人不另行支付。</w:t>
      </w:r>
    </w:p>
    <w:p w14:paraId="4B830BC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13.9.2 土工合成材料防渗体</w:t>
      </w:r>
    </w:p>
    <w:p w14:paraId="7D687D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土工合成材料的铺设按施工图纸所示尺寸计算的有效面积以平方米为单位计量，由发包人按《工程量清单》相应项目有效工程量的每平方米工程单价支付。</w:t>
      </w:r>
    </w:p>
    <w:p w14:paraId="2C963E86">
      <w:pPr>
        <w:pStyle w:val="8"/>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土工合成材料的接缝搭接面积和褶皱面积、抽样检验等所发生的费用包含在《工程量清单》相应项目有效工程量的工程单价中，发包人不另行支付。</w:t>
      </w:r>
    </w:p>
    <w:p w14:paraId="1AE9702D">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08812B7E">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383" w:name="_Toc31555"/>
      <w:bookmarkStart w:id="1384" w:name="_Toc20150"/>
      <w:bookmarkStart w:id="1385" w:name="_Toc13261"/>
      <w:r>
        <w:rPr>
          <w:rFonts w:ascii="Times New Roman" w:hAnsi="Times New Roman" w:eastAsia="Times New Roman" w:cs="Times New Roman"/>
          <w:b/>
          <w:bCs/>
          <w:color w:val="auto"/>
          <w:sz w:val="28"/>
          <w:szCs w:val="28"/>
          <w:lang w:eastAsia="zh-CN"/>
        </w:rPr>
        <w:t>14</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混凝土工程</w:t>
      </w:r>
      <w:bookmarkEnd w:id="1383"/>
      <w:bookmarkEnd w:id="1384"/>
      <w:bookmarkEnd w:id="1385"/>
    </w:p>
    <w:p w14:paraId="5E6E3CA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86" w:name="_Toc6914"/>
      <w:bookmarkStart w:id="1387" w:name="_Toc20603"/>
      <w:bookmarkStart w:id="1388" w:name="_Toc6559"/>
      <w:r>
        <w:rPr>
          <w:rFonts w:hint="eastAsia" w:ascii="宋体" w:hAnsi="宋体" w:eastAsia="宋体" w:cs="宋体"/>
          <w:b/>
          <w:bCs/>
          <w:color w:val="auto"/>
          <w:sz w:val="24"/>
          <w:szCs w:val="24"/>
          <w:lang w:eastAsia="zh-CN"/>
        </w:rPr>
        <w:t>14.1 一般规定</w:t>
      </w:r>
      <w:bookmarkEnd w:id="1386"/>
      <w:bookmarkEnd w:id="1387"/>
      <w:bookmarkEnd w:id="1388"/>
    </w:p>
    <w:p w14:paraId="46193E7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14.1.1 应用范围</w:t>
      </w:r>
    </w:p>
    <w:p w14:paraId="517D26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）本章规定适用于本合同施工图纸所示的永久和临时建筑物的各类混凝土（含钢筋混凝土）工程的施工，包括混凝土、预制混凝土、预应力混凝土、水下混凝土、碾压混凝土以及泵送混凝土等。</w:t>
      </w:r>
    </w:p>
    <w:p w14:paraId="494957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本章主要的施工内容包括：混凝土生产（包括混凝土材料、配合比设计、混凝拌制及混凝土的取样和检验等），管路和预埋件施工，止水、伸缩缝和坝体排水施工，混凝土运输、浇筑以及温度控制和混凝土养护等。</w:t>
      </w:r>
    </w:p>
    <w:p w14:paraId="1DB0F0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）本章规定还包括混凝土工程各种类型的模板与钢筋的制作和安装，混凝土模板、钢模板、悬臂模板和特种模板等。</w:t>
      </w:r>
    </w:p>
    <w:p w14:paraId="27FE99C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14.1.2 承包人责任</w:t>
      </w:r>
    </w:p>
    <w:p w14:paraId="6D5E33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）除合同另有约定外，承包人应按本工程施工图纸的要求，负责砂、石骨料的生产、运输、贮存和使用。</w:t>
      </w:r>
    </w:p>
    <w:p w14:paraId="51F5DE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）除合同另有约定外，承包人应负责修建本工程的混凝土拌和厂，包括其生产设备的采购、安装、运行管理、维护和拆除，并使其生产能力满足本合同规定的施工进度要求。</w:t>
      </w:r>
    </w:p>
    <w:p w14:paraId="60542A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）承包人应负责本工程各种类型模板的制作、安装、拆除和维护，以及钢筋和锚筋的制作和安装。</w:t>
      </w:r>
    </w:p>
    <w:p w14:paraId="17DD4D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）承包人应负责进行混凝土的室内试验、现场试验，以选定混凝土的原材料、最优配合比、施工工艺和浇筑程序。</w:t>
      </w:r>
    </w:p>
    <w:p w14:paraId="1FE669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）承包人应根据本合同技术条款和施工图纸所示的各种强度等级混凝土的质量要求，负责混凝土的拌和、运输、浇筑、温度控制和养护。</w:t>
      </w:r>
    </w:p>
    <w:p w14:paraId="6574B4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）承包人应负责本合同技术条款和施工图纸所示预制混凝土和预应力混凝土构件的制作、运输和安装以及水下混凝土和碾压混凝土的施工。</w:t>
      </w:r>
    </w:p>
    <w:p w14:paraId="492F691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14.1.3 主要提交件</w:t>
      </w:r>
    </w:p>
    <w:p w14:paraId="3ADEC6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）混凝土浇筑施工措施计划：承包人应在混凝土工程开工前，编制混凝土浇筑的施工措施计划，提交监理人批准，其内容包括：</w:t>
      </w:r>
    </w:p>
    <w:p w14:paraId="0F80A2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）混凝土浇筑所需的砂石料场（仓）、拌和厂、混凝土运输和浇筑设备、温度控制设施，以及混凝土试验等的布置、设备配置计划及其施工安装措施。</w:t>
      </w:r>
    </w:p>
    <w:p w14:paraId="54F225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）各种混凝土配合比设计与室内混凝土试验计划。</w:t>
      </w:r>
    </w:p>
    <w:p w14:paraId="689B64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）混凝土生产、运输、浇筑等的施工工艺和方法。</w:t>
      </w:r>
    </w:p>
    <w:p w14:paraId="2C7298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）现场工艺试验的措施计划。</w:t>
      </w:r>
    </w:p>
    <w:p w14:paraId="435C69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）混凝土温度控制的专项技术措施。</w:t>
      </w:r>
    </w:p>
    <w:p w14:paraId="4B5997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）施工质量控制措施及其质量检查和检验方法等。</w:t>
      </w:r>
    </w:p>
    <w:p w14:paraId="470486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）混凝土质量检查报表</w:t>
      </w:r>
    </w:p>
    <w:p w14:paraId="13A0CA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监理人的指示提供混凝土拌和与浇筑质量的施工记录报表，包括混凝土原材料的品质检查报表、强度等级和配合比试验成果、各种混凝土浇筑分块程序、浇筑记录、质量检查、事故处理、混凝土养护和表面保护等作业记录等。</w:t>
      </w:r>
    </w:p>
    <w:p w14:paraId="1A81C57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14.1.4 引用标准</w:t>
      </w:r>
    </w:p>
    <w:p w14:paraId="7F81E7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）《低热微膨胀水泥》（</w:t>
      </w:r>
      <w:r>
        <w:rPr>
          <w:rFonts w:hint="eastAsia" w:ascii="Times New Roman" w:hAnsi="Times New Roman" w:eastAsia="宋体" w:cs="Times New Roman"/>
          <w:color w:val="auto"/>
          <w:sz w:val="24"/>
          <w:szCs w:val="24"/>
          <w:lang w:eastAsia="zh-CN"/>
        </w:rPr>
        <w:t>GB/T 2938-2008</w:t>
      </w:r>
      <w:r>
        <w:rPr>
          <w:rFonts w:ascii="宋体" w:hAnsi="宋体" w:eastAsia="宋体" w:cs="宋体"/>
          <w:color w:val="auto"/>
          <w:sz w:val="24"/>
          <w:szCs w:val="24"/>
          <w:lang w:eastAsia="zh-CN"/>
        </w:rPr>
        <w:t>）。</w:t>
      </w:r>
    </w:p>
    <w:p w14:paraId="359683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）《通用硅酸盐水泥》（</w:t>
      </w:r>
      <w:r>
        <w:rPr>
          <w:rFonts w:hint="eastAsia" w:ascii="Times New Roman" w:hAnsi="Times New Roman" w:eastAsia="宋体" w:cs="Times New Roman"/>
          <w:color w:val="auto"/>
          <w:sz w:val="24"/>
          <w:szCs w:val="24"/>
          <w:lang w:eastAsia="zh-CN"/>
        </w:rPr>
        <w:t>GB 175-2023</w:t>
      </w:r>
      <w:r>
        <w:rPr>
          <w:rFonts w:ascii="宋体" w:hAnsi="宋体" w:eastAsia="宋体" w:cs="宋体"/>
          <w:color w:val="auto"/>
          <w:sz w:val="24"/>
          <w:szCs w:val="24"/>
          <w:lang w:eastAsia="zh-CN"/>
        </w:rPr>
        <w:t>）。</w:t>
      </w:r>
    </w:p>
    <w:p w14:paraId="6A3CCA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w:t>
      </w:r>
    </w:p>
    <w:p w14:paraId="394200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）《粉煤灰混凝土应用技术规范》（</w:t>
      </w:r>
      <w:r>
        <w:rPr>
          <w:rFonts w:hint="eastAsia" w:ascii="Times New Roman" w:hAnsi="Times New Roman" w:eastAsia="宋体" w:cs="Times New Roman"/>
          <w:color w:val="auto"/>
          <w:sz w:val="24"/>
          <w:szCs w:val="24"/>
          <w:lang w:eastAsia="zh-CN"/>
        </w:rPr>
        <w:t>GB/T 50146-2014</w:t>
      </w:r>
      <w:r>
        <w:rPr>
          <w:rFonts w:ascii="宋体" w:hAnsi="宋体" w:eastAsia="宋体" w:cs="宋体"/>
          <w:color w:val="auto"/>
          <w:sz w:val="24"/>
          <w:szCs w:val="24"/>
          <w:lang w:eastAsia="zh-CN"/>
        </w:rPr>
        <w:t>）。</w:t>
      </w:r>
    </w:p>
    <w:p w14:paraId="341DDC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）《预应力混凝土用钢丝》（</w:t>
      </w:r>
      <w:r>
        <w:rPr>
          <w:rFonts w:hint="eastAsia" w:ascii="Times New Roman" w:hAnsi="Times New Roman" w:eastAsia="宋体" w:cs="Times New Roman"/>
          <w:color w:val="auto"/>
          <w:sz w:val="24"/>
          <w:szCs w:val="24"/>
          <w:lang w:eastAsia="zh-CN"/>
        </w:rPr>
        <w:t>GB/T 5223-2014</w:t>
      </w:r>
      <w:r>
        <w:rPr>
          <w:rFonts w:ascii="宋体" w:hAnsi="宋体" w:eastAsia="宋体" w:cs="宋体"/>
          <w:color w:val="auto"/>
          <w:sz w:val="24"/>
          <w:szCs w:val="24"/>
          <w:lang w:eastAsia="zh-CN"/>
        </w:rPr>
        <w:t>）。</w:t>
      </w:r>
    </w:p>
    <w:p w14:paraId="789767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）《预应力混凝土用钢绞线》（</w:t>
      </w:r>
      <w:r>
        <w:rPr>
          <w:rFonts w:hint="eastAsia" w:ascii="Times New Roman" w:hAnsi="Times New Roman" w:eastAsia="宋体" w:cs="Times New Roman"/>
          <w:color w:val="auto"/>
          <w:sz w:val="24"/>
          <w:szCs w:val="24"/>
          <w:lang w:eastAsia="zh-CN"/>
        </w:rPr>
        <w:t>GB/T 5224-2023</w:t>
      </w:r>
      <w:r>
        <w:rPr>
          <w:rFonts w:ascii="宋体" w:hAnsi="宋体" w:eastAsia="宋体" w:cs="宋体"/>
          <w:color w:val="auto"/>
          <w:sz w:val="24"/>
          <w:szCs w:val="24"/>
          <w:lang w:eastAsia="zh-CN"/>
        </w:rPr>
        <w:t>）。</w:t>
      </w:r>
    </w:p>
    <w:p w14:paraId="637BDA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）《预应力筋用锚具、夹具和连接器》（</w:t>
      </w:r>
      <w:r>
        <w:rPr>
          <w:rFonts w:hint="eastAsia" w:ascii="Times New Roman" w:hAnsi="Times New Roman" w:eastAsia="宋体" w:cs="Times New Roman"/>
          <w:color w:val="auto"/>
          <w:sz w:val="24"/>
          <w:szCs w:val="24"/>
          <w:lang w:eastAsia="zh-CN"/>
        </w:rPr>
        <w:t>GB/T 14370-2015</w:t>
      </w:r>
      <w:r>
        <w:rPr>
          <w:rFonts w:ascii="宋体" w:hAnsi="宋体" w:eastAsia="宋体" w:cs="宋体"/>
          <w:color w:val="auto"/>
          <w:sz w:val="24"/>
          <w:szCs w:val="24"/>
          <w:lang w:eastAsia="zh-CN"/>
        </w:rPr>
        <w:t>）。</w:t>
      </w:r>
    </w:p>
    <w:p w14:paraId="217199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）《水工混凝土试验规程》（</w:t>
      </w:r>
      <w:r>
        <w:rPr>
          <w:rFonts w:hint="eastAsia" w:ascii="Times New Roman" w:hAnsi="Times New Roman" w:eastAsia="宋体" w:cs="Times New Roman"/>
          <w:color w:val="auto"/>
          <w:sz w:val="24"/>
          <w:szCs w:val="24"/>
          <w:lang w:eastAsia="zh-CN"/>
        </w:rPr>
        <w:t>SL/T 352-2020</w:t>
      </w:r>
      <w:r>
        <w:rPr>
          <w:rFonts w:ascii="宋体" w:hAnsi="宋体" w:eastAsia="宋体" w:cs="宋体"/>
          <w:color w:val="auto"/>
          <w:sz w:val="24"/>
          <w:szCs w:val="24"/>
          <w:lang w:eastAsia="zh-CN"/>
        </w:rPr>
        <w:t>）。</w:t>
      </w:r>
    </w:p>
    <w:p w14:paraId="1E0D525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）《水工碾压混凝土施工规范》（</w:t>
      </w:r>
      <w:r>
        <w:rPr>
          <w:rFonts w:hint="eastAsia" w:ascii="Times New Roman" w:hAnsi="Times New Roman" w:eastAsia="宋体" w:cs="Times New Roman"/>
          <w:color w:val="auto"/>
          <w:sz w:val="24"/>
          <w:szCs w:val="24"/>
          <w:lang w:eastAsia="zh-CN"/>
        </w:rPr>
        <w:t>SL 53-1994</w:t>
      </w:r>
      <w:r>
        <w:rPr>
          <w:rFonts w:ascii="宋体" w:hAnsi="宋体" w:eastAsia="宋体" w:cs="宋体"/>
          <w:color w:val="auto"/>
          <w:sz w:val="24"/>
          <w:szCs w:val="24"/>
          <w:lang w:eastAsia="zh-CN"/>
        </w:rPr>
        <w:t>）。</w:t>
      </w:r>
    </w:p>
    <w:p w14:paraId="001BF5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）《混凝土面板堆石坝施工规范》（</w:t>
      </w:r>
      <w:r>
        <w:rPr>
          <w:rFonts w:hint="eastAsia" w:ascii="Times New Roman" w:hAnsi="Times New Roman" w:eastAsia="宋体" w:cs="Times New Roman"/>
          <w:color w:val="auto"/>
          <w:sz w:val="24"/>
          <w:szCs w:val="24"/>
          <w:lang w:eastAsia="zh-CN"/>
        </w:rPr>
        <w:t>SL 49-2015</w:t>
      </w:r>
      <w:r>
        <w:rPr>
          <w:rFonts w:ascii="宋体" w:hAnsi="宋体" w:eastAsia="宋体" w:cs="宋体"/>
          <w:color w:val="auto"/>
          <w:sz w:val="24"/>
          <w:szCs w:val="24"/>
          <w:lang w:eastAsia="zh-CN"/>
        </w:rPr>
        <w:t>）。</w:t>
      </w:r>
    </w:p>
    <w:p w14:paraId="4BB43C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）《水工建筑物滑动模板施工技术规范》（</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32</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2014</w:t>
      </w:r>
      <w:r>
        <w:rPr>
          <w:rFonts w:ascii="宋体" w:hAnsi="宋体" w:eastAsia="宋体" w:cs="宋体"/>
          <w:color w:val="auto"/>
          <w:sz w:val="24"/>
          <w:szCs w:val="24"/>
          <w:lang w:eastAsia="zh-CN"/>
        </w:rPr>
        <w:t>）。</w:t>
      </w:r>
    </w:p>
    <w:p w14:paraId="5C927D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）《水工建筑物抗冲磨防空蚀混凝土技术规范》（</w:t>
      </w:r>
      <w:r>
        <w:rPr>
          <w:rFonts w:hint="eastAsia" w:ascii="Times New Roman" w:hAnsi="Times New Roman" w:eastAsia="宋体" w:cs="Times New Roman"/>
          <w:color w:val="auto"/>
          <w:sz w:val="24"/>
          <w:szCs w:val="24"/>
          <w:lang w:eastAsia="zh-CN"/>
        </w:rPr>
        <w:t xml:space="preserve">DL/T </w:t>
      </w:r>
      <w:r>
        <w:rPr>
          <w:rFonts w:ascii="Times New Roman" w:hAnsi="Times New Roman" w:eastAsia="Times New Roman" w:cs="Times New Roman"/>
          <w:color w:val="auto"/>
          <w:sz w:val="24"/>
          <w:szCs w:val="24"/>
          <w:lang w:eastAsia="zh-CN"/>
        </w:rPr>
        <w:t>5207</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2021</w:t>
      </w:r>
      <w:r>
        <w:rPr>
          <w:rFonts w:ascii="宋体" w:hAnsi="宋体" w:eastAsia="宋体" w:cs="宋体"/>
          <w:color w:val="auto"/>
          <w:sz w:val="24"/>
          <w:szCs w:val="24"/>
          <w:lang w:eastAsia="zh-CN"/>
        </w:rPr>
        <w:t>）。</w:t>
      </w:r>
    </w:p>
    <w:p w14:paraId="7ADC2C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13</w:t>
      </w:r>
      <w:r>
        <w:rPr>
          <w:rFonts w:ascii="宋体" w:hAnsi="宋体" w:eastAsia="宋体" w:cs="宋体"/>
          <w:color w:val="auto"/>
          <w:sz w:val="24"/>
          <w:szCs w:val="24"/>
          <w:lang w:eastAsia="zh-CN"/>
        </w:rPr>
        <w:t>）《水工混凝土钢筋施工规范》（</w:t>
      </w:r>
      <w:r>
        <w:rPr>
          <w:rFonts w:hint="eastAsia" w:ascii="Times New Roman" w:hAnsi="Times New Roman" w:eastAsia="宋体" w:cs="Times New Roman"/>
          <w:color w:val="auto"/>
          <w:sz w:val="24"/>
          <w:szCs w:val="24"/>
          <w:lang w:eastAsia="zh-CN"/>
        </w:rPr>
        <w:t>DL/T 5169-2013</w:t>
      </w:r>
      <w:r>
        <w:rPr>
          <w:rFonts w:ascii="宋体" w:hAnsi="宋体" w:eastAsia="宋体" w:cs="宋体"/>
          <w:color w:val="auto"/>
          <w:sz w:val="24"/>
          <w:szCs w:val="24"/>
          <w:lang w:eastAsia="zh-CN"/>
        </w:rPr>
        <w:t>）。</w:t>
      </w:r>
    </w:p>
    <w:p w14:paraId="6BA187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14</w:t>
      </w:r>
      <w:r>
        <w:rPr>
          <w:rFonts w:ascii="宋体" w:hAnsi="宋体" w:eastAsia="宋体" w:cs="宋体"/>
          <w:color w:val="auto"/>
          <w:sz w:val="24"/>
          <w:szCs w:val="24"/>
          <w:lang w:eastAsia="zh-CN"/>
        </w:rPr>
        <w:t>）《水工混凝土施工规范》（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w:t>
      </w:r>
    </w:p>
    <w:p w14:paraId="2EE759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15</w:t>
      </w:r>
      <w:r>
        <w:rPr>
          <w:rFonts w:ascii="宋体" w:hAnsi="宋体" w:eastAsia="宋体" w:cs="宋体"/>
          <w:color w:val="auto"/>
          <w:sz w:val="24"/>
          <w:szCs w:val="24"/>
          <w:lang w:eastAsia="zh-CN"/>
        </w:rPr>
        <w:t>）《水电水利工程模板施工规范》（</w:t>
      </w:r>
      <w:r>
        <w:rPr>
          <w:rFonts w:hint="eastAsia" w:ascii="Times New Roman" w:hAnsi="Times New Roman" w:eastAsia="宋体" w:cs="Times New Roman"/>
          <w:color w:val="auto"/>
          <w:sz w:val="24"/>
          <w:szCs w:val="24"/>
          <w:lang w:eastAsia="zh-CN"/>
        </w:rPr>
        <w:t xml:space="preserve">DL/T </w:t>
      </w:r>
      <w:r>
        <w:rPr>
          <w:rFonts w:ascii="Times New Roman" w:hAnsi="Times New Roman" w:eastAsia="Times New Roman" w:cs="Times New Roman"/>
          <w:color w:val="auto"/>
          <w:sz w:val="24"/>
          <w:szCs w:val="24"/>
          <w:lang w:eastAsia="zh-CN"/>
        </w:rPr>
        <w:t>5110</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2013</w:t>
      </w:r>
      <w:r>
        <w:rPr>
          <w:rFonts w:ascii="宋体" w:hAnsi="宋体" w:eastAsia="宋体" w:cs="宋体"/>
          <w:color w:val="auto"/>
          <w:sz w:val="24"/>
          <w:szCs w:val="24"/>
          <w:lang w:eastAsia="zh-CN"/>
        </w:rPr>
        <w:t>）。</w:t>
      </w:r>
    </w:p>
    <w:p w14:paraId="7C6EA4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16</w:t>
      </w:r>
      <w:r>
        <w:rPr>
          <w:rFonts w:ascii="宋体" w:hAnsi="宋体" w:eastAsia="宋体" w:cs="宋体"/>
          <w:color w:val="auto"/>
          <w:sz w:val="24"/>
          <w:szCs w:val="24"/>
          <w:lang w:eastAsia="zh-CN"/>
        </w:rPr>
        <w:t>）《混凝土用水标准》（</w:t>
      </w:r>
      <w:r>
        <w:rPr>
          <w:rFonts w:hint="eastAsia" w:ascii="Times New Roman" w:hAnsi="Times New Roman" w:eastAsia="宋体" w:cs="Times New Roman"/>
          <w:color w:val="auto"/>
          <w:sz w:val="24"/>
          <w:szCs w:val="24"/>
          <w:lang w:eastAsia="zh-CN"/>
        </w:rPr>
        <w:t>JGJ 63-2006</w:t>
      </w:r>
      <w:r>
        <w:rPr>
          <w:rFonts w:ascii="宋体" w:hAnsi="宋体" w:eastAsia="宋体" w:cs="宋体"/>
          <w:color w:val="auto"/>
          <w:sz w:val="24"/>
          <w:szCs w:val="24"/>
          <w:lang w:eastAsia="zh-CN"/>
        </w:rPr>
        <w:t>）。</w:t>
      </w:r>
    </w:p>
    <w:p w14:paraId="3BB678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17</w:t>
      </w:r>
      <w:r>
        <w:rPr>
          <w:rFonts w:ascii="宋体" w:hAnsi="宋体" w:eastAsia="宋体" w:cs="宋体"/>
          <w:color w:val="auto"/>
          <w:sz w:val="24"/>
          <w:szCs w:val="24"/>
          <w:lang w:eastAsia="zh-CN"/>
        </w:rPr>
        <w:t>）《轻骨料混凝土应用技术标准》（</w:t>
      </w:r>
      <w:r>
        <w:rPr>
          <w:rFonts w:hint="eastAsia" w:ascii="Times New Roman" w:hAnsi="Times New Roman" w:eastAsia="宋体" w:cs="Times New Roman"/>
          <w:color w:val="auto"/>
          <w:sz w:val="24"/>
          <w:szCs w:val="24"/>
          <w:lang w:eastAsia="zh-CN"/>
        </w:rPr>
        <w:t xml:space="preserve">JGJ/T </w:t>
      </w:r>
      <w:r>
        <w:rPr>
          <w:rFonts w:ascii="Times New Roman" w:hAnsi="Times New Roman" w:eastAsia="Times New Roman" w:cs="Times New Roman"/>
          <w:color w:val="auto"/>
          <w:sz w:val="24"/>
          <w:szCs w:val="24"/>
          <w:lang w:eastAsia="zh-CN"/>
        </w:rPr>
        <w:t>12-2019</w:t>
      </w:r>
      <w:r>
        <w:rPr>
          <w:rFonts w:ascii="宋体" w:hAnsi="宋体" w:eastAsia="宋体" w:cs="宋体"/>
          <w:color w:val="auto"/>
          <w:sz w:val="24"/>
          <w:szCs w:val="24"/>
          <w:lang w:eastAsia="zh-CN"/>
        </w:rPr>
        <w:t>）。</w:t>
      </w:r>
    </w:p>
    <w:p w14:paraId="6243B4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18</w:t>
      </w:r>
      <w:r>
        <w:rPr>
          <w:rFonts w:ascii="宋体" w:hAnsi="宋体" w:eastAsia="宋体" w:cs="宋体"/>
          <w:color w:val="auto"/>
          <w:sz w:val="24"/>
          <w:szCs w:val="24"/>
          <w:lang w:eastAsia="zh-CN"/>
        </w:rPr>
        <w:t>）《混凝土泵送施工技术规程》（</w:t>
      </w:r>
      <w:r>
        <w:rPr>
          <w:rFonts w:hint="eastAsia" w:ascii="Times New Roman" w:hAnsi="Times New Roman" w:eastAsia="宋体" w:cs="Times New Roman"/>
          <w:color w:val="auto"/>
          <w:sz w:val="24"/>
          <w:szCs w:val="24"/>
          <w:lang w:eastAsia="zh-CN"/>
        </w:rPr>
        <w:t xml:space="preserve">JGJ/T </w:t>
      </w:r>
      <w:r>
        <w:rPr>
          <w:rFonts w:ascii="Times New Roman" w:hAnsi="Times New Roman" w:eastAsia="Times New Roman" w:cs="Times New Roman"/>
          <w:color w:val="auto"/>
          <w:sz w:val="24"/>
          <w:szCs w:val="24"/>
          <w:lang w:eastAsia="zh-CN"/>
        </w:rPr>
        <w:t>10</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2011</w:t>
      </w:r>
      <w:r>
        <w:rPr>
          <w:rFonts w:ascii="宋体" w:hAnsi="宋体" w:eastAsia="宋体" w:cs="宋体"/>
          <w:color w:val="auto"/>
          <w:sz w:val="24"/>
          <w:szCs w:val="24"/>
          <w:lang w:eastAsia="zh-CN"/>
        </w:rPr>
        <w:t>）。</w:t>
      </w:r>
    </w:p>
    <w:p w14:paraId="5A7315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19</w:t>
      </w:r>
      <w:r>
        <w:rPr>
          <w:rFonts w:ascii="宋体" w:hAnsi="宋体" w:eastAsia="宋体" w:cs="宋体"/>
          <w:color w:val="auto"/>
          <w:sz w:val="24"/>
          <w:szCs w:val="24"/>
          <w:lang w:eastAsia="zh-CN"/>
        </w:rPr>
        <w:t>）《水工混凝土结构设计规范》（</w:t>
      </w:r>
      <w:r>
        <w:rPr>
          <w:rFonts w:hint="eastAsia" w:ascii="Times New Roman" w:hAnsi="Times New Roman" w:eastAsia="宋体" w:cs="Times New Roman"/>
          <w:color w:val="auto"/>
          <w:sz w:val="24"/>
          <w:szCs w:val="24"/>
          <w:lang w:eastAsia="zh-CN"/>
        </w:rPr>
        <w:t xml:space="preserve">SL </w:t>
      </w:r>
      <w:r>
        <w:rPr>
          <w:rFonts w:ascii="Times New Roman" w:hAnsi="Times New Roman" w:eastAsia="Times New Roman" w:cs="Times New Roman"/>
          <w:color w:val="auto"/>
          <w:sz w:val="24"/>
          <w:szCs w:val="24"/>
          <w:lang w:eastAsia="zh-CN"/>
        </w:rPr>
        <w:t>191</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2008</w:t>
      </w:r>
      <w:r>
        <w:rPr>
          <w:rFonts w:ascii="宋体" w:hAnsi="宋体" w:eastAsia="宋体" w:cs="宋体"/>
          <w:color w:val="auto"/>
          <w:sz w:val="24"/>
          <w:szCs w:val="24"/>
          <w:lang w:eastAsia="zh-CN"/>
        </w:rPr>
        <w:t>）。</w:t>
      </w:r>
    </w:p>
    <w:p w14:paraId="0C189F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20</w:t>
      </w:r>
      <w:r>
        <w:rPr>
          <w:rFonts w:ascii="宋体" w:hAnsi="宋体" w:eastAsia="宋体" w:cs="宋体"/>
          <w:color w:val="auto"/>
          <w:sz w:val="24"/>
          <w:szCs w:val="24"/>
          <w:lang w:eastAsia="zh-CN"/>
        </w:rPr>
        <w:t>）《混凝土结构耐久性设计标准》（</w:t>
      </w:r>
      <w:r>
        <w:rPr>
          <w:rFonts w:hint="eastAsia" w:ascii="Times New Roman" w:hAnsi="Times New Roman" w:eastAsia="宋体" w:cs="Times New Roman"/>
          <w:color w:val="auto"/>
          <w:sz w:val="24"/>
          <w:szCs w:val="24"/>
          <w:lang w:eastAsia="zh-CN"/>
        </w:rPr>
        <w:t xml:space="preserve">GB/T </w:t>
      </w:r>
      <w:r>
        <w:rPr>
          <w:rFonts w:ascii="Times New Roman" w:hAnsi="Times New Roman" w:eastAsia="Times New Roman" w:cs="Times New Roman"/>
          <w:color w:val="auto"/>
          <w:sz w:val="24"/>
          <w:szCs w:val="24"/>
          <w:lang w:eastAsia="zh-CN"/>
        </w:rPr>
        <w:t>50476-2019</w:t>
      </w:r>
      <w:r>
        <w:rPr>
          <w:rFonts w:ascii="宋体" w:hAnsi="宋体" w:eastAsia="宋体" w:cs="宋体"/>
          <w:color w:val="auto"/>
          <w:sz w:val="24"/>
          <w:szCs w:val="24"/>
          <w:lang w:eastAsia="zh-CN"/>
        </w:rPr>
        <w:t>）。</w:t>
      </w:r>
    </w:p>
    <w:p w14:paraId="279ADBC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89" w:name="_Toc6995"/>
      <w:bookmarkStart w:id="1390" w:name="_Toc13091"/>
      <w:bookmarkStart w:id="1391" w:name="_Toc1026"/>
      <w:r>
        <w:rPr>
          <w:rFonts w:hint="eastAsia" w:ascii="宋体" w:hAnsi="宋体" w:eastAsia="宋体" w:cs="宋体"/>
          <w:b/>
          <w:bCs/>
          <w:color w:val="auto"/>
          <w:sz w:val="24"/>
          <w:szCs w:val="24"/>
          <w:lang w:eastAsia="zh-CN"/>
        </w:rPr>
        <w:t>14.2 混凝土生产</w:t>
      </w:r>
      <w:bookmarkEnd w:id="1389"/>
      <w:bookmarkEnd w:id="1390"/>
      <w:bookmarkEnd w:id="1391"/>
    </w:p>
    <w:p w14:paraId="7AEDB57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14.2.1 混凝土材料</w:t>
      </w:r>
    </w:p>
    <w:p w14:paraId="0C573F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）水泥。混凝土的水泥应遵守《通用硅酸盐水泥》（</w:t>
      </w:r>
      <w:r>
        <w:rPr>
          <w:rFonts w:hint="eastAsia" w:ascii="Times New Roman" w:hAnsi="Times New Roman" w:eastAsia="宋体" w:cs="Times New Roman"/>
          <w:color w:val="auto"/>
          <w:sz w:val="24"/>
          <w:szCs w:val="24"/>
          <w:lang w:eastAsia="zh-CN"/>
        </w:rPr>
        <w:t>GB 175-2023</w:t>
      </w:r>
      <w:r>
        <w:rPr>
          <w:rFonts w:ascii="宋体" w:hAnsi="宋体" w:eastAsia="宋体" w:cs="宋体"/>
          <w:color w:val="auto"/>
          <w:sz w:val="24"/>
          <w:szCs w:val="24"/>
          <w:lang w:eastAsia="zh-CN"/>
        </w:rPr>
        <w:t>）的有关规定，泵送混凝土应遵守《混凝土泵送施工技术规程》（</w:t>
      </w:r>
      <w:r>
        <w:rPr>
          <w:rFonts w:hint="eastAsia" w:ascii="Times New Roman" w:hAnsi="Times New Roman" w:eastAsia="宋体" w:cs="Times New Roman"/>
          <w:color w:val="auto"/>
          <w:sz w:val="24"/>
          <w:szCs w:val="24"/>
          <w:lang w:eastAsia="zh-CN"/>
        </w:rPr>
        <w:t>JGJ/T 10-2011</w:t>
      </w:r>
      <w:r>
        <w:rPr>
          <w:rFonts w:ascii="宋体" w:hAnsi="宋体" w:eastAsia="宋体" w:cs="宋体"/>
          <w:color w:val="auto"/>
          <w:sz w:val="24"/>
          <w:szCs w:val="24"/>
          <w:lang w:eastAsia="zh-CN"/>
        </w:rPr>
        <w:t>）的有关规定。</w:t>
      </w:r>
    </w:p>
    <w:p w14:paraId="0A3527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）骨料。混凝土的骨料应遵守《水工混凝土施工规范》（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5.3</w:t>
      </w:r>
      <w:r>
        <w:rPr>
          <w:rFonts w:ascii="宋体" w:hAnsi="宋体" w:eastAsia="宋体" w:cs="宋体"/>
          <w:color w:val="auto"/>
          <w:sz w:val="24"/>
          <w:szCs w:val="24"/>
          <w:lang w:eastAsia="zh-CN"/>
        </w:rPr>
        <w:t>节规定，泵送混凝土应遵守</w:t>
      </w:r>
      <w:r>
        <w:rPr>
          <w:rFonts w:ascii="宋体" w:hAnsi="宋体" w:eastAsia="宋体" w:cs="宋体"/>
          <w:color w:val="auto"/>
          <w:spacing w:val="-20"/>
          <w:sz w:val="24"/>
          <w:szCs w:val="24"/>
          <w:lang w:eastAsia="zh-CN"/>
        </w:rPr>
        <w:t>《混凝土泵送施工技术规程》（</w:t>
      </w:r>
      <w:r>
        <w:rPr>
          <w:rFonts w:hint="eastAsia" w:ascii="Times New Roman" w:hAnsi="Times New Roman" w:eastAsia="宋体" w:cs="Times New Roman"/>
          <w:color w:val="auto"/>
          <w:spacing w:val="-20"/>
          <w:sz w:val="24"/>
          <w:szCs w:val="24"/>
          <w:lang w:eastAsia="zh-CN"/>
        </w:rPr>
        <w:t>JGJ/T 10-2011</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的有关规定。</w:t>
      </w:r>
    </w:p>
    <w:p w14:paraId="3443C9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）水。混凝土浇筑用水应遵守《混凝土用水标准》（</w:t>
      </w:r>
      <w:r>
        <w:rPr>
          <w:rFonts w:hint="eastAsia" w:ascii="Times New Roman" w:hAnsi="Times New Roman" w:eastAsia="宋体" w:cs="Times New Roman"/>
          <w:color w:val="auto"/>
          <w:sz w:val="24"/>
          <w:szCs w:val="24"/>
          <w:lang w:eastAsia="zh-CN"/>
        </w:rPr>
        <w:t>JGJ 63-2006</w:t>
      </w:r>
      <w:r>
        <w:rPr>
          <w:rFonts w:ascii="宋体" w:hAnsi="宋体" w:eastAsia="宋体" w:cs="宋体"/>
          <w:color w:val="auto"/>
          <w:sz w:val="24"/>
          <w:szCs w:val="24"/>
          <w:lang w:eastAsia="zh-CN"/>
        </w:rPr>
        <w:t>）和《水工混凝土施工规范》（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节的规定。</w:t>
      </w:r>
    </w:p>
    <w:p w14:paraId="278D3C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）掺合料。混凝土掺合料应遵守</w:t>
      </w:r>
      <w:r>
        <w:rPr>
          <w:rFonts w:ascii="宋体" w:hAnsi="宋体" w:eastAsia="宋体" w:cs="宋体"/>
          <w:color w:val="auto"/>
          <w:spacing w:val="-20"/>
          <w:sz w:val="24"/>
          <w:szCs w:val="24"/>
          <w:lang w:eastAsia="zh-CN"/>
        </w:rPr>
        <w:t>《水工混凝土施工规范》（</w:t>
      </w:r>
      <w:r>
        <w:rPr>
          <w:rFonts w:hint="eastAsia" w:ascii="Times New Roman" w:hAnsi="Times New Roman" w:eastAsia="宋体" w:cs="Times New Roman"/>
          <w:color w:val="auto"/>
          <w:spacing w:val="-20"/>
          <w:sz w:val="24"/>
          <w:szCs w:val="24"/>
          <w:lang w:eastAsia="zh-CN"/>
        </w:rPr>
        <w:t>SL 677-2014</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5.4</w:t>
      </w:r>
      <w:r>
        <w:rPr>
          <w:rFonts w:ascii="宋体" w:hAnsi="宋体" w:eastAsia="宋体" w:cs="宋体"/>
          <w:color w:val="auto"/>
          <w:sz w:val="24"/>
          <w:szCs w:val="24"/>
          <w:lang w:eastAsia="zh-CN"/>
        </w:rPr>
        <w:t>节规定，泵送混凝土应遵守《混凝土泵送施工技术规程》（</w:t>
      </w:r>
      <w:r>
        <w:rPr>
          <w:rFonts w:hint="eastAsia" w:ascii="Times New Roman" w:hAnsi="Times New Roman" w:eastAsia="宋体" w:cs="Times New Roman"/>
          <w:color w:val="auto"/>
          <w:sz w:val="24"/>
          <w:szCs w:val="24"/>
          <w:lang w:eastAsia="zh-CN"/>
        </w:rPr>
        <w:t>JGJ/T 10-2011</w:t>
      </w:r>
      <w:r>
        <w:rPr>
          <w:rFonts w:ascii="宋体" w:hAnsi="宋体" w:eastAsia="宋体" w:cs="宋体"/>
          <w:color w:val="auto"/>
          <w:sz w:val="24"/>
          <w:szCs w:val="24"/>
          <w:lang w:eastAsia="zh-CN"/>
        </w:rPr>
        <w:t>）的有关规定。</w:t>
      </w:r>
    </w:p>
    <w:p w14:paraId="70680A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）外加剂。混凝土外加剂应遵守</w:t>
      </w:r>
      <w:r>
        <w:rPr>
          <w:rFonts w:ascii="宋体" w:hAnsi="宋体" w:eastAsia="宋体" w:cs="宋体"/>
          <w:color w:val="auto"/>
          <w:spacing w:val="-20"/>
          <w:sz w:val="24"/>
          <w:szCs w:val="24"/>
          <w:lang w:eastAsia="zh-CN"/>
        </w:rPr>
        <w:t>《水工混凝土施工规范》（</w:t>
      </w:r>
      <w:r>
        <w:rPr>
          <w:rFonts w:hint="eastAsia" w:ascii="Times New Roman" w:hAnsi="Times New Roman" w:eastAsia="宋体" w:cs="Times New Roman"/>
          <w:color w:val="auto"/>
          <w:spacing w:val="-20"/>
          <w:sz w:val="24"/>
          <w:szCs w:val="24"/>
          <w:lang w:eastAsia="zh-CN"/>
        </w:rPr>
        <w:t>SL 677-2014</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5.5</w:t>
      </w:r>
      <w:r>
        <w:rPr>
          <w:rFonts w:ascii="宋体" w:hAnsi="宋体" w:eastAsia="宋体" w:cs="宋体"/>
          <w:color w:val="auto"/>
          <w:sz w:val="24"/>
          <w:szCs w:val="24"/>
          <w:lang w:eastAsia="zh-CN"/>
        </w:rPr>
        <w:t>节的有关规定，泵送混凝土应遵守</w:t>
      </w:r>
      <w:r>
        <w:rPr>
          <w:rFonts w:ascii="宋体" w:hAnsi="宋体" w:eastAsia="宋体" w:cs="宋体"/>
          <w:color w:val="auto"/>
          <w:spacing w:val="-28"/>
          <w:sz w:val="24"/>
          <w:szCs w:val="24"/>
          <w:lang w:eastAsia="zh-CN"/>
        </w:rPr>
        <w:t>《混凝土泵送施工技术规程》（</w:t>
      </w:r>
      <w:r>
        <w:rPr>
          <w:rFonts w:hint="eastAsia" w:ascii="Times New Roman" w:hAnsi="Times New Roman" w:eastAsia="宋体" w:cs="Times New Roman"/>
          <w:color w:val="auto"/>
          <w:spacing w:val="-28"/>
          <w:sz w:val="24"/>
          <w:szCs w:val="24"/>
          <w:lang w:eastAsia="zh-CN"/>
        </w:rPr>
        <w:t>JGJ/T 10-2011</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的有关规定。</w:t>
      </w:r>
    </w:p>
    <w:p w14:paraId="627309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）硅粉。配制水工硅粉混凝土的硅粉质量标准应满足施工图纸的要求。</w:t>
      </w:r>
    </w:p>
    <w:p w14:paraId="7249FC4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14.2.2 混凝土配合比选定</w:t>
      </w:r>
    </w:p>
    <w:p w14:paraId="1B5F9D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混凝土配合比选定应遵守《水工混凝土施工规范》（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章的有关规定。</w:t>
      </w:r>
    </w:p>
    <w:p w14:paraId="3E30380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14.2.3 混凝土拌和</w:t>
      </w:r>
    </w:p>
    <w:p w14:paraId="5AE26A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）混凝土拌和设备。</w:t>
      </w:r>
    </w:p>
    <w:p w14:paraId="3B175B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）拌和厂应选用高效、可靠的固定式拌和设备，并采用自动或半自动控制的计量设备配料，拌和厂设备生产率必须满足本工程高峰浇筑强度的要求。</w:t>
      </w:r>
    </w:p>
    <w:p w14:paraId="0A18AF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）拌和厂选用的所有称量、指示、记录及控制设备都应有防尘措施，设备称量应满足规定的精度要求，承包人应及时校正称量设备的精度。</w:t>
      </w:r>
    </w:p>
    <w:p w14:paraId="7016EA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）施工过程中，承包人若要改变混凝土生产程序或设备，必须将改变后的设备生产能力、技术说明书以及混凝土生产流程等提交监理人批准。</w:t>
      </w:r>
    </w:p>
    <w:p w14:paraId="3A3080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）承包人应设置排水沉淀池，分离或同时采取其他有效措施，防止污染环境。并应防止污水或含有悬浮质的水流污染施工现场和排入河流。</w:t>
      </w:r>
    </w:p>
    <w:p w14:paraId="71B717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）混凝土拌和。</w:t>
      </w:r>
    </w:p>
    <w:p w14:paraId="181F1A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混凝土拌和应遵守《水工混凝土施工规范》（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7.2</w:t>
      </w:r>
      <w:r>
        <w:rPr>
          <w:rFonts w:ascii="宋体" w:hAnsi="宋体" w:eastAsia="宋体" w:cs="宋体"/>
          <w:color w:val="auto"/>
          <w:sz w:val="24"/>
          <w:szCs w:val="24"/>
          <w:lang w:eastAsia="zh-CN"/>
        </w:rPr>
        <w:t>节的有关规定。</w:t>
      </w:r>
    </w:p>
    <w:p w14:paraId="7C3DDF3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14.2.4 混凝土的取样和检验</w:t>
      </w:r>
    </w:p>
    <w:p w14:paraId="6CA9FB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）混凝土原材料的取样和检验。</w:t>
      </w:r>
    </w:p>
    <w:p w14:paraId="502358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混凝土原材料的取样和检验应遵守</w:t>
      </w:r>
      <w:r>
        <w:rPr>
          <w:rFonts w:ascii="宋体" w:hAnsi="宋体" w:eastAsia="宋体" w:cs="宋体"/>
          <w:color w:val="auto"/>
          <w:spacing w:val="-20"/>
          <w:sz w:val="24"/>
          <w:szCs w:val="24"/>
          <w:lang w:eastAsia="zh-CN"/>
        </w:rPr>
        <w:t>《水工混凝土施工规范》（</w:t>
      </w:r>
      <w:r>
        <w:rPr>
          <w:rFonts w:hint="eastAsia" w:ascii="Times New Roman" w:hAnsi="Times New Roman" w:eastAsia="宋体" w:cs="Times New Roman"/>
          <w:color w:val="auto"/>
          <w:spacing w:val="-20"/>
          <w:sz w:val="24"/>
          <w:szCs w:val="24"/>
          <w:lang w:eastAsia="zh-CN"/>
        </w:rPr>
        <w:t>SL 677-2014</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11.2</w:t>
      </w:r>
      <w:r>
        <w:rPr>
          <w:rFonts w:ascii="宋体" w:hAnsi="宋体" w:eastAsia="宋体" w:cs="宋体"/>
          <w:color w:val="auto"/>
          <w:sz w:val="24"/>
          <w:szCs w:val="24"/>
          <w:lang w:eastAsia="zh-CN"/>
        </w:rPr>
        <w:t>节的有关规定。</w:t>
      </w:r>
    </w:p>
    <w:p w14:paraId="76FDE3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）混凝土拌和与混凝土拌和物的质量检测。</w:t>
      </w:r>
    </w:p>
    <w:p w14:paraId="051415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）混凝土拌和与混凝土拌和物的质量检测应遵守《水工混凝土施工规范》（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11.3</w:t>
      </w:r>
      <w:r>
        <w:rPr>
          <w:rFonts w:ascii="宋体" w:hAnsi="宋体" w:eastAsia="宋体" w:cs="宋体"/>
          <w:color w:val="auto"/>
          <w:sz w:val="24"/>
          <w:szCs w:val="24"/>
          <w:lang w:eastAsia="zh-CN"/>
        </w:rPr>
        <w:t>节的规定。</w:t>
      </w:r>
    </w:p>
    <w:p w14:paraId="6E87C0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）混凝土施工配合比必须满足本合同技术条款和施工图纸的要求，施工配料必须严格按监理人批准的混凝土配料单进行配料，严禁擅自更改。</w:t>
      </w:r>
    </w:p>
    <w:p w14:paraId="68E58C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）混凝土坍落度及混凝土拌和物的水胶比按</w:t>
      </w:r>
      <w:r>
        <w:rPr>
          <w:rFonts w:ascii="宋体" w:hAnsi="宋体" w:eastAsia="宋体" w:cs="宋体"/>
          <w:color w:val="auto"/>
          <w:spacing w:val="20"/>
          <w:sz w:val="24"/>
          <w:szCs w:val="24"/>
          <w:lang w:eastAsia="zh-CN"/>
        </w:rPr>
        <w:t>《水工混凝土试验规程》</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SL/T 352-2020</w:t>
      </w:r>
      <w:r>
        <w:rPr>
          <w:rFonts w:ascii="宋体" w:hAnsi="宋体" w:eastAsia="宋体" w:cs="宋体"/>
          <w:color w:val="auto"/>
          <w:sz w:val="24"/>
          <w:szCs w:val="24"/>
          <w:lang w:eastAsia="zh-CN"/>
        </w:rPr>
        <w:t>）的规定取样检测。</w:t>
      </w:r>
    </w:p>
    <w:p w14:paraId="494C87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）混凝土拌和温度、气温和原材料温度的检测方法应遵守《水工混凝土试验规程》（</w:t>
      </w:r>
      <w:r>
        <w:rPr>
          <w:rFonts w:hint="eastAsia" w:ascii="Times New Roman" w:hAnsi="Times New Roman" w:eastAsia="宋体" w:cs="Times New Roman"/>
          <w:color w:val="auto"/>
          <w:sz w:val="24"/>
          <w:szCs w:val="24"/>
          <w:lang w:eastAsia="zh-CN"/>
        </w:rPr>
        <w:t>SL/T 352-2020</w:t>
      </w:r>
      <w:r>
        <w:rPr>
          <w:rFonts w:ascii="宋体" w:hAnsi="宋体" w:eastAsia="宋体" w:cs="宋体"/>
          <w:color w:val="auto"/>
          <w:sz w:val="24"/>
          <w:szCs w:val="24"/>
          <w:lang w:eastAsia="zh-CN"/>
        </w:rPr>
        <w:t>）的规定。</w:t>
      </w:r>
    </w:p>
    <w:p w14:paraId="17E716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）各级混凝土试件的各项试验和检测均应遵守《水工混凝土试验规程》（</w:t>
      </w:r>
      <w:r>
        <w:rPr>
          <w:rFonts w:hint="eastAsia" w:ascii="Times New Roman" w:hAnsi="Times New Roman" w:eastAsia="宋体" w:cs="Times New Roman"/>
          <w:color w:val="auto"/>
          <w:sz w:val="24"/>
          <w:szCs w:val="24"/>
          <w:lang w:eastAsia="zh-CN"/>
        </w:rPr>
        <w:t>SL/T 352-2020</w:t>
      </w:r>
      <w:r>
        <w:rPr>
          <w:rFonts w:ascii="宋体" w:hAnsi="宋体" w:eastAsia="宋体" w:cs="宋体"/>
          <w:color w:val="auto"/>
          <w:sz w:val="24"/>
          <w:szCs w:val="24"/>
          <w:lang w:eastAsia="zh-CN"/>
        </w:rPr>
        <w:t>）的规定。</w:t>
      </w:r>
    </w:p>
    <w:p w14:paraId="17527AB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92" w:name="_Toc20467"/>
      <w:bookmarkStart w:id="1393" w:name="_Toc29268"/>
      <w:bookmarkStart w:id="1394" w:name="_Toc15505"/>
      <w:r>
        <w:rPr>
          <w:rFonts w:hint="eastAsia" w:ascii="宋体" w:hAnsi="宋体" w:eastAsia="宋体" w:cs="宋体"/>
          <w:b/>
          <w:bCs/>
          <w:color w:val="auto"/>
          <w:sz w:val="24"/>
          <w:szCs w:val="24"/>
          <w:lang w:eastAsia="zh-CN"/>
        </w:rPr>
        <w:t>14.3 模板</w:t>
      </w:r>
      <w:bookmarkEnd w:id="1392"/>
      <w:bookmarkEnd w:id="1393"/>
      <w:bookmarkEnd w:id="1394"/>
    </w:p>
    <w:p w14:paraId="523A21B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14.3.1 模板材料</w:t>
      </w:r>
    </w:p>
    <w:p w14:paraId="1B2C00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模板材料应遵守《水电水利工程模板施工规范》（</w:t>
      </w:r>
      <w:r>
        <w:rPr>
          <w:rFonts w:hint="eastAsia" w:ascii="Times New Roman" w:hAnsi="Times New Roman" w:eastAsia="宋体" w:cs="Times New Roman"/>
          <w:color w:val="auto"/>
          <w:sz w:val="24"/>
          <w:szCs w:val="24"/>
          <w:lang w:eastAsia="zh-CN"/>
        </w:rPr>
        <w:t>DL/T 5110-2013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章的有关规定。</w:t>
      </w:r>
    </w:p>
    <w:p w14:paraId="020FE65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14.3.2 模板的设计、制作和安装</w:t>
      </w:r>
    </w:p>
    <w:p w14:paraId="370454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）混凝土模板的设计，除应满足本合同施工图纸的规定外，还应遵守《水电水利工程模板施工规范》（</w:t>
      </w:r>
      <w:r>
        <w:rPr>
          <w:rFonts w:hint="eastAsia" w:ascii="Times New Roman" w:hAnsi="Times New Roman" w:eastAsia="宋体" w:cs="Times New Roman"/>
          <w:color w:val="auto"/>
          <w:sz w:val="24"/>
          <w:szCs w:val="24"/>
          <w:lang w:eastAsia="zh-CN"/>
        </w:rPr>
        <w:t>DL/T 5110-2013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章的有关规定。</w:t>
      </w:r>
    </w:p>
    <w:p w14:paraId="3C1FE687">
      <w:pPr>
        <w:pStyle w:val="8"/>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）各种混凝土模板制作的允许偏差不应超过《水电水利工程模板施工规范》（</w:t>
      </w:r>
      <w:r>
        <w:rPr>
          <w:rFonts w:hint="eastAsia" w:ascii="Times New Roman" w:hAnsi="Times New Roman" w:eastAsia="宋体" w:cs="Times New Roman"/>
          <w:color w:val="auto"/>
          <w:sz w:val="24"/>
          <w:szCs w:val="24"/>
          <w:lang w:eastAsia="zh-CN"/>
        </w:rPr>
        <w:t>DL/T 5110-2013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章表</w:t>
      </w:r>
      <w:r>
        <w:rPr>
          <w:rFonts w:ascii="Times New Roman" w:hAnsi="Times New Roman" w:eastAsia="Times New Roman" w:cs="Times New Roman"/>
          <w:color w:val="auto"/>
          <w:sz w:val="24"/>
          <w:szCs w:val="24"/>
          <w:lang w:eastAsia="zh-CN"/>
        </w:rPr>
        <w:t>5.0.1</w:t>
      </w:r>
      <w:r>
        <w:rPr>
          <w:rFonts w:ascii="宋体" w:hAnsi="宋体" w:eastAsia="宋体" w:cs="宋体"/>
          <w:color w:val="auto"/>
          <w:sz w:val="24"/>
          <w:szCs w:val="24"/>
          <w:lang w:eastAsia="zh-CN"/>
        </w:rPr>
        <w:t>的有关规定。</w:t>
      </w:r>
    </w:p>
    <w:p w14:paraId="2EDB8F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）承包人应负责异型模板（蜗壳、尾水管等）、特种模板（包括滑动模板、移置模板和永久性模板）的设计、制作和安装，应遵守《水电水利工程模板施工规范》（</w:t>
      </w:r>
      <w:r>
        <w:rPr>
          <w:rFonts w:hint="eastAsia" w:ascii="Times New Roman" w:hAnsi="Times New Roman" w:eastAsia="宋体" w:cs="Times New Roman"/>
          <w:color w:val="auto"/>
          <w:sz w:val="24"/>
          <w:szCs w:val="24"/>
          <w:lang w:eastAsia="zh-CN"/>
        </w:rPr>
        <w:t>DL/T 5110-2013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章的有关规定。</w:t>
      </w:r>
    </w:p>
    <w:p w14:paraId="380ACC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）曲面模板的设计和制作，除应满足本合同施工图纸所示的混凝土建筑物表面的曲度要求外，其允许偏差应遵守</w:t>
      </w:r>
      <w:r>
        <w:rPr>
          <w:rFonts w:ascii="宋体" w:hAnsi="宋体" w:eastAsia="宋体" w:cs="宋体"/>
          <w:color w:val="auto"/>
          <w:spacing w:val="20"/>
          <w:sz w:val="24"/>
          <w:szCs w:val="24"/>
          <w:lang w:eastAsia="zh-CN"/>
        </w:rPr>
        <w:t>《水电水利工程模板施工规范》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DL/T 5110-2013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7.0.1</w:t>
      </w:r>
      <w:r>
        <w:rPr>
          <w:rFonts w:ascii="宋体" w:hAnsi="宋体" w:eastAsia="宋体" w:cs="宋体"/>
          <w:color w:val="auto"/>
          <w:sz w:val="24"/>
          <w:szCs w:val="24"/>
          <w:lang w:eastAsia="zh-CN"/>
        </w:rPr>
        <w:t>条的规定。</w:t>
      </w:r>
    </w:p>
    <w:p w14:paraId="1142AD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）模板之间的接缝必须平整严密，建筑物分层施工时应逐层校正下层偏差，模板下端不应有“错台”。</w:t>
      </w:r>
    </w:p>
    <w:p w14:paraId="45FEF4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）模板及支架上严禁堆放超过其设计荷载的材料和设备。</w:t>
      </w:r>
    </w:p>
    <w:p w14:paraId="60EE46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）模板安装应按混凝土结构物的详图测量放样，重要结构多设控制点，以利检查校正。</w:t>
      </w:r>
    </w:p>
    <w:p w14:paraId="301076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）建筑结构混凝土与钢筋混凝土模板的安装允许偏差应遵守《混凝土结构工程施工质量验收规范》（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4.2.10</w:t>
      </w:r>
      <w:r>
        <w:rPr>
          <w:rFonts w:ascii="宋体" w:hAnsi="宋体" w:eastAsia="宋体" w:cs="宋体"/>
          <w:color w:val="auto"/>
          <w:sz w:val="24"/>
          <w:szCs w:val="24"/>
          <w:lang w:eastAsia="zh-CN"/>
        </w:rPr>
        <w:t>条的规定，大体积混凝土模板的安装允许偏差应遵守</w:t>
      </w:r>
      <w:r>
        <w:rPr>
          <w:rFonts w:ascii="宋体" w:hAnsi="宋体" w:eastAsia="宋体" w:cs="宋体"/>
          <w:color w:val="auto"/>
          <w:spacing w:val="-20"/>
          <w:sz w:val="24"/>
          <w:szCs w:val="24"/>
          <w:lang w:eastAsia="zh-CN"/>
        </w:rPr>
        <w:t>《水电水利工程模板施工规范》（</w:t>
      </w:r>
      <w:r>
        <w:rPr>
          <w:rFonts w:hint="eastAsia" w:ascii="Times New Roman" w:hAnsi="Times New Roman" w:eastAsia="宋体" w:cs="Times New Roman"/>
          <w:color w:val="auto"/>
          <w:spacing w:val="-20"/>
          <w:sz w:val="24"/>
          <w:szCs w:val="24"/>
          <w:lang w:eastAsia="zh-CN"/>
        </w:rPr>
        <w:t>DL/T 5110-2013</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6.0.10</w:t>
      </w:r>
      <w:r>
        <w:rPr>
          <w:rFonts w:ascii="宋体" w:hAnsi="宋体" w:eastAsia="宋体" w:cs="宋体"/>
          <w:color w:val="auto"/>
          <w:sz w:val="24"/>
          <w:szCs w:val="24"/>
          <w:lang w:eastAsia="zh-CN"/>
        </w:rPr>
        <w:t>条的规定。</w:t>
      </w:r>
    </w:p>
    <w:p w14:paraId="028CA76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14.3.3 模板的清洗和涂料</w:t>
      </w:r>
    </w:p>
    <w:p w14:paraId="68FE47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）钢模板在每次使用前应清洗干净；为防锈和拆模方便，钢模面板应涂刷防锈保护涂料，不得采用污染混凝土和影响混凝土质量的涂剂。</w:t>
      </w:r>
    </w:p>
    <w:p w14:paraId="7E0304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）木模板面应采用烤石蜡或其他监理人批准的保护性涂料进行保护。</w:t>
      </w:r>
    </w:p>
    <w:p w14:paraId="54C27A0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14.3.4 模板的拆除和维修</w:t>
      </w:r>
    </w:p>
    <w:p w14:paraId="43D0F5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）现浇混凝土的模板（如侧模、底模）以及钢筋混凝土与混凝土结构的承载模板拆除时的混凝土强度应遵守本合同施工图纸和《水电水利工程模板施工规范》（</w:t>
      </w:r>
      <w:r>
        <w:rPr>
          <w:rFonts w:hint="eastAsia" w:ascii="Times New Roman" w:hAnsi="Times New Roman" w:eastAsia="宋体" w:cs="Times New Roman"/>
          <w:color w:val="auto"/>
          <w:sz w:val="24"/>
          <w:szCs w:val="24"/>
          <w:lang w:eastAsia="zh-CN"/>
        </w:rPr>
        <w:t>DL/T 5110-2013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7.0.1</w:t>
      </w:r>
      <w:r>
        <w:rPr>
          <w:rFonts w:ascii="宋体" w:hAnsi="宋体" w:eastAsia="宋体" w:cs="宋体"/>
          <w:color w:val="auto"/>
          <w:sz w:val="24"/>
          <w:szCs w:val="24"/>
          <w:lang w:eastAsia="zh-CN"/>
        </w:rPr>
        <w:t>条的规定。</w:t>
      </w:r>
    </w:p>
    <w:p w14:paraId="425B93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）墩、台、柱部位的混凝土强度必须达到设计要求和《水电水利工程模板施工规范》（</w:t>
      </w:r>
      <w:r>
        <w:rPr>
          <w:rFonts w:hint="eastAsia" w:ascii="Times New Roman" w:hAnsi="Times New Roman" w:eastAsia="宋体" w:cs="Times New Roman"/>
          <w:color w:val="auto"/>
          <w:sz w:val="24"/>
          <w:szCs w:val="24"/>
          <w:lang w:eastAsia="zh-CN"/>
        </w:rPr>
        <w:t>DL/T 5110-2013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7.0.1</w:t>
      </w:r>
      <w:r>
        <w:rPr>
          <w:rFonts w:ascii="宋体" w:hAnsi="宋体" w:eastAsia="宋体" w:cs="宋体"/>
          <w:color w:val="auto"/>
          <w:sz w:val="24"/>
          <w:szCs w:val="24"/>
          <w:lang w:eastAsia="zh-CN"/>
        </w:rPr>
        <w:t>条时，方可拆除模板。</w:t>
      </w:r>
    </w:p>
    <w:p w14:paraId="4E3188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）特殊模板的拆除时限应由承包人报经监理人批准。</w:t>
      </w:r>
    </w:p>
    <w:p w14:paraId="5D4664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）预制混凝土构件模板拆除的混凝土强度应遵守施工图纸和《水电水利工程模板施工规范》（</w:t>
      </w:r>
      <w:r>
        <w:rPr>
          <w:rFonts w:hint="eastAsia" w:ascii="Times New Roman" w:hAnsi="Times New Roman" w:eastAsia="宋体" w:cs="Times New Roman"/>
          <w:color w:val="auto"/>
          <w:sz w:val="24"/>
          <w:szCs w:val="24"/>
          <w:lang w:eastAsia="zh-CN"/>
        </w:rPr>
        <w:t>DL/T 5110-2013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7.0.3</w:t>
      </w:r>
      <w:r>
        <w:rPr>
          <w:rFonts w:ascii="宋体" w:hAnsi="宋体" w:eastAsia="宋体" w:cs="宋体"/>
          <w:color w:val="auto"/>
          <w:sz w:val="24"/>
          <w:szCs w:val="24"/>
          <w:lang w:eastAsia="zh-CN"/>
        </w:rPr>
        <w:t>条的规定。</w:t>
      </w:r>
    </w:p>
    <w:p w14:paraId="7089CE92">
      <w:pPr>
        <w:pStyle w:val="8"/>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）后张法预应力混凝土结构模板的拆除，除应满足本合同技术条款和施工图纸的要求外，其侧面模板应在预应力张拉前拆除，底部模板应在结构构件建立预应力后拆除。</w:t>
      </w:r>
    </w:p>
    <w:p w14:paraId="71C6BB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）经计算和试验复核后，混凝土结构实际强度已能承受自重及其他荷载时，经监理人批准后，方可提前拆模。未经监理人批准．模板及其支架和支撑均不得任意拆除。</w:t>
      </w:r>
    </w:p>
    <w:p w14:paraId="7025AF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）模板的安装及拆除作业必须使用专项设备，并应严格按规定的施工程序进行，以避免施工期发生事故，防止混凝土及其模板的损坏。</w:t>
      </w:r>
    </w:p>
    <w:p w14:paraId="70BF017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14.3.5 模板质量检查</w:t>
      </w:r>
    </w:p>
    <w:p w14:paraId="6AA8B0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）现场安装质量检查：</w:t>
      </w:r>
    </w:p>
    <w:p w14:paraId="6480C4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）模板及其附件的制作质量应满足本合同技术条款和施工图纸的要求。</w:t>
      </w:r>
    </w:p>
    <w:p w14:paraId="3B0AE1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）模板安装应有足够的密封性能，以防止混凝土浇筑过程中的水泥浆流失。</w:t>
      </w:r>
    </w:p>
    <w:p w14:paraId="2B6EAE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）重复使用的模板应保持原设计要求的强度、刚度、密实性和模板表面的光滑度，检查发现模板有损坏时，承包人应按监理人指示进行更换或修补。</w:t>
      </w:r>
    </w:p>
    <w:p w14:paraId="5021D0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）模板安装完成后，承包人应会同监理人共同对模板的安装质量进行检查，检查记录应提交监理人。</w:t>
      </w:r>
    </w:p>
    <w:p w14:paraId="3C4613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）在混凝土浇筑过程中，承包人应随时检查模板的定线和定位，发现偏差和位移，应采取有效措施予以纠正，检查记录应提交监理人。</w:t>
      </w:r>
    </w:p>
    <w:p w14:paraId="67786B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）模板拆除后的检查</w:t>
      </w:r>
    </w:p>
    <w:p w14:paraId="11C020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拆模时间应经过验算。拆模后，承包人应会同监理人共同检查混凝土结构物及其浇筑面质量是否达到施工图纸要求的混凝土强度和平整度，验算成果和检查记录应提交监理人。</w:t>
      </w:r>
    </w:p>
    <w:p w14:paraId="12AADD83">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95" w:name="_Toc28602"/>
      <w:bookmarkStart w:id="1396" w:name="_Toc29976"/>
      <w:bookmarkStart w:id="1397" w:name="_Toc23516"/>
      <w:r>
        <w:rPr>
          <w:rFonts w:hint="eastAsia" w:ascii="宋体" w:hAnsi="宋体" w:eastAsia="宋体" w:cs="宋体"/>
          <w:b/>
          <w:bCs/>
          <w:color w:val="auto"/>
          <w:sz w:val="24"/>
          <w:szCs w:val="24"/>
          <w:lang w:eastAsia="zh-CN"/>
        </w:rPr>
        <w:t>14.4 钢筋</w:t>
      </w:r>
      <w:bookmarkEnd w:id="1395"/>
      <w:bookmarkEnd w:id="1396"/>
      <w:bookmarkEnd w:id="1397"/>
    </w:p>
    <w:p w14:paraId="4000A15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14.4.1 材料</w:t>
      </w:r>
    </w:p>
    <w:p w14:paraId="733B3E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）混凝土结构用的钢筋和锚筋的规格和质量应遵守《水工混凝土钢筋施工规范》（</w:t>
      </w:r>
      <w:r>
        <w:rPr>
          <w:rFonts w:hint="eastAsia" w:ascii="Times New Roman" w:hAnsi="Times New Roman" w:eastAsia="宋体" w:cs="Times New Roman"/>
          <w:color w:val="auto"/>
          <w:sz w:val="24"/>
          <w:szCs w:val="24"/>
          <w:lang w:eastAsia="zh-CN"/>
        </w:rPr>
        <w:t>DL/T 5169-2013</w:t>
      </w:r>
      <w:r>
        <w:rPr>
          <w:rFonts w:ascii="宋体" w:hAnsi="宋体" w:eastAsia="宋体" w:cs="宋体"/>
          <w:color w:val="auto"/>
          <w:sz w:val="24"/>
          <w:szCs w:val="24"/>
          <w:lang w:eastAsia="zh-CN"/>
        </w:rPr>
        <w:t>）的规定。</w:t>
      </w:r>
    </w:p>
    <w:p w14:paraId="42CC68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）每批钢筋使用前，应按</w:t>
      </w:r>
      <w:r>
        <w:rPr>
          <w:rFonts w:ascii="宋体" w:hAnsi="宋体" w:eastAsia="宋体" w:cs="宋体"/>
          <w:color w:val="auto"/>
          <w:spacing w:val="-17"/>
          <w:sz w:val="24"/>
          <w:szCs w:val="24"/>
          <w:lang w:eastAsia="zh-CN"/>
        </w:rPr>
        <w:t>《水工混凝土钢筋施工规范》（</w:t>
      </w:r>
      <w:r>
        <w:rPr>
          <w:rFonts w:hint="eastAsia" w:ascii="Times New Roman" w:hAnsi="Times New Roman" w:eastAsia="宋体" w:cs="Times New Roman"/>
          <w:color w:val="auto"/>
          <w:spacing w:val="-17"/>
          <w:sz w:val="24"/>
          <w:szCs w:val="24"/>
          <w:lang w:eastAsia="zh-CN"/>
        </w:rPr>
        <w:t>DL/T 5169-2013</w:t>
      </w:r>
      <w:r>
        <w:rPr>
          <w:rFonts w:ascii="宋体" w:hAnsi="宋体" w:eastAsia="宋体" w:cs="宋体"/>
          <w:color w:val="auto"/>
          <w:spacing w:val="-17"/>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3.2.1</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3.2.2</w:t>
      </w:r>
      <w:r>
        <w:rPr>
          <w:rFonts w:ascii="宋体" w:hAnsi="宋体" w:eastAsia="宋体" w:cs="宋体"/>
          <w:color w:val="auto"/>
          <w:sz w:val="24"/>
          <w:szCs w:val="24"/>
          <w:lang w:eastAsia="zh-CN"/>
        </w:rPr>
        <w:t>条的规定，分批进行钢筋的机械性能检测。检测合格者才准使用，检测记录应提交监理人。</w:t>
      </w:r>
    </w:p>
    <w:p w14:paraId="36CE62EE">
      <w:pPr>
        <w:pStyle w:val="8"/>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）对钢号不明的钢筋，承包人应按</w:t>
      </w:r>
      <w:r>
        <w:rPr>
          <w:rFonts w:ascii="宋体" w:hAnsi="宋体" w:eastAsia="宋体" w:cs="宋体"/>
          <w:color w:val="auto"/>
          <w:spacing w:val="51"/>
          <w:sz w:val="24"/>
          <w:szCs w:val="24"/>
          <w:lang w:eastAsia="zh-CN"/>
        </w:rPr>
        <w:t>《水工混凝土钢筋施工规范》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DL/T 5169-2013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3.2.3</w:t>
      </w:r>
      <w:r>
        <w:rPr>
          <w:rFonts w:ascii="宋体" w:hAnsi="宋体" w:eastAsia="宋体" w:cs="宋体"/>
          <w:color w:val="auto"/>
          <w:sz w:val="24"/>
          <w:szCs w:val="24"/>
          <w:lang w:eastAsia="zh-CN"/>
        </w:rPr>
        <w:t>条的规定进行钢材化学成分和主要机械性能的检验，经检验合格，并经监理人批准后，方可使用。</w:t>
      </w:r>
    </w:p>
    <w:p w14:paraId="26B615A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14.4.2 钢筋的加工和安装</w:t>
      </w:r>
    </w:p>
    <w:p w14:paraId="326AB0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）钢筋表面应洁净无损伤，使用前应将钢筋表面的油漆污染和铁锈等清除干净，带有颗粒状或片状老锈的钢筋不得使用。</w:t>
      </w:r>
    </w:p>
    <w:p w14:paraId="42029E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）钢筋的弯折、端头和接头的加工应遵守《水工混凝土钢筋施工规范》（</w:t>
      </w:r>
      <w:r>
        <w:rPr>
          <w:rFonts w:hint="eastAsia" w:ascii="Times New Roman" w:hAnsi="Times New Roman" w:eastAsia="宋体" w:cs="Times New Roman"/>
          <w:color w:val="auto"/>
          <w:sz w:val="24"/>
          <w:szCs w:val="24"/>
          <w:lang w:eastAsia="zh-CN"/>
        </w:rPr>
        <w:t>DL/T 5169-2013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4.3</w:t>
      </w:r>
      <w:r>
        <w:rPr>
          <w:rFonts w:ascii="宋体" w:hAnsi="宋体" w:eastAsia="宋体" w:cs="宋体"/>
          <w:color w:val="auto"/>
          <w:sz w:val="24"/>
          <w:szCs w:val="24"/>
          <w:lang w:eastAsia="zh-CN"/>
        </w:rPr>
        <w:t>节、第</w:t>
      </w:r>
      <w:r>
        <w:rPr>
          <w:rFonts w:ascii="Times New Roman" w:hAnsi="Times New Roman" w:eastAsia="Times New Roman" w:cs="Times New Roman"/>
          <w:color w:val="auto"/>
          <w:sz w:val="24"/>
          <w:szCs w:val="24"/>
          <w:lang w:eastAsia="zh-CN"/>
        </w:rPr>
        <w:t>4.4</w:t>
      </w:r>
      <w:r>
        <w:rPr>
          <w:rFonts w:ascii="宋体" w:hAnsi="宋体" w:eastAsia="宋体" w:cs="宋体"/>
          <w:color w:val="auto"/>
          <w:sz w:val="24"/>
          <w:szCs w:val="24"/>
          <w:lang w:eastAsia="zh-CN"/>
        </w:rPr>
        <w:t>规定。</w:t>
      </w:r>
    </w:p>
    <w:p w14:paraId="7996F3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）钢筋的焊接应满足本合同技术条款和施工图纸的要求，并遵守《水工混凝土钢筋施工规范》（</w:t>
      </w:r>
      <w:r>
        <w:rPr>
          <w:rFonts w:hint="eastAsia" w:ascii="Times New Roman" w:hAnsi="Times New Roman" w:eastAsia="宋体" w:cs="Times New Roman"/>
          <w:color w:val="auto"/>
          <w:sz w:val="24"/>
          <w:szCs w:val="24"/>
          <w:lang w:eastAsia="zh-CN"/>
        </w:rPr>
        <w:t>DL/T 5169-2013</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章的规定。</w:t>
      </w:r>
    </w:p>
    <w:p w14:paraId="2F1347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）钢筋的气压焊作业应遵守</w:t>
      </w:r>
      <w:r>
        <w:rPr>
          <w:rFonts w:ascii="宋体" w:hAnsi="宋体" w:eastAsia="宋体" w:cs="宋体"/>
          <w:color w:val="auto"/>
          <w:spacing w:val="-20"/>
          <w:sz w:val="24"/>
          <w:szCs w:val="24"/>
          <w:lang w:eastAsia="zh-CN"/>
        </w:rPr>
        <w:t>《水工混凝土钢筋施工规范》（</w:t>
      </w:r>
      <w:r>
        <w:rPr>
          <w:rFonts w:hint="eastAsia" w:ascii="Times New Roman" w:hAnsi="Times New Roman" w:eastAsia="宋体" w:cs="Times New Roman"/>
          <w:color w:val="auto"/>
          <w:spacing w:val="-20"/>
          <w:sz w:val="24"/>
          <w:szCs w:val="24"/>
          <w:lang w:eastAsia="zh-CN"/>
        </w:rPr>
        <w:t>DL/T 5169-2013</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5.2.11</w:t>
      </w:r>
      <w:r>
        <w:rPr>
          <w:rFonts w:ascii="宋体" w:hAnsi="宋体" w:eastAsia="宋体" w:cs="宋体"/>
          <w:color w:val="auto"/>
          <w:sz w:val="24"/>
          <w:szCs w:val="24"/>
          <w:lang w:eastAsia="zh-CN"/>
        </w:rPr>
        <w:t>条的规定。</w:t>
      </w:r>
    </w:p>
    <w:p w14:paraId="119C80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）钢筋的安装和绑扎应遵守</w:t>
      </w:r>
      <w:r>
        <w:rPr>
          <w:rFonts w:ascii="宋体" w:hAnsi="宋体" w:eastAsia="宋体" w:cs="宋体"/>
          <w:color w:val="auto"/>
          <w:spacing w:val="-20"/>
          <w:sz w:val="24"/>
          <w:szCs w:val="24"/>
          <w:lang w:eastAsia="zh-CN"/>
        </w:rPr>
        <w:t>《水工混凝土钢筋施工规范》（</w:t>
      </w:r>
      <w:r>
        <w:rPr>
          <w:rFonts w:hint="eastAsia" w:ascii="Times New Roman" w:hAnsi="Times New Roman" w:eastAsia="宋体" w:cs="Times New Roman"/>
          <w:color w:val="auto"/>
          <w:spacing w:val="-20"/>
          <w:sz w:val="24"/>
          <w:szCs w:val="24"/>
          <w:lang w:eastAsia="zh-CN"/>
        </w:rPr>
        <w:t>DL/T 5169-2013</w:t>
      </w:r>
      <w:r>
        <w:rPr>
          <w:rFonts w:ascii="宋体" w:hAnsi="宋体" w:eastAsia="宋体" w:cs="宋体"/>
          <w:color w:val="auto"/>
          <w:spacing w:val="-20"/>
          <w:sz w:val="24"/>
          <w:szCs w:val="24"/>
          <w:lang w:eastAsia="zh-CN"/>
        </w:rPr>
        <w:t>）</w:t>
      </w:r>
    </w:p>
    <w:p w14:paraId="3BE93C01">
      <w:pPr>
        <w:widowControl w:val="0"/>
        <w:kinsoku/>
        <w:topLinePunct/>
        <w:autoSpaceDE/>
        <w:autoSpaceDN/>
        <w:spacing w:line="520" w:lineRule="exact"/>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章的规定。</w:t>
      </w:r>
    </w:p>
    <w:p w14:paraId="7DAFBE9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14.4.3 钢筋的质量检查和检验</w:t>
      </w:r>
    </w:p>
    <w:p w14:paraId="5A2E90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）钢筋的机械性能检验应遵守</w:t>
      </w:r>
      <w:r>
        <w:rPr>
          <w:rFonts w:ascii="宋体" w:hAnsi="宋体" w:eastAsia="宋体" w:cs="宋体"/>
          <w:color w:val="auto"/>
          <w:spacing w:val="-34"/>
          <w:sz w:val="24"/>
          <w:szCs w:val="24"/>
          <w:lang w:eastAsia="zh-CN"/>
        </w:rPr>
        <w:t>《水工混凝土钢筋施工规范》（</w:t>
      </w:r>
      <w:r>
        <w:rPr>
          <w:rFonts w:hint="eastAsia" w:ascii="Times New Roman" w:hAnsi="Times New Roman" w:eastAsia="宋体" w:cs="Times New Roman"/>
          <w:color w:val="auto"/>
          <w:spacing w:val="-34"/>
          <w:sz w:val="24"/>
          <w:szCs w:val="24"/>
          <w:lang w:eastAsia="zh-CN"/>
        </w:rPr>
        <w:t>DL/T 5169-2013</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3.2.2</w:t>
      </w:r>
      <w:r>
        <w:rPr>
          <w:rFonts w:ascii="宋体" w:hAnsi="宋体" w:eastAsia="宋体" w:cs="宋体"/>
          <w:color w:val="auto"/>
          <w:sz w:val="24"/>
          <w:szCs w:val="24"/>
          <w:lang w:eastAsia="zh-CN"/>
        </w:rPr>
        <w:t>条的规定。</w:t>
      </w:r>
    </w:p>
    <w:p w14:paraId="475AFD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）钢筋的接头质量检验应遵守</w:t>
      </w:r>
      <w:r>
        <w:rPr>
          <w:rFonts w:ascii="宋体" w:hAnsi="宋体" w:eastAsia="宋体" w:cs="宋体"/>
          <w:color w:val="auto"/>
          <w:spacing w:val="-28"/>
          <w:sz w:val="24"/>
          <w:szCs w:val="24"/>
          <w:lang w:eastAsia="zh-CN"/>
        </w:rPr>
        <w:t>《水工混凝土钢筋施工规范》（</w:t>
      </w:r>
      <w:r>
        <w:rPr>
          <w:rFonts w:hint="eastAsia" w:ascii="Times New Roman" w:hAnsi="Times New Roman" w:eastAsia="宋体" w:cs="Times New Roman"/>
          <w:color w:val="auto"/>
          <w:spacing w:val="-28"/>
          <w:sz w:val="24"/>
          <w:szCs w:val="24"/>
          <w:lang w:eastAsia="zh-CN"/>
        </w:rPr>
        <w:t>DL/T 5169-2013</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5.2</w:t>
      </w:r>
      <w:r>
        <w:rPr>
          <w:rFonts w:ascii="宋体" w:hAnsi="宋体" w:eastAsia="宋体" w:cs="宋体"/>
          <w:color w:val="auto"/>
          <w:sz w:val="24"/>
          <w:szCs w:val="24"/>
          <w:lang w:eastAsia="zh-CN"/>
        </w:rPr>
        <w:t>节的规定，其中气压焊应遵守</w:t>
      </w:r>
      <w:r>
        <w:rPr>
          <w:rFonts w:ascii="宋体" w:hAnsi="宋体" w:eastAsia="宋体" w:cs="宋体"/>
          <w:color w:val="auto"/>
          <w:spacing w:val="-28"/>
          <w:sz w:val="24"/>
          <w:szCs w:val="24"/>
          <w:lang w:eastAsia="zh-CN"/>
        </w:rPr>
        <w:t>《水工混凝土钢筋施工规范》（</w:t>
      </w:r>
      <w:r>
        <w:rPr>
          <w:rFonts w:hint="eastAsia" w:ascii="Times New Roman" w:hAnsi="Times New Roman" w:eastAsia="宋体" w:cs="Times New Roman"/>
          <w:color w:val="auto"/>
          <w:spacing w:val="-28"/>
          <w:sz w:val="24"/>
          <w:szCs w:val="24"/>
          <w:lang w:eastAsia="zh-CN"/>
        </w:rPr>
        <w:t>DL/T 5169-2013</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5.2.11</w:t>
      </w:r>
      <w:r>
        <w:rPr>
          <w:rFonts w:ascii="宋体" w:hAnsi="宋体" w:eastAsia="宋体" w:cs="宋体"/>
          <w:color w:val="auto"/>
          <w:sz w:val="24"/>
          <w:szCs w:val="24"/>
          <w:lang w:eastAsia="zh-CN"/>
        </w:rPr>
        <w:t>条的规定；机械连接应遵守按</w:t>
      </w:r>
      <w:r>
        <w:rPr>
          <w:rFonts w:ascii="宋体" w:hAnsi="宋体" w:eastAsia="宋体" w:cs="宋体"/>
          <w:color w:val="auto"/>
          <w:spacing w:val="-40"/>
          <w:sz w:val="24"/>
          <w:szCs w:val="24"/>
          <w:lang w:eastAsia="zh-CN"/>
        </w:rPr>
        <w:t>《水工混凝土钢筋施工规范》（</w:t>
      </w:r>
      <w:r>
        <w:rPr>
          <w:rFonts w:hint="eastAsia" w:ascii="Times New Roman" w:hAnsi="Times New Roman" w:eastAsia="宋体" w:cs="Times New Roman"/>
          <w:color w:val="auto"/>
          <w:spacing w:val="-40"/>
          <w:sz w:val="24"/>
          <w:szCs w:val="24"/>
          <w:lang w:eastAsia="zh-CN"/>
        </w:rPr>
        <w:t>DL/T 5169-2013</w:t>
      </w:r>
      <w:r>
        <w:rPr>
          <w:rFonts w:ascii="宋体" w:hAnsi="宋体" w:eastAsia="宋体" w:cs="宋体"/>
          <w:color w:val="auto"/>
          <w:spacing w:val="-4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6.2.1</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6.2.3</w:t>
      </w:r>
      <w:r>
        <w:rPr>
          <w:rFonts w:ascii="宋体" w:hAnsi="宋体" w:eastAsia="宋体" w:cs="宋体"/>
          <w:color w:val="auto"/>
          <w:sz w:val="24"/>
          <w:szCs w:val="24"/>
          <w:lang w:eastAsia="zh-CN"/>
        </w:rPr>
        <w:t>条规定。</w:t>
      </w:r>
    </w:p>
    <w:p w14:paraId="08BFD3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）钢筋架设完成后，应按本合同技术条款和施工图纸的要求进行检查和检验，并做好记录，若安装好的钢筋和锚筋生锈，应进行现场除锈，对于锈蚀严重的钢筋应予更换。</w:t>
      </w:r>
    </w:p>
    <w:p w14:paraId="4229D3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）在混凝土浇筑施工前，应检查现场钢筋的架立位置，如发现钢筋位置变动应及时校正，严禁在混凝土浇筑中擅自移动或割除钢筋。</w:t>
      </w:r>
    </w:p>
    <w:p w14:paraId="59B6A0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）钢筋的安装和清理完成后，承包人应会同监理人在混凝土浇筑前进行检查和验收，并做好记录，经监理人批准后，才能浇筑混凝土。</w:t>
      </w:r>
    </w:p>
    <w:p w14:paraId="4E2B9D3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398" w:name="_Toc12415"/>
      <w:bookmarkStart w:id="1399" w:name="_Toc29985"/>
      <w:bookmarkStart w:id="1400" w:name="_Toc13254"/>
      <w:r>
        <w:rPr>
          <w:rFonts w:hint="eastAsia" w:ascii="宋体" w:hAnsi="宋体" w:eastAsia="宋体" w:cs="宋体"/>
          <w:b/>
          <w:bCs/>
          <w:color w:val="auto"/>
          <w:sz w:val="24"/>
          <w:szCs w:val="24"/>
          <w:lang w:eastAsia="zh-CN"/>
        </w:rPr>
        <w:t>14.5 混凝土（含钢筋混凝土）</w:t>
      </w:r>
      <w:bookmarkEnd w:id="1398"/>
      <w:bookmarkEnd w:id="1399"/>
      <w:bookmarkEnd w:id="1400"/>
    </w:p>
    <w:p w14:paraId="7A3B09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混凝土的材料、配合比设计及拌和应按本章第</w:t>
      </w:r>
      <w:r>
        <w:rPr>
          <w:rFonts w:ascii="Times New Roman" w:hAnsi="Times New Roman" w:eastAsia="Times New Roman" w:cs="Times New Roman"/>
          <w:color w:val="auto"/>
          <w:sz w:val="24"/>
          <w:szCs w:val="24"/>
          <w:lang w:eastAsia="zh-CN"/>
        </w:rPr>
        <w:t>14.2</w:t>
      </w:r>
      <w:r>
        <w:rPr>
          <w:rFonts w:ascii="宋体" w:hAnsi="宋体" w:eastAsia="宋体" w:cs="宋体"/>
          <w:color w:val="auto"/>
          <w:sz w:val="24"/>
          <w:szCs w:val="24"/>
          <w:lang w:eastAsia="zh-CN"/>
        </w:rPr>
        <w:t>款的规定执行。</w:t>
      </w:r>
    </w:p>
    <w:p w14:paraId="45EEB1E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14.5.1 混凝土运输</w:t>
      </w:r>
    </w:p>
    <w:p w14:paraId="712C8B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混凝土运输应遵守《水工混凝土施工规范》（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7.3</w:t>
      </w:r>
      <w:r>
        <w:rPr>
          <w:rFonts w:ascii="宋体" w:hAnsi="宋体" w:eastAsia="宋体" w:cs="宋体"/>
          <w:color w:val="auto"/>
          <w:sz w:val="24"/>
          <w:szCs w:val="24"/>
          <w:lang w:eastAsia="zh-CN"/>
        </w:rPr>
        <w:t>节的规定。</w:t>
      </w:r>
    </w:p>
    <w:p w14:paraId="54F500E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14.5.2 混凝土浇筑</w:t>
      </w:r>
    </w:p>
    <w:p w14:paraId="56310D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）浇筑前准备应遵守《水工混凝土施工规范》（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7.4.1</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7.4.4</w:t>
      </w:r>
      <w:r>
        <w:rPr>
          <w:rFonts w:ascii="宋体" w:hAnsi="宋体" w:eastAsia="宋体" w:cs="宋体"/>
          <w:color w:val="auto"/>
          <w:sz w:val="24"/>
          <w:szCs w:val="24"/>
          <w:lang w:eastAsia="zh-CN"/>
        </w:rPr>
        <w:t>条的规定。</w:t>
      </w:r>
    </w:p>
    <w:p w14:paraId="32CD1D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）在岩基或软基建基面的混凝土浇筑应遵守</w:t>
      </w:r>
      <w:r>
        <w:rPr>
          <w:rFonts w:ascii="宋体" w:hAnsi="宋体" w:eastAsia="宋体" w:cs="宋体"/>
          <w:color w:val="auto"/>
          <w:spacing w:val="20"/>
          <w:sz w:val="24"/>
          <w:szCs w:val="24"/>
          <w:lang w:eastAsia="zh-CN"/>
        </w:rPr>
        <w:t>《水工混凝土施工规范》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7.4</w:t>
      </w:r>
      <w:r>
        <w:rPr>
          <w:rFonts w:ascii="宋体" w:hAnsi="宋体" w:eastAsia="宋体" w:cs="宋体"/>
          <w:color w:val="auto"/>
          <w:sz w:val="24"/>
          <w:szCs w:val="24"/>
          <w:lang w:eastAsia="zh-CN"/>
        </w:rPr>
        <w:t>节的规定。</w:t>
      </w:r>
    </w:p>
    <w:p w14:paraId="01F2C4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）混凝土分层浇筑作业应遵守《水工混凝土施工规范》（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7.4.6</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7.4.8</w:t>
      </w:r>
      <w:r>
        <w:rPr>
          <w:rFonts w:ascii="宋体" w:hAnsi="宋体" w:eastAsia="宋体" w:cs="宋体"/>
          <w:color w:val="auto"/>
          <w:sz w:val="24"/>
          <w:szCs w:val="24"/>
          <w:lang w:eastAsia="zh-CN"/>
        </w:rPr>
        <w:t>条的有关规定。</w:t>
      </w:r>
    </w:p>
    <w:p w14:paraId="596536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）混凝土浇筑的振捣应遵守《水工混凝土施工规范》（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7.4.13</w:t>
      </w:r>
      <w:r>
        <w:rPr>
          <w:rFonts w:ascii="宋体" w:hAnsi="宋体" w:eastAsia="宋体" w:cs="宋体"/>
          <w:color w:val="auto"/>
          <w:sz w:val="24"/>
          <w:szCs w:val="24"/>
          <w:lang w:eastAsia="zh-CN"/>
        </w:rPr>
        <w:t>条的规定。</w:t>
      </w:r>
    </w:p>
    <w:p w14:paraId="1AE0F9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）混凝土浇筑应保持连续性，浇筑混凝土允许间歇时间应通过试验确定，并应遵守《水工混凝土施工规范》（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7.4.12</w:t>
      </w:r>
      <w:r>
        <w:rPr>
          <w:rFonts w:ascii="宋体" w:hAnsi="宋体" w:eastAsia="宋体" w:cs="宋体"/>
          <w:color w:val="auto"/>
          <w:sz w:val="24"/>
          <w:szCs w:val="24"/>
          <w:lang w:eastAsia="zh-CN"/>
        </w:rPr>
        <w:t>条的有关规定。</w:t>
      </w:r>
    </w:p>
    <w:p w14:paraId="43C200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）应在混凝土浇筑工艺设计中，根据搅拌、运输和浇筑的设备能力、振捣性能及气温等因素，详细确定混凝土浇筑层厚度。其浇筑层允许最大厚度应参照《水工混凝土施工规范》（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7.4.8</w:t>
      </w:r>
      <w:r>
        <w:rPr>
          <w:rFonts w:ascii="宋体" w:hAnsi="宋体" w:eastAsia="宋体" w:cs="宋体"/>
          <w:color w:val="auto"/>
          <w:sz w:val="24"/>
          <w:szCs w:val="24"/>
          <w:lang w:eastAsia="zh-CN"/>
        </w:rPr>
        <w:t>条选定。</w:t>
      </w:r>
    </w:p>
    <w:p w14:paraId="049006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）混凝土浇筑施工缝的处理应按</w:t>
      </w:r>
      <w:r>
        <w:rPr>
          <w:rFonts w:ascii="宋体" w:hAnsi="宋体" w:eastAsia="宋体" w:cs="宋体"/>
          <w:color w:val="auto"/>
          <w:spacing w:val="-11"/>
          <w:sz w:val="24"/>
          <w:szCs w:val="24"/>
          <w:lang w:eastAsia="zh-CN"/>
        </w:rPr>
        <w:t>《水工混凝土施工规范》（</w:t>
      </w:r>
      <w:r>
        <w:rPr>
          <w:rFonts w:hint="eastAsia" w:ascii="Times New Roman" w:hAnsi="Times New Roman" w:eastAsia="宋体" w:cs="Times New Roman"/>
          <w:color w:val="auto"/>
          <w:spacing w:val="-11"/>
          <w:sz w:val="24"/>
          <w:szCs w:val="24"/>
          <w:lang w:eastAsia="zh-CN"/>
        </w:rPr>
        <w:t>SL 677-2014</w:t>
      </w:r>
      <w:r>
        <w:rPr>
          <w:rFonts w:ascii="宋体" w:hAnsi="宋体" w:eastAsia="宋体" w:cs="宋体"/>
          <w:color w:val="auto"/>
          <w:spacing w:val="-11"/>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7.4.19</w:t>
      </w:r>
      <w:r>
        <w:rPr>
          <w:rFonts w:ascii="宋体" w:hAnsi="宋体" w:eastAsia="宋体" w:cs="宋体"/>
          <w:color w:val="auto"/>
          <w:sz w:val="24"/>
          <w:szCs w:val="24"/>
          <w:lang w:eastAsia="zh-CN"/>
        </w:rPr>
        <w:t>条的规定执行。</w:t>
      </w:r>
    </w:p>
    <w:p w14:paraId="2449699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14.5.3 混凝土养护</w:t>
      </w:r>
    </w:p>
    <w:p w14:paraId="2F6410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混凝土养护应遵守《水工混凝土施工规范》（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7.5</w:t>
      </w:r>
      <w:r>
        <w:rPr>
          <w:rFonts w:ascii="宋体" w:hAnsi="宋体" w:eastAsia="宋体" w:cs="宋体"/>
          <w:color w:val="auto"/>
          <w:sz w:val="24"/>
          <w:szCs w:val="24"/>
          <w:lang w:eastAsia="zh-CN"/>
        </w:rPr>
        <w:t>节的有关规定。</w:t>
      </w:r>
    </w:p>
    <w:p w14:paraId="2CEB57B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14.5.4 混凝土温度控制</w:t>
      </w:r>
    </w:p>
    <w:p w14:paraId="5B905F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）一般要求。</w:t>
      </w:r>
    </w:p>
    <w:p w14:paraId="4CBC97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）本条规定适用于现场浇筑大体积混凝土的温度控制工程，并应遵守《水工混凝土施工规范》（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章的有关规定。其他有温度控制要求的现浇混凝土（如岩壁吊车梁、地下厂房工程）应参照本条有关规定执行。</w:t>
      </w:r>
    </w:p>
    <w:p w14:paraId="7A18A7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）承包人应根据本合同施工图纸所设置的混凝土工程建筑物的浇筑纵横缝、分层厚度、浇筑间歇时间、混凝土允许最高温度及其他温度控制要求，编制温度控制措施专项技术文件，提交监理人批准。</w:t>
      </w:r>
    </w:p>
    <w:p w14:paraId="1ECEA4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）承包人应采取有效措施控制混凝土搅拌机出机口温度，以及运输、浇筑过程中的温度回升，混凝土允许浇筑温度应符合本合同技术条款和施工图纸的要求。</w:t>
      </w:r>
    </w:p>
    <w:p w14:paraId="78775A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）混凝土浇筑的纵横缝设置、分层厚度及浇筑间歇时间等，必须符合本合同技术条款和施工图纸的要求。若改变分层厚度时需要专门论证，并提交监理人批准。</w:t>
      </w:r>
    </w:p>
    <w:p w14:paraId="15D64A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）为提高混凝土抗裂能力，混凝土质量除应满足强度保证率要求外，还至少应达到《水工混凝土施工规范》（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11.5.7</w:t>
      </w:r>
      <w:r>
        <w:rPr>
          <w:rFonts w:ascii="宋体" w:hAnsi="宋体" w:eastAsia="宋体" w:cs="宋体"/>
          <w:color w:val="auto"/>
          <w:sz w:val="24"/>
          <w:szCs w:val="24"/>
          <w:lang w:eastAsia="zh-CN"/>
        </w:rPr>
        <w:t>中混凝土生产质量优良的等级水平。</w:t>
      </w:r>
    </w:p>
    <w:p w14:paraId="58EFC8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）降低混凝土浇筑温度。</w:t>
      </w:r>
    </w:p>
    <w:p w14:paraId="01E7B9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降低混凝土浇筑温度应遵守《水工混凝土施工规范》</w:t>
      </w:r>
      <w:r>
        <w:rPr>
          <w:rFonts w:ascii="宋体" w:hAnsi="宋体" w:eastAsia="宋体" w:cs="宋体"/>
          <w:color w:val="auto"/>
          <w:spacing w:val="-17"/>
          <w:sz w:val="24"/>
          <w:szCs w:val="24"/>
          <w:lang w:eastAsia="zh-CN"/>
        </w:rPr>
        <w:t>（</w:t>
      </w:r>
      <w:r>
        <w:rPr>
          <w:rFonts w:hint="eastAsia" w:ascii="Times New Roman" w:hAnsi="Times New Roman" w:eastAsia="宋体" w:cs="Times New Roman"/>
          <w:color w:val="auto"/>
          <w:spacing w:val="-17"/>
          <w:sz w:val="24"/>
          <w:szCs w:val="24"/>
          <w:lang w:eastAsia="zh-CN"/>
        </w:rPr>
        <w:t>SL 677-2014</w:t>
      </w:r>
      <w:r>
        <w:rPr>
          <w:rFonts w:ascii="宋体" w:hAnsi="宋体" w:eastAsia="宋体" w:cs="宋体"/>
          <w:color w:val="auto"/>
          <w:spacing w:val="-17"/>
          <w:sz w:val="24"/>
          <w:szCs w:val="24"/>
          <w:lang w:eastAsia="zh-CN"/>
        </w:rPr>
        <w:t>）第</w:t>
      </w:r>
      <w:r>
        <w:rPr>
          <w:rFonts w:ascii="Times New Roman" w:hAnsi="Times New Roman" w:eastAsia="Times New Roman" w:cs="Times New Roman"/>
          <w:color w:val="auto"/>
          <w:spacing w:val="-17"/>
          <w:sz w:val="24"/>
          <w:szCs w:val="24"/>
          <w:lang w:eastAsia="zh-CN"/>
        </w:rPr>
        <w:t>8.2</w:t>
      </w:r>
      <w:r>
        <w:rPr>
          <w:rFonts w:ascii="宋体" w:hAnsi="宋体" w:eastAsia="宋体" w:cs="宋体"/>
          <w:color w:val="auto"/>
          <w:spacing w:val="-17"/>
          <w:sz w:val="24"/>
          <w:szCs w:val="24"/>
          <w:lang w:eastAsia="zh-CN"/>
        </w:rPr>
        <w:t>节</w:t>
      </w:r>
      <w:r>
        <w:rPr>
          <w:rFonts w:ascii="宋体" w:hAnsi="宋体" w:eastAsia="宋体" w:cs="宋体"/>
          <w:color w:val="auto"/>
          <w:sz w:val="24"/>
          <w:szCs w:val="24"/>
          <w:lang w:eastAsia="zh-CN"/>
        </w:rPr>
        <w:t>的有关规定。</w:t>
      </w:r>
    </w:p>
    <w:p w14:paraId="31B643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）降低混凝土水化热温升。</w:t>
      </w:r>
    </w:p>
    <w:p w14:paraId="3848E3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在满足合同技术条款和施工图纸规定的混凝土各项指标（强度、耐久性、抗裂等）要求的前提下，优化混凝土配合比设计，采取综合措施，减少混凝土单位水泥用量。</w:t>
      </w:r>
    </w:p>
    <w:p w14:paraId="5F4FF1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）降低坝体内外温差。</w:t>
      </w:r>
    </w:p>
    <w:p w14:paraId="18DE2C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在低温季节前将坝体温度降至施工图纸要求的温度，以降低坝体内外温差，防止或减少表面裂缝。</w:t>
      </w:r>
    </w:p>
    <w:p w14:paraId="1E5E02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）控制浇筑层最大高度和浇筑间歇时间。</w:t>
      </w:r>
    </w:p>
    <w:p w14:paraId="179732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大体积混凝土浇筑应控制浇筑层最大高度和浇筑间歇时间。除施工图纸另有规定外，大体积混凝土浇筑的最大高度和最小间歇时间应遵守《水工混凝土施工规范》（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）的有关规定。</w:t>
      </w:r>
    </w:p>
    <w:p w14:paraId="1E6FAC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）通水冷却。</w:t>
      </w:r>
    </w:p>
    <w:p w14:paraId="3D4114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）初期冷却：初期通水冷却应遵守</w:t>
      </w:r>
      <w:r>
        <w:rPr>
          <w:rFonts w:ascii="宋体" w:hAnsi="宋体" w:eastAsia="宋体" w:cs="宋体"/>
          <w:color w:val="auto"/>
          <w:spacing w:val="-17"/>
          <w:sz w:val="24"/>
          <w:szCs w:val="24"/>
          <w:lang w:eastAsia="zh-CN"/>
        </w:rPr>
        <w:t>《水工混凝土施工规范》（</w:t>
      </w:r>
      <w:r>
        <w:rPr>
          <w:rFonts w:hint="eastAsia" w:ascii="Times New Roman" w:hAnsi="Times New Roman" w:eastAsia="宋体" w:cs="Times New Roman"/>
          <w:color w:val="auto"/>
          <w:spacing w:val="-17"/>
          <w:sz w:val="24"/>
          <w:szCs w:val="24"/>
          <w:lang w:eastAsia="zh-CN"/>
        </w:rPr>
        <w:t>SL 677-2014</w:t>
      </w:r>
      <w:r>
        <w:rPr>
          <w:rFonts w:ascii="宋体" w:hAnsi="宋体" w:eastAsia="宋体" w:cs="宋体"/>
          <w:color w:val="auto"/>
          <w:spacing w:val="-17"/>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8.3</w:t>
      </w:r>
      <w:r>
        <w:rPr>
          <w:rFonts w:ascii="宋体" w:hAnsi="宋体" w:eastAsia="宋体" w:cs="宋体"/>
          <w:color w:val="auto"/>
          <w:sz w:val="24"/>
          <w:szCs w:val="24"/>
          <w:lang w:eastAsia="zh-CN"/>
        </w:rPr>
        <w:t>节的规定。</w:t>
      </w:r>
    </w:p>
    <w:p w14:paraId="04C181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）中、后期冷却：初期冷却结束后，应加强温度检测，控制混凝土温度回升不超过</w:t>
      </w:r>
      <w:r>
        <w:rPr>
          <w:rFonts w:ascii="Times New Roman" w:hAnsi="Times New Roman" w:eastAsia="Times New Roman" w:cs="Times New Roman"/>
          <w:color w:val="auto"/>
          <w:sz w:val="24"/>
          <w:szCs w:val="24"/>
          <w:lang w:eastAsia="zh-CN"/>
        </w:rPr>
        <w:t>1.5</w:t>
      </w:r>
      <w:r>
        <w:rPr>
          <w:rFonts w:ascii="宋体" w:hAnsi="宋体" w:eastAsia="宋体" w:cs="宋体"/>
          <w:color w:val="auto"/>
          <w:sz w:val="24"/>
          <w:szCs w:val="24"/>
          <w:lang w:eastAsia="zh-CN"/>
        </w:rPr>
        <w:t>℃,通水冷却的水温、通水流量、最大降温速率以及不同区域坝体混凝土温度控制和温度梯度等要求应按施工图纸要求或监理人指示确定。</w:t>
      </w:r>
    </w:p>
    <w:p w14:paraId="0E87DA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）混凝土表面保护措施。</w:t>
      </w:r>
    </w:p>
    <w:p w14:paraId="0CDDE1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混凝土表面保护应遵守《水工混凝土施工规范》（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8.4</w:t>
      </w:r>
      <w:r>
        <w:rPr>
          <w:rFonts w:ascii="宋体" w:hAnsi="宋体" w:eastAsia="宋体" w:cs="宋体"/>
          <w:color w:val="auto"/>
          <w:sz w:val="24"/>
          <w:szCs w:val="24"/>
          <w:lang w:eastAsia="zh-CN"/>
        </w:rPr>
        <w:t>节的规定。</w:t>
      </w:r>
    </w:p>
    <w:p w14:paraId="3714D8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）温度测量。</w:t>
      </w:r>
    </w:p>
    <w:p w14:paraId="35BB41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混凝土施工过程中的温度测量应遵守</w:t>
      </w:r>
      <w:r>
        <w:rPr>
          <w:rFonts w:ascii="宋体" w:hAnsi="宋体" w:eastAsia="宋体" w:cs="宋体"/>
          <w:color w:val="auto"/>
          <w:spacing w:val="-17"/>
          <w:sz w:val="24"/>
          <w:szCs w:val="24"/>
          <w:lang w:eastAsia="zh-CN"/>
        </w:rPr>
        <w:t>《水工混凝土施工规范》（</w:t>
      </w:r>
      <w:r>
        <w:rPr>
          <w:rFonts w:hint="eastAsia" w:ascii="Times New Roman" w:hAnsi="Times New Roman" w:eastAsia="宋体" w:cs="Times New Roman"/>
          <w:color w:val="auto"/>
          <w:spacing w:val="-17"/>
          <w:sz w:val="24"/>
          <w:szCs w:val="24"/>
          <w:lang w:eastAsia="zh-CN"/>
        </w:rPr>
        <w:t>SL 677-2014</w:t>
      </w:r>
      <w:r>
        <w:rPr>
          <w:rFonts w:ascii="宋体" w:hAnsi="宋体" w:eastAsia="宋体" w:cs="宋体"/>
          <w:color w:val="auto"/>
          <w:spacing w:val="-17"/>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8.6</w:t>
      </w:r>
      <w:r>
        <w:rPr>
          <w:rFonts w:ascii="宋体" w:hAnsi="宋体" w:eastAsia="宋体" w:cs="宋体"/>
          <w:color w:val="auto"/>
          <w:sz w:val="24"/>
          <w:szCs w:val="24"/>
          <w:lang w:eastAsia="zh-CN"/>
        </w:rPr>
        <w:t>节的规定。</w:t>
      </w:r>
    </w:p>
    <w:p w14:paraId="6BD7BC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）低温季节施工。</w:t>
      </w:r>
    </w:p>
    <w:p w14:paraId="4E5CA8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混凝土低温季节施工应遵守《水工混凝土施工规范》（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章的有关规定。</w:t>
      </w:r>
    </w:p>
    <w:p w14:paraId="53B46AC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14.5.5 混凝土防渗面板和趾板施工</w:t>
      </w:r>
    </w:p>
    <w:p w14:paraId="4B7130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）面板和趾板混凝土的原材料应遵守</w:t>
      </w:r>
      <w:r>
        <w:rPr>
          <w:rFonts w:ascii="宋体" w:hAnsi="宋体" w:eastAsia="宋体" w:cs="宋体"/>
          <w:color w:val="auto"/>
          <w:spacing w:val="17"/>
          <w:sz w:val="24"/>
          <w:szCs w:val="24"/>
          <w:lang w:eastAsia="zh-CN"/>
        </w:rPr>
        <w:t>《混凝土面板堆石坝施工规范》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49-2015</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6.1.1</w:t>
      </w:r>
      <w:r>
        <w:rPr>
          <w:rFonts w:ascii="宋体" w:hAnsi="宋体" w:eastAsia="宋体" w:cs="宋体"/>
          <w:color w:val="auto"/>
          <w:sz w:val="24"/>
          <w:szCs w:val="24"/>
          <w:lang w:eastAsia="zh-CN"/>
        </w:rPr>
        <w:t>条的规定。</w:t>
      </w:r>
    </w:p>
    <w:p w14:paraId="505CBC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）面板与趾板混凝土配合比应满足本合同施工图纸的要求，并遵守《混凝土面板堆石坝施工规范》（</w:t>
      </w:r>
      <w:r>
        <w:rPr>
          <w:rFonts w:hint="eastAsia" w:ascii="Times New Roman" w:hAnsi="Times New Roman" w:eastAsia="宋体" w:cs="Times New Roman"/>
          <w:color w:val="auto"/>
          <w:sz w:val="24"/>
          <w:szCs w:val="24"/>
          <w:lang w:eastAsia="zh-CN"/>
        </w:rPr>
        <w:t>SL 49-2015</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6.1.4</w:t>
      </w:r>
      <w:r>
        <w:rPr>
          <w:rFonts w:ascii="宋体" w:hAnsi="宋体" w:eastAsia="宋体" w:cs="宋体"/>
          <w:color w:val="auto"/>
          <w:sz w:val="24"/>
          <w:szCs w:val="24"/>
          <w:lang w:eastAsia="zh-CN"/>
        </w:rPr>
        <w:t>条的规定。</w:t>
      </w:r>
    </w:p>
    <w:p w14:paraId="10A5B2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）趾板施工应遵守《水工混凝土施工规范》（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章的有关规定。</w:t>
      </w:r>
    </w:p>
    <w:p w14:paraId="3FB168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）面板施工应遵守《混凝土面板堆石坝施工规范》（</w:t>
      </w:r>
      <w:r>
        <w:rPr>
          <w:rFonts w:hint="eastAsia" w:ascii="Times New Roman" w:hAnsi="Times New Roman" w:eastAsia="宋体" w:cs="Times New Roman"/>
          <w:color w:val="auto"/>
          <w:sz w:val="24"/>
          <w:szCs w:val="24"/>
          <w:lang w:eastAsia="zh-CN"/>
        </w:rPr>
        <w:t>SL 49-2015</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w:t>
      </w:r>
      <w:r>
        <w:rPr>
          <w:rFonts w:ascii="宋体" w:hAnsi="宋体" w:eastAsia="宋体" w:cs="宋体"/>
          <w:color w:val="auto"/>
          <w:sz w:val="24"/>
          <w:szCs w:val="24"/>
          <w:lang w:eastAsia="zh-CN"/>
        </w:rPr>
        <w:t>节的规定施工。</w:t>
      </w:r>
    </w:p>
    <w:p w14:paraId="1404BAE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）面板的止水设施施工应遵守</w:t>
      </w:r>
      <w:r>
        <w:rPr>
          <w:rFonts w:ascii="宋体" w:hAnsi="宋体" w:eastAsia="宋体" w:cs="宋体"/>
          <w:color w:val="auto"/>
          <w:spacing w:val="-23"/>
          <w:sz w:val="24"/>
          <w:szCs w:val="24"/>
          <w:lang w:eastAsia="zh-CN"/>
        </w:rPr>
        <w:t>《混凝土面板堆石坝施工规范》（</w:t>
      </w:r>
      <w:r>
        <w:rPr>
          <w:rFonts w:hint="eastAsia" w:ascii="Times New Roman" w:hAnsi="Times New Roman" w:eastAsia="宋体" w:cs="Times New Roman"/>
          <w:color w:val="auto"/>
          <w:spacing w:val="-23"/>
          <w:sz w:val="24"/>
          <w:szCs w:val="24"/>
          <w:lang w:eastAsia="zh-CN"/>
        </w:rPr>
        <w:t>SL 49-2015</w:t>
      </w:r>
      <w:r>
        <w:rPr>
          <w:rFonts w:ascii="宋体" w:hAnsi="宋体" w:eastAsia="宋体" w:cs="宋体"/>
          <w:color w:val="auto"/>
          <w:spacing w:val="-23"/>
          <w:sz w:val="24"/>
          <w:szCs w:val="24"/>
          <w:lang w:eastAsia="zh-CN"/>
        </w:rPr>
        <w:t>）</w:t>
      </w:r>
    </w:p>
    <w:p w14:paraId="1482BC95">
      <w:pPr>
        <w:widowControl w:val="0"/>
        <w:kinsoku/>
        <w:topLinePunct/>
        <w:autoSpaceDE/>
        <w:autoSpaceDN/>
        <w:spacing w:line="520" w:lineRule="exact"/>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章的有关规定。</w:t>
      </w:r>
    </w:p>
    <w:p w14:paraId="76896E5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14.5.6 二期混凝土施工</w:t>
      </w:r>
    </w:p>
    <w:p w14:paraId="115B64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二期混凝土施工范围包括闸门槽混凝土、钢衬预留槽混凝土、门机大梁轨底预留槽混凝土、电站厂房尾水管锥管和蜗壳周围混凝土、座环及水轮发电机支承混凝土、轨道梁预留槽混凝土，以及预留孔洞、坑、槽、沟等的混凝土浇筑。</w:t>
      </w:r>
    </w:p>
    <w:p w14:paraId="7A374B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）选用收缩性较小的原材料进行二期混凝土配合比试验，选定的混凝土配合比应满足混凝土强度保证率</w:t>
      </w:r>
      <w:r>
        <w:rPr>
          <w:rFonts w:ascii="Times New Roman" w:hAnsi="Times New Roman" w:eastAsia="Times New Roman" w:cs="Times New Roman"/>
          <w:color w:val="auto"/>
          <w:sz w:val="24"/>
          <w:szCs w:val="24"/>
          <w:lang w:eastAsia="zh-CN"/>
        </w:rPr>
        <w:t>95%</w:t>
      </w:r>
      <w:r>
        <w:rPr>
          <w:rFonts w:ascii="宋体" w:hAnsi="宋体" w:eastAsia="宋体" w:cs="宋体"/>
          <w:color w:val="auto"/>
          <w:sz w:val="24"/>
          <w:szCs w:val="24"/>
          <w:lang w:eastAsia="zh-CN"/>
        </w:rPr>
        <w:t>以上，离差系数不大于</w:t>
      </w:r>
      <w:r>
        <w:rPr>
          <w:rFonts w:ascii="Times New Roman" w:hAnsi="Times New Roman" w:eastAsia="Times New Roman" w:cs="Times New Roman"/>
          <w:color w:val="auto"/>
          <w:sz w:val="24"/>
          <w:szCs w:val="24"/>
          <w:u w:val="single"/>
          <w:lang w:eastAsia="zh-CN"/>
        </w:rPr>
        <w:t>0.1</w:t>
      </w:r>
      <w:r>
        <w:rPr>
          <w:rFonts w:ascii="宋体" w:hAnsi="宋体" w:eastAsia="宋体" w:cs="宋体"/>
          <w:color w:val="auto"/>
          <w:sz w:val="24"/>
          <w:szCs w:val="24"/>
          <w:lang w:eastAsia="zh-CN"/>
        </w:rPr>
        <w:t>，原材料和混凝土配合比试验成果应提交监理人批准。</w:t>
      </w:r>
    </w:p>
    <w:p w14:paraId="365CAD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）槽孔二期混凝土浇筑应采用小型振捣机或用手工棒或钎捣实，避免漏振。</w:t>
      </w:r>
    </w:p>
    <w:p w14:paraId="1C87AE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）二期混凝土模板的拆除时间及其养护作业，应按监理人批准的施工措施进行。</w:t>
      </w:r>
    </w:p>
    <w:p w14:paraId="1C2B8D0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14.5.7 抗冲、抗磨蚀部位的混凝土施工</w:t>
      </w:r>
    </w:p>
    <w:p w14:paraId="4DCEC4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）本条规定的应用范围为高速水流过流的溢洪道、底孔与底孔进出口段等泄水建筑物。</w:t>
      </w:r>
    </w:p>
    <w:p w14:paraId="105BE6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）抗冲和抗磨混凝土的材料和配合比应遵守《水工建筑物抗冲磨防空蚀混凝土技术规范》（</w:t>
      </w:r>
      <w:r>
        <w:rPr>
          <w:rFonts w:hint="eastAsia" w:ascii="Times New Roman" w:hAnsi="Times New Roman" w:eastAsia="宋体" w:cs="Times New Roman"/>
          <w:color w:val="auto"/>
          <w:sz w:val="24"/>
          <w:szCs w:val="24"/>
          <w:lang w:eastAsia="zh-CN"/>
        </w:rPr>
        <w:t xml:space="preserve">DL/T </w:t>
      </w:r>
      <w:r>
        <w:rPr>
          <w:rFonts w:ascii="Times New Roman" w:hAnsi="Times New Roman" w:eastAsia="Times New Roman" w:cs="Times New Roman"/>
          <w:color w:val="auto"/>
          <w:sz w:val="24"/>
          <w:szCs w:val="24"/>
          <w:lang w:eastAsia="zh-CN"/>
        </w:rPr>
        <w:t>5207</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2021</w:t>
      </w:r>
      <w:r>
        <w:rPr>
          <w:rFonts w:ascii="宋体" w:hAnsi="宋体" w:eastAsia="宋体" w:cs="宋体"/>
          <w:color w:val="auto"/>
          <w:sz w:val="24"/>
          <w:szCs w:val="24"/>
          <w:lang w:eastAsia="zh-CN"/>
        </w:rPr>
        <w:t>）的规定。</w:t>
      </w:r>
    </w:p>
    <w:p w14:paraId="30B905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）抗冲和抗磨混凝土施工应遵守《水工建筑物抗冲磨防空蚀混凝土技术规范》（</w:t>
      </w:r>
      <w:r>
        <w:rPr>
          <w:rFonts w:hint="eastAsia" w:ascii="Times New Roman" w:hAnsi="Times New Roman" w:eastAsia="宋体" w:cs="Times New Roman"/>
          <w:color w:val="auto"/>
          <w:sz w:val="24"/>
          <w:szCs w:val="24"/>
          <w:lang w:eastAsia="zh-CN"/>
        </w:rPr>
        <w:t xml:space="preserve">DL/T </w:t>
      </w:r>
      <w:r>
        <w:rPr>
          <w:rFonts w:ascii="Times New Roman" w:hAnsi="Times New Roman" w:eastAsia="Times New Roman" w:cs="Times New Roman"/>
          <w:color w:val="auto"/>
          <w:sz w:val="24"/>
          <w:szCs w:val="24"/>
          <w:lang w:eastAsia="zh-CN"/>
        </w:rPr>
        <w:t>5207</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2021</w:t>
      </w:r>
      <w:r>
        <w:rPr>
          <w:rFonts w:ascii="宋体" w:hAnsi="宋体" w:eastAsia="宋体" w:cs="宋体"/>
          <w:color w:val="auto"/>
          <w:sz w:val="24"/>
          <w:szCs w:val="24"/>
          <w:lang w:eastAsia="zh-CN"/>
        </w:rPr>
        <w:t>）的有关规定。</w:t>
      </w:r>
    </w:p>
    <w:p w14:paraId="451987D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14.5.8 止水、伸缩缝和排水</w:t>
      </w:r>
    </w:p>
    <w:p w14:paraId="7F7C3BB5">
      <w:pPr>
        <w:pStyle w:val="8"/>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止水、伸缩缝和排水施工应遵守《水工混凝土施工规范》（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10.2</w:t>
      </w:r>
      <w:r>
        <w:rPr>
          <w:rFonts w:hint="eastAsia"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10.3</w:t>
      </w:r>
      <w:r>
        <w:rPr>
          <w:rFonts w:ascii="宋体" w:hAnsi="宋体" w:eastAsia="宋体" w:cs="宋体"/>
          <w:color w:val="auto"/>
          <w:sz w:val="24"/>
          <w:szCs w:val="24"/>
          <w:lang w:eastAsia="zh-CN"/>
        </w:rPr>
        <w:t>节的有关规定。</w:t>
      </w:r>
    </w:p>
    <w:p w14:paraId="5C0B865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14.5.9 埋设管路和埋设件</w:t>
      </w:r>
    </w:p>
    <w:p w14:paraId="412D8D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）坝内排水设施施工应遵守《水工混凝土施工规范》（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10.3.5</w:t>
      </w:r>
      <w:r>
        <w:rPr>
          <w:rFonts w:ascii="宋体" w:hAnsi="宋体" w:eastAsia="宋体" w:cs="宋体"/>
          <w:color w:val="auto"/>
          <w:sz w:val="24"/>
          <w:szCs w:val="24"/>
          <w:lang w:eastAsia="zh-CN"/>
        </w:rPr>
        <w:t>条的规定。</w:t>
      </w:r>
    </w:p>
    <w:p w14:paraId="0B9C1A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）冷却水管与接缝灌浆管路埋设应遵守</w:t>
      </w:r>
      <w:r>
        <w:rPr>
          <w:rFonts w:ascii="宋体" w:hAnsi="宋体" w:eastAsia="宋体" w:cs="宋体"/>
          <w:color w:val="auto"/>
          <w:spacing w:val="45"/>
          <w:sz w:val="24"/>
          <w:szCs w:val="24"/>
          <w:lang w:eastAsia="zh-CN"/>
        </w:rPr>
        <w:t>《水工混凝土施工规范》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10.5</w:t>
      </w:r>
      <w:r>
        <w:rPr>
          <w:rFonts w:ascii="宋体" w:hAnsi="宋体" w:eastAsia="宋体" w:cs="宋体"/>
          <w:color w:val="auto"/>
          <w:sz w:val="24"/>
          <w:szCs w:val="24"/>
          <w:lang w:eastAsia="zh-CN"/>
        </w:rPr>
        <w:t>节的有关规定。</w:t>
      </w:r>
    </w:p>
    <w:p w14:paraId="7EBD67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）金属件埋设应遵守《水工混凝土施工规范》（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10.4</w:t>
      </w:r>
      <w:r>
        <w:rPr>
          <w:rFonts w:ascii="宋体" w:hAnsi="宋体" w:eastAsia="宋体" w:cs="宋体"/>
          <w:color w:val="auto"/>
          <w:sz w:val="24"/>
          <w:szCs w:val="24"/>
          <w:lang w:eastAsia="zh-CN"/>
        </w:rPr>
        <w:t>节的有关规定。</w:t>
      </w:r>
    </w:p>
    <w:p w14:paraId="4327D84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14.5.10 质量检查和验收</w:t>
      </w:r>
    </w:p>
    <w:p w14:paraId="6AA12B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）混凝土原材料的质量检验和验收。</w:t>
      </w:r>
    </w:p>
    <w:p w14:paraId="4411BC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承包人应会同监理人，按本章第</w:t>
      </w:r>
      <w:r>
        <w:rPr>
          <w:rFonts w:ascii="Times New Roman" w:hAnsi="Times New Roman" w:eastAsia="Times New Roman" w:cs="Times New Roman"/>
          <w:color w:val="auto"/>
          <w:sz w:val="24"/>
          <w:szCs w:val="24"/>
          <w:lang w:eastAsia="zh-CN"/>
        </w:rPr>
        <w:t>14.2.1</w:t>
      </w:r>
      <w:r>
        <w:rPr>
          <w:rFonts w:ascii="宋体" w:hAnsi="宋体" w:eastAsia="宋体" w:cs="宋体"/>
          <w:color w:val="auto"/>
          <w:sz w:val="24"/>
          <w:szCs w:val="24"/>
          <w:lang w:eastAsia="zh-CN"/>
        </w:rPr>
        <w:t>项的规定，对本工程混凝土原材料进行现场抽样检验和入库验收，检验成果应提交监理人。</w:t>
      </w:r>
    </w:p>
    <w:p w14:paraId="7775D4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）混凝土拌和物的质量检验。</w:t>
      </w:r>
    </w:p>
    <w:p w14:paraId="7E6029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承包人应会同监理人，按本章第</w:t>
      </w:r>
      <w:r>
        <w:rPr>
          <w:rFonts w:ascii="Times New Roman" w:hAnsi="Times New Roman" w:eastAsia="Times New Roman" w:cs="Times New Roman"/>
          <w:color w:val="auto"/>
          <w:sz w:val="24"/>
          <w:szCs w:val="24"/>
          <w:lang w:eastAsia="zh-CN"/>
        </w:rPr>
        <w:t>14.2.3</w:t>
      </w:r>
      <w:r>
        <w:rPr>
          <w:rFonts w:ascii="宋体" w:hAnsi="宋体" w:eastAsia="宋体" w:cs="宋体"/>
          <w:color w:val="auto"/>
          <w:sz w:val="24"/>
          <w:szCs w:val="24"/>
          <w:lang w:eastAsia="zh-CN"/>
        </w:rPr>
        <w:t>项的规定进行混凝土拌和物的现场抽样检验，检验成果应提交监理人。</w:t>
      </w:r>
    </w:p>
    <w:p w14:paraId="4A2EBF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）建筑物的混凝土浇筑和成型质量的检查和验收。</w:t>
      </w:r>
    </w:p>
    <w:p w14:paraId="7E7A80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）建基面混凝土浇筑前，应由承包人会同监理人对建基面的测量放样成果和建基面的基础清理质量进行检查与验收。</w:t>
      </w:r>
    </w:p>
    <w:p w14:paraId="3CA7F4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）混凝土浇筑过程中，承包人应会同监理人对混凝土建筑物的测量放样成果进行检查和验收。其测量放样成果应提交监理人。</w:t>
      </w:r>
    </w:p>
    <w:p w14:paraId="124E14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）承包人应会同监理人按《水工混凝土施工规范》（</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）的有关规定，对现场浇筑的混凝土的强度、浇筑温度和坝体内温度进行检验和检测，其检验和检测成果应提交监理人。</w:t>
      </w:r>
    </w:p>
    <w:p w14:paraId="58704D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）混凝土浇筑过程中，承包人应会同监理人对各浇筑面的施工浇筑质量和养护质量，以及各种埋设件的埋设质量进行质量检查和验收，检查和验收记录应提交监理人。</w:t>
      </w:r>
    </w:p>
    <w:p w14:paraId="676136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）混凝土工程建筑物浇筑完成后，承包人应会同监理人对混凝土工程建筑物永久结构面的成型质量进行检查和验收。检查和验收记录应提交监理人。</w:t>
      </w:r>
    </w:p>
    <w:p w14:paraId="176A08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）堆石坝面板（趾板）混凝土质量的检验。</w:t>
      </w:r>
    </w:p>
    <w:p w14:paraId="59C25D17">
      <w:pPr>
        <w:pStyle w:val="8"/>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）面板滑动模板的质量应参照</w:t>
      </w:r>
      <w:r>
        <w:rPr>
          <w:rFonts w:ascii="宋体" w:hAnsi="宋体" w:eastAsia="宋体" w:cs="宋体"/>
          <w:color w:val="auto"/>
          <w:spacing w:val="-20"/>
          <w:sz w:val="24"/>
          <w:szCs w:val="24"/>
          <w:lang w:eastAsia="zh-CN"/>
        </w:rPr>
        <w:t>《混凝土面板堆石坝施工规范》（</w:t>
      </w:r>
      <w:r>
        <w:rPr>
          <w:rFonts w:hint="eastAsia" w:ascii="Times New Roman" w:hAnsi="Times New Roman" w:eastAsia="宋体" w:cs="Times New Roman"/>
          <w:color w:val="auto"/>
          <w:spacing w:val="-20"/>
          <w:sz w:val="24"/>
          <w:szCs w:val="24"/>
          <w:lang w:eastAsia="zh-CN"/>
        </w:rPr>
        <w:t>SL 49-2015</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附录</w:t>
      </w:r>
      <w:r>
        <w:rPr>
          <w:rFonts w:ascii="Times New Roman" w:hAnsi="Times New Roman" w:eastAsia="Times New Roman" w:cs="Times New Roman"/>
          <w:color w:val="auto"/>
          <w:sz w:val="24"/>
          <w:szCs w:val="24"/>
          <w:lang w:eastAsia="zh-CN"/>
        </w:rPr>
        <w:t>A.5</w:t>
      </w:r>
      <w:r>
        <w:rPr>
          <w:rFonts w:ascii="宋体" w:hAnsi="宋体" w:eastAsia="宋体" w:cs="宋体"/>
          <w:color w:val="auto"/>
          <w:sz w:val="24"/>
          <w:szCs w:val="24"/>
          <w:lang w:eastAsia="zh-CN"/>
        </w:rPr>
        <w:t>的有关数据进行检查。</w:t>
      </w:r>
    </w:p>
    <w:p w14:paraId="107A1A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）面板混凝土浇筑质量应参照</w:t>
      </w:r>
      <w:r>
        <w:rPr>
          <w:rFonts w:ascii="宋体" w:hAnsi="宋体" w:eastAsia="宋体" w:cs="宋体"/>
          <w:color w:val="auto"/>
          <w:spacing w:val="-20"/>
          <w:sz w:val="24"/>
          <w:szCs w:val="24"/>
          <w:lang w:eastAsia="zh-CN"/>
        </w:rPr>
        <w:t>《混凝土面板堆石坝施工规范》（</w:t>
      </w:r>
      <w:r>
        <w:rPr>
          <w:rFonts w:hint="eastAsia" w:ascii="Times New Roman" w:hAnsi="Times New Roman" w:eastAsia="宋体" w:cs="Times New Roman"/>
          <w:color w:val="auto"/>
          <w:spacing w:val="-20"/>
          <w:sz w:val="24"/>
          <w:szCs w:val="24"/>
          <w:lang w:eastAsia="zh-CN"/>
        </w:rPr>
        <w:t>SL 49-2015</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附录</w:t>
      </w:r>
      <w:r>
        <w:rPr>
          <w:rFonts w:ascii="Times New Roman" w:hAnsi="Times New Roman" w:eastAsia="Times New Roman" w:cs="Times New Roman"/>
          <w:color w:val="auto"/>
          <w:sz w:val="24"/>
          <w:szCs w:val="24"/>
          <w:lang w:eastAsia="zh-CN"/>
        </w:rPr>
        <w:t>A.5</w:t>
      </w:r>
      <w:r>
        <w:rPr>
          <w:rFonts w:ascii="宋体" w:hAnsi="宋体" w:eastAsia="宋体" w:cs="宋体"/>
          <w:color w:val="auto"/>
          <w:sz w:val="24"/>
          <w:szCs w:val="24"/>
          <w:lang w:eastAsia="zh-CN"/>
        </w:rPr>
        <w:t>的有关数据进行检查，并按</w:t>
      </w:r>
      <w:r>
        <w:rPr>
          <w:rFonts w:ascii="宋体" w:hAnsi="宋体" w:eastAsia="宋体" w:cs="宋体"/>
          <w:color w:val="auto"/>
          <w:spacing w:val="-20"/>
          <w:sz w:val="24"/>
          <w:szCs w:val="24"/>
          <w:lang w:eastAsia="zh-CN"/>
        </w:rPr>
        <w:t>《混凝土面板堆石坝施工规范》（</w:t>
      </w:r>
      <w:r>
        <w:rPr>
          <w:rFonts w:hint="eastAsia" w:ascii="Times New Roman" w:hAnsi="Times New Roman" w:eastAsia="宋体" w:cs="Times New Roman"/>
          <w:color w:val="auto"/>
          <w:spacing w:val="-20"/>
          <w:sz w:val="24"/>
          <w:szCs w:val="24"/>
          <w:lang w:eastAsia="zh-CN"/>
        </w:rPr>
        <w:t>SL 49-2015</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附录</w:t>
      </w:r>
      <w:r>
        <w:rPr>
          <w:rFonts w:ascii="Times New Roman" w:hAnsi="Times New Roman" w:eastAsia="Times New Roman" w:cs="Times New Roman"/>
          <w:color w:val="auto"/>
          <w:sz w:val="24"/>
          <w:szCs w:val="24"/>
          <w:lang w:eastAsia="zh-CN"/>
        </w:rPr>
        <w:t>A</w:t>
      </w:r>
      <w:r>
        <w:rPr>
          <w:rFonts w:ascii="宋体" w:hAnsi="宋体" w:eastAsia="宋体" w:cs="宋体"/>
          <w:color w:val="auto"/>
          <w:sz w:val="24"/>
          <w:szCs w:val="24"/>
          <w:lang w:eastAsia="zh-CN"/>
        </w:rPr>
        <w:t>的相关规定进行取样检测。检测成果应提交监理人。</w:t>
      </w:r>
    </w:p>
    <w:p w14:paraId="376387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）面板、趾板的止水设施质量应参照</w:t>
      </w:r>
      <w:r>
        <w:rPr>
          <w:rFonts w:ascii="宋体" w:hAnsi="宋体" w:eastAsia="宋体" w:cs="宋体"/>
          <w:color w:val="auto"/>
          <w:spacing w:val="17"/>
          <w:sz w:val="24"/>
          <w:szCs w:val="24"/>
          <w:lang w:eastAsia="zh-CN"/>
        </w:rPr>
        <w:t>《混凝土面板堆石坝施工规范》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49-2015</w:t>
      </w:r>
      <w:r>
        <w:rPr>
          <w:rFonts w:ascii="宋体" w:hAnsi="宋体" w:eastAsia="宋体" w:cs="宋体"/>
          <w:color w:val="auto"/>
          <w:sz w:val="24"/>
          <w:szCs w:val="24"/>
          <w:lang w:eastAsia="zh-CN"/>
        </w:rPr>
        <w:t>）附录</w:t>
      </w:r>
      <w:r>
        <w:rPr>
          <w:rFonts w:ascii="Times New Roman" w:hAnsi="Times New Roman" w:eastAsia="Times New Roman" w:cs="Times New Roman"/>
          <w:color w:val="auto"/>
          <w:sz w:val="24"/>
          <w:szCs w:val="24"/>
          <w:lang w:eastAsia="zh-CN"/>
        </w:rPr>
        <w:t>A.6</w:t>
      </w:r>
      <w:r>
        <w:rPr>
          <w:rFonts w:ascii="宋体" w:hAnsi="宋体" w:eastAsia="宋体" w:cs="宋体"/>
          <w:color w:val="auto"/>
          <w:sz w:val="24"/>
          <w:szCs w:val="24"/>
          <w:lang w:eastAsia="zh-CN"/>
        </w:rPr>
        <w:t>的规定进行检查，止水设施至少每</w:t>
      </w:r>
      <w:r>
        <w:rPr>
          <w:rFonts w:hint="eastAsia" w:ascii="Times New Roman" w:hAnsi="Times New Roman" w:eastAsia="宋体" w:cs="Times New Roman"/>
          <w:color w:val="auto"/>
          <w:sz w:val="24"/>
          <w:szCs w:val="24"/>
          <w:u w:val="single"/>
          <w:lang w:eastAsia="zh-CN"/>
        </w:rPr>
        <w:t xml:space="preserve"> </w:t>
      </w:r>
      <w:r>
        <w:rPr>
          <w:rFonts w:ascii="Times New Roman" w:hAnsi="Times New Roman" w:eastAsia="Times New Roman" w:cs="Times New Roman"/>
          <w:color w:val="auto"/>
          <w:sz w:val="24"/>
          <w:szCs w:val="24"/>
          <w:u w:val="single"/>
          <w:lang w:eastAsia="zh-CN"/>
        </w:rPr>
        <w:t>5m</w:t>
      </w:r>
      <w:r>
        <w:rPr>
          <w:rFonts w:hint="eastAsia" w:ascii="Times New Roman" w:hAnsi="Times New Roman" w:eastAsia="宋体" w:cs="Times New Roman"/>
          <w:color w:val="auto"/>
          <w:sz w:val="24"/>
          <w:szCs w:val="24"/>
          <w:u w:val="single"/>
          <w:lang w:eastAsia="zh-CN"/>
        </w:rPr>
        <w:t xml:space="preserve"> </w:t>
      </w:r>
      <w:r>
        <w:rPr>
          <w:rFonts w:ascii="宋体" w:hAnsi="宋体" w:eastAsia="宋体" w:cs="宋体"/>
          <w:color w:val="auto"/>
          <w:sz w:val="24"/>
          <w:szCs w:val="24"/>
          <w:lang w:eastAsia="zh-CN"/>
        </w:rPr>
        <w:t>检查一点。</w:t>
      </w:r>
    </w:p>
    <w:p w14:paraId="004420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）完工验收。</w:t>
      </w:r>
    </w:p>
    <w:p w14:paraId="50B034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混凝土工程建筑物全部完工后，承包人应向发包人申请完工验收，并提交以下完工资料。</w:t>
      </w:r>
    </w:p>
    <w:p w14:paraId="12E5D3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）混凝土工程建筑物竣工图（包括布置图和主要结构图）。</w:t>
      </w:r>
    </w:p>
    <w:p w14:paraId="15E3F4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）混凝土工程建筑物的隐蔽工程及工程隐蔽部位的质量检查验收报告。</w:t>
      </w:r>
    </w:p>
    <w:p w14:paraId="652DEC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）混凝土工程建筑物的永久观测设施的竣工资料及建筑物观测成果。</w:t>
      </w:r>
    </w:p>
    <w:p w14:paraId="2DE56C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）混凝土建筑物的缺陷修补和质量事故处理报告。</w:t>
      </w:r>
    </w:p>
    <w:p w14:paraId="5589C2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）混凝土工程建筑物成型复测成果。</w:t>
      </w:r>
    </w:p>
    <w:p w14:paraId="20FCCC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）监理人要求提交的其他完工资料。</w:t>
      </w:r>
    </w:p>
    <w:p w14:paraId="1D41B3D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01" w:name="_Toc16399"/>
      <w:bookmarkStart w:id="1402" w:name="_Toc13008"/>
      <w:bookmarkStart w:id="1403" w:name="_Toc10363"/>
      <w:r>
        <w:rPr>
          <w:rFonts w:hint="eastAsia" w:ascii="宋体" w:hAnsi="宋体" w:eastAsia="宋体" w:cs="宋体"/>
          <w:b/>
          <w:bCs/>
          <w:color w:val="auto"/>
          <w:sz w:val="24"/>
          <w:szCs w:val="24"/>
          <w:lang w:eastAsia="zh-CN"/>
        </w:rPr>
        <w:t>14.6 预制混凝土</w:t>
      </w:r>
      <w:bookmarkEnd w:id="1401"/>
      <w:bookmarkEnd w:id="1402"/>
      <w:bookmarkEnd w:id="1403"/>
    </w:p>
    <w:p w14:paraId="7C9D2A0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14.6.1 材料</w:t>
      </w:r>
    </w:p>
    <w:p w14:paraId="346230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）预制混凝土所需原材料的采购、储存、运输、拌和以及配合比试验等均应符合本章第</w:t>
      </w:r>
      <w:r>
        <w:rPr>
          <w:rFonts w:ascii="Times New Roman" w:hAnsi="Times New Roman" w:eastAsia="Times New Roman" w:cs="Times New Roman"/>
          <w:color w:val="auto"/>
          <w:sz w:val="24"/>
          <w:szCs w:val="24"/>
          <w:lang w:eastAsia="zh-CN"/>
        </w:rPr>
        <w:t>14.2</w:t>
      </w:r>
      <w:r>
        <w:rPr>
          <w:rFonts w:ascii="宋体" w:hAnsi="宋体" w:eastAsia="宋体" w:cs="宋体"/>
          <w:color w:val="auto"/>
          <w:sz w:val="24"/>
          <w:szCs w:val="24"/>
          <w:lang w:eastAsia="zh-CN"/>
        </w:rPr>
        <w:t>款、第</w:t>
      </w:r>
      <w:r>
        <w:rPr>
          <w:rFonts w:ascii="Times New Roman" w:hAnsi="Times New Roman" w:eastAsia="Times New Roman" w:cs="Times New Roman"/>
          <w:color w:val="auto"/>
          <w:sz w:val="24"/>
          <w:szCs w:val="24"/>
          <w:lang w:eastAsia="zh-CN"/>
        </w:rPr>
        <w:t>14.5</w:t>
      </w:r>
      <w:r>
        <w:rPr>
          <w:rFonts w:ascii="宋体" w:hAnsi="宋体" w:eastAsia="宋体" w:cs="宋体"/>
          <w:color w:val="auto"/>
          <w:sz w:val="24"/>
          <w:szCs w:val="24"/>
          <w:lang w:eastAsia="zh-CN"/>
        </w:rPr>
        <w:t>款的有关规定。</w:t>
      </w:r>
    </w:p>
    <w:p w14:paraId="35DC1C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）预制混凝土构件的模板应优先采用钢模，模板的材料及其制作、安装、拆除等工艺应符合本章第</w:t>
      </w:r>
      <w:r>
        <w:rPr>
          <w:rFonts w:ascii="Times New Roman" w:hAnsi="Times New Roman" w:eastAsia="Times New Roman" w:cs="Times New Roman"/>
          <w:color w:val="auto"/>
          <w:sz w:val="24"/>
          <w:szCs w:val="24"/>
          <w:lang w:eastAsia="zh-CN"/>
        </w:rPr>
        <w:t>14.3</w:t>
      </w:r>
      <w:r>
        <w:rPr>
          <w:rFonts w:ascii="宋体" w:hAnsi="宋体" w:eastAsia="宋体" w:cs="宋体"/>
          <w:color w:val="auto"/>
          <w:sz w:val="24"/>
          <w:szCs w:val="24"/>
          <w:lang w:eastAsia="zh-CN"/>
        </w:rPr>
        <w:t>款的有关规定。各种模板必须有足够的承载力、刚度和稳定性，并应构造简单、支撑拆除方便，模板接缝不应漏浆，与混凝土接触面应平整光洁。</w:t>
      </w:r>
    </w:p>
    <w:p w14:paraId="582EF6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）钢筋的采购、运输、保管、质量检验和验收应符合本技术条款第</w:t>
      </w:r>
      <w:r>
        <w:rPr>
          <w:rFonts w:ascii="Times New Roman" w:hAnsi="Times New Roman" w:eastAsia="Times New Roman" w:cs="Times New Roman"/>
          <w:color w:val="auto"/>
          <w:sz w:val="24"/>
          <w:szCs w:val="24"/>
          <w:lang w:eastAsia="zh-CN"/>
        </w:rPr>
        <w:t>14.4</w:t>
      </w:r>
      <w:r>
        <w:rPr>
          <w:rFonts w:ascii="宋体" w:hAnsi="宋体" w:eastAsia="宋体" w:cs="宋体"/>
          <w:color w:val="auto"/>
          <w:sz w:val="24"/>
          <w:szCs w:val="24"/>
          <w:lang w:eastAsia="zh-CN"/>
        </w:rPr>
        <w:t>款的有关规定。</w:t>
      </w:r>
    </w:p>
    <w:p w14:paraId="1CABAE2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14.6.2 预制构件</w:t>
      </w:r>
    </w:p>
    <w:p w14:paraId="0145FC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）制作预制混凝土构件的场地应平整坚实，设置必要的排水设施，保证制作构件时不因混凝土浇筑振捣而引起场地的沉陷变形。</w:t>
      </w:r>
    </w:p>
    <w:p w14:paraId="74E5E9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）预制构件的钢筋安装应遵守</w:t>
      </w:r>
      <w:r>
        <w:rPr>
          <w:rFonts w:ascii="宋体" w:hAnsi="宋体" w:eastAsia="宋体" w:cs="宋体"/>
          <w:color w:val="auto"/>
          <w:spacing w:val="-28"/>
          <w:sz w:val="24"/>
          <w:szCs w:val="24"/>
          <w:lang w:eastAsia="zh-CN"/>
        </w:rPr>
        <w:t>《水工混凝土钢筋施工规范》（</w:t>
      </w:r>
      <w:r>
        <w:rPr>
          <w:rFonts w:hint="eastAsia" w:ascii="Times New Roman" w:hAnsi="Times New Roman" w:eastAsia="宋体" w:cs="Times New Roman"/>
          <w:color w:val="auto"/>
          <w:spacing w:val="-28"/>
          <w:sz w:val="24"/>
          <w:szCs w:val="24"/>
          <w:lang w:eastAsia="zh-CN"/>
        </w:rPr>
        <w:t>DL/T 5169-2013</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的有关规定。</w:t>
      </w:r>
    </w:p>
    <w:p w14:paraId="33486F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）预制构件使用的钢板、钢筋、吊耳等各种预埋件，其埋设的允许偏差和外观质量应符合有关规定的要求。</w:t>
      </w:r>
    </w:p>
    <w:p w14:paraId="7CEBDA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）预制混凝上构件的制作允许偏差应参照《混凝土结构工程施工质量验收规范》（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9.2.4</w:t>
      </w:r>
      <w:r>
        <w:rPr>
          <w:rFonts w:ascii="宋体" w:hAnsi="宋体" w:eastAsia="宋体" w:cs="宋体"/>
          <w:color w:val="auto"/>
          <w:sz w:val="24"/>
          <w:szCs w:val="24"/>
          <w:lang w:eastAsia="zh-CN"/>
        </w:rPr>
        <w:t>的有关数据确定。</w:t>
      </w:r>
    </w:p>
    <w:p w14:paraId="7F2555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）预制混凝土模板的安装和拆除应符合《混凝土结构工程施工质量验收规范》（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）有关规定，混凝土预制件必须达到规定强度后，方可拆除模板。</w:t>
      </w:r>
    </w:p>
    <w:p w14:paraId="5641006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14.6.3 养护、修整和标记</w:t>
      </w:r>
    </w:p>
    <w:p w14:paraId="16B948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）养护：用水养护混凝土应不少于</w:t>
      </w:r>
      <w:r>
        <w:rPr>
          <w:rFonts w:hint="eastAsia" w:ascii="Times New Roman" w:hAnsi="Times New Roman" w:eastAsia="宋体" w:cs="Times New Roman"/>
          <w:color w:val="auto"/>
          <w:sz w:val="24"/>
          <w:szCs w:val="24"/>
          <w:u w:val="single"/>
          <w:lang w:eastAsia="zh-CN"/>
        </w:rPr>
        <w:t xml:space="preserve"> 14 </w:t>
      </w:r>
      <w:r>
        <w:rPr>
          <w:rFonts w:ascii="宋体" w:hAnsi="宋体" w:eastAsia="宋体" w:cs="宋体"/>
          <w:color w:val="auto"/>
          <w:sz w:val="24"/>
          <w:szCs w:val="24"/>
          <w:lang w:eastAsia="zh-CN"/>
        </w:rPr>
        <w:t>天，蒸汽养护应按监理人的指示或现行规范中的有关规定进行。</w:t>
      </w:r>
    </w:p>
    <w:p w14:paraId="5D253B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）表面修整：预制混凝土表面修整应符合</w:t>
      </w:r>
      <w:r>
        <w:rPr>
          <w:rFonts w:ascii="宋体" w:hAnsi="宋体" w:eastAsia="宋体" w:cs="宋体"/>
          <w:color w:val="auto"/>
          <w:spacing w:val="34"/>
          <w:sz w:val="24"/>
          <w:szCs w:val="24"/>
          <w:lang w:eastAsia="zh-CN"/>
        </w:rPr>
        <w:t>《水工混凝土施工规范》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677-2014</w:t>
      </w:r>
      <w:r>
        <w:rPr>
          <w:rFonts w:ascii="宋体" w:hAnsi="宋体" w:eastAsia="宋体" w:cs="宋体"/>
          <w:color w:val="auto"/>
          <w:sz w:val="24"/>
          <w:szCs w:val="24"/>
          <w:lang w:eastAsia="zh-CN"/>
        </w:rPr>
        <w:t>）有关规定。</w:t>
      </w:r>
    </w:p>
    <w:p w14:paraId="786F7C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）合格标记：经监理人检查合格的预制混凝土构件应标有合格标志，并标有合格的号、制作日期和安装标记，未标有合格标志或有缺陷的构件不得使用。</w:t>
      </w:r>
    </w:p>
    <w:p w14:paraId="680AB84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14.6.4 运输、堆放、吊运和安装</w:t>
      </w:r>
    </w:p>
    <w:p w14:paraId="7E4BF0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运输、堆放、吊运和安装应符合《混凝土结构工程施工质量验收规范》（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）的有关规定。</w:t>
      </w:r>
    </w:p>
    <w:p w14:paraId="425B27D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14.6.5 质量检查和验收</w:t>
      </w:r>
    </w:p>
    <w:p w14:paraId="3E14CE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承包人应会同监理人对预制混凝土构件的制作和安装进行以下项目的检查和验收：</w:t>
      </w:r>
    </w:p>
    <w:p w14:paraId="3F46E6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）预制混凝土原材料的质量检验应按本章第</w:t>
      </w:r>
      <w:r>
        <w:rPr>
          <w:rFonts w:ascii="Times New Roman" w:hAnsi="Times New Roman" w:eastAsia="Times New Roman" w:cs="Times New Roman"/>
          <w:color w:val="auto"/>
          <w:sz w:val="24"/>
          <w:szCs w:val="24"/>
          <w:lang w:eastAsia="zh-CN"/>
        </w:rPr>
        <w:t>14.2</w:t>
      </w:r>
      <w:r>
        <w:rPr>
          <w:rFonts w:ascii="宋体" w:hAnsi="宋体" w:eastAsia="宋体" w:cs="宋体"/>
          <w:color w:val="auto"/>
          <w:sz w:val="24"/>
          <w:szCs w:val="24"/>
          <w:lang w:eastAsia="zh-CN"/>
        </w:rPr>
        <w:t>款有关规定执行。</w:t>
      </w:r>
    </w:p>
    <w:p w14:paraId="1DF92C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）预制混凝土构件应按</w:t>
      </w:r>
      <w:r>
        <w:rPr>
          <w:rFonts w:ascii="宋体" w:hAnsi="宋体" w:eastAsia="宋体" w:cs="宋体"/>
          <w:color w:val="auto"/>
          <w:spacing w:val="-34"/>
          <w:sz w:val="24"/>
          <w:szCs w:val="24"/>
          <w:lang w:eastAsia="zh-CN"/>
        </w:rPr>
        <w:t>《混凝土结构工程施工质量验收规范》（</w:t>
      </w:r>
      <w:r>
        <w:rPr>
          <w:rFonts w:hint="eastAsia" w:ascii="Times New Roman" w:hAnsi="Times New Roman" w:eastAsia="宋体" w:cs="Times New Roman"/>
          <w:color w:val="auto"/>
          <w:spacing w:val="-34"/>
          <w:sz w:val="24"/>
          <w:szCs w:val="24"/>
          <w:lang w:eastAsia="zh-CN"/>
        </w:rPr>
        <w:t>GB 50204-2015</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章的规定进行预制构件性能检验、外观质量检查和构件施工安装质量的检查。</w:t>
      </w:r>
    </w:p>
    <w:p w14:paraId="7B26868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04" w:name="_Toc29145"/>
      <w:bookmarkStart w:id="1405" w:name="_Toc21488"/>
      <w:bookmarkStart w:id="1406" w:name="_Toc20315"/>
      <w:r>
        <w:rPr>
          <w:rFonts w:hint="eastAsia" w:ascii="宋体" w:hAnsi="宋体" w:eastAsia="宋体" w:cs="宋体"/>
          <w:b/>
          <w:bCs/>
          <w:color w:val="auto"/>
          <w:sz w:val="24"/>
          <w:szCs w:val="24"/>
          <w:lang w:eastAsia="zh-CN"/>
        </w:rPr>
        <w:t>14.7 预应力混凝土</w:t>
      </w:r>
      <w:bookmarkEnd w:id="1404"/>
      <w:bookmarkEnd w:id="1405"/>
      <w:bookmarkEnd w:id="1406"/>
    </w:p>
    <w:p w14:paraId="1002E39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14.7.1 材料</w:t>
      </w:r>
    </w:p>
    <w:p w14:paraId="59E22B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）预应力混凝土所采用的常规钢筋、水泥、骨料和掺合料等应符合本章第</w:t>
      </w:r>
      <w:r>
        <w:rPr>
          <w:rFonts w:ascii="Times New Roman" w:hAnsi="Times New Roman" w:eastAsia="Times New Roman" w:cs="Times New Roman"/>
          <w:color w:val="auto"/>
          <w:sz w:val="24"/>
          <w:szCs w:val="24"/>
          <w:lang w:eastAsia="zh-CN"/>
        </w:rPr>
        <w:t>14.2</w:t>
      </w:r>
      <w:r>
        <w:rPr>
          <w:rFonts w:ascii="宋体" w:hAnsi="宋体" w:eastAsia="宋体" w:cs="宋体"/>
          <w:color w:val="auto"/>
          <w:sz w:val="24"/>
          <w:szCs w:val="24"/>
          <w:lang w:eastAsia="zh-CN"/>
        </w:rPr>
        <w:t>款和第</w:t>
      </w:r>
      <w:r>
        <w:rPr>
          <w:rFonts w:ascii="Times New Roman" w:hAnsi="Times New Roman" w:eastAsia="Times New Roman" w:cs="Times New Roman"/>
          <w:color w:val="auto"/>
          <w:sz w:val="24"/>
          <w:szCs w:val="24"/>
          <w:lang w:eastAsia="zh-CN"/>
        </w:rPr>
        <w:t>14.4</w:t>
      </w:r>
      <w:r>
        <w:rPr>
          <w:rFonts w:ascii="宋体" w:hAnsi="宋体" w:eastAsia="宋体" w:cs="宋体"/>
          <w:color w:val="auto"/>
          <w:sz w:val="24"/>
          <w:szCs w:val="24"/>
          <w:lang w:eastAsia="zh-CN"/>
        </w:rPr>
        <w:t>款的有关规定。</w:t>
      </w:r>
    </w:p>
    <w:p w14:paraId="54A1A8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）预应力钢筋、钢纹线和钢丝应符合《混凝土结构工程施工质量验收规范》（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6.2</w:t>
      </w:r>
      <w:r>
        <w:rPr>
          <w:rFonts w:ascii="宋体" w:hAnsi="宋体" w:eastAsia="宋体" w:cs="宋体"/>
          <w:color w:val="auto"/>
          <w:sz w:val="24"/>
          <w:szCs w:val="24"/>
          <w:lang w:eastAsia="zh-CN"/>
        </w:rPr>
        <w:t>节的有关规定。</w:t>
      </w:r>
    </w:p>
    <w:p w14:paraId="58B767A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14.7.2 锚固器具和张拉设备</w:t>
      </w:r>
    </w:p>
    <w:p w14:paraId="0F109F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锚固器具和张拉设备应遵守</w:t>
      </w:r>
      <w:r>
        <w:rPr>
          <w:rFonts w:ascii="宋体" w:hAnsi="宋体" w:eastAsia="宋体" w:cs="宋体"/>
          <w:color w:val="auto"/>
          <w:spacing w:val="51"/>
          <w:sz w:val="24"/>
          <w:szCs w:val="24"/>
          <w:lang w:eastAsia="zh-CN"/>
        </w:rPr>
        <w:t>《预应力筋用锚具、夹具和连接器》</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GB/T 14370-2015</w:t>
      </w:r>
      <w:r>
        <w:rPr>
          <w:rFonts w:ascii="宋体" w:hAnsi="宋体" w:eastAsia="宋体" w:cs="宋体"/>
          <w:color w:val="auto"/>
          <w:sz w:val="24"/>
          <w:szCs w:val="24"/>
          <w:lang w:eastAsia="zh-CN"/>
        </w:rPr>
        <w:t>），以及</w:t>
      </w:r>
      <w:r>
        <w:rPr>
          <w:rFonts w:ascii="宋体" w:hAnsi="宋体" w:eastAsia="宋体" w:cs="宋体"/>
          <w:color w:val="auto"/>
          <w:spacing w:val="-23"/>
          <w:sz w:val="24"/>
          <w:szCs w:val="24"/>
          <w:lang w:eastAsia="zh-CN"/>
        </w:rPr>
        <w:t>《混凝土结构工程施工质量验收规范》（</w:t>
      </w:r>
      <w:r>
        <w:rPr>
          <w:rFonts w:hint="eastAsia" w:ascii="Times New Roman" w:hAnsi="Times New Roman" w:eastAsia="宋体" w:cs="Times New Roman"/>
          <w:color w:val="auto"/>
          <w:spacing w:val="-23"/>
          <w:sz w:val="24"/>
          <w:szCs w:val="24"/>
          <w:lang w:eastAsia="zh-CN"/>
        </w:rPr>
        <w:t>GB 50204-2015</w:t>
      </w:r>
      <w:r>
        <w:rPr>
          <w:rFonts w:ascii="宋体" w:hAnsi="宋体" w:eastAsia="宋体" w:cs="宋体"/>
          <w:color w:val="auto"/>
          <w:spacing w:val="-23"/>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6.2.6</w:t>
      </w:r>
      <w:r>
        <w:rPr>
          <w:rFonts w:hint="eastAsia"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6.2.8</w:t>
      </w:r>
      <w:r>
        <w:rPr>
          <w:rFonts w:ascii="宋体" w:hAnsi="宋体" w:eastAsia="宋体" w:cs="宋体"/>
          <w:color w:val="auto"/>
          <w:sz w:val="24"/>
          <w:szCs w:val="24"/>
          <w:lang w:eastAsia="zh-CN"/>
        </w:rPr>
        <w:t>条的有关规定。</w:t>
      </w:r>
    </w:p>
    <w:p w14:paraId="0BCF5A6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14.7.3 预应力筋制作和安装</w:t>
      </w:r>
    </w:p>
    <w:p w14:paraId="2CCC26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预应力筋的制作和安装应遵守</w:t>
      </w:r>
      <w:r>
        <w:rPr>
          <w:rFonts w:ascii="宋体" w:hAnsi="宋体" w:eastAsia="宋体" w:cs="宋体"/>
          <w:color w:val="auto"/>
          <w:spacing w:val="34"/>
          <w:sz w:val="24"/>
          <w:szCs w:val="24"/>
          <w:lang w:eastAsia="zh-CN"/>
        </w:rPr>
        <w:t>《混凝土结构工程施工质量验收规范》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w:t>
      </w:r>
      <w:r>
        <w:rPr>
          <w:rFonts w:ascii="宋体" w:hAnsi="宋体" w:eastAsia="宋体" w:cs="宋体"/>
          <w:color w:val="auto"/>
          <w:sz w:val="24"/>
          <w:szCs w:val="24"/>
          <w:lang w:eastAsia="zh-CN"/>
        </w:rPr>
        <w:t>节的有关规定。</w:t>
      </w:r>
    </w:p>
    <w:p w14:paraId="2EFEB94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14.7.4 预应力混凝土浇筑和养护</w:t>
      </w:r>
    </w:p>
    <w:p w14:paraId="7D15B3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）预应力混凝土浇筑构件内的钢筋绑扎及套管等各类预埋件的埋设和固定就位完毕，并经监理人检验合格后，方能进行预应力构件的混凝土浇筑。</w:t>
      </w:r>
    </w:p>
    <w:p w14:paraId="44A55A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）预应力混凝土浇筑应连续进行，不允许产生混凝土冷缝；混凝土振捣时，避免碰撞预应力钢束管道和预埋件，并应经常检查模板、管道、锚固件及埋设件有无缺失和损坏。</w:t>
      </w:r>
    </w:p>
    <w:p w14:paraId="167E75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）预应力混凝土的养护应按普通混凝土的有关规定进行。</w:t>
      </w:r>
    </w:p>
    <w:p w14:paraId="0C7947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）混凝土强度尚未达到</w:t>
      </w:r>
      <w:r>
        <w:rPr>
          <w:rFonts w:ascii="Times New Roman" w:hAnsi="Times New Roman" w:eastAsia="Times New Roman" w:cs="Times New Roman"/>
          <w:color w:val="auto"/>
          <w:sz w:val="24"/>
          <w:szCs w:val="24"/>
          <w:u w:val="single"/>
          <w:lang w:eastAsia="zh-CN"/>
        </w:rPr>
        <w:t>15</w:t>
      </w:r>
      <w:r>
        <w:rPr>
          <w:rFonts w:ascii="宋体" w:hAnsi="宋体" w:eastAsia="宋体" w:cs="宋体"/>
          <w:color w:val="auto"/>
          <w:sz w:val="24"/>
          <w:szCs w:val="24"/>
          <w:u w:val="single"/>
          <w:lang w:eastAsia="zh-CN"/>
        </w:rPr>
        <w:t>～</w:t>
      </w:r>
      <w:r>
        <w:rPr>
          <w:rFonts w:ascii="Times New Roman" w:hAnsi="Times New Roman" w:eastAsia="Times New Roman" w:cs="Times New Roman"/>
          <w:color w:val="auto"/>
          <w:sz w:val="24"/>
          <w:szCs w:val="24"/>
          <w:u w:val="single"/>
          <w:lang w:eastAsia="zh-CN"/>
        </w:rPr>
        <w:t>20MPa</w:t>
      </w:r>
      <w:r>
        <w:rPr>
          <w:rFonts w:hint="eastAsia" w:ascii="Times New Roman" w:hAnsi="Times New Roman" w:eastAsia="宋体" w:cs="Times New Roman"/>
          <w:color w:val="auto"/>
          <w:sz w:val="24"/>
          <w:szCs w:val="24"/>
          <w:u w:val="single"/>
          <w:lang w:eastAsia="zh-CN"/>
        </w:rPr>
        <w:t xml:space="preserve"> </w:t>
      </w:r>
      <w:r>
        <w:rPr>
          <w:rFonts w:ascii="宋体" w:hAnsi="宋体" w:eastAsia="宋体" w:cs="宋体"/>
          <w:color w:val="auto"/>
          <w:sz w:val="24"/>
          <w:szCs w:val="24"/>
          <w:lang w:eastAsia="zh-CN"/>
        </w:rPr>
        <w:t>时，不得拆除模板。</w:t>
      </w:r>
    </w:p>
    <w:p w14:paraId="23B635A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14.7.5 预应力张拉</w:t>
      </w:r>
    </w:p>
    <w:p w14:paraId="203446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预应力张拉应符合</w:t>
      </w:r>
      <w:r>
        <w:rPr>
          <w:rFonts w:ascii="宋体" w:hAnsi="宋体" w:eastAsia="宋体" w:cs="宋体"/>
          <w:color w:val="auto"/>
          <w:spacing w:val="-11"/>
          <w:sz w:val="24"/>
          <w:szCs w:val="24"/>
          <w:lang w:eastAsia="zh-CN"/>
        </w:rPr>
        <w:t>《混凝土结构工程施工质量验收规范》（</w:t>
      </w:r>
      <w:r>
        <w:rPr>
          <w:rFonts w:hint="eastAsia" w:ascii="Times New Roman" w:hAnsi="Times New Roman" w:eastAsia="宋体" w:cs="Times New Roman"/>
          <w:color w:val="auto"/>
          <w:spacing w:val="-11"/>
          <w:sz w:val="24"/>
          <w:szCs w:val="24"/>
          <w:lang w:eastAsia="zh-CN"/>
        </w:rPr>
        <w:t>GB 50204-2015</w:t>
      </w:r>
      <w:r>
        <w:rPr>
          <w:rFonts w:ascii="宋体" w:hAnsi="宋体" w:eastAsia="宋体" w:cs="宋体"/>
          <w:color w:val="auto"/>
          <w:spacing w:val="-11"/>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6.4</w:t>
      </w:r>
      <w:r>
        <w:rPr>
          <w:rFonts w:ascii="宋体" w:hAnsi="宋体" w:eastAsia="宋体" w:cs="宋体"/>
          <w:color w:val="auto"/>
          <w:sz w:val="24"/>
          <w:szCs w:val="24"/>
          <w:lang w:eastAsia="zh-CN"/>
        </w:rPr>
        <w:t>节的有关规定。</w:t>
      </w:r>
    </w:p>
    <w:p w14:paraId="1075A47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14.7.6 灌浆及封锚</w:t>
      </w:r>
    </w:p>
    <w:p w14:paraId="0C321F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灌浆及封锚应符合</w:t>
      </w:r>
      <w:r>
        <w:rPr>
          <w:rFonts w:ascii="宋体" w:hAnsi="宋体" w:eastAsia="宋体" w:cs="宋体"/>
          <w:color w:val="auto"/>
          <w:spacing w:val="-11"/>
          <w:sz w:val="24"/>
          <w:szCs w:val="24"/>
          <w:lang w:eastAsia="zh-CN"/>
        </w:rPr>
        <w:t>《混凝土结构工程施工质量验收规范》（</w:t>
      </w:r>
      <w:r>
        <w:rPr>
          <w:rFonts w:hint="eastAsia" w:ascii="Times New Roman" w:hAnsi="Times New Roman" w:eastAsia="宋体" w:cs="Times New Roman"/>
          <w:color w:val="auto"/>
          <w:spacing w:val="-11"/>
          <w:sz w:val="24"/>
          <w:szCs w:val="24"/>
          <w:lang w:eastAsia="zh-CN"/>
        </w:rPr>
        <w:t>GB 50204-2015</w:t>
      </w:r>
      <w:r>
        <w:rPr>
          <w:rFonts w:ascii="宋体" w:hAnsi="宋体" w:eastAsia="宋体" w:cs="宋体"/>
          <w:color w:val="auto"/>
          <w:spacing w:val="-11"/>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6.5</w:t>
      </w:r>
      <w:r>
        <w:rPr>
          <w:rFonts w:ascii="宋体" w:hAnsi="宋体" w:eastAsia="宋体" w:cs="宋体"/>
          <w:color w:val="auto"/>
          <w:sz w:val="24"/>
          <w:szCs w:val="24"/>
          <w:lang w:eastAsia="zh-CN"/>
        </w:rPr>
        <w:t>节的有关规定。</w:t>
      </w:r>
    </w:p>
    <w:p w14:paraId="7A0171A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14.7.7 运输和安装</w:t>
      </w:r>
    </w:p>
    <w:p w14:paraId="247186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预应力混凝土预制件的运输、堆放、吊运和安装应按本章第</w:t>
      </w:r>
      <w:r>
        <w:rPr>
          <w:rFonts w:ascii="Times New Roman" w:hAnsi="Times New Roman" w:eastAsia="Times New Roman" w:cs="Times New Roman"/>
          <w:color w:val="auto"/>
          <w:sz w:val="24"/>
          <w:szCs w:val="24"/>
          <w:lang w:eastAsia="zh-CN"/>
        </w:rPr>
        <w:t>14.6.4</w:t>
      </w:r>
      <w:r>
        <w:rPr>
          <w:rFonts w:ascii="宋体" w:hAnsi="宋体" w:eastAsia="宋体" w:cs="宋体"/>
          <w:color w:val="auto"/>
          <w:sz w:val="24"/>
          <w:szCs w:val="24"/>
          <w:lang w:eastAsia="zh-CN"/>
        </w:rPr>
        <w:t>项的规定进行。</w:t>
      </w:r>
    </w:p>
    <w:p w14:paraId="324C773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14.7.8 质量检查和验收</w:t>
      </w:r>
    </w:p>
    <w:p w14:paraId="3A85E9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承包人应会同监理人对预应力混凝土进行以下项目的检查和验收。</w:t>
      </w:r>
    </w:p>
    <w:p w14:paraId="3E68E9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）预应力混凝土的各项原材料应按本章第</w:t>
      </w:r>
      <w:r>
        <w:rPr>
          <w:rFonts w:ascii="Times New Roman" w:hAnsi="Times New Roman" w:eastAsia="Times New Roman" w:cs="Times New Roman"/>
          <w:color w:val="auto"/>
          <w:sz w:val="24"/>
          <w:szCs w:val="24"/>
          <w:lang w:eastAsia="zh-CN"/>
        </w:rPr>
        <w:t>14.2.1</w:t>
      </w:r>
      <w:r>
        <w:rPr>
          <w:rFonts w:ascii="宋体" w:hAnsi="宋体" w:eastAsia="宋体" w:cs="宋体"/>
          <w:color w:val="auto"/>
          <w:sz w:val="24"/>
          <w:szCs w:val="24"/>
          <w:lang w:eastAsia="zh-CN"/>
        </w:rPr>
        <w:t>项的规定进行质量检查和验收。</w:t>
      </w:r>
    </w:p>
    <w:p w14:paraId="59C51C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）预应力混凝土结构和构件的制作安装质量应按以下要求进行检查和验收：</w:t>
      </w:r>
    </w:p>
    <w:p w14:paraId="79F3FD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）预应力混凝土浇筑过程的取样试验应按本章第</w:t>
      </w:r>
      <w:r>
        <w:rPr>
          <w:rFonts w:ascii="Times New Roman" w:hAnsi="Times New Roman" w:eastAsia="Times New Roman" w:cs="Times New Roman"/>
          <w:color w:val="auto"/>
          <w:sz w:val="24"/>
          <w:szCs w:val="24"/>
          <w:lang w:eastAsia="zh-CN"/>
        </w:rPr>
        <w:t>14.2.4</w:t>
      </w:r>
      <w:r>
        <w:rPr>
          <w:rFonts w:ascii="宋体" w:hAnsi="宋体" w:eastAsia="宋体" w:cs="宋体"/>
          <w:color w:val="auto"/>
          <w:sz w:val="24"/>
          <w:szCs w:val="24"/>
          <w:lang w:eastAsia="zh-CN"/>
        </w:rPr>
        <w:t>项有关规定执行。</w:t>
      </w:r>
    </w:p>
    <w:p w14:paraId="2055C6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）预应力混凝土构件制作尺寸的允许偏差应遵守《混凝土结构工程施工质量验收规范》（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）的有关规定。</w:t>
      </w:r>
    </w:p>
    <w:p w14:paraId="15A0B1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）预应力构件安装的定位放样应按施工图纸的要求进行检查和验收。</w:t>
      </w:r>
    </w:p>
    <w:p w14:paraId="50CBE6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）预应力筋的应力延伸率和预应力损失值应按施工图纸的要求进行检查和验收。</w:t>
      </w:r>
    </w:p>
    <w:p w14:paraId="3947412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07" w:name="_Toc26444"/>
      <w:bookmarkStart w:id="1408" w:name="_Toc2478"/>
      <w:bookmarkStart w:id="1409" w:name="_Toc25265"/>
      <w:r>
        <w:rPr>
          <w:rFonts w:hint="eastAsia" w:ascii="宋体" w:hAnsi="宋体" w:eastAsia="宋体" w:cs="宋体"/>
          <w:b/>
          <w:bCs/>
          <w:color w:val="auto"/>
          <w:sz w:val="24"/>
          <w:szCs w:val="24"/>
          <w:lang w:eastAsia="zh-CN"/>
        </w:rPr>
        <w:t>14.8 水下混凝土</w:t>
      </w:r>
      <w:bookmarkEnd w:id="1407"/>
      <w:bookmarkEnd w:id="1408"/>
      <w:bookmarkEnd w:id="1409"/>
    </w:p>
    <w:p w14:paraId="7D9B102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14.8.1 材料</w:t>
      </w:r>
    </w:p>
    <w:p w14:paraId="40C71D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水下混凝土采用的水泥、骨料和外加剂，其品质应符合本章第</w:t>
      </w:r>
      <w:r>
        <w:rPr>
          <w:rFonts w:ascii="Times New Roman" w:hAnsi="Times New Roman" w:eastAsia="Times New Roman" w:cs="Times New Roman"/>
          <w:color w:val="auto"/>
          <w:sz w:val="24"/>
          <w:szCs w:val="24"/>
          <w:lang w:eastAsia="zh-CN"/>
        </w:rPr>
        <w:t>14.2.1</w:t>
      </w:r>
      <w:r>
        <w:rPr>
          <w:rFonts w:ascii="宋体" w:hAnsi="宋体" w:eastAsia="宋体" w:cs="宋体"/>
          <w:color w:val="auto"/>
          <w:sz w:val="24"/>
          <w:szCs w:val="24"/>
          <w:lang w:eastAsia="zh-CN"/>
        </w:rPr>
        <w:t>项、第</w:t>
      </w:r>
      <w:r>
        <w:rPr>
          <w:rFonts w:ascii="Times New Roman" w:hAnsi="Times New Roman" w:eastAsia="Times New Roman" w:cs="Times New Roman"/>
          <w:color w:val="auto"/>
          <w:sz w:val="24"/>
          <w:szCs w:val="24"/>
          <w:lang w:eastAsia="zh-CN"/>
        </w:rPr>
        <w:t>14.4.1</w:t>
      </w:r>
      <w:r>
        <w:rPr>
          <w:rFonts w:ascii="宋体" w:hAnsi="宋体" w:eastAsia="宋体" w:cs="宋体"/>
          <w:color w:val="auto"/>
          <w:sz w:val="24"/>
          <w:szCs w:val="24"/>
          <w:lang w:eastAsia="zh-CN"/>
        </w:rPr>
        <w:t>项的规定，并应按监理人的指示执行。</w:t>
      </w:r>
    </w:p>
    <w:p w14:paraId="31D3054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14.8.2 水下地形测量</w:t>
      </w:r>
    </w:p>
    <w:p w14:paraId="077D5C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承包人应会同监理人在本工程的水下混凝土浇筑前</w:t>
      </w:r>
      <w:r>
        <w:rPr>
          <w:rFonts w:hint="eastAsia" w:ascii="Times New Roman" w:hAnsi="Times New Roman" w:eastAsia="宋体" w:cs="Times New Roman"/>
          <w:color w:val="auto"/>
          <w:sz w:val="24"/>
          <w:szCs w:val="24"/>
          <w:u w:val="single"/>
          <w:lang w:eastAsia="zh-CN"/>
        </w:rPr>
        <w:t xml:space="preserve"> 14 </w:t>
      </w:r>
      <w:r>
        <w:rPr>
          <w:rFonts w:ascii="宋体" w:hAnsi="宋体" w:eastAsia="宋体" w:cs="宋体"/>
          <w:color w:val="auto"/>
          <w:sz w:val="24"/>
          <w:szCs w:val="24"/>
          <w:lang w:eastAsia="zh-CN"/>
        </w:rPr>
        <w:t>天，按本合同施工图纸规定的施测范围，测绘水下混凝土工程的水下地形图及其有关的测绘资料，提交监理人批准。</w:t>
      </w:r>
    </w:p>
    <w:p w14:paraId="6F4E30A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14.8.3 水下混凝土施工</w:t>
      </w:r>
    </w:p>
    <w:p w14:paraId="25AC9B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）水下混凝土采用直升导管法施工，应遵守下列规定。</w:t>
      </w:r>
    </w:p>
    <w:p w14:paraId="69D875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）导管的数量与位置应根据施工图纸规定的浇筑范围和导管的作用半径确定。</w:t>
      </w:r>
    </w:p>
    <w:p w14:paraId="3015CE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）导管在使用前应进行密闭试验，密闭情况良好的导管才可投入使用。</w:t>
      </w:r>
    </w:p>
    <w:p w14:paraId="4FB2C4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）在浇灌过程中，导管只能上下升降，不得左右移动。</w:t>
      </w:r>
    </w:p>
    <w:p w14:paraId="1827A2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）开始浇灌时，导管底部应离水下地基面</w:t>
      </w:r>
      <w:r>
        <w:rPr>
          <w:rFonts w:hint="eastAsia" w:ascii="仿宋" w:hAnsi="仿宋" w:eastAsia="仿宋" w:cs="仿宋"/>
          <w:b/>
          <w:bCs/>
          <w:color w:val="auto"/>
          <w:sz w:val="24"/>
          <w:szCs w:val="24"/>
          <w:u w:val="single"/>
          <w:lang w:eastAsia="zh-CN"/>
        </w:rPr>
        <w:t>5～10</w:t>
      </w:r>
      <w:r>
        <w:rPr>
          <w:rFonts w:ascii="Times New Roman" w:hAnsi="Times New Roman" w:eastAsia="Times New Roman" w:cs="Times New Roman"/>
          <w:color w:val="auto"/>
          <w:sz w:val="24"/>
          <w:szCs w:val="24"/>
          <w:lang w:eastAsia="zh-CN"/>
        </w:rPr>
        <w:t>cm</w:t>
      </w:r>
      <w:r>
        <w:rPr>
          <w:rFonts w:ascii="宋体" w:hAnsi="宋体" w:eastAsia="宋体" w:cs="宋体"/>
          <w:color w:val="auto"/>
          <w:sz w:val="24"/>
          <w:szCs w:val="24"/>
          <w:lang w:eastAsia="zh-CN"/>
        </w:rPr>
        <w:t>，并尽量安置在地基低洼处。</w:t>
      </w:r>
    </w:p>
    <w:p w14:paraId="4399CA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）混凝土粗骨料的最大粒径不得大于导管内径的</w:t>
      </w:r>
      <w:r>
        <w:rPr>
          <w:rFonts w:ascii="Times New Roman" w:hAnsi="Times New Roman" w:eastAsia="Times New Roman" w:cs="Times New Roman"/>
          <w:color w:val="auto"/>
          <w:sz w:val="24"/>
          <w:szCs w:val="24"/>
          <w:u w:val="single"/>
          <w:lang w:eastAsia="zh-CN"/>
        </w:rPr>
        <w:t>1/4</w:t>
      </w:r>
      <w:r>
        <w:rPr>
          <w:rFonts w:ascii="宋体" w:hAnsi="宋体" w:eastAsia="宋体" w:cs="宋体"/>
          <w:color w:val="auto"/>
          <w:sz w:val="24"/>
          <w:szCs w:val="24"/>
          <w:lang w:eastAsia="zh-CN"/>
        </w:rPr>
        <w:t>，或钢筋净间距的</w:t>
      </w:r>
      <w:r>
        <w:rPr>
          <w:rFonts w:ascii="Times New Roman" w:hAnsi="Times New Roman" w:eastAsia="Times New Roman" w:cs="Times New Roman"/>
          <w:color w:val="auto"/>
          <w:sz w:val="24"/>
          <w:szCs w:val="24"/>
          <w:u w:val="single"/>
          <w:lang w:eastAsia="zh-CN"/>
        </w:rPr>
        <w:t>1/4</w:t>
      </w:r>
      <w:r>
        <w:rPr>
          <w:rFonts w:ascii="宋体" w:hAnsi="宋体" w:eastAsia="宋体" w:cs="宋体"/>
          <w:color w:val="auto"/>
          <w:sz w:val="24"/>
          <w:szCs w:val="24"/>
          <w:lang w:eastAsia="zh-CN"/>
        </w:rPr>
        <w:t>，亦不应超过</w:t>
      </w:r>
      <w:r>
        <w:rPr>
          <w:rFonts w:hint="eastAsia" w:ascii="Times New Roman" w:hAnsi="Times New Roman" w:eastAsia="宋体" w:cs="Times New Roman"/>
          <w:color w:val="auto"/>
          <w:sz w:val="24"/>
          <w:szCs w:val="24"/>
          <w:lang w:eastAsia="zh-CN"/>
        </w:rPr>
        <w:t>4</w:t>
      </w:r>
      <w:r>
        <w:rPr>
          <w:rFonts w:ascii="Times New Roman" w:hAnsi="Times New Roman" w:eastAsia="Times New Roman" w:cs="Times New Roman"/>
          <w:color w:val="auto"/>
          <w:sz w:val="24"/>
          <w:szCs w:val="24"/>
          <w:lang w:eastAsia="zh-CN"/>
        </w:rPr>
        <w:t>cm</w:t>
      </w:r>
      <w:r>
        <w:rPr>
          <w:rFonts w:ascii="宋体" w:hAnsi="宋体" w:eastAsia="宋体" w:cs="宋体"/>
          <w:color w:val="auto"/>
          <w:sz w:val="24"/>
          <w:szCs w:val="24"/>
          <w:lang w:eastAsia="zh-CN"/>
        </w:rPr>
        <w:t>。坍落度应取</w:t>
      </w:r>
      <w:r>
        <w:rPr>
          <w:rFonts w:hint="eastAsia" w:ascii="Times New Roman" w:hAnsi="Times New Roman" w:eastAsia="宋体" w:cs="Times New Roman"/>
          <w:color w:val="auto"/>
          <w:sz w:val="24"/>
          <w:szCs w:val="24"/>
          <w:lang w:eastAsia="zh-CN"/>
        </w:rPr>
        <w:t>18</w:t>
      </w:r>
      <w:r>
        <w:rPr>
          <w:rFonts w:ascii="宋体" w:hAnsi="宋体" w:eastAsia="宋体" w:cs="宋体"/>
          <w:color w:val="auto"/>
          <w:sz w:val="24"/>
          <w:szCs w:val="24"/>
          <w:lang w:eastAsia="zh-CN"/>
        </w:rPr>
        <w:t>至</w:t>
      </w:r>
      <w:r>
        <w:rPr>
          <w:rFonts w:hint="eastAsia" w:ascii="Times New Roman" w:hAnsi="Times New Roman" w:eastAsia="宋体" w:cs="Times New Roman"/>
          <w:color w:val="auto"/>
          <w:sz w:val="24"/>
          <w:szCs w:val="24"/>
          <w:lang w:eastAsia="zh-CN"/>
        </w:rPr>
        <w:t>22</w:t>
      </w:r>
      <w:r>
        <w:rPr>
          <w:rFonts w:ascii="Times New Roman" w:hAnsi="Times New Roman" w:eastAsia="Times New Roman" w:cs="Times New Roman"/>
          <w:color w:val="auto"/>
          <w:sz w:val="24"/>
          <w:szCs w:val="24"/>
          <w:lang w:eastAsia="zh-CN"/>
        </w:rPr>
        <w:t>cm</w:t>
      </w:r>
      <w:r>
        <w:rPr>
          <w:rFonts w:ascii="宋体" w:hAnsi="宋体" w:eastAsia="宋体" w:cs="宋体"/>
          <w:color w:val="auto"/>
          <w:sz w:val="24"/>
          <w:szCs w:val="24"/>
          <w:lang w:eastAsia="zh-CN"/>
        </w:rPr>
        <w:t>之间，开始坍落度取小值，结束时酌量放大，以保证后注入的混凝土能自动摊平。</w:t>
      </w:r>
    </w:p>
    <w:p w14:paraId="7DF2CF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）水下混凝土应连续浇灌，若混凝土的供应因故暂时中断，应设法防止管内出空。若中断时间较长，则必须等待已浇灌混凝土的强度达到</w:t>
      </w:r>
      <w:r>
        <w:rPr>
          <w:rFonts w:hint="eastAsia" w:ascii="Times New Roman" w:hAnsi="Times New Roman" w:eastAsia="宋体" w:cs="Times New Roman"/>
          <w:color w:val="auto"/>
          <w:sz w:val="24"/>
          <w:szCs w:val="24"/>
          <w:u w:val="single"/>
          <w:lang w:eastAsia="zh-CN"/>
        </w:rPr>
        <w:t xml:space="preserve"> </w:t>
      </w:r>
      <w:r>
        <w:rPr>
          <w:rFonts w:ascii="Times New Roman" w:hAnsi="Times New Roman" w:eastAsia="Times New Roman" w:cs="Times New Roman"/>
          <w:color w:val="auto"/>
          <w:sz w:val="24"/>
          <w:szCs w:val="24"/>
          <w:u w:val="single"/>
          <w:lang w:eastAsia="zh-CN"/>
        </w:rPr>
        <w:t>2.5MPa</w:t>
      </w:r>
      <w:r>
        <w:rPr>
          <w:rFonts w:hint="eastAsia" w:ascii="Times New Roman" w:hAnsi="Times New Roman" w:eastAsia="宋体" w:cs="Times New Roman"/>
          <w:color w:val="auto"/>
          <w:sz w:val="24"/>
          <w:szCs w:val="24"/>
          <w:u w:val="single"/>
          <w:lang w:eastAsia="zh-CN"/>
        </w:rPr>
        <w:t xml:space="preserve"> </w:t>
      </w:r>
      <w:r>
        <w:rPr>
          <w:rFonts w:ascii="宋体" w:hAnsi="宋体" w:eastAsia="宋体" w:cs="宋体"/>
          <w:color w:val="auto"/>
          <w:sz w:val="24"/>
          <w:szCs w:val="24"/>
          <w:lang w:eastAsia="zh-CN"/>
        </w:rPr>
        <w:t>时，并清除混凝土表面软弱部分后，才允许继续灌注混凝土。</w:t>
      </w:r>
    </w:p>
    <w:p w14:paraId="671F9C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）灌注混凝土表面应高于设计标高约</w:t>
      </w:r>
      <w:r>
        <w:rPr>
          <w:rFonts w:ascii="Times New Roman" w:hAnsi="Times New Roman" w:eastAsia="Times New Roman" w:cs="Times New Roman"/>
          <w:color w:val="auto"/>
          <w:sz w:val="24"/>
          <w:szCs w:val="24"/>
          <w:u w:val="single"/>
          <w:lang w:eastAsia="zh-CN"/>
        </w:rPr>
        <w:t>10cm</w:t>
      </w:r>
      <w:r>
        <w:rPr>
          <w:rFonts w:ascii="宋体" w:hAnsi="宋体" w:eastAsia="宋体" w:cs="宋体"/>
          <w:color w:val="auto"/>
          <w:sz w:val="24"/>
          <w:szCs w:val="24"/>
          <w:lang w:eastAsia="zh-CN"/>
        </w:rPr>
        <w:t>，以便清除其强度低的表层混凝土。</w:t>
      </w:r>
    </w:p>
    <w:p w14:paraId="42CE448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14.8.4 质量检查和验收</w:t>
      </w:r>
    </w:p>
    <w:p w14:paraId="7E26C3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水下混凝土浇灌质量的检查和验收。</w:t>
      </w:r>
    </w:p>
    <w:p w14:paraId="30367A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）按本章第</w:t>
      </w:r>
      <w:r>
        <w:rPr>
          <w:rFonts w:ascii="Times New Roman" w:hAnsi="Times New Roman" w:eastAsia="Times New Roman" w:cs="Times New Roman"/>
          <w:color w:val="auto"/>
          <w:sz w:val="24"/>
          <w:szCs w:val="24"/>
          <w:lang w:eastAsia="zh-CN"/>
        </w:rPr>
        <w:t>14.8.1</w:t>
      </w:r>
      <w:r>
        <w:rPr>
          <w:rFonts w:ascii="宋体" w:hAnsi="宋体" w:eastAsia="宋体" w:cs="宋体"/>
          <w:color w:val="auto"/>
          <w:sz w:val="24"/>
          <w:szCs w:val="24"/>
          <w:lang w:eastAsia="zh-CN"/>
        </w:rPr>
        <w:t>项的要求进行水下混凝土原材料的质量检查和验收。</w:t>
      </w:r>
    </w:p>
    <w:p w14:paraId="34FB6F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）监理人应按本章第</w:t>
      </w:r>
      <w:r>
        <w:rPr>
          <w:rFonts w:ascii="Times New Roman" w:hAnsi="Times New Roman" w:eastAsia="Times New Roman" w:cs="Times New Roman"/>
          <w:color w:val="auto"/>
          <w:sz w:val="24"/>
          <w:szCs w:val="24"/>
          <w:lang w:eastAsia="zh-CN"/>
        </w:rPr>
        <w:t>14.8.2</w:t>
      </w:r>
      <w:r>
        <w:rPr>
          <w:rFonts w:ascii="宋体" w:hAnsi="宋体" w:eastAsia="宋体" w:cs="宋体"/>
          <w:color w:val="auto"/>
          <w:sz w:val="24"/>
          <w:szCs w:val="24"/>
          <w:lang w:eastAsia="zh-CN"/>
        </w:rPr>
        <w:t>项的规定进行水下地形测量成果的检查和验收。</w:t>
      </w:r>
    </w:p>
    <w:p w14:paraId="2CE665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）水下混凝土浇灌后，应钻取芯样进行混凝土强度的检验和验收。</w:t>
      </w:r>
    </w:p>
    <w:p w14:paraId="1DD674E3">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10" w:name="_Toc19398"/>
      <w:bookmarkStart w:id="1411" w:name="_Toc13182"/>
      <w:bookmarkStart w:id="1412" w:name="_Toc25520"/>
      <w:r>
        <w:rPr>
          <w:rFonts w:hint="eastAsia" w:ascii="宋体" w:hAnsi="宋体" w:eastAsia="宋体" w:cs="宋体"/>
          <w:b/>
          <w:bCs/>
          <w:color w:val="auto"/>
          <w:sz w:val="24"/>
          <w:szCs w:val="24"/>
          <w:lang w:eastAsia="zh-CN"/>
        </w:rPr>
        <w:t>14.9 碾压混凝土（略）</w:t>
      </w:r>
      <w:bookmarkEnd w:id="1410"/>
      <w:bookmarkEnd w:id="1411"/>
      <w:bookmarkEnd w:id="1412"/>
    </w:p>
    <w:p w14:paraId="474EEB4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13" w:name="_Toc29989"/>
      <w:bookmarkStart w:id="1414" w:name="_Toc3995"/>
      <w:bookmarkStart w:id="1415" w:name="_Toc9678"/>
      <w:r>
        <w:rPr>
          <w:rFonts w:hint="eastAsia" w:ascii="宋体" w:hAnsi="宋体" w:eastAsia="宋体" w:cs="宋体"/>
          <w:b/>
          <w:bCs/>
          <w:color w:val="auto"/>
          <w:sz w:val="24"/>
          <w:szCs w:val="24"/>
          <w:lang w:eastAsia="zh-CN"/>
        </w:rPr>
        <w:t>14.10 泵送混凝土</w:t>
      </w:r>
      <w:bookmarkEnd w:id="1413"/>
      <w:bookmarkEnd w:id="1414"/>
      <w:bookmarkEnd w:id="1415"/>
    </w:p>
    <w:p w14:paraId="39A5C3B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14.10.1 一般要求</w:t>
      </w:r>
    </w:p>
    <w:p w14:paraId="2751F5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）泵送混凝土施工前，应将模板、钢筋等各项前工序验收合格后方可进行。</w:t>
      </w:r>
    </w:p>
    <w:p w14:paraId="0E4B08E1">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）泵送混凝土的运输应遵守</w:t>
      </w:r>
      <w:r>
        <w:rPr>
          <w:rFonts w:ascii="宋体" w:hAnsi="宋体" w:eastAsia="宋体" w:cs="宋体"/>
          <w:color w:val="auto"/>
          <w:spacing w:val="-20"/>
          <w:sz w:val="24"/>
          <w:szCs w:val="24"/>
          <w:lang w:eastAsia="zh-CN"/>
        </w:rPr>
        <w:t>《混凝土泵送施工技术规程》（</w:t>
      </w:r>
      <w:r>
        <w:rPr>
          <w:rFonts w:hint="eastAsia" w:ascii="Times New Roman" w:hAnsi="Times New Roman" w:eastAsia="宋体" w:cs="Times New Roman"/>
          <w:color w:val="auto"/>
          <w:spacing w:val="-20"/>
          <w:sz w:val="24"/>
          <w:szCs w:val="24"/>
          <w:lang w:eastAsia="zh-CN"/>
        </w:rPr>
        <w:t>JGJ/T 10-2011</w:t>
      </w:r>
      <w:r>
        <w:rPr>
          <w:rFonts w:ascii="宋体" w:hAnsi="宋体" w:eastAsia="宋体" w:cs="宋体"/>
          <w:color w:val="auto"/>
          <w:spacing w:val="-20"/>
          <w:sz w:val="24"/>
          <w:szCs w:val="24"/>
          <w:lang w:eastAsia="zh-CN"/>
        </w:rPr>
        <w:t>）</w:t>
      </w:r>
    </w:p>
    <w:p w14:paraId="6FA04C18">
      <w:pPr>
        <w:widowControl w:val="0"/>
        <w:kinsoku/>
        <w:topLinePunct/>
        <w:autoSpaceDE/>
        <w:autoSpaceDN/>
        <w:spacing w:line="520" w:lineRule="exact"/>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w:t>
      </w:r>
      <w:r>
        <w:rPr>
          <w:rFonts w:hint="eastAsia" w:ascii="Times New Roman" w:hAnsi="Times New Roman" w:eastAsia="宋体" w:cs="Times New Roman"/>
          <w:color w:val="auto"/>
          <w:sz w:val="24"/>
          <w:szCs w:val="24"/>
          <w:lang w:eastAsia="zh-CN"/>
        </w:rPr>
        <w:t xml:space="preserve"> </w:t>
      </w:r>
      <w:r>
        <w:rPr>
          <w:rFonts w:ascii="宋体" w:hAnsi="宋体" w:eastAsia="宋体" w:cs="宋体"/>
          <w:color w:val="auto"/>
          <w:sz w:val="24"/>
          <w:szCs w:val="24"/>
          <w:lang w:eastAsia="zh-CN"/>
        </w:rPr>
        <w:t>章的规定；施工设备及管道的选择与布置应遵守《混凝土泵送施工技术规程》（</w:t>
      </w:r>
      <w:r>
        <w:rPr>
          <w:rFonts w:hint="eastAsia" w:ascii="Times New Roman" w:hAnsi="Times New Roman" w:eastAsia="宋体" w:cs="Times New Roman"/>
          <w:color w:val="auto"/>
          <w:sz w:val="24"/>
          <w:szCs w:val="24"/>
          <w:lang w:eastAsia="zh-CN"/>
        </w:rPr>
        <w:t>JGJ/T 10-2011</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章的规定；混凝土的泵送与浇筑应遵守《混凝土泵送施工技术规程》（</w:t>
      </w:r>
      <w:r>
        <w:rPr>
          <w:rFonts w:hint="eastAsia" w:ascii="Times New Roman" w:hAnsi="Times New Roman" w:eastAsia="宋体" w:cs="Times New Roman"/>
          <w:color w:val="auto"/>
          <w:sz w:val="24"/>
          <w:szCs w:val="24"/>
          <w:lang w:eastAsia="zh-CN"/>
        </w:rPr>
        <w:t>JGJ/T 10-2011</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章和第</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章的规定；混凝土泵送施工的质量控制应遵守《混凝土泵送施工技术规程》（</w:t>
      </w:r>
      <w:r>
        <w:rPr>
          <w:rFonts w:hint="eastAsia" w:ascii="Times New Roman" w:hAnsi="Times New Roman" w:eastAsia="宋体" w:cs="Times New Roman"/>
          <w:color w:val="auto"/>
          <w:sz w:val="24"/>
          <w:szCs w:val="24"/>
          <w:lang w:eastAsia="zh-CN"/>
        </w:rPr>
        <w:t>JGJ/T 10-2011</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章的有关规定。</w:t>
      </w:r>
    </w:p>
    <w:p w14:paraId="739422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）泵送混凝土施工时的安全技术和劳动保护等要求必须符合国家有关规定。</w:t>
      </w:r>
    </w:p>
    <w:p w14:paraId="150D328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14.10.2 泵送混凝土施工配合比</w:t>
      </w:r>
    </w:p>
    <w:p w14:paraId="3657F0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）泵送混凝土的施工配合比，应符合</w:t>
      </w:r>
      <w:r>
        <w:rPr>
          <w:rFonts w:ascii="宋体" w:hAnsi="宋体" w:eastAsia="宋体" w:cs="宋体"/>
          <w:color w:val="auto"/>
          <w:spacing w:val="11"/>
          <w:sz w:val="24"/>
          <w:szCs w:val="24"/>
          <w:lang w:eastAsia="zh-CN"/>
        </w:rPr>
        <w:t>《普通混凝土配合比设计规程》</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 xml:space="preserve">JGJ </w:t>
      </w:r>
      <w:r>
        <w:rPr>
          <w:rFonts w:ascii="Times New Roman" w:hAnsi="Times New Roman" w:eastAsia="Times New Roman" w:cs="Times New Roman"/>
          <w:color w:val="auto"/>
          <w:sz w:val="24"/>
          <w:szCs w:val="24"/>
          <w:lang w:eastAsia="zh-CN"/>
        </w:rPr>
        <w:t>55</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2011</w:t>
      </w:r>
      <w:r>
        <w:rPr>
          <w:rFonts w:ascii="宋体" w:hAnsi="宋体" w:eastAsia="宋体" w:cs="宋体"/>
          <w:color w:val="auto"/>
          <w:sz w:val="24"/>
          <w:szCs w:val="24"/>
          <w:lang w:eastAsia="zh-CN"/>
        </w:rPr>
        <w:t>）、《混凝土结构工程施工质量验收规范》（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）和《混凝土强度检验评定标准》（</w:t>
      </w:r>
      <w:r>
        <w:rPr>
          <w:rFonts w:hint="eastAsia" w:ascii="Times New Roman" w:hAnsi="Times New Roman" w:eastAsia="宋体" w:cs="Times New Roman"/>
          <w:color w:val="auto"/>
          <w:sz w:val="24"/>
          <w:szCs w:val="24"/>
          <w:lang w:eastAsia="zh-CN"/>
        </w:rPr>
        <w:t xml:space="preserve">GB/T </w:t>
      </w:r>
      <w:r>
        <w:rPr>
          <w:rFonts w:ascii="Times New Roman" w:hAnsi="Times New Roman" w:eastAsia="Times New Roman" w:cs="Times New Roman"/>
          <w:color w:val="auto"/>
          <w:sz w:val="24"/>
          <w:szCs w:val="24"/>
          <w:lang w:eastAsia="zh-CN"/>
        </w:rPr>
        <w:t>50107</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2010</w:t>
      </w:r>
      <w:r>
        <w:rPr>
          <w:rFonts w:ascii="宋体" w:hAnsi="宋体" w:eastAsia="宋体" w:cs="宋体"/>
          <w:color w:val="auto"/>
          <w:sz w:val="24"/>
          <w:szCs w:val="24"/>
          <w:lang w:eastAsia="zh-CN"/>
        </w:rPr>
        <w:t>）的要求。</w:t>
      </w:r>
    </w:p>
    <w:p w14:paraId="66ACBD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）泵送混凝土施工的可泵性，可用压力泌水试验结合施工经验进行控制，一般</w:t>
      </w:r>
      <w:r>
        <w:rPr>
          <w:rFonts w:ascii="Times New Roman" w:hAnsi="Times New Roman" w:eastAsia="Times New Roman" w:cs="Times New Roman"/>
          <w:color w:val="auto"/>
          <w:sz w:val="24"/>
          <w:szCs w:val="24"/>
          <w:u w:val="single"/>
          <w:lang w:eastAsia="zh-CN"/>
        </w:rPr>
        <w:t>10s</w:t>
      </w:r>
      <w:r>
        <w:rPr>
          <w:rFonts w:ascii="宋体" w:hAnsi="宋体" w:eastAsia="宋体" w:cs="宋体"/>
          <w:color w:val="auto"/>
          <w:sz w:val="24"/>
          <w:szCs w:val="24"/>
          <w:lang w:eastAsia="zh-CN"/>
        </w:rPr>
        <w:t>时的相对压力泌水率</w:t>
      </w:r>
      <w:r>
        <w:rPr>
          <w:rFonts w:ascii="Times New Roman" w:hAnsi="Times New Roman" w:eastAsia="Times New Roman" w:cs="Times New Roman"/>
          <w:color w:val="auto"/>
          <w:sz w:val="24"/>
          <w:szCs w:val="24"/>
          <w:lang w:eastAsia="zh-CN"/>
        </w:rPr>
        <w:t>S</w:t>
      </w:r>
      <w:r>
        <w:rPr>
          <w:rFonts w:ascii="Times New Roman" w:hAnsi="Times New Roman" w:eastAsia="Times New Roman" w:cs="Times New Roman"/>
          <w:color w:val="auto"/>
          <w:sz w:val="16"/>
          <w:szCs w:val="16"/>
          <w:lang w:eastAsia="zh-CN"/>
        </w:rPr>
        <w:t>10</w:t>
      </w:r>
      <w:r>
        <w:rPr>
          <w:rFonts w:ascii="宋体" w:hAnsi="宋体" w:eastAsia="宋体" w:cs="宋体"/>
          <w:color w:val="auto"/>
          <w:sz w:val="24"/>
          <w:szCs w:val="24"/>
          <w:lang w:eastAsia="zh-CN"/>
        </w:rPr>
        <w:t>不宜超过</w:t>
      </w:r>
      <w:r>
        <w:rPr>
          <w:rFonts w:ascii="Times New Roman" w:hAnsi="Times New Roman" w:eastAsia="Times New Roman" w:cs="Times New Roman"/>
          <w:color w:val="auto"/>
          <w:sz w:val="24"/>
          <w:szCs w:val="24"/>
          <w:u w:val="single"/>
          <w:lang w:eastAsia="zh-CN"/>
        </w:rPr>
        <w:t>40%</w:t>
      </w:r>
      <w:r>
        <w:rPr>
          <w:rFonts w:ascii="宋体" w:hAnsi="宋体" w:eastAsia="宋体" w:cs="宋体"/>
          <w:color w:val="auto"/>
          <w:sz w:val="24"/>
          <w:szCs w:val="24"/>
          <w:lang w:eastAsia="zh-CN"/>
        </w:rPr>
        <w:t>。</w:t>
      </w:r>
    </w:p>
    <w:p w14:paraId="0BE748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）泵送混凝土的施工参数可参照《混凝土结构工程施工质量验收规范》（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）的规定选用。</w:t>
      </w:r>
    </w:p>
    <w:p w14:paraId="42E4B18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16" w:name="_Toc27011"/>
      <w:bookmarkStart w:id="1417" w:name="_Toc17604"/>
      <w:bookmarkStart w:id="1418" w:name="_Toc747"/>
      <w:r>
        <w:rPr>
          <w:rFonts w:hint="eastAsia" w:ascii="宋体" w:hAnsi="宋体" w:eastAsia="宋体" w:cs="宋体"/>
          <w:b/>
          <w:bCs/>
          <w:color w:val="auto"/>
          <w:sz w:val="24"/>
          <w:szCs w:val="24"/>
          <w:lang w:eastAsia="zh-CN"/>
        </w:rPr>
        <w:t>14.11 计量和支付</w:t>
      </w:r>
      <w:bookmarkEnd w:id="1416"/>
      <w:bookmarkEnd w:id="1417"/>
      <w:bookmarkEnd w:id="1418"/>
    </w:p>
    <w:p w14:paraId="5A7AE87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14.11.1 模扳</w:t>
      </w:r>
    </w:p>
    <w:p w14:paraId="38363E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）除合同另有约定外，现浇混凝土的模板全部费用，已包含在《工程量清单》相应混凝土或钢筋混凝土项目有效工程量的每立方米工程单价中，发包人不另行计量和支付。</w:t>
      </w:r>
    </w:p>
    <w:p w14:paraId="14002A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预制构件模板所需全部费用，已包含在《工程量清单》相应预制混凝土构件项目有效工程量的工程单价中，发包人不另行支付。使用构成永久结构的预制砼模板时，由发包人按《工程量清单》相应项目有效工程量的每立方米工程单价支付。</w:t>
      </w:r>
    </w:p>
    <w:p w14:paraId="65692C8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14.11.2 钢筋及锚筋</w:t>
      </w:r>
    </w:p>
    <w:p w14:paraId="0EDE44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筋按施工图纸所示钢筋强度等级、直径和长度计算的有效重量以吨为单位计量，由发包人按《工程量清单》相应项目有效工程量的每吨工程单价支付。施工架立筋、搭接、套筒连接、加工及安装过程中操作损耗等所需费用，均包含在《工程量清单》相应项目有效工程量的每吨工程单价中，发包人不另行支付。</w:t>
      </w:r>
    </w:p>
    <w:p w14:paraId="7FF426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锚筋按施工图纸所示不同直径和长度以根为单位计量，由发包人按《工程量清单》相应项目有效工程量的每根单价支付。单价中应包含钻孔、锚筋制作加工、水泥砂浆拌和运输（或锚固剂购买和运输）、锚筋安装、埋设等所需费用，制作安装损耗及填塞用的水泥砂浆（或锚固剂）等施工附加量均包含在《工程量清单》相应项目有效工程量的每根单价中，发包人不另行支付。</w:t>
      </w:r>
    </w:p>
    <w:p w14:paraId="54813D1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14.11.3 普通混凝土</w:t>
      </w:r>
    </w:p>
    <w:p w14:paraId="7D11AB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）普通混凝土按施工图纸所示尺寸计算的有效体积以立方米为单位计量，由发包人按《工程量清单》相应项目有效工程量的每立方米工程单价支付。</w:t>
      </w:r>
    </w:p>
    <w:p w14:paraId="29F0B2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）混凝土有效工程量不扣除设计单体体积小于0.1m</w:t>
      </w:r>
      <w:r>
        <w:rPr>
          <w:rFonts w:hint="eastAsia" w:ascii="宋体" w:hAnsi="宋体" w:eastAsia="宋体" w:cs="宋体"/>
          <w:color w:val="auto"/>
          <w:sz w:val="24"/>
          <w:szCs w:val="24"/>
          <w:vertAlign w:val="superscript"/>
          <w:lang w:eastAsia="zh-CN"/>
        </w:rPr>
        <w:t>2</w:t>
      </w:r>
      <w:r>
        <w:rPr>
          <w:rFonts w:ascii="宋体" w:hAnsi="宋体" w:eastAsia="宋体" w:cs="宋体"/>
          <w:color w:val="auto"/>
          <w:sz w:val="24"/>
          <w:szCs w:val="24"/>
          <w:lang w:eastAsia="zh-CN"/>
        </w:rPr>
        <w:t>的圆角或斜角，单体占用的空间体积小于0.1m</w:t>
      </w:r>
      <w:r>
        <w:rPr>
          <w:rFonts w:ascii="宋体" w:hAnsi="宋体" w:eastAsia="宋体" w:cs="宋体"/>
          <w:color w:val="auto"/>
          <w:sz w:val="24"/>
          <w:szCs w:val="24"/>
          <w:vertAlign w:val="superscript"/>
          <w:lang w:eastAsia="zh-CN"/>
        </w:rPr>
        <w:t>3</w:t>
      </w:r>
      <w:r>
        <w:rPr>
          <w:rFonts w:ascii="宋体" w:hAnsi="宋体" w:eastAsia="宋体" w:cs="宋体"/>
          <w:color w:val="auto"/>
          <w:sz w:val="24"/>
          <w:szCs w:val="24"/>
          <w:lang w:eastAsia="zh-CN"/>
        </w:rPr>
        <w:t>的钢筋和金属件，单体横截面积小于0.1m</w:t>
      </w:r>
      <w:r>
        <w:rPr>
          <w:rFonts w:ascii="宋体" w:hAnsi="宋体" w:eastAsia="宋体" w:cs="宋体"/>
          <w:color w:val="auto"/>
          <w:sz w:val="24"/>
          <w:szCs w:val="24"/>
          <w:vertAlign w:val="superscript"/>
          <w:lang w:eastAsia="zh-CN"/>
        </w:rPr>
        <w:t>2</w:t>
      </w:r>
      <w:r>
        <w:rPr>
          <w:rFonts w:ascii="宋体" w:hAnsi="宋体" w:eastAsia="宋体" w:cs="宋体"/>
          <w:color w:val="auto"/>
          <w:sz w:val="24"/>
          <w:szCs w:val="24"/>
          <w:lang w:eastAsia="zh-CN"/>
        </w:rPr>
        <w:t>的孔洞、排水管、预埋管和凹槽等所占的体积，按设计要求对上述孔洞回填的混凝土也不予计量。</w:t>
      </w:r>
    </w:p>
    <w:p w14:paraId="120DC7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不可预见地质原因超挖引起的超填工程量所发生的费用，由发包人按《工程量清单》相应项目或变更项目的每立方米工程单价支付。除此之外，同一承包人由于其他原因超挖引起的超填工程量和由此增加的其他工作所需的费用，均应包含在《工程量清单》相应项目有效工程量的每立方米工程单价中，发包人不另行支付。</w:t>
      </w:r>
    </w:p>
    <w:p w14:paraId="35B508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）混凝土在冲（凿）毛、拌和、运输和浇筑过程中的操作损耗，以及为临时性施工措施增加的附加混凝土量所需的费用，应包含在《工程量清单》相应项目有效工程量的每立方米工程单价中，发包人不另行支付。</w:t>
      </w:r>
    </w:p>
    <w:p w14:paraId="7D1EE0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施工过程中，承包人按本合同技术条款规定进行的各项混凝土试验所需的费用（不包括以总价形式支付的混凝土配合比试验费），均包含在《工程量清单》相应项目有效工程量的每立方米工程单价中，发包人不另行支付。</w:t>
      </w:r>
    </w:p>
    <w:p w14:paraId="2493EA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）止水、止浆、伸缩缝等按施工图纸所示各种材料以米（或平方米）为单位计量，由发包人按《工程量清单》相应项目有效工程量的每米（或平方米）工程单价支付。</w:t>
      </w:r>
    </w:p>
    <w:p w14:paraId="59930A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）混凝土温度控制措施费（包括混凝土伸缩缝和冷却水管的灌浆费用，以及混凝土坝体的保温费用）包含在《工程量清单》相应混凝土项目有效工程量的每立方米工程单价中，发包人不另行支付。</w:t>
      </w:r>
    </w:p>
    <w:p w14:paraId="78FD9E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混凝土坝体的接缝灌浆（接触灌浆），按设计图纸所示要求灌浆的混凝土施工缝（混凝土与基础、岸坡岩体的接触缝）的接缝面积计算，以平方米为单位计量，由发包人按《工程量清单》相应项目有效工程量的每平方米工程单价支付。</w:t>
      </w:r>
    </w:p>
    <w:p w14:paraId="34BD5A1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）混凝土坝体内预埋冷却水管、通水冷却所需的费用，按设计图纸需要通水冷却的混凝土体积以立方米为单位计量，由发包人按《工程量清单》相应项目有效工程量的每立方米工程单价支付。</w:t>
      </w:r>
    </w:p>
    <w:p w14:paraId="5F361F5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14.11.4 预制混凝土</w:t>
      </w:r>
    </w:p>
    <w:p w14:paraId="3A5C1C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）预制混凝土构件的预制和安装，按施工图纸所示尺寸计算的有效体积以立方米为单位计量，由发包人按《工程量清单》相应项目有效工程量的每立方米工程单价支付。</w:t>
      </w:r>
    </w:p>
    <w:p w14:paraId="7AC4DF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预制混凝土的模板费用，包含在《工程量清单》相应预制混凝土预制项目有效工程量的工程单价中，发包人不另行支付。预制混凝土的钢筋费用是否包含在《工程量清单》相应预制混凝土预制项目有效工程量的工程单价中以工程量清单描述为准。</w:t>
      </w:r>
    </w:p>
    <w:p w14:paraId="6DCABC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预制混凝土的钢筋制安按本节第</w:t>
      </w:r>
      <w:r>
        <w:rPr>
          <w:rFonts w:ascii="宋体" w:hAnsi="宋体" w:eastAsia="宋体" w:cs="宋体"/>
          <w:color w:val="auto"/>
          <w:sz w:val="24"/>
          <w:szCs w:val="24"/>
          <w:lang w:eastAsia="zh-CN"/>
        </w:rPr>
        <w:t>14.11.2</w:t>
      </w:r>
      <w:r>
        <w:rPr>
          <w:rFonts w:hint="eastAsia" w:ascii="宋体" w:hAnsi="宋体" w:eastAsia="宋体" w:cs="宋体"/>
          <w:color w:val="auto"/>
          <w:sz w:val="24"/>
          <w:szCs w:val="24"/>
          <w:lang w:eastAsia="zh-CN"/>
        </w:rPr>
        <w:t>约定计量支付。</w:t>
      </w:r>
    </w:p>
    <w:p w14:paraId="15A2CC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除合同另有约定外承包人完成预制混凝土构件的吊装、运输、就位、固定、填缝灌浆、复检、焊接等工作所需的费用，包含在《工程量清单》相应预制混凝土安装项目有效工程量的每立方米工程单价中，发包人不另行支付。</w:t>
      </w:r>
    </w:p>
    <w:p w14:paraId="219645C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14.11.5 预应力混凝土（略）</w:t>
      </w:r>
    </w:p>
    <w:p w14:paraId="1CFEF30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14.11.6 水下混凝土</w:t>
      </w:r>
    </w:p>
    <w:p w14:paraId="7BBF0F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水下混凝土按施工图纸所示浇筑范围内混凝土灌注前后的水下地形测量平、剖面图计算水下混凝土的有效体积以立方米为单位计量，由发包人按《工程量清单》相应项目有效工程量的每立方米工程单价支付。</w:t>
      </w:r>
    </w:p>
    <w:p w14:paraId="6BCE937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14.11.7 碾压混凝土（略）</w:t>
      </w:r>
    </w:p>
    <w:p w14:paraId="6EFB8A67">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sectPr>
          <w:pgSz w:w="11906" w:h="16838"/>
          <w:pgMar w:top="1440" w:right="1800" w:bottom="1440" w:left="1800" w:header="851" w:footer="992" w:gutter="0"/>
          <w:pgNumType w:fmt="numberInDash"/>
          <w:cols w:space="720" w:num="1"/>
          <w:docGrid w:type="lines" w:linePitch="312" w:charSpace="0"/>
        </w:sectPr>
      </w:pPr>
    </w:p>
    <w:p w14:paraId="42F97359">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pPr>
    </w:p>
    <w:p w14:paraId="76CB06C1">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419" w:name="_Toc30836"/>
      <w:bookmarkStart w:id="1420" w:name="_Toc12393"/>
      <w:bookmarkStart w:id="1421" w:name="_Toc25254"/>
      <w:r>
        <w:rPr>
          <w:rFonts w:ascii="Times New Roman" w:hAnsi="Times New Roman" w:eastAsia="Times New Roman" w:cs="Times New Roman"/>
          <w:b/>
          <w:bCs/>
          <w:color w:val="auto"/>
          <w:sz w:val="28"/>
          <w:szCs w:val="28"/>
          <w:lang w:eastAsia="zh-CN"/>
        </w:rPr>
        <w:t>15</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沥青混凝土工程</w:t>
      </w:r>
      <w:bookmarkEnd w:id="1419"/>
      <w:bookmarkEnd w:id="1420"/>
      <w:bookmarkEnd w:id="1421"/>
    </w:p>
    <w:p w14:paraId="65CF09C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22" w:name="_Toc13848"/>
      <w:bookmarkStart w:id="1423" w:name="_Toc21236"/>
      <w:bookmarkStart w:id="1424" w:name="_Toc21784"/>
      <w:r>
        <w:rPr>
          <w:rFonts w:hint="eastAsia" w:ascii="宋体" w:hAnsi="宋体" w:eastAsia="宋体" w:cs="宋体"/>
          <w:b/>
          <w:bCs/>
          <w:color w:val="auto"/>
          <w:sz w:val="24"/>
          <w:szCs w:val="24"/>
          <w:lang w:eastAsia="zh-CN"/>
        </w:rPr>
        <w:t>15.1 一般规定</w:t>
      </w:r>
      <w:bookmarkEnd w:id="1422"/>
      <w:bookmarkEnd w:id="1423"/>
      <w:bookmarkEnd w:id="1424"/>
    </w:p>
    <w:p w14:paraId="52B623D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15.1.1 应用范围</w:t>
      </w:r>
    </w:p>
    <w:p w14:paraId="308959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本章规定适用于本合同施工图纸所示的沥青混凝土防渗心墙和防渗面板工程的材料供应、贮存、配合比选定、混合料生产、试验，以及运输、摊铺、碾压等施工作业的实施。</w:t>
      </w:r>
    </w:p>
    <w:p w14:paraId="20369E2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15.1.2 承包人的责任</w:t>
      </w:r>
    </w:p>
    <w:p w14:paraId="6A5E15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根据施工现场的气候条件、地基情况，按监理人批准采用的各种类型的粗细骨料和填料，负责沥青混凝土防渗结构的施工（包括沥青混凝土材料的储存、加热、拌和、保温、运输、铺筑、碾压、试验、模板、接缝与层面处理），以及质量检查与监测等工作。</w:t>
      </w:r>
    </w:p>
    <w:p w14:paraId="3672BA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）承包人应负责在各种水位、外界温度、日照和可能遇到的自然气候条件下，保证工程的沥青混凝土性能稳定，不发生位移或滑动。</w:t>
      </w:r>
    </w:p>
    <w:p w14:paraId="6A660D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）承包人应在沥青混凝土施工前，进行沥青混凝土的室内配合比试验、现场工艺性试验。需要时，应根据施工图纸要求，在永久建筑物上进行现场生产性试验。</w:t>
      </w:r>
    </w:p>
    <w:p w14:paraId="682D8D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）承包人应根据国家的法律法规和本合同要求，制定沥青混凝土施工的劳动安全保护和防止环境污染措施，确保施工人员的健康和安全。</w:t>
      </w:r>
    </w:p>
    <w:p w14:paraId="3694A1E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15.1.3 主要提交件</w:t>
      </w:r>
    </w:p>
    <w:p w14:paraId="7F138C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）承包人应编制一份施工措施计划提交监理人批准，其内容包括：</w:t>
      </w:r>
    </w:p>
    <w:p w14:paraId="2C0BBB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）沥青混凝土施工的施工机械设备和试验室设备的配置、校准和维护。</w:t>
      </w:r>
    </w:p>
    <w:p w14:paraId="592AD3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）沥青混凝土材料、室内试验、现场工艺试验和现场生产性试验程序，以及沥青混凝土各项试验的分析成果，并根据沥青混凝土生产工序，提出不少于</w:t>
      </w:r>
      <w:r>
        <w:rPr>
          <w:rFonts w:ascii="Times New Roman" w:hAnsi="Times New Roman" w:eastAsia="Times New Roman" w:cs="Times New Roman"/>
          <w:color w:val="auto"/>
          <w:sz w:val="24"/>
          <w:szCs w:val="24"/>
          <w:u w:val="single"/>
          <w:lang w:eastAsia="zh-CN"/>
        </w:rPr>
        <w:t>2</w:t>
      </w:r>
      <w:r>
        <w:rPr>
          <w:rFonts w:ascii="宋体" w:hAnsi="宋体" w:eastAsia="宋体" w:cs="宋体"/>
          <w:color w:val="auto"/>
          <w:sz w:val="24"/>
          <w:szCs w:val="24"/>
          <w:lang w:eastAsia="zh-CN"/>
        </w:rPr>
        <w:t>种沥青货源点的沥青提炼分析报告。</w:t>
      </w:r>
    </w:p>
    <w:p w14:paraId="5AF179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）沥青混凝土材料贮存、混合料的生产、运输、铺筑、碾压和质量控制标准。</w:t>
      </w:r>
    </w:p>
    <w:p w14:paraId="7CD64E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）施工质量和进度控制实施计划等。</w:t>
      </w:r>
    </w:p>
    <w:p w14:paraId="4495E2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）施工记录报表。承包人应每周提交施工记录报表（施工第一个月，应增加提交频次），其内容包括：</w:t>
      </w:r>
    </w:p>
    <w:p w14:paraId="452D67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）铺筑位置、工程量、铺筑起止时间和铺筑方法。</w:t>
      </w:r>
    </w:p>
    <w:p w14:paraId="79EA13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）施工配合比和原材料的取样试验成果。</w:t>
      </w:r>
    </w:p>
    <w:p w14:paraId="2408F3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）铺筑地点的气温、风速、湿度、降雨等气象条件。</w:t>
      </w:r>
    </w:p>
    <w:p w14:paraId="066CBD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）各种原材料温度、沥青混合料出机口温度、摊铺温度和碾压温度。</w:t>
      </w:r>
    </w:p>
    <w:p w14:paraId="14ACEB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）铺筑厚度、压实厚度、碾压遍数、表面平整度、孔隙率测试成果以及沥青混凝土密度等。</w:t>
      </w:r>
    </w:p>
    <w:p w14:paraId="48CD97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）沥青混凝土冷缝处理情况及检验报告。</w:t>
      </w:r>
    </w:p>
    <w:p w14:paraId="1247CD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）沥青混凝土试件的试验成果及分析。</w:t>
      </w:r>
    </w:p>
    <w:p w14:paraId="67A96D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）质量检查记录和质量事故处理记录。</w:t>
      </w:r>
    </w:p>
    <w:p w14:paraId="69E3BE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）监理人要求提交的其他资料。</w:t>
      </w:r>
    </w:p>
    <w:p w14:paraId="61227C6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15.1.4 引用标准</w:t>
      </w:r>
    </w:p>
    <w:p w14:paraId="030C21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）规程规范：</w:t>
      </w:r>
    </w:p>
    <w:p w14:paraId="037CD5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）《水工沥青混凝土试验规程》（</w:t>
      </w:r>
      <w:r>
        <w:rPr>
          <w:rFonts w:hint="eastAsia" w:ascii="Times New Roman" w:hAnsi="Times New Roman" w:eastAsia="宋体" w:cs="Times New Roman"/>
          <w:color w:val="auto"/>
          <w:sz w:val="24"/>
          <w:szCs w:val="24"/>
          <w:lang w:eastAsia="zh-CN"/>
        </w:rPr>
        <w:t>DL/T 5362-2018</w:t>
      </w:r>
      <w:r>
        <w:rPr>
          <w:rFonts w:ascii="宋体" w:hAnsi="宋体" w:eastAsia="宋体" w:cs="宋体"/>
          <w:color w:val="auto"/>
          <w:sz w:val="24"/>
          <w:szCs w:val="24"/>
          <w:lang w:eastAsia="zh-CN"/>
        </w:rPr>
        <w:t>）。</w:t>
      </w:r>
    </w:p>
    <w:p w14:paraId="6715DB1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）《水工碾压式沥青混凝土施工规范》（</w:t>
      </w:r>
      <w:r>
        <w:rPr>
          <w:rFonts w:hint="eastAsia" w:ascii="Times New Roman" w:hAnsi="Times New Roman" w:eastAsia="宋体" w:cs="Times New Roman"/>
          <w:color w:val="auto"/>
          <w:sz w:val="24"/>
          <w:szCs w:val="24"/>
          <w:lang w:eastAsia="zh-CN"/>
        </w:rPr>
        <w:t>DL/T 5363-2016</w:t>
      </w:r>
      <w:r>
        <w:rPr>
          <w:rFonts w:ascii="宋体" w:hAnsi="宋体" w:eastAsia="宋体" w:cs="宋体"/>
          <w:color w:val="auto"/>
          <w:sz w:val="24"/>
          <w:szCs w:val="24"/>
          <w:lang w:eastAsia="zh-CN"/>
        </w:rPr>
        <w:t>）。</w:t>
      </w:r>
    </w:p>
    <w:p w14:paraId="4C8326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）国外进口沥青材料需要引用的国外技术标准和规程规范。</w:t>
      </w:r>
    </w:p>
    <w:p w14:paraId="5E6E20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）沥青混凝土试验、生产和施工除应执行国家（或国外）标准中强制性规定外，还应执行供货合同指定的专用技术标准。</w:t>
      </w:r>
    </w:p>
    <w:p w14:paraId="41E537D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25" w:name="_Toc15459"/>
      <w:bookmarkStart w:id="1426" w:name="_Toc11415"/>
      <w:bookmarkStart w:id="1427" w:name="_Toc5019"/>
      <w:r>
        <w:rPr>
          <w:rFonts w:hint="eastAsia" w:ascii="宋体" w:hAnsi="宋体" w:eastAsia="宋体" w:cs="宋体"/>
          <w:b/>
          <w:bCs/>
          <w:color w:val="auto"/>
          <w:sz w:val="24"/>
          <w:szCs w:val="24"/>
          <w:lang w:eastAsia="zh-CN"/>
        </w:rPr>
        <w:t>15.2 材料</w:t>
      </w:r>
      <w:bookmarkEnd w:id="1425"/>
      <w:bookmarkEnd w:id="1426"/>
      <w:bookmarkEnd w:id="1427"/>
    </w:p>
    <w:p w14:paraId="119C1E0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15.2.1 材料要求</w:t>
      </w:r>
    </w:p>
    <w:p w14:paraId="2D38D4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碾压式沥青混凝土使用的沥青、骨料、填料、掺料和其他辅助材料，除应遵守《水工碾压式沥青混凝土施工规范》（</w:t>
      </w:r>
      <w:r>
        <w:rPr>
          <w:rFonts w:hint="eastAsia" w:ascii="Times New Roman" w:hAnsi="Times New Roman" w:eastAsia="宋体" w:cs="Times New Roman"/>
          <w:color w:val="auto"/>
          <w:sz w:val="24"/>
          <w:szCs w:val="24"/>
          <w:lang w:eastAsia="zh-CN"/>
        </w:rPr>
        <w:t>DL/T 5363-2016</w:t>
      </w:r>
      <w:r>
        <w:rPr>
          <w:rFonts w:ascii="宋体" w:hAnsi="宋体" w:eastAsia="宋体" w:cs="宋体"/>
          <w:color w:val="auto"/>
          <w:sz w:val="24"/>
          <w:szCs w:val="24"/>
          <w:lang w:eastAsia="zh-CN"/>
        </w:rPr>
        <w:t>）的有关规定外，还应执行供货合同中的有关规定。</w:t>
      </w:r>
    </w:p>
    <w:p w14:paraId="782DAFF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15.2.2 材料样品提交和保存</w:t>
      </w:r>
    </w:p>
    <w:p w14:paraId="0BC3FA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）在沥青混凝土铺筑试验开始前至少</w:t>
      </w:r>
      <w:r>
        <w:rPr>
          <w:rFonts w:hint="eastAsia" w:ascii="宋体" w:hAnsi="宋体" w:eastAsia="宋体" w:cs="宋体"/>
          <w:color w:val="auto"/>
          <w:sz w:val="24"/>
          <w:szCs w:val="24"/>
          <w:u w:val="single"/>
          <w:lang w:eastAsia="zh-CN"/>
        </w:rPr>
        <w:t>28</w:t>
      </w:r>
      <w:r>
        <w:rPr>
          <w:rFonts w:ascii="宋体" w:hAnsi="宋体" w:eastAsia="宋体" w:cs="宋体"/>
          <w:color w:val="auto"/>
          <w:sz w:val="24"/>
          <w:szCs w:val="24"/>
          <w:lang w:eastAsia="zh-CN"/>
        </w:rPr>
        <w:t>天，承包人应向监理人提供不少于</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个可能选用的沥青料源点样品，每个沥青料源点各取</w:t>
      </w:r>
      <w:r>
        <w:rPr>
          <w:rFonts w:ascii="Times New Roman" w:hAnsi="Times New Roman" w:eastAsia="Times New Roman" w:cs="Times New Roman"/>
          <w:color w:val="auto"/>
          <w:sz w:val="24"/>
          <w:szCs w:val="24"/>
          <w:u w:val="single"/>
          <w:lang w:eastAsia="zh-CN"/>
        </w:rPr>
        <w:t>40kg</w:t>
      </w:r>
      <w:r>
        <w:rPr>
          <w:rFonts w:ascii="宋体" w:hAnsi="宋体" w:eastAsia="宋体" w:cs="宋体"/>
          <w:color w:val="auto"/>
          <w:sz w:val="24"/>
          <w:szCs w:val="24"/>
          <w:lang w:eastAsia="zh-CN"/>
        </w:rPr>
        <w:t>沥青，供监理人试验核查。</w:t>
      </w:r>
    </w:p>
    <w:p w14:paraId="78700E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）经监理人批准采用的各种类型的骨料、填料和沥青，由承包人各取</w:t>
      </w:r>
      <w:r>
        <w:rPr>
          <w:rFonts w:ascii="Times New Roman" w:hAnsi="Times New Roman" w:eastAsia="Times New Roman" w:cs="Times New Roman"/>
          <w:color w:val="auto"/>
          <w:sz w:val="24"/>
          <w:szCs w:val="24"/>
          <w:u w:val="single"/>
          <w:lang w:eastAsia="zh-CN"/>
        </w:rPr>
        <w:t>40kg</w:t>
      </w:r>
      <w:r>
        <w:rPr>
          <w:rFonts w:ascii="宋体" w:hAnsi="宋体" w:eastAsia="宋体" w:cs="宋体"/>
          <w:color w:val="auto"/>
          <w:sz w:val="24"/>
          <w:szCs w:val="24"/>
          <w:lang w:eastAsia="zh-CN"/>
        </w:rPr>
        <w:t>样品留存在承包人工地试验室内，以供对比之用。沥青样品应保存到本工程所有工程通过验收为止。</w:t>
      </w:r>
    </w:p>
    <w:p w14:paraId="7DE53F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）承包人应将施工中所用的材料样品，及其生产厂家的产品证书和物理性能报告，提交监理人批准后使用。任何被批准使用的材料样品均应在承包人的试验室保存。</w:t>
      </w:r>
    </w:p>
    <w:p w14:paraId="5ECA0F3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15.2.3 沥青混合料的运输</w:t>
      </w:r>
    </w:p>
    <w:p w14:paraId="08B7AD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沥青混合料的运输应遵守</w:t>
      </w:r>
      <w:r>
        <w:rPr>
          <w:rFonts w:ascii="宋体" w:hAnsi="宋体" w:eastAsia="宋体" w:cs="宋体"/>
          <w:color w:val="auto"/>
          <w:spacing w:val="-6"/>
          <w:sz w:val="24"/>
          <w:szCs w:val="24"/>
          <w:lang w:eastAsia="zh-CN"/>
        </w:rPr>
        <w:t>《水工碾压式沥青混凝土施工规范》（</w:t>
      </w:r>
      <w:r>
        <w:rPr>
          <w:rFonts w:hint="eastAsia" w:ascii="Times New Roman" w:hAnsi="Times New Roman" w:eastAsia="宋体" w:cs="Times New Roman"/>
          <w:color w:val="auto"/>
          <w:spacing w:val="-6"/>
          <w:sz w:val="24"/>
          <w:szCs w:val="24"/>
          <w:lang w:eastAsia="zh-CN"/>
        </w:rPr>
        <w:t>DL/T 5363-2016</w:t>
      </w:r>
      <w:r>
        <w:rPr>
          <w:rFonts w:ascii="宋体" w:hAnsi="宋体" w:eastAsia="宋体" w:cs="宋体"/>
          <w:color w:val="auto"/>
          <w:spacing w:val="-6"/>
          <w:sz w:val="24"/>
          <w:szCs w:val="24"/>
          <w:lang w:eastAsia="zh-CN"/>
        </w:rPr>
        <w:t>）</w:t>
      </w:r>
      <w:r>
        <w:rPr>
          <w:rFonts w:ascii="宋体" w:hAnsi="宋体" w:eastAsia="宋体" w:cs="宋体"/>
          <w:color w:val="auto"/>
          <w:sz w:val="24"/>
          <w:szCs w:val="24"/>
          <w:lang w:eastAsia="zh-CN"/>
        </w:rPr>
        <w:t>的有关规定。</w:t>
      </w:r>
    </w:p>
    <w:p w14:paraId="0989762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28" w:name="_Toc17628"/>
      <w:bookmarkStart w:id="1429" w:name="_Toc3748"/>
      <w:bookmarkStart w:id="1430" w:name="_Toc97"/>
      <w:r>
        <w:rPr>
          <w:rFonts w:hint="eastAsia" w:ascii="宋体" w:hAnsi="宋体" w:eastAsia="宋体" w:cs="宋体"/>
          <w:b/>
          <w:bCs/>
          <w:color w:val="auto"/>
          <w:sz w:val="24"/>
          <w:szCs w:val="24"/>
          <w:lang w:eastAsia="zh-CN"/>
        </w:rPr>
        <w:t>15.3 配合比的选择和试验</w:t>
      </w:r>
      <w:bookmarkEnd w:id="1428"/>
      <w:bookmarkEnd w:id="1429"/>
      <w:bookmarkEnd w:id="1430"/>
    </w:p>
    <w:p w14:paraId="79877D8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15.3.1 配合比选定</w:t>
      </w:r>
    </w:p>
    <w:p w14:paraId="5DE794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承包人应通过室内试验、现场工艺性试验和现场生产性试验，选定沥青混凝土防渗心墙和防渗面板的配合比及其施工工艺。各项试验应遵守《水工碾压式沥青混凝土施工规范》（</w:t>
      </w:r>
      <w:r>
        <w:rPr>
          <w:rFonts w:hint="eastAsia" w:ascii="Times New Roman" w:hAnsi="Times New Roman" w:eastAsia="宋体" w:cs="Times New Roman"/>
          <w:color w:val="auto"/>
          <w:sz w:val="24"/>
          <w:szCs w:val="24"/>
          <w:lang w:eastAsia="zh-CN"/>
        </w:rPr>
        <w:t>DL/T 5363-2016</w:t>
      </w:r>
      <w:r>
        <w:rPr>
          <w:rFonts w:ascii="宋体" w:hAnsi="宋体" w:eastAsia="宋体" w:cs="宋体"/>
          <w:color w:val="auto"/>
          <w:sz w:val="24"/>
          <w:szCs w:val="24"/>
          <w:lang w:eastAsia="zh-CN"/>
        </w:rPr>
        <w:t>）的有关规定。</w:t>
      </w:r>
    </w:p>
    <w:p w14:paraId="183651D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15.3.2 室内试验</w:t>
      </w:r>
    </w:p>
    <w:p w14:paraId="76EEBE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）室内试验验证沥青混凝土材料在加热前后是否满足施工图纸的规定，承包人应将试验技术指标的允许变化范围，以及沥青混凝土配合比和试验成果提交监理人批准。</w:t>
      </w:r>
    </w:p>
    <w:p w14:paraId="400B8E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）沥青混凝土室内试验的温度、加荷速度等试验条件，应根据当地气温、工程特点和运行条件等因素确定。</w:t>
      </w:r>
    </w:p>
    <w:p w14:paraId="16553C5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15.3.3 现场工艺性试验</w:t>
      </w:r>
    </w:p>
    <w:p w14:paraId="5EF901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）现场的工艺性试验开始前，承包人应将工艺性试验场地的布置设计和具体试验要求，提交监理人批准。</w:t>
      </w:r>
    </w:p>
    <w:p w14:paraId="11CC4B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）通过现场工艺性试验验证。</w:t>
      </w:r>
    </w:p>
    <w:p w14:paraId="6580E1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）室内试验选定的设计配合比是否能适应生产设备大批量生产的要求，检验其各项技术指标是否符合施工图纸规定的技术要求。</w:t>
      </w:r>
    </w:p>
    <w:p w14:paraId="1C44A8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）验证沥青混凝土施工工艺，包括混合料生产、沥青混凝土温度控制、各铺筑层摊铺方法、碾压遍数以及各类接缝的施工方法等。</w:t>
      </w:r>
    </w:p>
    <w:p w14:paraId="10F0AA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）通过现场试验获取试样，进行沥青用量、骨料级配、渗透性、柔性、斜坡稳定性和防渗性能等的试验验证。</w:t>
      </w:r>
    </w:p>
    <w:p w14:paraId="7BB7D9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）使用校准的核子密度仪测试平胶结层、防渗层以及钻取芯样的密度。</w:t>
      </w:r>
    </w:p>
    <w:p w14:paraId="572134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）现场机械铺筑试验。</w:t>
      </w:r>
    </w:p>
    <w:p w14:paraId="2FE574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）铺筑试验场地的碎石垫层厚度至少为</w:t>
      </w:r>
      <w:r>
        <w:rPr>
          <w:rFonts w:ascii="Times New Roman" w:hAnsi="Times New Roman" w:eastAsia="Times New Roman" w:cs="Times New Roman"/>
          <w:color w:val="auto"/>
          <w:sz w:val="24"/>
          <w:szCs w:val="24"/>
          <w:u w:val="single"/>
          <w:lang w:eastAsia="zh-CN"/>
        </w:rPr>
        <w:t>500mm</w:t>
      </w:r>
      <w:r>
        <w:rPr>
          <w:rFonts w:ascii="宋体" w:hAnsi="宋体" w:eastAsia="宋体" w:cs="宋体"/>
          <w:color w:val="auto"/>
          <w:sz w:val="24"/>
          <w:szCs w:val="24"/>
          <w:lang w:eastAsia="zh-CN"/>
        </w:rPr>
        <w:t>，碎石最大粒径为</w:t>
      </w:r>
      <w:r>
        <w:rPr>
          <w:rFonts w:ascii="Times New Roman" w:hAnsi="Times New Roman" w:eastAsia="Times New Roman" w:cs="Times New Roman"/>
          <w:color w:val="auto"/>
          <w:sz w:val="24"/>
          <w:szCs w:val="24"/>
          <w:u w:val="single"/>
          <w:lang w:eastAsia="zh-CN"/>
        </w:rPr>
        <w:t>80mm</w:t>
      </w:r>
      <w:r>
        <w:rPr>
          <w:rFonts w:ascii="宋体" w:hAnsi="宋体" w:eastAsia="宋体" w:cs="宋体"/>
          <w:color w:val="auto"/>
          <w:sz w:val="24"/>
          <w:szCs w:val="24"/>
          <w:lang w:eastAsia="zh-CN"/>
        </w:rPr>
        <w:t>，表面平整。</w:t>
      </w:r>
    </w:p>
    <w:p w14:paraId="10A95A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）试验内容包括从生产、运输、铺筑压实至施工图纸所示的全过程。</w:t>
      </w:r>
    </w:p>
    <w:p w14:paraId="4BF8EA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）机械铺筑的取芯样要求。</w:t>
      </w:r>
    </w:p>
    <w:p w14:paraId="274AE2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）芯样应从核子密度仪读取数据部位的中心钻取。</w:t>
      </w:r>
    </w:p>
    <w:p w14:paraId="7EEA2D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）对沥青混凝土面板的整平胶结层、防渗层等各层，应在不同部位分别钻取试样。</w:t>
      </w:r>
    </w:p>
    <w:p w14:paraId="78EEDE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）沥青混凝土面板的防渗层和整平胶结层摊铺条带接缝处选取不同部位，分别钻取试样，如对热缝和冷缝应各钻取</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个试样。</w:t>
      </w:r>
    </w:p>
    <w:p w14:paraId="7EE6B5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）对面板整体断面，在不同部位分别钻取</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个试样，目测检查。</w:t>
      </w:r>
    </w:p>
    <w:p w14:paraId="73DCCE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）钻取芯样留下的空洞应经预热，用相同的各层材料填充击实。</w:t>
      </w:r>
    </w:p>
    <w:p w14:paraId="78D9F4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）配合比的变更。</w:t>
      </w:r>
    </w:p>
    <w:p w14:paraId="5C8132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经室内试验选定的配合比，应尽快进行试验场工艺试验验证工作，若承包人需要变更配合比，应重新进行试验场工艺性配合比试验，并经监理人批准。</w:t>
      </w:r>
    </w:p>
    <w:p w14:paraId="638810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）实验报告。</w:t>
      </w:r>
    </w:p>
    <w:p w14:paraId="75ED4F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现场工艺性试验结束后，承包人应及时向监理人提交现场工艺试验报告，其报告的内容包括：配合比设计、参数允许变化范围、所用试验配合比是否达到施工图纸中要求的防渗结构各层技术指标。</w:t>
      </w:r>
    </w:p>
    <w:p w14:paraId="2C135F4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15.3.4 现场生产性试验</w:t>
      </w:r>
    </w:p>
    <w:p w14:paraId="7E3BC1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）沥青混凝土现场生产性试验内容包括：</w:t>
      </w:r>
    </w:p>
    <w:p w14:paraId="55868B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）检查用以承受整平胶结层的碎石垫层。</w:t>
      </w:r>
    </w:p>
    <w:p w14:paraId="259400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）摊铺和碾压整平胶结层。</w:t>
      </w:r>
    </w:p>
    <w:p w14:paraId="39D879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）施工库底面与斜坡面之间曲面。</w:t>
      </w:r>
    </w:p>
    <w:p w14:paraId="40B9D6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）摊铺和碾压防渗层。</w:t>
      </w:r>
    </w:p>
    <w:p w14:paraId="345C47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）施工封闭层。</w:t>
      </w:r>
    </w:p>
    <w:p w14:paraId="533AC6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）横向和纵向冷缝及热缝的施工和处理。</w:t>
      </w:r>
    </w:p>
    <w:p w14:paraId="10D49C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）通过生产性试验验证内容包括：</w:t>
      </w:r>
    </w:p>
    <w:p w14:paraId="4782FD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）验证沥青混凝土原材料的试验值。</w:t>
      </w:r>
    </w:p>
    <w:p w14:paraId="0734F5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）完成下卧层表面处理。</w:t>
      </w:r>
    </w:p>
    <w:p w14:paraId="15B6A5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）使用摊铺机和振动碾铺筑整平胶结层和防渗层，应达到施工图纸要求的密度和孔隙率。</w:t>
      </w:r>
    </w:p>
    <w:p w14:paraId="1AE934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）检验相邻的沥青混凝土防渗层施工段之间的接缝，应达到不透水的要求。</w:t>
      </w:r>
    </w:p>
    <w:p w14:paraId="7F96ED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）建立拌和的温度与时间控制系统。</w:t>
      </w:r>
    </w:p>
    <w:p w14:paraId="5C28BF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）保证将热混合物从拌和厂（站）运输至摊铺机处，不使混合物变质，并在最低碾压温度时达到设计要求的密度。</w:t>
      </w:r>
    </w:p>
    <w:p w14:paraId="225A4B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）承包人已掌握校验和使用核子密度仪测试防渗层的方法。</w:t>
      </w:r>
    </w:p>
    <w:p w14:paraId="7D0826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）生产性试验中的任何部位达不到施工图纸要求，应立即清除，并将废料弃置到指定地点。承包人应重新进行试验，直到监理人确认合格为止。</w:t>
      </w:r>
    </w:p>
    <w:p w14:paraId="3CB294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）生产性试验结束后，承包人应按监理人指示，将沥青混凝土材料贮存、拌和、运输、摊铺至碾压的施工工艺标淮和操作规程，提交监理人批准后，方能进行沥青混凝土施工。</w:t>
      </w:r>
    </w:p>
    <w:p w14:paraId="29EEE06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31" w:name="_Toc20862"/>
      <w:bookmarkStart w:id="1432" w:name="_Toc12474"/>
      <w:bookmarkStart w:id="1433" w:name="_Toc13666"/>
      <w:r>
        <w:rPr>
          <w:rFonts w:hint="eastAsia" w:ascii="宋体" w:hAnsi="宋体" w:eastAsia="宋体" w:cs="宋体"/>
          <w:b/>
          <w:bCs/>
          <w:color w:val="auto"/>
          <w:sz w:val="24"/>
          <w:szCs w:val="24"/>
          <w:lang w:eastAsia="zh-CN"/>
        </w:rPr>
        <w:t>15.4 沥青混合料制备与运输</w:t>
      </w:r>
      <w:bookmarkEnd w:id="1431"/>
      <w:bookmarkEnd w:id="1432"/>
      <w:bookmarkEnd w:id="1433"/>
    </w:p>
    <w:p w14:paraId="4C229D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沥青混合料制备与运输应遵守</w:t>
      </w:r>
      <w:r>
        <w:rPr>
          <w:rFonts w:ascii="宋体" w:hAnsi="宋体" w:eastAsia="宋体" w:cs="宋体"/>
          <w:color w:val="auto"/>
          <w:spacing w:val="-20"/>
          <w:sz w:val="24"/>
          <w:szCs w:val="24"/>
          <w:lang w:eastAsia="zh-CN"/>
        </w:rPr>
        <w:t>《水工碾压式沥青混凝土施工规范》（</w:t>
      </w:r>
      <w:r>
        <w:rPr>
          <w:rFonts w:hint="eastAsia" w:ascii="Times New Roman" w:hAnsi="Times New Roman" w:eastAsia="宋体" w:cs="Times New Roman"/>
          <w:color w:val="auto"/>
          <w:spacing w:val="-20"/>
          <w:sz w:val="24"/>
          <w:szCs w:val="24"/>
          <w:lang w:eastAsia="zh-CN"/>
        </w:rPr>
        <w:t>DL/T 5363-2016</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的有关规定。</w:t>
      </w:r>
    </w:p>
    <w:p w14:paraId="66FCC8F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34" w:name="_Toc27711"/>
      <w:bookmarkStart w:id="1435" w:name="_Toc16694"/>
      <w:bookmarkStart w:id="1436" w:name="_Toc1972"/>
      <w:r>
        <w:rPr>
          <w:rFonts w:hint="eastAsia" w:ascii="宋体" w:hAnsi="宋体" w:eastAsia="宋体" w:cs="宋体"/>
          <w:b/>
          <w:bCs/>
          <w:color w:val="auto"/>
          <w:sz w:val="24"/>
          <w:szCs w:val="24"/>
          <w:lang w:eastAsia="zh-CN"/>
        </w:rPr>
        <w:t>15.5 沥青混凝土防渗面板铺筑</w:t>
      </w:r>
      <w:bookmarkEnd w:id="1434"/>
      <w:bookmarkEnd w:id="1435"/>
      <w:bookmarkEnd w:id="1436"/>
    </w:p>
    <w:p w14:paraId="0AB76C9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15.5.1 垫层施工</w:t>
      </w:r>
    </w:p>
    <w:p w14:paraId="39CD15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垫层施工应遵守《水工碾压式沥青混凝土施工规范》（</w:t>
      </w:r>
      <w:r>
        <w:rPr>
          <w:rFonts w:hint="eastAsia" w:ascii="Times New Roman" w:hAnsi="Times New Roman" w:eastAsia="宋体" w:cs="Times New Roman"/>
          <w:color w:val="auto"/>
          <w:sz w:val="24"/>
          <w:szCs w:val="24"/>
          <w:lang w:eastAsia="zh-CN"/>
        </w:rPr>
        <w:t>DL/T 5363-2016</w:t>
      </w:r>
      <w:r>
        <w:rPr>
          <w:rFonts w:ascii="宋体" w:hAnsi="宋体" w:eastAsia="宋体" w:cs="宋体"/>
          <w:color w:val="auto"/>
          <w:sz w:val="24"/>
          <w:szCs w:val="24"/>
          <w:lang w:eastAsia="zh-CN"/>
        </w:rPr>
        <w:t>）的有关规定。</w:t>
      </w:r>
    </w:p>
    <w:p w14:paraId="0BAB736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15.5.2 沥青混合料的摊铺和碾压</w:t>
      </w:r>
    </w:p>
    <w:p w14:paraId="4B77C8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沥青混合料的摊铺和碾压应遵守</w:t>
      </w:r>
      <w:r>
        <w:rPr>
          <w:rFonts w:ascii="宋体" w:hAnsi="宋体" w:eastAsia="宋体" w:cs="宋体"/>
          <w:color w:val="auto"/>
          <w:spacing w:val="-28"/>
          <w:sz w:val="24"/>
          <w:szCs w:val="24"/>
          <w:lang w:eastAsia="zh-CN"/>
        </w:rPr>
        <w:t>《水工碾压式沥青混凝土施工规范》（</w:t>
      </w:r>
      <w:r>
        <w:rPr>
          <w:rFonts w:hint="eastAsia" w:ascii="Times New Roman" w:hAnsi="Times New Roman" w:eastAsia="宋体" w:cs="Times New Roman"/>
          <w:color w:val="auto"/>
          <w:spacing w:val="-28"/>
          <w:sz w:val="24"/>
          <w:szCs w:val="24"/>
          <w:lang w:eastAsia="zh-CN"/>
        </w:rPr>
        <w:t>DL/T 5363-2016</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的有关规定。</w:t>
      </w:r>
    </w:p>
    <w:p w14:paraId="4D56C78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15.5.3 防渗层的摊铺</w:t>
      </w:r>
    </w:p>
    <w:p w14:paraId="153095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选择合适的摊铺工艺及其碾压设备，在保证防渗层质量的前提下，宜一次铺设完成。若经生产性试验一次性铺设碾压后的施工接缝和压实质量无法达到施工图纸的要求，经监理人批准，防渗层可采用两次或多次铺筑和压实，直至合格为止。</w:t>
      </w:r>
    </w:p>
    <w:p w14:paraId="03ECCFB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15.5.4 施工接缝与层间处理</w:t>
      </w:r>
    </w:p>
    <w:p w14:paraId="2EE8B2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施工接缝与层间处理应遵守</w:t>
      </w:r>
      <w:r>
        <w:rPr>
          <w:rFonts w:ascii="宋体" w:hAnsi="宋体" w:eastAsia="宋体" w:cs="宋体"/>
          <w:color w:val="auto"/>
          <w:spacing w:val="-17"/>
          <w:sz w:val="24"/>
          <w:szCs w:val="24"/>
          <w:lang w:eastAsia="zh-CN"/>
        </w:rPr>
        <w:t>《水工碾压式沥青混凝土施工规范》（</w:t>
      </w:r>
      <w:r>
        <w:rPr>
          <w:rFonts w:hint="eastAsia" w:ascii="Times New Roman" w:hAnsi="Times New Roman" w:eastAsia="宋体" w:cs="Times New Roman"/>
          <w:color w:val="auto"/>
          <w:spacing w:val="-17"/>
          <w:sz w:val="24"/>
          <w:szCs w:val="24"/>
          <w:lang w:eastAsia="zh-CN"/>
        </w:rPr>
        <w:t>DL/T 5363-2016</w:t>
      </w:r>
      <w:r>
        <w:rPr>
          <w:rFonts w:ascii="宋体" w:hAnsi="宋体" w:eastAsia="宋体" w:cs="宋体"/>
          <w:color w:val="auto"/>
          <w:spacing w:val="-17"/>
          <w:sz w:val="24"/>
          <w:szCs w:val="24"/>
          <w:lang w:eastAsia="zh-CN"/>
        </w:rPr>
        <w:t>）</w:t>
      </w:r>
      <w:r>
        <w:rPr>
          <w:rFonts w:ascii="宋体" w:hAnsi="宋体" w:eastAsia="宋体" w:cs="宋体"/>
          <w:color w:val="auto"/>
          <w:sz w:val="24"/>
          <w:szCs w:val="24"/>
          <w:lang w:eastAsia="zh-CN"/>
        </w:rPr>
        <w:t>的有关规定。</w:t>
      </w:r>
    </w:p>
    <w:p w14:paraId="300D67F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15.5.5 面板与刚性建筑物的连接</w:t>
      </w:r>
    </w:p>
    <w:p w14:paraId="0D59BA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面板与刚性建筑物的连接应遵守</w:t>
      </w:r>
      <w:r>
        <w:rPr>
          <w:rFonts w:ascii="宋体" w:hAnsi="宋体" w:eastAsia="宋体" w:cs="宋体"/>
          <w:color w:val="auto"/>
          <w:spacing w:val="-28"/>
          <w:sz w:val="24"/>
          <w:szCs w:val="24"/>
          <w:lang w:eastAsia="zh-CN"/>
        </w:rPr>
        <w:t>《水工碾压式沥青混凝土施工规范》（</w:t>
      </w:r>
      <w:r>
        <w:rPr>
          <w:rFonts w:hint="eastAsia" w:ascii="Times New Roman" w:hAnsi="Times New Roman" w:eastAsia="宋体" w:cs="Times New Roman"/>
          <w:color w:val="auto"/>
          <w:spacing w:val="-28"/>
          <w:sz w:val="24"/>
          <w:szCs w:val="24"/>
          <w:lang w:eastAsia="zh-CN"/>
        </w:rPr>
        <w:t>DL/T 5363-2016</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的有关规定。</w:t>
      </w:r>
    </w:p>
    <w:p w14:paraId="465A8FA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15.5.6 封闭层施工</w:t>
      </w:r>
    </w:p>
    <w:p w14:paraId="1B45E4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封闭层施工应遵守《水工碾压式沥青混凝土施工规范》（</w:t>
      </w:r>
      <w:r>
        <w:rPr>
          <w:rFonts w:hint="eastAsia" w:ascii="Times New Roman" w:hAnsi="Times New Roman" w:eastAsia="宋体" w:cs="Times New Roman"/>
          <w:color w:val="auto"/>
          <w:sz w:val="24"/>
          <w:szCs w:val="24"/>
          <w:lang w:eastAsia="zh-CN"/>
        </w:rPr>
        <w:t>DL/T 5363-2016</w:t>
      </w:r>
      <w:r>
        <w:rPr>
          <w:rFonts w:ascii="宋体" w:hAnsi="宋体" w:eastAsia="宋体" w:cs="宋体"/>
          <w:color w:val="auto"/>
          <w:sz w:val="24"/>
          <w:szCs w:val="24"/>
          <w:lang w:eastAsia="zh-CN"/>
        </w:rPr>
        <w:t>）的有关规定。</w:t>
      </w:r>
    </w:p>
    <w:p w14:paraId="635F566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15.5.7 沥青混合料施工气候条件的限制</w:t>
      </w:r>
    </w:p>
    <w:p w14:paraId="5B82E7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）若无特殊保护措施，承包人不得在下列的气候条件下进行沥青混合料施工：</w:t>
      </w:r>
    </w:p>
    <w:p w14:paraId="47E55B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）环境气温低于</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℃时。</w:t>
      </w:r>
    </w:p>
    <w:p w14:paraId="44EF19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）浓雾或风速大于四级强风时。</w:t>
      </w:r>
    </w:p>
    <w:p w14:paraId="23C3D3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）遇雨或表面潮湿时。</w:t>
      </w:r>
    </w:p>
    <w:p w14:paraId="2A8373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）防渗层需要夜间施工作业。</w:t>
      </w:r>
    </w:p>
    <w:p w14:paraId="0FE5A7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）封闭层施工的环境气温低于</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w:t>
      </w:r>
    </w:p>
    <w:p w14:paraId="785923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）在摊铺防渗层过程中，遇有雨和雪，承包人应立即停止摊铺作业。</w:t>
      </w:r>
    </w:p>
    <w:p w14:paraId="0EA3E7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）已经离析或结成不可压碎的硬壳，团块以及低于规定铺筑温度铺筑的，或被雨水淋湿的沥青混合物，均应作为废料处理。</w:t>
      </w:r>
    </w:p>
    <w:p w14:paraId="40F6B6B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37" w:name="_Toc13441"/>
      <w:bookmarkStart w:id="1438" w:name="_Toc30060"/>
      <w:bookmarkStart w:id="1439" w:name="_Toc13486"/>
      <w:r>
        <w:rPr>
          <w:rFonts w:hint="eastAsia" w:ascii="宋体" w:hAnsi="宋体" w:eastAsia="宋体" w:cs="宋体"/>
          <w:b/>
          <w:bCs/>
          <w:color w:val="auto"/>
          <w:sz w:val="24"/>
          <w:szCs w:val="24"/>
          <w:lang w:eastAsia="zh-CN"/>
        </w:rPr>
        <w:t>15.6 沥青混凝土心墙铺筑</w:t>
      </w:r>
      <w:bookmarkEnd w:id="1437"/>
      <w:bookmarkEnd w:id="1438"/>
      <w:bookmarkEnd w:id="1439"/>
    </w:p>
    <w:p w14:paraId="53CC17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略</w:t>
      </w:r>
    </w:p>
    <w:p w14:paraId="57A3948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40" w:name="_Toc5165"/>
      <w:bookmarkStart w:id="1441" w:name="_Toc2778"/>
      <w:bookmarkStart w:id="1442" w:name="_Toc18417"/>
      <w:r>
        <w:rPr>
          <w:rFonts w:hint="eastAsia" w:ascii="宋体" w:hAnsi="宋体" w:eastAsia="宋体" w:cs="宋体"/>
          <w:b/>
          <w:bCs/>
          <w:color w:val="auto"/>
          <w:sz w:val="24"/>
          <w:szCs w:val="24"/>
          <w:lang w:eastAsia="zh-CN"/>
        </w:rPr>
        <w:t>15.7 质量检查和验收</w:t>
      </w:r>
      <w:bookmarkEnd w:id="1440"/>
      <w:bookmarkEnd w:id="1441"/>
      <w:bookmarkEnd w:id="1442"/>
    </w:p>
    <w:p w14:paraId="398639C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15.7.1 原材料检验</w:t>
      </w:r>
    </w:p>
    <w:p w14:paraId="6D62E0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）沥青混凝土原材料的检测项目和检测频率，应参照《水工碾压式沥青混凝土施工规范》（</w:t>
      </w:r>
      <w:r>
        <w:rPr>
          <w:rFonts w:hint="eastAsia" w:ascii="Times New Roman" w:hAnsi="Times New Roman" w:eastAsia="宋体" w:cs="Times New Roman"/>
          <w:color w:val="auto"/>
          <w:sz w:val="24"/>
          <w:szCs w:val="24"/>
          <w:lang w:eastAsia="zh-CN"/>
        </w:rPr>
        <w:t>DL/T 5363-2016</w:t>
      </w:r>
      <w:r>
        <w:rPr>
          <w:rFonts w:ascii="宋体" w:hAnsi="宋体" w:eastAsia="宋体" w:cs="宋体"/>
          <w:color w:val="auto"/>
          <w:sz w:val="24"/>
          <w:szCs w:val="24"/>
          <w:lang w:eastAsia="zh-CN"/>
        </w:rPr>
        <w:t>）的相关数据确定。</w:t>
      </w:r>
    </w:p>
    <w:p w14:paraId="054D84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）承包人应进行沥青混凝土面板和心墙的各项材料检验，检验成果应提交监理人。</w:t>
      </w:r>
    </w:p>
    <w:p w14:paraId="09F21E5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15.7.2 施工质量检查</w:t>
      </w:r>
    </w:p>
    <w:p w14:paraId="2882D5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承包人应会同监理人进行以下条款所列项目的质量检查，检查成果应提交监理人。</w:t>
      </w:r>
    </w:p>
    <w:p w14:paraId="3E3478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）沥青混合料制备质量的检验与控制，应遵守《水工碾压式沥青混凝土施工规范》（</w:t>
      </w:r>
      <w:r>
        <w:rPr>
          <w:rFonts w:hint="eastAsia" w:ascii="Times New Roman" w:hAnsi="Times New Roman" w:eastAsia="宋体" w:cs="Times New Roman"/>
          <w:color w:val="auto"/>
          <w:sz w:val="24"/>
          <w:szCs w:val="24"/>
          <w:lang w:eastAsia="zh-CN"/>
        </w:rPr>
        <w:t>DL/T 5363-2016</w:t>
      </w:r>
      <w:r>
        <w:rPr>
          <w:rFonts w:ascii="宋体" w:hAnsi="宋体" w:eastAsia="宋体" w:cs="宋体"/>
          <w:color w:val="auto"/>
          <w:sz w:val="24"/>
          <w:szCs w:val="24"/>
          <w:lang w:eastAsia="zh-CN"/>
        </w:rPr>
        <w:t>）的有关规定。</w:t>
      </w:r>
    </w:p>
    <w:p w14:paraId="7DEDFE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）沥青混凝土施工质量的检验与控制，应遵守《水工碾压式沥青混凝土施工规范》（</w:t>
      </w:r>
      <w:r>
        <w:rPr>
          <w:rFonts w:hint="eastAsia" w:ascii="Times New Roman" w:hAnsi="Times New Roman" w:eastAsia="宋体" w:cs="Times New Roman"/>
          <w:color w:val="auto"/>
          <w:sz w:val="24"/>
          <w:szCs w:val="24"/>
          <w:lang w:eastAsia="zh-CN"/>
        </w:rPr>
        <w:t>DL/T 5363-2016</w:t>
      </w:r>
      <w:r>
        <w:rPr>
          <w:rFonts w:ascii="宋体" w:hAnsi="宋体" w:eastAsia="宋体" w:cs="宋体"/>
          <w:color w:val="auto"/>
          <w:sz w:val="24"/>
          <w:szCs w:val="24"/>
          <w:lang w:eastAsia="zh-CN"/>
        </w:rPr>
        <w:t>）的有关规定。</w:t>
      </w:r>
    </w:p>
    <w:p w14:paraId="2E46CA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）对无损检测的不合格测点，应在该测点处钻取芯样进行复测，若复测的芯样测试值仍不合格时，应扩大钻芯检测范围，并分析施工资料，重新确定处理方案。</w:t>
      </w:r>
    </w:p>
    <w:p w14:paraId="6CCA090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15.7.3 工程隐蔽部位的检查和验收</w:t>
      </w:r>
    </w:p>
    <w:p w14:paraId="1DC98DE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承包人应会同监理人进行以下沥青混凝土工程隐蔽部位的检查和验收。</w:t>
      </w:r>
    </w:p>
    <w:p w14:paraId="585616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）沥青防渗设施与坝基、岸坡及刚性建筑物的结合面。</w:t>
      </w:r>
    </w:p>
    <w:p w14:paraId="79A4A4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）垫层或过渡层。</w:t>
      </w:r>
    </w:p>
    <w:p w14:paraId="3C5272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）施工期间有蓄水要求时，蓄水位以下部位的沥青混凝土防渗设施。</w:t>
      </w:r>
    </w:p>
    <w:p w14:paraId="421012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）防渗设施内部的观测埋设件。</w:t>
      </w:r>
    </w:p>
    <w:p w14:paraId="7D9F53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）其他隐蔽工程。</w:t>
      </w:r>
    </w:p>
    <w:p w14:paraId="644BDFA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15.7.4 完工验收</w:t>
      </w:r>
    </w:p>
    <w:p w14:paraId="4DCF0C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沥青混凝土工程完工后，承包人应向监理人申请完工验收，并提交以下完工资料。</w:t>
      </w:r>
    </w:p>
    <w:p w14:paraId="1B2F36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）沥青混凝土面板和心墙工程竣工图。</w:t>
      </w:r>
    </w:p>
    <w:p w14:paraId="7D4281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）质量检查和验收报告。</w:t>
      </w:r>
    </w:p>
    <w:p w14:paraId="7B5EF8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）沥青混凝土工程各项试验成果。</w:t>
      </w:r>
    </w:p>
    <w:p w14:paraId="056CE9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）质量缺陷修补和质量事故处理报告。</w:t>
      </w:r>
    </w:p>
    <w:p w14:paraId="3E3488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）工程安全鉴定自检报告。</w:t>
      </w:r>
    </w:p>
    <w:p w14:paraId="006105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）监理人要求提供的其他资料。</w:t>
      </w:r>
    </w:p>
    <w:p w14:paraId="251ACB3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43" w:name="_Toc32350"/>
      <w:bookmarkStart w:id="1444" w:name="_Toc28629"/>
      <w:bookmarkStart w:id="1445" w:name="_Toc20585"/>
      <w:r>
        <w:rPr>
          <w:rFonts w:hint="eastAsia" w:ascii="宋体" w:hAnsi="宋体" w:eastAsia="宋体" w:cs="宋体"/>
          <w:b/>
          <w:bCs/>
          <w:color w:val="auto"/>
          <w:sz w:val="24"/>
          <w:szCs w:val="24"/>
          <w:lang w:eastAsia="zh-CN"/>
        </w:rPr>
        <w:t>15.8 计量和支付</w:t>
      </w:r>
      <w:bookmarkEnd w:id="1443"/>
      <w:bookmarkEnd w:id="1444"/>
      <w:bookmarkEnd w:id="1445"/>
    </w:p>
    <w:p w14:paraId="0FF1FC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）沥青混凝土面板（包括防渗层、整平胶结层、加厚层等）和沥青混凝土心墙按施工图纸所示尺寸计算的有效体积以立方米为单位计量，由发包人按《工程量清单》相应项目有效工程量的每立方米工程单价支付。</w:t>
      </w:r>
    </w:p>
    <w:p w14:paraId="516CEF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沥青玛帝脂封闭层、塑性止水材料、加强网格（聚酯或聚乙烯树脂纤维网格）、沥青涂料等均按施工图纸所示尺寸计算的有效面积以平方米为单位计量，由发包人按《工程量清单》相应项目有效工程量的每平方米工程单价支付。</w:t>
      </w:r>
    </w:p>
    <w:p w14:paraId="5B2669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）承包人按合同要求完成沥青混凝土室内试验、现场试验和生产性试验所需的费用由发包人按《工程量清单》相应项目的总价支付。</w:t>
      </w:r>
    </w:p>
    <w:p w14:paraId="6BAFA9A4">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4D0BFC74">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446" w:name="_Toc4876"/>
      <w:bookmarkStart w:id="1447" w:name="_Toc12770"/>
      <w:bookmarkStart w:id="1448" w:name="_Toc25630"/>
      <w:r>
        <w:rPr>
          <w:rFonts w:ascii="Times New Roman" w:hAnsi="Times New Roman" w:eastAsia="Times New Roman" w:cs="Times New Roman"/>
          <w:b/>
          <w:bCs/>
          <w:color w:val="auto"/>
          <w:sz w:val="28"/>
          <w:szCs w:val="28"/>
          <w:lang w:eastAsia="zh-CN"/>
        </w:rPr>
        <w:t>16</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砌体工程</w:t>
      </w:r>
      <w:bookmarkEnd w:id="1446"/>
      <w:bookmarkEnd w:id="1447"/>
      <w:bookmarkEnd w:id="1448"/>
    </w:p>
    <w:p w14:paraId="5FE0BBF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49" w:name="_Toc22769"/>
      <w:bookmarkStart w:id="1450" w:name="_Toc326"/>
      <w:bookmarkStart w:id="1451" w:name="_Toc12478"/>
      <w:r>
        <w:rPr>
          <w:rFonts w:hint="eastAsia" w:ascii="宋体" w:hAnsi="宋体" w:eastAsia="宋体" w:cs="宋体"/>
          <w:b/>
          <w:bCs/>
          <w:color w:val="auto"/>
          <w:sz w:val="24"/>
          <w:szCs w:val="24"/>
          <w:lang w:eastAsia="zh-CN"/>
        </w:rPr>
        <w:t>16.1 一般规定</w:t>
      </w:r>
      <w:bookmarkEnd w:id="1449"/>
      <w:bookmarkEnd w:id="1450"/>
      <w:bookmarkEnd w:id="1451"/>
    </w:p>
    <w:p w14:paraId="4B98CE8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16.1.1 应用范围</w:t>
      </w:r>
    </w:p>
    <w:p w14:paraId="4038B1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施工图纸所示的各类砌体工程建筑物，其工程项目包括坝、厂房、引水渠道、永久生活建筑、道路、桥涵、挡墙、管道支墩、护坡和排水沟等建筑物的石砌体（包括浆砌石、干砌石、灌砌石砌体）工程，以及混凝土小砌块砌体和砖砌体工程。</w:t>
      </w:r>
    </w:p>
    <w:p w14:paraId="59FC1B0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16.1.2 承包人责任</w:t>
      </w:r>
    </w:p>
    <w:p w14:paraId="37A6F4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）承包人应按本合同施工图纸、技术条款的规定和监理人的指示，负责砌体工程基础的场地清理、材料的加工制备、砌体工程的施工及质量检查和验收等工作。</w:t>
      </w:r>
    </w:p>
    <w:p w14:paraId="1B019B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）除合同另有约定外，承包人应负责提供本工程砌体工程的各种石材、胶结材料，以及砌体工程施工所需的人工、施工设备和辅助设施。</w:t>
      </w:r>
    </w:p>
    <w:p w14:paraId="27B167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）承包人应负责砌体胶结材料及其配合比的试验和选择，以及砌筑工艺的选择。</w:t>
      </w:r>
    </w:p>
    <w:p w14:paraId="5BCAF64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16.1.3 主要提交件</w:t>
      </w:r>
    </w:p>
    <w:p w14:paraId="1457B1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）施工措施计划。</w:t>
      </w:r>
    </w:p>
    <w:p w14:paraId="034636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承包人应在砌体工程开工前，将砌体工程施工措施计划提交监理人批准，其内容包括：</w:t>
      </w:r>
    </w:p>
    <w:p w14:paraId="3798F0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）施工布置图及其说明。</w:t>
      </w:r>
    </w:p>
    <w:p w14:paraId="015AD8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）砌体工程施工工艺和方法。</w:t>
      </w:r>
    </w:p>
    <w:p w14:paraId="153E98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）主要施工设备的配置。</w:t>
      </w:r>
    </w:p>
    <w:p w14:paraId="1D7927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）质量控制和安全保证措施。</w:t>
      </w:r>
    </w:p>
    <w:p w14:paraId="4BDCDC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）施工进度计划等。</w:t>
      </w:r>
    </w:p>
    <w:p w14:paraId="72F5C6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）砌体材料试验报告。</w:t>
      </w:r>
    </w:p>
    <w:p w14:paraId="59CC08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承包人应在砌体工程施工前，将各项材料试验成果提交监理人，其内容包括：</w:t>
      </w:r>
    </w:p>
    <w:p w14:paraId="036CB3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）砌体材料的强度等级试验。</w:t>
      </w:r>
    </w:p>
    <w:p w14:paraId="7C3DE75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）胶结材料的强度及其配合比选择试验。</w:t>
      </w:r>
    </w:p>
    <w:p w14:paraId="6DE04F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）质量检查记录和报表。</w:t>
      </w:r>
    </w:p>
    <w:p w14:paraId="515758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砌体工程施工过程中，承包人应按监理人指示，提交以下施工质量检查记录和报表：</w:t>
      </w:r>
    </w:p>
    <w:p w14:paraId="1EE0FB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）砌体材料和砌筑胶结材料的取样试验报告。</w:t>
      </w:r>
    </w:p>
    <w:p w14:paraId="381EE6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）砌体工程基础的质量检查记录和报表。</w:t>
      </w:r>
    </w:p>
    <w:p w14:paraId="146E4E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）砌体工程的砌筑质量检查记录和报表。</w:t>
      </w:r>
    </w:p>
    <w:p w14:paraId="66D138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）质量事故处理记录。</w:t>
      </w:r>
    </w:p>
    <w:p w14:paraId="0375660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16.1.4 引用标准</w:t>
      </w:r>
    </w:p>
    <w:p w14:paraId="49D70A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）《烧结普通砖》（</w:t>
      </w:r>
      <w:r>
        <w:rPr>
          <w:rFonts w:hint="eastAsia" w:ascii="Times New Roman" w:hAnsi="Times New Roman" w:eastAsia="宋体" w:cs="Times New Roman"/>
          <w:color w:val="auto"/>
          <w:sz w:val="24"/>
          <w:szCs w:val="24"/>
          <w:lang w:eastAsia="zh-CN"/>
        </w:rPr>
        <w:t>GB/T 5101-2017</w:t>
      </w:r>
      <w:r>
        <w:rPr>
          <w:rFonts w:ascii="宋体" w:hAnsi="宋体" w:eastAsia="宋体" w:cs="宋体"/>
          <w:color w:val="auto"/>
          <w:sz w:val="24"/>
          <w:szCs w:val="24"/>
          <w:lang w:eastAsia="zh-CN"/>
        </w:rPr>
        <w:t>）。</w:t>
      </w:r>
    </w:p>
    <w:p w14:paraId="59AA99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）《砌体结构工程施工质量验收规范》（</w:t>
      </w:r>
      <w:r>
        <w:rPr>
          <w:rFonts w:hint="eastAsia" w:ascii="Times New Roman" w:hAnsi="Times New Roman" w:eastAsia="宋体" w:cs="Times New Roman"/>
          <w:color w:val="auto"/>
          <w:sz w:val="24"/>
          <w:szCs w:val="24"/>
          <w:lang w:eastAsia="zh-CN"/>
        </w:rPr>
        <w:t>GB 50203-2011</w:t>
      </w:r>
      <w:r>
        <w:rPr>
          <w:rFonts w:ascii="宋体" w:hAnsi="宋体" w:eastAsia="宋体" w:cs="宋体"/>
          <w:color w:val="auto"/>
          <w:sz w:val="24"/>
          <w:szCs w:val="24"/>
          <w:lang w:eastAsia="zh-CN"/>
        </w:rPr>
        <w:t>）。</w:t>
      </w:r>
    </w:p>
    <w:p w14:paraId="00D657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）《烧结多孔砖和多孔砌块》（</w:t>
      </w:r>
      <w:r>
        <w:rPr>
          <w:rFonts w:hint="eastAsia" w:ascii="Times New Roman" w:hAnsi="Times New Roman" w:eastAsia="宋体" w:cs="Times New Roman"/>
          <w:color w:val="auto"/>
          <w:sz w:val="24"/>
          <w:szCs w:val="24"/>
          <w:lang w:eastAsia="zh-CN"/>
        </w:rPr>
        <w:t>GB/T 13544-2011</w:t>
      </w:r>
      <w:r>
        <w:rPr>
          <w:rFonts w:ascii="宋体" w:hAnsi="宋体" w:eastAsia="宋体" w:cs="宋体"/>
          <w:color w:val="auto"/>
          <w:sz w:val="24"/>
          <w:szCs w:val="24"/>
          <w:lang w:eastAsia="zh-CN"/>
        </w:rPr>
        <w:t>）。</w:t>
      </w:r>
    </w:p>
    <w:p w14:paraId="39EFE7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）《砌石坝设计规范》（</w:t>
      </w:r>
      <w:r>
        <w:rPr>
          <w:rFonts w:hint="eastAsia" w:ascii="Times New Roman" w:hAnsi="Times New Roman" w:eastAsia="宋体" w:cs="Times New Roman"/>
          <w:color w:val="auto"/>
          <w:sz w:val="24"/>
          <w:szCs w:val="24"/>
          <w:lang w:eastAsia="zh-CN"/>
        </w:rPr>
        <w:t>SL 25-2006</w:t>
      </w:r>
      <w:r>
        <w:rPr>
          <w:rFonts w:ascii="宋体" w:hAnsi="宋体" w:eastAsia="宋体" w:cs="宋体"/>
          <w:color w:val="auto"/>
          <w:sz w:val="24"/>
          <w:szCs w:val="24"/>
          <w:lang w:eastAsia="zh-CN"/>
        </w:rPr>
        <w:t>）。</w:t>
      </w:r>
    </w:p>
    <w:p w14:paraId="438F8D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）《水利水电工程天然建筑材料勘察规程》（</w:t>
      </w:r>
      <w:r>
        <w:rPr>
          <w:rFonts w:hint="eastAsia" w:ascii="Times New Roman" w:hAnsi="Times New Roman" w:eastAsia="宋体" w:cs="Times New Roman"/>
          <w:color w:val="auto"/>
          <w:sz w:val="24"/>
          <w:szCs w:val="24"/>
          <w:lang w:eastAsia="zh-CN"/>
        </w:rPr>
        <w:t>SL 303-2017</w:t>
      </w:r>
      <w:r>
        <w:rPr>
          <w:rFonts w:ascii="宋体" w:hAnsi="宋体" w:eastAsia="宋体" w:cs="宋体"/>
          <w:color w:val="auto"/>
          <w:sz w:val="24"/>
          <w:szCs w:val="24"/>
          <w:lang w:eastAsia="zh-CN"/>
        </w:rPr>
        <w:t>）。</w:t>
      </w:r>
    </w:p>
    <w:p w14:paraId="7541F6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）《浆砌石坝施工技术规定》（</w:t>
      </w:r>
      <w:r>
        <w:rPr>
          <w:rFonts w:ascii="Times New Roman" w:hAnsi="Times New Roman" w:eastAsia="Times New Roman" w:cs="Times New Roman"/>
          <w:color w:val="auto"/>
          <w:sz w:val="24"/>
          <w:szCs w:val="24"/>
          <w:lang w:eastAsia="zh-CN"/>
        </w:rPr>
        <w:t>SD120</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1984</w:t>
      </w:r>
      <w:r>
        <w:rPr>
          <w:rFonts w:ascii="宋体" w:hAnsi="宋体" w:eastAsia="宋体" w:cs="宋体"/>
          <w:color w:val="auto"/>
          <w:sz w:val="24"/>
          <w:szCs w:val="24"/>
          <w:lang w:eastAsia="zh-CN"/>
        </w:rPr>
        <w:t>）。</w:t>
      </w:r>
    </w:p>
    <w:p w14:paraId="7EA42F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）《普通混凝土用砂、石质量及检验方法标准》（</w:t>
      </w:r>
      <w:r>
        <w:rPr>
          <w:rFonts w:hint="eastAsia" w:ascii="Times New Roman" w:hAnsi="Times New Roman" w:eastAsia="宋体" w:cs="Times New Roman"/>
          <w:color w:val="auto"/>
          <w:sz w:val="24"/>
          <w:szCs w:val="24"/>
          <w:lang w:eastAsia="zh-CN"/>
        </w:rPr>
        <w:t>JGJ 52-2006</w:t>
      </w:r>
      <w:r>
        <w:rPr>
          <w:rFonts w:ascii="宋体" w:hAnsi="宋体" w:eastAsia="宋体" w:cs="宋体"/>
          <w:color w:val="auto"/>
          <w:sz w:val="24"/>
          <w:szCs w:val="24"/>
          <w:lang w:eastAsia="zh-CN"/>
        </w:rPr>
        <w:t>）。</w:t>
      </w:r>
    </w:p>
    <w:p w14:paraId="7BAD86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）《混凝土用水标准》（</w:t>
      </w:r>
      <w:r>
        <w:rPr>
          <w:rFonts w:hint="eastAsia" w:ascii="Times New Roman" w:hAnsi="Times New Roman" w:eastAsia="宋体" w:cs="Times New Roman"/>
          <w:color w:val="auto"/>
          <w:sz w:val="24"/>
          <w:szCs w:val="24"/>
          <w:lang w:eastAsia="zh-CN"/>
        </w:rPr>
        <w:t>JGJ 63-2006</w:t>
      </w:r>
      <w:r>
        <w:rPr>
          <w:rFonts w:ascii="宋体" w:hAnsi="宋体" w:eastAsia="宋体" w:cs="宋体"/>
          <w:color w:val="auto"/>
          <w:sz w:val="24"/>
          <w:szCs w:val="24"/>
          <w:lang w:eastAsia="zh-CN"/>
        </w:rPr>
        <w:t>）。</w:t>
      </w:r>
    </w:p>
    <w:p w14:paraId="4B0403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）《混凝土小型空心砌块建筑技术规程》（</w:t>
      </w:r>
      <w:r>
        <w:rPr>
          <w:rFonts w:hint="eastAsia" w:ascii="Times New Roman" w:hAnsi="Times New Roman" w:eastAsia="宋体" w:cs="Times New Roman"/>
          <w:color w:val="auto"/>
          <w:sz w:val="24"/>
          <w:szCs w:val="24"/>
          <w:lang w:eastAsia="zh-CN"/>
        </w:rPr>
        <w:t>JGJ/T 14-2011</w:t>
      </w:r>
      <w:r>
        <w:rPr>
          <w:rFonts w:ascii="宋体" w:hAnsi="宋体" w:eastAsia="宋体" w:cs="宋体"/>
          <w:color w:val="auto"/>
          <w:sz w:val="24"/>
          <w:szCs w:val="24"/>
          <w:lang w:eastAsia="zh-CN"/>
        </w:rPr>
        <w:t>）。</w:t>
      </w:r>
    </w:p>
    <w:p w14:paraId="73FC37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）《砌筑砂浆配合比设计规程》（</w:t>
      </w:r>
      <w:r>
        <w:rPr>
          <w:rFonts w:hint="eastAsia" w:ascii="Times New Roman" w:hAnsi="Times New Roman" w:eastAsia="宋体" w:cs="Times New Roman"/>
          <w:color w:val="auto"/>
          <w:sz w:val="24"/>
          <w:szCs w:val="24"/>
          <w:lang w:eastAsia="zh-CN"/>
        </w:rPr>
        <w:t>JGJ/T 98-2010</w:t>
      </w:r>
      <w:r>
        <w:rPr>
          <w:rFonts w:ascii="宋体" w:hAnsi="宋体" w:eastAsia="宋体" w:cs="宋体"/>
          <w:color w:val="auto"/>
          <w:sz w:val="24"/>
          <w:szCs w:val="24"/>
          <w:lang w:eastAsia="zh-CN"/>
        </w:rPr>
        <w:t>）。</w:t>
      </w:r>
    </w:p>
    <w:p w14:paraId="2DDEF1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）《堤防工程施工规范》（</w:t>
      </w:r>
      <w:r>
        <w:rPr>
          <w:rFonts w:hint="eastAsia" w:ascii="Times New Roman" w:hAnsi="Times New Roman" w:eastAsia="宋体" w:cs="Times New Roman"/>
          <w:color w:val="auto"/>
          <w:sz w:val="24"/>
          <w:szCs w:val="24"/>
          <w:lang w:eastAsia="zh-CN"/>
        </w:rPr>
        <w:t>SL 260-2014</w:t>
      </w:r>
      <w:r>
        <w:rPr>
          <w:rFonts w:ascii="宋体" w:hAnsi="宋体" w:eastAsia="宋体" w:cs="宋体"/>
          <w:color w:val="auto"/>
          <w:sz w:val="24"/>
          <w:szCs w:val="24"/>
          <w:lang w:eastAsia="zh-CN"/>
        </w:rPr>
        <w:t>）。</w:t>
      </w:r>
    </w:p>
    <w:p w14:paraId="5CE2AD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）《浙江省海塘工程技术规定》（浙水管〔</w:t>
      </w:r>
      <w:r>
        <w:rPr>
          <w:rFonts w:ascii="Times New Roman" w:hAnsi="Times New Roman" w:eastAsia="Times New Roman" w:cs="Times New Roman"/>
          <w:color w:val="auto"/>
          <w:sz w:val="24"/>
          <w:szCs w:val="24"/>
          <w:lang w:eastAsia="zh-CN"/>
        </w:rPr>
        <w:t>1999</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号）。</w:t>
      </w:r>
    </w:p>
    <w:p w14:paraId="7F2D0C26">
      <w:pPr>
        <w:widowControl w:val="0"/>
        <w:kinsoku/>
        <w:topLinePunct/>
        <w:autoSpaceDE/>
        <w:autoSpaceDN/>
        <w:spacing w:line="520" w:lineRule="exact"/>
        <w:jc w:val="both"/>
        <w:outlineLvl w:val="2"/>
        <w:rPr>
          <w:rFonts w:hint="eastAsia" w:ascii="宋体" w:hAnsi="宋体" w:eastAsia="宋体" w:cs="宋体"/>
          <w:b/>
          <w:bCs/>
          <w:color w:val="auto"/>
          <w:sz w:val="24"/>
          <w:szCs w:val="24"/>
        </w:rPr>
      </w:pPr>
      <w:bookmarkStart w:id="1452" w:name="_Toc14359"/>
      <w:bookmarkStart w:id="1453" w:name="_Toc22756"/>
      <w:bookmarkStart w:id="1454" w:name="_Toc20644"/>
      <w:r>
        <w:rPr>
          <w:rFonts w:hint="eastAsia" w:ascii="宋体" w:hAnsi="宋体" w:eastAsia="宋体" w:cs="宋体"/>
          <w:b/>
          <w:bCs/>
          <w:color w:val="auto"/>
          <w:sz w:val="24"/>
          <w:szCs w:val="24"/>
        </w:rPr>
        <w:t>16.2</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rPr>
        <w:t>石砌体工程</w:t>
      </w:r>
      <w:bookmarkEnd w:id="1452"/>
      <w:bookmarkEnd w:id="1453"/>
      <w:bookmarkEnd w:id="1454"/>
    </w:p>
    <w:p w14:paraId="7E381340">
      <w:pPr>
        <w:widowControl w:val="0"/>
        <w:kinsoku/>
        <w:topLinePunct/>
        <w:autoSpaceDE/>
        <w:autoSpaceDN/>
        <w:spacing w:line="520" w:lineRule="exact"/>
        <w:jc w:val="both"/>
        <w:outlineLvl w:val="3"/>
        <w:rPr>
          <w:rFonts w:hint="eastAsia" w:ascii="宋体" w:hAnsi="宋体" w:eastAsia="宋体" w:cs="宋体"/>
          <w:b/>
          <w:bCs/>
          <w:color w:val="auto"/>
          <w:sz w:val="24"/>
          <w:szCs w:val="24"/>
        </w:rPr>
      </w:pPr>
      <w:r>
        <w:rPr>
          <w:rFonts w:hint="eastAsia" w:ascii="宋体" w:hAnsi="宋体" w:eastAsia="宋体" w:cs="宋体"/>
          <w:b/>
          <w:bCs/>
          <w:color w:val="auto"/>
          <w:sz w:val="24"/>
          <w:szCs w:val="24"/>
        </w:rPr>
        <w:t>16.2.1</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rPr>
        <w:t>材料</w:t>
      </w:r>
    </w:p>
    <w:p w14:paraId="48476B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宋体" w:hAnsi="宋体" w:eastAsia="宋体" w:cs="宋体"/>
          <w:color w:val="auto"/>
          <w:sz w:val="24"/>
          <w:szCs w:val="24"/>
        </w:rPr>
        <w:t>（</w:t>
      </w:r>
      <w:r>
        <w:rPr>
          <w:rFonts w:ascii="Times New Roman" w:hAnsi="Times New Roman" w:eastAsia="Times New Roman" w:cs="Times New Roman"/>
          <w:color w:val="auto"/>
          <w:sz w:val="24"/>
          <w:szCs w:val="24"/>
        </w:rPr>
        <w:t>1</w:t>
      </w:r>
      <w:r>
        <w:rPr>
          <w:rFonts w:ascii="宋体" w:hAnsi="宋体" w:eastAsia="宋体" w:cs="宋体"/>
          <w:color w:val="auto"/>
          <w:sz w:val="24"/>
          <w:szCs w:val="24"/>
        </w:rPr>
        <w:t>）石料。</w:t>
      </w:r>
    </w:p>
    <w:p w14:paraId="76F0DA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）一般石料应遵守《砌体结构工程施工质量验收规范》（</w:t>
      </w:r>
      <w:r>
        <w:rPr>
          <w:rFonts w:hint="eastAsia" w:ascii="Times New Roman" w:hAnsi="Times New Roman" w:eastAsia="宋体" w:cs="Times New Roman"/>
          <w:color w:val="auto"/>
          <w:sz w:val="24"/>
          <w:szCs w:val="24"/>
          <w:lang w:eastAsia="zh-CN"/>
        </w:rPr>
        <w:t>GB 50203-2011</w:t>
      </w:r>
      <w:r>
        <w:rPr>
          <w:rFonts w:ascii="宋体" w:hAnsi="宋体" w:eastAsia="宋体" w:cs="宋体"/>
          <w:color w:val="auto"/>
          <w:sz w:val="24"/>
          <w:szCs w:val="24"/>
          <w:lang w:eastAsia="zh-CN"/>
        </w:rPr>
        <w:t>）</w:t>
      </w:r>
      <w:r>
        <w:rPr>
          <w:rFonts w:ascii="宋体" w:hAnsi="宋体" w:eastAsia="宋体" w:cs="宋体"/>
          <w:color w:val="auto"/>
          <w:spacing w:val="-20"/>
          <w:sz w:val="24"/>
          <w:szCs w:val="24"/>
          <w:lang w:eastAsia="zh-CN"/>
        </w:rPr>
        <w:t>第</w:t>
      </w:r>
      <w:r>
        <w:rPr>
          <w:rFonts w:ascii="Times New Roman" w:hAnsi="Times New Roman" w:eastAsia="Times New Roman" w:cs="Times New Roman"/>
          <w:color w:val="auto"/>
          <w:spacing w:val="-20"/>
          <w:sz w:val="24"/>
          <w:szCs w:val="24"/>
          <w:lang w:eastAsia="zh-CN"/>
        </w:rPr>
        <w:t>7.1.1</w:t>
      </w:r>
      <w:r>
        <w:rPr>
          <w:rFonts w:ascii="宋体" w:hAnsi="宋体" w:eastAsia="宋体" w:cs="宋体"/>
          <w:color w:val="auto"/>
          <w:spacing w:val="-20"/>
          <w:sz w:val="24"/>
          <w:szCs w:val="24"/>
          <w:lang w:eastAsia="zh-CN"/>
        </w:rPr>
        <w:t>条</w:t>
      </w:r>
      <w:r>
        <w:rPr>
          <w:rFonts w:ascii="宋体" w:hAnsi="宋体" w:eastAsia="宋体" w:cs="宋体"/>
          <w:color w:val="auto"/>
          <w:sz w:val="24"/>
          <w:szCs w:val="24"/>
          <w:lang w:eastAsia="zh-CN"/>
        </w:rPr>
        <w:t>和第</w:t>
      </w:r>
      <w:r>
        <w:rPr>
          <w:rFonts w:ascii="Times New Roman" w:hAnsi="Times New Roman" w:eastAsia="Times New Roman" w:cs="Times New Roman"/>
          <w:color w:val="auto"/>
          <w:sz w:val="24"/>
          <w:szCs w:val="24"/>
          <w:lang w:eastAsia="zh-CN"/>
        </w:rPr>
        <w:t>7.1.2</w:t>
      </w:r>
      <w:r>
        <w:rPr>
          <w:rFonts w:ascii="宋体" w:hAnsi="宋体" w:eastAsia="宋体" w:cs="宋体"/>
          <w:color w:val="auto"/>
          <w:sz w:val="24"/>
          <w:szCs w:val="24"/>
          <w:lang w:eastAsia="zh-CN"/>
        </w:rPr>
        <w:t>条的规定。</w:t>
      </w:r>
    </w:p>
    <w:p w14:paraId="110449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）砌石坝石料（包括毛石、块石、粗料石）应遵守</w:t>
      </w:r>
      <w:r>
        <w:rPr>
          <w:rFonts w:ascii="宋体" w:hAnsi="宋体" w:eastAsia="宋体" w:cs="宋体"/>
          <w:color w:val="auto"/>
          <w:spacing w:val="-28"/>
          <w:sz w:val="24"/>
          <w:szCs w:val="24"/>
          <w:lang w:eastAsia="zh-CN"/>
        </w:rPr>
        <w:t>《砌石坝设计规范》（</w:t>
      </w:r>
      <w:r>
        <w:rPr>
          <w:rFonts w:hint="eastAsia" w:ascii="Times New Roman" w:hAnsi="Times New Roman" w:eastAsia="宋体" w:cs="Times New Roman"/>
          <w:color w:val="auto"/>
          <w:spacing w:val="-28"/>
          <w:sz w:val="24"/>
          <w:szCs w:val="24"/>
          <w:lang w:eastAsia="zh-CN"/>
        </w:rPr>
        <w:t>SL 25-2006</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3.1.1</w:t>
      </w:r>
      <w:r>
        <w:rPr>
          <w:rFonts w:ascii="宋体" w:hAnsi="宋体" w:eastAsia="宋体" w:cs="宋体"/>
          <w:color w:val="auto"/>
          <w:sz w:val="24"/>
          <w:szCs w:val="24"/>
          <w:lang w:eastAsia="zh-CN"/>
        </w:rPr>
        <w:t>条的规定。</w:t>
      </w:r>
    </w:p>
    <w:p w14:paraId="6C882A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）灌砌块石应新鲜、坚硬，防护墙面石要求基本上有两个平整面，冲洗干净，保持湿润。</w:t>
      </w:r>
    </w:p>
    <w:p w14:paraId="3EC9D7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）胶凝材料。</w:t>
      </w:r>
    </w:p>
    <w:p w14:paraId="606BAB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）砌体采用的水泥品种、强度等级和灌砌石混凝土应遵守本合同技术条款第</w:t>
      </w:r>
      <w:r>
        <w:rPr>
          <w:rFonts w:ascii="Times New Roman" w:hAnsi="Times New Roman" w:eastAsia="Times New Roman" w:cs="Times New Roman"/>
          <w:color w:val="auto"/>
          <w:spacing w:val="-28"/>
          <w:sz w:val="24"/>
          <w:szCs w:val="24"/>
          <w:lang w:eastAsia="zh-CN"/>
        </w:rPr>
        <w:t>14.2.1</w:t>
      </w:r>
      <w:r>
        <w:rPr>
          <w:rFonts w:ascii="宋体" w:hAnsi="宋体" w:eastAsia="宋体" w:cs="宋体"/>
          <w:color w:val="auto"/>
          <w:sz w:val="24"/>
          <w:szCs w:val="24"/>
          <w:lang w:eastAsia="zh-CN"/>
        </w:rPr>
        <w:t>项的规定。</w:t>
      </w:r>
    </w:p>
    <w:p w14:paraId="1DA5FC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）用于砌筑石砌体工程的砂浆和小骨料混凝土，其配合比应通过试验确定，配合比成果应提交监理人；拌制砂浆和小骨料混凝土的用水应遵守</w:t>
      </w:r>
      <w:r>
        <w:rPr>
          <w:rFonts w:ascii="宋体" w:hAnsi="宋体" w:eastAsia="宋体" w:cs="宋体"/>
          <w:color w:val="auto"/>
          <w:spacing w:val="20"/>
          <w:sz w:val="24"/>
          <w:szCs w:val="24"/>
          <w:lang w:eastAsia="zh-CN"/>
        </w:rPr>
        <w:t>《混凝土用水标准》</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JGJ 63-2006</w:t>
      </w:r>
      <w:r>
        <w:rPr>
          <w:rFonts w:ascii="宋体" w:hAnsi="宋体" w:eastAsia="宋体" w:cs="宋体"/>
          <w:color w:val="auto"/>
          <w:sz w:val="24"/>
          <w:szCs w:val="24"/>
          <w:lang w:eastAsia="zh-CN"/>
        </w:rPr>
        <w:t>）的有关规定。</w:t>
      </w:r>
    </w:p>
    <w:p w14:paraId="03E75A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胶凝材料应采用机械拌制，局部少量的人工拌和料至少干拌三遍，再湿拌至色泽均匀后，方可使用；人工拌和时间应通过试拌确定。拌制过程中应保持粗、细骨料含水率的稳定性，根据骨料含水量的变化情况，随时调整用水量，以保证水灰比的准确性。</w:t>
      </w:r>
    </w:p>
    <w:p w14:paraId="5D8378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）胶凝材料应随拌随用，胶凝材料的允许间歇时间应通过试验确定，在运输或贮存中发生离析、析水的胶凝材料，砌筑前应重新拌和，已初凝的胶凝材料不得使用。</w:t>
      </w:r>
    </w:p>
    <w:p w14:paraId="17A1A71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16.2.2 浆砌石坝砌筑</w:t>
      </w:r>
    </w:p>
    <w:p w14:paraId="2F9447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）浆砌石坝胶结材料采用的砂和砾石应遵守</w:t>
      </w:r>
      <w:r>
        <w:rPr>
          <w:rFonts w:ascii="宋体" w:hAnsi="宋体" w:eastAsia="宋体" w:cs="宋体"/>
          <w:color w:val="auto"/>
          <w:spacing w:val="-34"/>
          <w:sz w:val="24"/>
          <w:szCs w:val="24"/>
          <w:lang w:eastAsia="zh-CN"/>
        </w:rPr>
        <w:t>《浆砌石坝施工技术规定》（</w:t>
      </w:r>
      <w:r>
        <w:rPr>
          <w:rFonts w:ascii="Times New Roman" w:hAnsi="Times New Roman" w:eastAsia="Times New Roman" w:cs="Times New Roman"/>
          <w:color w:val="auto"/>
          <w:spacing w:val="-34"/>
          <w:sz w:val="24"/>
          <w:szCs w:val="24"/>
          <w:lang w:eastAsia="zh-CN"/>
        </w:rPr>
        <w:t>SD120</w:t>
      </w:r>
      <w:r>
        <w:rPr>
          <w:rFonts w:hint="eastAsia" w:ascii="Times New Roman" w:hAnsi="Times New Roman" w:eastAsia="宋体" w:cs="Times New Roman"/>
          <w:color w:val="auto"/>
          <w:spacing w:val="-34"/>
          <w:sz w:val="24"/>
          <w:szCs w:val="24"/>
          <w:lang w:eastAsia="zh-CN"/>
        </w:rPr>
        <w:t>-</w:t>
      </w:r>
      <w:r>
        <w:rPr>
          <w:rFonts w:ascii="Times New Roman" w:hAnsi="Times New Roman" w:eastAsia="Times New Roman" w:cs="Times New Roman"/>
          <w:color w:val="auto"/>
          <w:spacing w:val="-34"/>
          <w:sz w:val="24"/>
          <w:szCs w:val="24"/>
          <w:lang w:eastAsia="zh-CN"/>
        </w:rPr>
        <w:t>1984</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章的规定。</w:t>
      </w:r>
    </w:p>
    <w:p w14:paraId="667A20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）浆砌石坝砌筑体与基岩的连接应遵守《浆砌石坝施工技术规定》</w:t>
      </w:r>
      <w:r>
        <w:rPr>
          <w:rFonts w:ascii="宋体" w:hAnsi="宋体" w:eastAsia="宋体" w:cs="宋体"/>
          <w:color w:val="auto"/>
          <w:spacing w:val="-40"/>
          <w:sz w:val="24"/>
          <w:szCs w:val="24"/>
          <w:lang w:eastAsia="zh-CN"/>
        </w:rPr>
        <w:t>（</w:t>
      </w:r>
      <w:r>
        <w:rPr>
          <w:rFonts w:ascii="Times New Roman" w:hAnsi="Times New Roman" w:eastAsia="Times New Roman" w:cs="Times New Roman"/>
          <w:color w:val="auto"/>
          <w:spacing w:val="-40"/>
          <w:sz w:val="24"/>
          <w:szCs w:val="24"/>
          <w:lang w:eastAsia="zh-CN"/>
        </w:rPr>
        <w:t>SD120</w:t>
      </w:r>
      <w:r>
        <w:rPr>
          <w:rFonts w:hint="eastAsia" w:ascii="Times New Roman" w:hAnsi="Times New Roman" w:eastAsia="宋体" w:cs="Times New Roman"/>
          <w:color w:val="auto"/>
          <w:spacing w:val="-40"/>
          <w:sz w:val="24"/>
          <w:szCs w:val="24"/>
          <w:lang w:eastAsia="zh-CN"/>
        </w:rPr>
        <w:t>-</w:t>
      </w:r>
      <w:r>
        <w:rPr>
          <w:rFonts w:ascii="Times New Roman" w:hAnsi="Times New Roman" w:eastAsia="Times New Roman" w:cs="Times New Roman"/>
          <w:color w:val="auto"/>
          <w:spacing w:val="-40"/>
          <w:sz w:val="24"/>
          <w:szCs w:val="24"/>
          <w:lang w:eastAsia="zh-CN"/>
        </w:rPr>
        <w:t>1984</w:t>
      </w:r>
      <w:r>
        <w:rPr>
          <w:rFonts w:ascii="宋体" w:hAnsi="宋体" w:eastAsia="宋体" w:cs="宋体"/>
          <w:color w:val="auto"/>
          <w:spacing w:val="-4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章第</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节的规定。</w:t>
      </w:r>
    </w:p>
    <w:p w14:paraId="764AE6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）浆砌石坝的砌筑应遵守《浆砌石坝施工技术规定》（</w:t>
      </w:r>
      <w:r>
        <w:rPr>
          <w:rFonts w:ascii="Times New Roman" w:hAnsi="Times New Roman" w:eastAsia="Times New Roman" w:cs="Times New Roman"/>
          <w:color w:val="auto"/>
          <w:sz w:val="24"/>
          <w:szCs w:val="24"/>
          <w:lang w:eastAsia="zh-CN"/>
        </w:rPr>
        <w:t>SD120</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1984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4.2.4</w:t>
      </w:r>
      <w:r>
        <w:rPr>
          <w:rFonts w:hint="eastAsia"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4.2.9</w:t>
      </w:r>
      <w:r>
        <w:rPr>
          <w:rFonts w:ascii="宋体" w:hAnsi="宋体" w:eastAsia="宋体" w:cs="宋体"/>
          <w:color w:val="auto"/>
          <w:sz w:val="24"/>
          <w:szCs w:val="24"/>
          <w:lang w:eastAsia="zh-CN"/>
        </w:rPr>
        <w:t>条的规定，砌体应密实、无架空和漏浆情况。其砌体容重和空隙率的控制应遵守《浆砌石坝施工技术规定》（</w:t>
      </w:r>
      <w:r>
        <w:rPr>
          <w:rFonts w:ascii="Times New Roman" w:hAnsi="Times New Roman" w:eastAsia="Times New Roman" w:cs="Times New Roman"/>
          <w:color w:val="auto"/>
          <w:sz w:val="24"/>
          <w:szCs w:val="24"/>
          <w:lang w:eastAsia="zh-CN"/>
        </w:rPr>
        <w:t>SD120</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1984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4.2.21</w:t>
      </w:r>
      <w:r>
        <w:rPr>
          <w:rFonts w:ascii="宋体" w:hAnsi="宋体" w:eastAsia="宋体" w:cs="宋体"/>
          <w:color w:val="auto"/>
          <w:sz w:val="24"/>
          <w:szCs w:val="24"/>
          <w:lang w:eastAsia="zh-CN"/>
        </w:rPr>
        <w:t>条的规定。</w:t>
      </w:r>
    </w:p>
    <w:p w14:paraId="327867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）浆砌石坝的混凝土防渗体施工应遵守</w:t>
      </w:r>
      <w:r>
        <w:rPr>
          <w:rFonts w:ascii="宋体" w:hAnsi="宋体" w:eastAsia="宋体" w:cs="宋体"/>
          <w:color w:val="auto"/>
          <w:spacing w:val="-20"/>
          <w:sz w:val="24"/>
          <w:szCs w:val="24"/>
          <w:lang w:eastAsia="zh-CN"/>
        </w:rPr>
        <w:t>《浆砌石坝施工技术规定》（</w:t>
      </w:r>
      <w:r>
        <w:rPr>
          <w:rFonts w:ascii="Times New Roman" w:hAnsi="Times New Roman" w:eastAsia="Times New Roman" w:cs="Times New Roman"/>
          <w:color w:val="auto"/>
          <w:spacing w:val="-20"/>
          <w:sz w:val="24"/>
          <w:szCs w:val="24"/>
          <w:lang w:eastAsia="zh-CN"/>
        </w:rPr>
        <w:t>SD120</w:t>
      </w:r>
      <w:r>
        <w:rPr>
          <w:rFonts w:hint="eastAsia" w:ascii="Times New Roman" w:hAnsi="Times New Roman" w:eastAsia="宋体" w:cs="Times New Roman"/>
          <w:color w:val="auto"/>
          <w:spacing w:val="-20"/>
          <w:sz w:val="24"/>
          <w:szCs w:val="24"/>
          <w:lang w:eastAsia="zh-CN"/>
        </w:rPr>
        <w:t>-</w:t>
      </w:r>
      <w:r>
        <w:rPr>
          <w:rFonts w:ascii="Times New Roman" w:hAnsi="Times New Roman" w:eastAsia="Times New Roman" w:cs="Times New Roman"/>
          <w:color w:val="auto"/>
          <w:spacing w:val="-20"/>
          <w:sz w:val="24"/>
          <w:szCs w:val="24"/>
          <w:lang w:eastAsia="zh-CN"/>
        </w:rPr>
        <w:t>1984</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5.1.3</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5.1.15</w:t>
      </w:r>
      <w:r>
        <w:rPr>
          <w:rFonts w:ascii="宋体" w:hAnsi="宋体" w:eastAsia="宋体" w:cs="宋体"/>
          <w:color w:val="auto"/>
          <w:sz w:val="24"/>
          <w:szCs w:val="24"/>
          <w:lang w:eastAsia="zh-CN"/>
        </w:rPr>
        <w:t>条的规定。</w:t>
      </w:r>
    </w:p>
    <w:p w14:paraId="5037E3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）浆砌石坝的水泥砂浆勾缝防渗应遵守</w:t>
      </w:r>
      <w:r>
        <w:rPr>
          <w:rFonts w:ascii="宋体" w:hAnsi="宋体" w:eastAsia="宋体" w:cs="宋体"/>
          <w:color w:val="auto"/>
          <w:spacing w:val="23"/>
          <w:sz w:val="24"/>
          <w:szCs w:val="24"/>
          <w:lang w:eastAsia="zh-CN"/>
        </w:rPr>
        <w:t>《砌体结构工程施工质量验收规范》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 50203-2011</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7.2</w:t>
      </w:r>
      <w:r>
        <w:rPr>
          <w:rFonts w:ascii="宋体" w:hAnsi="宋体" w:eastAsia="宋体" w:cs="宋体"/>
          <w:color w:val="auto"/>
          <w:sz w:val="24"/>
          <w:szCs w:val="24"/>
          <w:lang w:eastAsia="zh-CN"/>
        </w:rPr>
        <w:t>节和第</w:t>
      </w:r>
      <w:r>
        <w:rPr>
          <w:rFonts w:ascii="Times New Roman" w:hAnsi="Times New Roman" w:eastAsia="Times New Roman" w:cs="Times New Roman"/>
          <w:color w:val="auto"/>
          <w:sz w:val="24"/>
          <w:szCs w:val="24"/>
          <w:lang w:eastAsia="zh-CN"/>
        </w:rPr>
        <w:t>7.3</w:t>
      </w:r>
      <w:r>
        <w:rPr>
          <w:rFonts w:ascii="宋体" w:hAnsi="宋体" w:eastAsia="宋体" w:cs="宋体"/>
          <w:color w:val="auto"/>
          <w:sz w:val="24"/>
          <w:szCs w:val="24"/>
          <w:lang w:eastAsia="zh-CN"/>
        </w:rPr>
        <w:t>节的规定。</w:t>
      </w:r>
    </w:p>
    <w:p w14:paraId="0B18435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16.2.3 干砌石护坡砌筑</w:t>
      </w:r>
    </w:p>
    <w:p w14:paraId="3CDC1A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）砌筑护坡的干砌石砌体，应在砂砾石垫层上，以层与层错缝锁结方式铺砌，砂砾垫层料的粒径不应大于</w:t>
      </w:r>
      <w:r>
        <w:rPr>
          <w:rFonts w:ascii="Times New Roman" w:hAnsi="Times New Roman" w:eastAsia="Times New Roman" w:cs="Times New Roman"/>
          <w:color w:val="auto"/>
          <w:sz w:val="24"/>
          <w:szCs w:val="24"/>
          <w:u w:val="single"/>
          <w:lang w:eastAsia="zh-CN"/>
        </w:rPr>
        <w:t>50</w:t>
      </w:r>
      <w:r>
        <w:rPr>
          <w:rFonts w:ascii="Times New Roman" w:hAnsi="Times New Roman" w:eastAsia="Times New Roman" w:cs="Times New Roman"/>
          <w:color w:val="auto"/>
          <w:sz w:val="24"/>
          <w:szCs w:val="24"/>
          <w:lang w:eastAsia="zh-CN"/>
        </w:rPr>
        <w:t>mm</w:t>
      </w:r>
      <w:r>
        <w:rPr>
          <w:rFonts w:ascii="宋体" w:hAnsi="宋体" w:eastAsia="宋体" w:cs="宋体"/>
          <w:color w:val="auto"/>
          <w:sz w:val="24"/>
          <w:szCs w:val="24"/>
          <w:lang w:eastAsia="zh-CN"/>
        </w:rPr>
        <w:t>，含泥量应小于</w:t>
      </w:r>
      <w:r>
        <w:rPr>
          <w:rFonts w:ascii="Times New Roman" w:hAnsi="Times New Roman" w:eastAsia="Times New Roman" w:cs="Times New Roman"/>
          <w:color w:val="auto"/>
          <w:sz w:val="24"/>
          <w:szCs w:val="24"/>
          <w:u w:val="single"/>
          <w:lang w:eastAsia="zh-CN"/>
        </w:rPr>
        <w:t>5</w:t>
      </w:r>
      <w:r>
        <w:rPr>
          <w:rFonts w:ascii="宋体" w:hAnsi="宋体" w:eastAsia="宋体" w:cs="宋体"/>
          <w:color w:val="auto"/>
          <w:sz w:val="24"/>
          <w:szCs w:val="24"/>
          <w:lang w:eastAsia="zh-CN"/>
        </w:rPr>
        <w:t>％。垫层与干砌石应随铺随砌。</w:t>
      </w:r>
    </w:p>
    <w:p w14:paraId="62FDEF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）护坡表面砌缝的宽度不应大于</w:t>
      </w:r>
      <w:r>
        <w:rPr>
          <w:rFonts w:ascii="Times New Roman" w:hAnsi="Times New Roman" w:eastAsia="Times New Roman" w:cs="Times New Roman"/>
          <w:color w:val="auto"/>
          <w:sz w:val="24"/>
          <w:szCs w:val="24"/>
          <w:u w:val="single"/>
          <w:lang w:eastAsia="zh-CN"/>
        </w:rPr>
        <w:t>25</w:t>
      </w:r>
      <w:r>
        <w:rPr>
          <w:rFonts w:ascii="Times New Roman" w:hAnsi="Times New Roman" w:eastAsia="Times New Roman" w:cs="Times New Roman"/>
          <w:color w:val="auto"/>
          <w:sz w:val="24"/>
          <w:szCs w:val="24"/>
          <w:lang w:eastAsia="zh-CN"/>
        </w:rPr>
        <w:t>mm</w:t>
      </w:r>
      <w:r>
        <w:rPr>
          <w:rFonts w:ascii="宋体" w:hAnsi="宋体" w:eastAsia="宋体" w:cs="宋体"/>
          <w:color w:val="auto"/>
          <w:sz w:val="24"/>
          <w:szCs w:val="24"/>
          <w:lang w:eastAsia="zh-CN"/>
        </w:rPr>
        <w:t>，砌石边缘应顺直、整齐牢固。</w:t>
      </w:r>
    </w:p>
    <w:p w14:paraId="42E00C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）砌体外露面的坡顶和侧边，应选用较整齐的石块砌筑平整。</w:t>
      </w:r>
    </w:p>
    <w:p w14:paraId="284D3A4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16.2.4 干砌石挡土墙砌筑</w:t>
      </w:r>
    </w:p>
    <w:p w14:paraId="35C0DE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）挡土墙基础底部应砌成</w:t>
      </w:r>
      <w:r>
        <w:rPr>
          <w:rFonts w:ascii="Times New Roman" w:hAnsi="Times New Roman" w:eastAsia="Times New Roman" w:cs="Times New Roman"/>
          <w:color w:val="auto"/>
          <w:sz w:val="24"/>
          <w:szCs w:val="24"/>
          <w:u w:val="single"/>
          <w:lang w:eastAsia="zh-CN"/>
        </w:rPr>
        <w:t>1</w:t>
      </w:r>
      <w:r>
        <w:rPr>
          <w:rFonts w:ascii="宋体" w:hAnsi="宋体" w:eastAsia="宋体" w:cs="宋体"/>
          <w:color w:val="auto"/>
          <w:sz w:val="24"/>
          <w:szCs w:val="24"/>
          <w:u w:val="single"/>
          <w:lang w:eastAsia="zh-CN"/>
        </w:rPr>
        <w:t>∶</w:t>
      </w:r>
      <w:r>
        <w:rPr>
          <w:rFonts w:ascii="Times New Roman" w:hAnsi="Times New Roman" w:eastAsia="Times New Roman" w:cs="Times New Roman"/>
          <w:color w:val="auto"/>
          <w:sz w:val="24"/>
          <w:szCs w:val="24"/>
          <w:u w:val="single"/>
          <w:lang w:eastAsia="zh-CN"/>
        </w:rPr>
        <w:t>5</w:t>
      </w:r>
      <w:r>
        <w:rPr>
          <w:rFonts w:ascii="宋体" w:hAnsi="宋体" w:eastAsia="宋体" w:cs="宋体"/>
          <w:color w:val="auto"/>
          <w:sz w:val="24"/>
          <w:szCs w:val="24"/>
          <w:lang w:eastAsia="zh-CN"/>
        </w:rPr>
        <w:t>的底坡，形成与受力方向相反的倾斜坡，挡墙的基础或底层应先用较大的精选石块铺垫。</w:t>
      </w:r>
    </w:p>
    <w:p w14:paraId="43137E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）石料应分层错缝砌筑，砌层应大致水平，但不得用小石块塞垫找平。</w:t>
      </w:r>
    </w:p>
    <w:p w14:paraId="5DD69C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）石块应铺砌稳定，相互锁结。</w:t>
      </w:r>
    </w:p>
    <w:p w14:paraId="0D3319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）当砌体高度超过</w:t>
      </w:r>
      <w:r>
        <w:rPr>
          <w:rFonts w:ascii="Times New Roman" w:hAnsi="Times New Roman" w:eastAsia="Times New Roman" w:cs="Times New Roman"/>
          <w:color w:val="auto"/>
          <w:sz w:val="24"/>
          <w:szCs w:val="24"/>
          <w:u w:val="single"/>
          <w:lang w:eastAsia="zh-CN"/>
        </w:rPr>
        <w:t>6m</w:t>
      </w:r>
      <w:r>
        <w:rPr>
          <w:rFonts w:ascii="宋体" w:hAnsi="宋体" w:eastAsia="宋体" w:cs="宋体"/>
          <w:color w:val="auto"/>
          <w:sz w:val="24"/>
          <w:szCs w:val="24"/>
          <w:lang w:eastAsia="zh-CN"/>
        </w:rPr>
        <w:t>时，应沿砌体高度方向每隔</w:t>
      </w:r>
      <w:r>
        <w:rPr>
          <w:rFonts w:ascii="Times New Roman" w:hAnsi="Times New Roman" w:eastAsia="Times New Roman" w:cs="Times New Roman"/>
          <w:color w:val="auto"/>
          <w:spacing w:val="-20"/>
          <w:sz w:val="24"/>
          <w:szCs w:val="24"/>
          <w:u w:val="single"/>
          <w:lang w:eastAsia="zh-CN"/>
        </w:rPr>
        <w:t>3</w:t>
      </w:r>
      <w:r>
        <w:rPr>
          <w:rFonts w:ascii="宋体" w:hAnsi="宋体" w:eastAsia="宋体" w:cs="宋体"/>
          <w:color w:val="auto"/>
          <w:spacing w:val="-20"/>
          <w:sz w:val="24"/>
          <w:szCs w:val="24"/>
          <w:u w:val="single"/>
          <w:lang w:eastAsia="zh-CN"/>
        </w:rPr>
        <w:t>～</w:t>
      </w:r>
      <w:r>
        <w:rPr>
          <w:rFonts w:ascii="Times New Roman" w:hAnsi="Times New Roman" w:eastAsia="Times New Roman" w:cs="Times New Roman"/>
          <w:color w:val="auto"/>
          <w:spacing w:val="-20"/>
          <w:sz w:val="24"/>
          <w:szCs w:val="24"/>
          <w:u w:val="single"/>
          <w:lang w:eastAsia="zh-CN"/>
        </w:rPr>
        <w:t>4m</w:t>
      </w:r>
      <w:r>
        <w:rPr>
          <w:rFonts w:ascii="宋体" w:hAnsi="宋体" w:eastAsia="宋体" w:cs="宋体"/>
          <w:color w:val="auto"/>
          <w:spacing w:val="-20"/>
          <w:sz w:val="24"/>
          <w:szCs w:val="24"/>
          <w:lang w:eastAsia="zh-CN"/>
        </w:rPr>
        <w:t>设置厚度不小于</w:t>
      </w:r>
      <w:r>
        <w:rPr>
          <w:rFonts w:ascii="Times New Roman" w:hAnsi="Times New Roman" w:eastAsia="Times New Roman" w:cs="Times New Roman"/>
          <w:color w:val="auto"/>
          <w:spacing w:val="-20"/>
          <w:sz w:val="24"/>
          <w:szCs w:val="24"/>
          <w:u w:val="single"/>
          <w:lang w:eastAsia="zh-CN"/>
        </w:rPr>
        <w:t>500mm</w:t>
      </w:r>
      <w:r>
        <w:rPr>
          <w:rFonts w:ascii="宋体" w:hAnsi="宋体" w:eastAsia="宋体" w:cs="宋体"/>
          <w:color w:val="auto"/>
          <w:sz w:val="24"/>
          <w:szCs w:val="24"/>
          <w:lang w:eastAsia="zh-CN"/>
        </w:rPr>
        <w:t>的水平肋带，并用不低于</w:t>
      </w:r>
      <w:r>
        <w:rPr>
          <w:rFonts w:ascii="Times New Roman" w:hAnsi="Times New Roman" w:eastAsia="Times New Roman" w:cs="Times New Roman"/>
          <w:color w:val="auto"/>
          <w:sz w:val="24"/>
          <w:szCs w:val="24"/>
          <w:u w:val="single"/>
          <w:lang w:eastAsia="zh-CN"/>
        </w:rPr>
        <w:t>M10</w:t>
      </w:r>
      <w:r>
        <w:rPr>
          <w:rFonts w:ascii="宋体" w:hAnsi="宋体" w:eastAsia="宋体" w:cs="宋体"/>
          <w:color w:val="auto"/>
          <w:sz w:val="24"/>
          <w:szCs w:val="24"/>
          <w:lang w:eastAsia="zh-CN"/>
        </w:rPr>
        <w:t>的水泥砂浆砌筑固牢。</w:t>
      </w:r>
    </w:p>
    <w:p w14:paraId="7C5AE76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16.2.5 细骨料混凝土灌砌石防护墙</w:t>
      </w:r>
    </w:p>
    <w:p w14:paraId="466D7D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）先铺混凝土，后摆砌块石，再灌人混凝土振捣。要求分层灌砌，先砌面石，再砌腹石。砌筑面石工艺类似浆砌石，缝距一般</w:t>
      </w:r>
      <w:r>
        <w:rPr>
          <w:rFonts w:ascii="Times New Roman" w:hAnsi="Times New Roman" w:eastAsia="Times New Roman" w:cs="Times New Roman"/>
          <w:color w:val="auto"/>
          <w:sz w:val="24"/>
          <w:szCs w:val="24"/>
          <w:lang w:eastAsia="zh-CN"/>
        </w:rPr>
        <w:t>4</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5cm(</w:t>
      </w:r>
      <w:r>
        <w:rPr>
          <w:rFonts w:ascii="宋体" w:hAnsi="宋体" w:eastAsia="宋体" w:cs="宋体"/>
          <w:color w:val="auto"/>
          <w:sz w:val="24"/>
          <w:szCs w:val="24"/>
          <w:lang w:eastAsia="zh-CN"/>
        </w:rPr>
        <w:t>一级配</w:t>
      </w:r>
      <w:r>
        <w:rPr>
          <w:rFonts w:ascii="Times New Roman" w:hAnsi="Times New Roman" w:eastAsia="Times New Roman" w:cs="Times New Roman"/>
          <w:color w:val="auto"/>
          <w:sz w:val="24"/>
          <w:szCs w:val="24"/>
          <w:lang w:eastAsia="zh-CN"/>
        </w:rPr>
        <w:t>)</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10cm(</w:t>
      </w:r>
      <w:r>
        <w:rPr>
          <w:rFonts w:ascii="宋体" w:hAnsi="宋体" w:eastAsia="宋体" w:cs="宋体"/>
          <w:color w:val="auto"/>
          <w:sz w:val="24"/>
          <w:szCs w:val="24"/>
          <w:lang w:eastAsia="zh-CN"/>
        </w:rPr>
        <w:t>二级配</w:t>
      </w:r>
      <w:r>
        <w:rPr>
          <w:rFonts w:ascii="Times New Roman" w:hAnsi="Times New Roman" w:eastAsia="Times New Roman" w:cs="Times New Roman"/>
          <w:color w:val="auto"/>
          <w:sz w:val="24"/>
          <w:szCs w:val="24"/>
          <w:lang w:eastAsia="zh-CN"/>
        </w:rPr>
        <w:t>)</w:t>
      </w:r>
      <w:r>
        <w:rPr>
          <w:rFonts w:ascii="宋体" w:hAnsi="宋体" w:eastAsia="宋体" w:cs="宋体"/>
          <w:color w:val="auto"/>
          <w:sz w:val="24"/>
          <w:szCs w:val="24"/>
          <w:lang w:eastAsia="zh-CN"/>
        </w:rPr>
        <w:t>，腹石要求大面朝下，块石之间形成上大下小缝隙，以利混凝土灌注及振捣密实。</w:t>
      </w:r>
    </w:p>
    <w:p w14:paraId="717CC1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）面石与腹石的衔接，应布设丁石</w:t>
      </w:r>
      <w:r>
        <w:rPr>
          <w:rFonts w:ascii="Times New Roman" w:hAnsi="Times New Roman" w:eastAsia="Times New Roman" w:cs="Times New Roman"/>
          <w:color w:val="auto"/>
          <w:sz w:val="24"/>
          <w:szCs w:val="24"/>
          <w:lang w:eastAsia="zh-CN"/>
        </w:rPr>
        <w:t>,</w:t>
      </w:r>
      <w:r>
        <w:rPr>
          <w:rFonts w:ascii="宋体" w:hAnsi="宋体" w:eastAsia="宋体" w:cs="宋体"/>
          <w:color w:val="auto"/>
          <w:sz w:val="24"/>
          <w:szCs w:val="24"/>
          <w:lang w:eastAsia="zh-CN"/>
        </w:rPr>
        <w:t>避免面石与腹石间出现纵向通缝，上下层面石和腹石间应错缝砌筑，亦不能形成通缝。直立墙表面应平整顺直。</w:t>
      </w:r>
    </w:p>
    <w:p w14:paraId="5A050F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）一般用面石当模板，面石间可用</w:t>
      </w:r>
      <w:r>
        <w:rPr>
          <w:rFonts w:ascii="Times New Roman" w:hAnsi="Times New Roman" w:eastAsia="Times New Roman" w:cs="Times New Roman"/>
          <w:color w:val="auto"/>
          <w:sz w:val="24"/>
          <w:szCs w:val="24"/>
          <w:lang w:eastAsia="zh-CN"/>
        </w:rPr>
        <w:t>1</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水泥砂浆勾缝，待砂浆初凝后，灌入混凝土振捣密实，再砌筑上一层灌砌石。</w:t>
      </w:r>
    </w:p>
    <w:p w14:paraId="0F415C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）灌砌石与老塘身砌石接触部位，原砌石面层应清除松动勾缝砂浆等废物垃圾并冲洗干净。当分层砌筑，层面间歇时间较长，应将面层松动混凝土清除并冲洗干净，先铺浆，后摆石，再混凝土灌缝并振实。</w:t>
      </w:r>
    </w:p>
    <w:p w14:paraId="598A67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）对灌砌石混凝土的振捣、养护及布设排水孔、沉降缝要求应参照《浙江省海塘工程技术规定》（浙水管〔</w:t>
      </w:r>
      <w:r>
        <w:rPr>
          <w:rFonts w:ascii="Times New Roman" w:hAnsi="Times New Roman" w:eastAsia="Times New Roman" w:cs="Times New Roman"/>
          <w:color w:val="auto"/>
          <w:sz w:val="24"/>
          <w:szCs w:val="24"/>
          <w:lang w:eastAsia="zh-CN"/>
        </w:rPr>
        <w:t>1999</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号）</w:t>
      </w:r>
      <w:r>
        <w:rPr>
          <w:rFonts w:ascii="Times New Roman" w:hAnsi="Times New Roman" w:eastAsia="Times New Roman" w:cs="Times New Roman"/>
          <w:color w:val="auto"/>
          <w:sz w:val="24"/>
          <w:szCs w:val="24"/>
          <w:lang w:eastAsia="zh-CN"/>
        </w:rPr>
        <w:t>7.6</w:t>
      </w:r>
      <w:r>
        <w:rPr>
          <w:rFonts w:ascii="宋体" w:hAnsi="宋体" w:eastAsia="宋体" w:cs="宋体"/>
          <w:color w:val="auto"/>
          <w:sz w:val="24"/>
          <w:szCs w:val="24"/>
          <w:lang w:eastAsia="zh-CN"/>
        </w:rPr>
        <w:t>节</w:t>
      </w:r>
      <w:r>
        <w:rPr>
          <w:rFonts w:ascii="Times New Roman" w:hAnsi="Times New Roman" w:eastAsia="Times New Roman" w:cs="Times New Roman"/>
          <w:color w:val="auto"/>
          <w:sz w:val="24"/>
          <w:szCs w:val="24"/>
          <w:lang w:eastAsia="zh-CN"/>
        </w:rPr>
        <w:t>7.6.6</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7.6.8</w:t>
      </w:r>
      <w:r>
        <w:rPr>
          <w:rFonts w:ascii="宋体" w:hAnsi="宋体" w:eastAsia="宋体" w:cs="宋体"/>
          <w:color w:val="auto"/>
          <w:sz w:val="24"/>
          <w:szCs w:val="24"/>
          <w:lang w:eastAsia="zh-CN"/>
        </w:rPr>
        <w:t>条规定。</w:t>
      </w:r>
    </w:p>
    <w:p w14:paraId="2DBCCD82">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）灌砌石的密实度，</w:t>
      </w:r>
      <w:r>
        <w:rPr>
          <w:rFonts w:ascii="宋体" w:hAnsi="宋体" w:eastAsia="宋体" w:cs="宋体"/>
          <w:color w:val="auto"/>
          <w:spacing w:val="-20"/>
          <w:sz w:val="24"/>
          <w:szCs w:val="24"/>
          <w:lang w:eastAsia="zh-CN"/>
        </w:rPr>
        <w:t>以块石面与混凝土粘结程度为检验依据，其粘结面不小于</w:t>
      </w:r>
      <w:r>
        <w:rPr>
          <w:rFonts w:ascii="Times New Roman" w:hAnsi="Times New Roman" w:eastAsia="Times New Roman" w:cs="Times New Roman"/>
          <w:color w:val="auto"/>
          <w:spacing w:val="-20"/>
          <w:sz w:val="24"/>
          <w:szCs w:val="24"/>
          <w:lang w:eastAsia="zh-CN"/>
        </w:rPr>
        <w:t>90%</w:t>
      </w:r>
      <w:r>
        <w:rPr>
          <w:rFonts w:ascii="宋体" w:hAnsi="宋体" w:eastAsia="宋体" w:cs="宋体"/>
          <w:color w:val="auto"/>
          <w:spacing w:val="-20"/>
          <w:sz w:val="24"/>
          <w:szCs w:val="24"/>
          <w:lang w:eastAsia="zh-CN"/>
        </w:rPr>
        <w:t>。</w:t>
      </w:r>
    </w:p>
    <w:p w14:paraId="3F24CA3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16.2.6 细骨料混凝土灌砌石护坡</w:t>
      </w:r>
    </w:p>
    <w:p w14:paraId="016F9A73">
      <w:pPr>
        <w:widowControl w:val="0"/>
        <w:kinsoku/>
        <w:topLinePunct/>
        <w:autoSpaceDE/>
        <w:autoSpaceDN/>
        <w:spacing w:line="520" w:lineRule="exact"/>
        <w:ind w:firstLine="480" w:firstLineChars="200"/>
        <w:jc w:val="both"/>
        <w:rPr>
          <w:rFonts w:ascii="Times New Roman" w:hAnsi="Times New Roman" w:eastAsia="宋体" w:cs="Times New Roman"/>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）块石铺砌与混凝土灌缝应分别进行。缝宽控制同本条灌砌石防护墙施工</w:t>
      </w:r>
      <w:r>
        <w:rPr>
          <w:rFonts w:hint="eastAsia" w:ascii="Times New Roman" w:hAnsi="Times New Roman" w:eastAsia="宋体" w:cs="Times New Roman"/>
          <w:color w:val="auto"/>
          <w:sz w:val="24"/>
          <w:szCs w:val="24"/>
          <w:lang w:eastAsia="zh-CN"/>
        </w:rPr>
        <w:t>；</w:t>
      </w:r>
    </w:p>
    <w:p w14:paraId="3184CC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）灌砌石护坡基底为砂砾碎石垫层时，可不必座浆。</w:t>
      </w:r>
    </w:p>
    <w:p w14:paraId="4EB18F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）当块石竖砌时，为保证缝隙需用小石隔开，灌入混凝土前应取掉卡石，清除缝内杂物，混凝土振捣密实后应略低于块石顶面，保证块石露面并清扫干净。</w:t>
      </w:r>
    </w:p>
    <w:p w14:paraId="0CDE85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）灌砌石护坡应保证混凝土填灌料质量，填充饱满、插（振）捣密实。对灌砌石混凝土的振捣、养护及布设排水孔、沉降缝要求应参照《浙江省海塘工程技术规定》（浙水管〔</w:t>
      </w:r>
      <w:r>
        <w:rPr>
          <w:rFonts w:ascii="Times New Roman" w:hAnsi="Times New Roman" w:eastAsia="Times New Roman" w:cs="Times New Roman"/>
          <w:color w:val="auto"/>
          <w:sz w:val="24"/>
          <w:szCs w:val="24"/>
          <w:lang w:eastAsia="zh-CN"/>
        </w:rPr>
        <w:t>1999</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号）</w:t>
      </w:r>
      <w:r>
        <w:rPr>
          <w:rFonts w:ascii="Times New Roman" w:hAnsi="Times New Roman" w:eastAsia="Times New Roman" w:cs="Times New Roman"/>
          <w:color w:val="auto"/>
          <w:sz w:val="24"/>
          <w:szCs w:val="24"/>
          <w:lang w:eastAsia="zh-CN"/>
        </w:rPr>
        <w:t>7.6</w:t>
      </w:r>
      <w:r>
        <w:rPr>
          <w:rFonts w:ascii="宋体" w:hAnsi="宋体" w:eastAsia="宋体" w:cs="宋体"/>
          <w:color w:val="auto"/>
          <w:sz w:val="24"/>
          <w:szCs w:val="24"/>
          <w:lang w:eastAsia="zh-CN"/>
        </w:rPr>
        <w:t>节</w:t>
      </w:r>
      <w:r>
        <w:rPr>
          <w:rFonts w:ascii="Times New Roman" w:hAnsi="Times New Roman" w:eastAsia="Times New Roman" w:cs="Times New Roman"/>
          <w:color w:val="auto"/>
          <w:sz w:val="24"/>
          <w:szCs w:val="24"/>
          <w:lang w:eastAsia="zh-CN"/>
        </w:rPr>
        <w:t>7.6.6</w:t>
      </w:r>
      <w:r>
        <w:rPr>
          <w:rFonts w:hint="eastAsia" w:ascii="Times New Roman" w:hAnsi="Times New Roman" w:eastAsia="宋体" w:cs="Times New Roman"/>
          <w:color w:val="auto"/>
          <w:sz w:val="24"/>
          <w:szCs w:val="24"/>
          <w:lang w:eastAsia="zh-CN"/>
        </w:rPr>
        <w:t>～</w:t>
      </w:r>
      <w:r>
        <w:rPr>
          <w:rFonts w:ascii="Times New Roman" w:hAnsi="Times New Roman" w:eastAsia="Times New Roman" w:cs="Times New Roman"/>
          <w:color w:val="auto"/>
          <w:sz w:val="24"/>
          <w:szCs w:val="24"/>
          <w:lang w:eastAsia="zh-CN"/>
        </w:rPr>
        <w:t>7.6.8</w:t>
      </w:r>
      <w:r>
        <w:rPr>
          <w:rFonts w:ascii="宋体" w:hAnsi="宋体" w:eastAsia="宋体" w:cs="宋体"/>
          <w:color w:val="auto"/>
          <w:sz w:val="24"/>
          <w:szCs w:val="24"/>
          <w:lang w:eastAsia="zh-CN"/>
        </w:rPr>
        <w:t>条规定。</w:t>
      </w:r>
    </w:p>
    <w:p w14:paraId="4FAB1E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）灌砌石的密实度，以块石面与混凝土粘结程度为检验依据，其粘结面不小于</w:t>
      </w:r>
      <w:r>
        <w:rPr>
          <w:rFonts w:ascii="Times New Roman" w:hAnsi="Times New Roman" w:eastAsia="Times New Roman" w:cs="Times New Roman"/>
          <w:color w:val="auto"/>
          <w:sz w:val="24"/>
          <w:szCs w:val="24"/>
          <w:lang w:eastAsia="zh-CN"/>
        </w:rPr>
        <w:t>90%</w:t>
      </w:r>
      <w:r>
        <w:rPr>
          <w:rFonts w:ascii="宋体" w:hAnsi="宋体" w:eastAsia="宋体" w:cs="宋体"/>
          <w:color w:val="auto"/>
          <w:sz w:val="24"/>
          <w:szCs w:val="24"/>
          <w:lang w:eastAsia="zh-CN"/>
        </w:rPr>
        <w:t>。</w:t>
      </w:r>
    </w:p>
    <w:p w14:paraId="72C2BE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）细骨料混凝土灌砌石护坡及防护墙施工应参照《浙江省海塘工程技术规定》（浙水管〔</w:t>
      </w:r>
      <w:r>
        <w:rPr>
          <w:rFonts w:ascii="Times New Roman" w:hAnsi="Times New Roman" w:eastAsia="Times New Roman" w:cs="Times New Roman"/>
          <w:color w:val="auto"/>
          <w:sz w:val="24"/>
          <w:szCs w:val="24"/>
          <w:lang w:eastAsia="zh-CN"/>
        </w:rPr>
        <w:t>1999</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号）</w:t>
      </w:r>
      <w:r>
        <w:rPr>
          <w:rFonts w:ascii="Times New Roman" w:hAnsi="Times New Roman" w:eastAsia="Times New Roman" w:cs="Times New Roman"/>
          <w:color w:val="auto"/>
          <w:sz w:val="24"/>
          <w:szCs w:val="24"/>
          <w:lang w:eastAsia="zh-CN"/>
        </w:rPr>
        <w:t>7.5.3</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7.5.4</w:t>
      </w:r>
      <w:r>
        <w:rPr>
          <w:rFonts w:ascii="宋体" w:hAnsi="宋体" w:eastAsia="宋体" w:cs="宋体"/>
          <w:color w:val="auto"/>
          <w:sz w:val="24"/>
          <w:szCs w:val="24"/>
          <w:lang w:eastAsia="zh-CN"/>
        </w:rPr>
        <w:t>条有关要点进行。</w:t>
      </w:r>
    </w:p>
    <w:p w14:paraId="340BC2E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16.2.7 石砌体工程的质量检查</w:t>
      </w:r>
    </w:p>
    <w:p w14:paraId="4240E8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）砌体工程砌筑前，承包人应会同监理人对砌筑体基础开挖面的测量放样成果和基础清理质量进行检查，检查记录应提交监理人。</w:t>
      </w:r>
    </w:p>
    <w:p w14:paraId="4F2301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）用于石砌体工程的水泥、水、砂、胶凝材料和砌石等材料，应按监理人指示和本章第</w:t>
      </w:r>
      <w:r>
        <w:rPr>
          <w:rFonts w:ascii="Times New Roman" w:hAnsi="Times New Roman" w:eastAsia="Times New Roman" w:cs="Times New Roman"/>
          <w:color w:val="auto"/>
          <w:sz w:val="24"/>
          <w:szCs w:val="24"/>
          <w:lang w:eastAsia="zh-CN"/>
        </w:rPr>
        <w:t>16.2.1</w:t>
      </w:r>
      <w:r>
        <w:rPr>
          <w:rFonts w:ascii="宋体" w:hAnsi="宋体" w:eastAsia="宋体" w:cs="宋体"/>
          <w:color w:val="auto"/>
          <w:sz w:val="24"/>
          <w:szCs w:val="24"/>
          <w:lang w:eastAsia="zh-CN"/>
        </w:rPr>
        <w:t>条规定的质量要求进行检查，检查记录应提交监理人。</w:t>
      </w:r>
    </w:p>
    <w:p w14:paraId="0CF14D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）浆砌石砌体的容重和空隙率检查，应遵守</w:t>
      </w:r>
      <w:r>
        <w:rPr>
          <w:rFonts w:ascii="宋体" w:hAnsi="宋体" w:eastAsia="宋体" w:cs="宋体"/>
          <w:color w:val="auto"/>
          <w:spacing w:val="-34"/>
          <w:sz w:val="24"/>
          <w:szCs w:val="24"/>
          <w:lang w:eastAsia="zh-CN"/>
        </w:rPr>
        <w:t>《浆砌石坝施工技术规定》（</w:t>
      </w:r>
      <w:r>
        <w:rPr>
          <w:rFonts w:ascii="Times New Roman" w:hAnsi="Times New Roman" w:eastAsia="Times New Roman" w:cs="Times New Roman"/>
          <w:color w:val="auto"/>
          <w:spacing w:val="-34"/>
          <w:sz w:val="24"/>
          <w:szCs w:val="24"/>
          <w:lang w:eastAsia="zh-CN"/>
        </w:rPr>
        <w:t>SD120</w:t>
      </w:r>
      <w:r>
        <w:rPr>
          <w:rFonts w:hint="eastAsia" w:ascii="Times New Roman" w:hAnsi="Times New Roman" w:eastAsia="宋体" w:cs="Times New Roman"/>
          <w:color w:val="auto"/>
          <w:spacing w:val="-34"/>
          <w:sz w:val="24"/>
          <w:szCs w:val="24"/>
          <w:lang w:eastAsia="zh-CN"/>
        </w:rPr>
        <w:t>-</w:t>
      </w:r>
      <w:r>
        <w:rPr>
          <w:rFonts w:ascii="Times New Roman" w:hAnsi="Times New Roman" w:eastAsia="Times New Roman" w:cs="Times New Roman"/>
          <w:color w:val="auto"/>
          <w:spacing w:val="-34"/>
          <w:sz w:val="24"/>
          <w:szCs w:val="24"/>
          <w:lang w:eastAsia="zh-CN"/>
        </w:rPr>
        <w:t>84</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4.2.21</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款的规定。</w:t>
      </w:r>
    </w:p>
    <w:p w14:paraId="2040AB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）有抗渗要求的部位应按监理人指示和施工图纸的要求进行钻孔分段压水试验检查，检查结果应提交监理人。</w:t>
      </w:r>
    </w:p>
    <w:p w14:paraId="6BF66A5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）浆砌石砌体的质量检查应遵守</w:t>
      </w:r>
      <w:r>
        <w:rPr>
          <w:rFonts w:ascii="宋体" w:hAnsi="宋体" w:eastAsia="宋体" w:cs="宋体"/>
          <w:color w:val="auto"/>
          <w:spacing w:val="57"/>
          <w:sz w:val="24"/>
          <w:szCs w:val="24"/>
          <w:lang w:eastAsia="zh-CN"/>
        </w:rPr>
        <w:t>《砌体结构工程施工质量验收规范》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 50203-2011</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章的规定。</w:t>
      </w:r>
    </w:p>
    <w:p w14:paraId="6759D5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）灌砌石的混凝土拌合物应按本合同技术条款第</w:t>
      </w:r>
      <w:r>
        <w:rPr>
          <w:rFonts w:ascii="Times New Roman" w:hAnsi="Times New Roman" w:eastAsia="Times New Roman" w:cs="Times New Roman"/>
          <w:color w:val="auto"/>
          <w:sz w:val="24"/>
          <w:szCs w:val="24"/>
          <w:lang w:eastAsia="zh-CN"/>
        </w:rPr>
        <w:t>14.2.3</w:t>
      </w:r>
      <w:r>
        <w:rPr>
          <w:rFonts w:ascii="宋体" w:hAnsi="宋体" w:eastAsia="宋体" w:cs="宋体"/>
          <w:color w:val="auto"/>
          <w:sz w:val="24"/>
          <w:szCs w:val="24"/>
          <w:lang w:eastAsia="zh-CN"/>
        </w:rPr>
        <w:t>项的规定进行现场抽样检验，检验成果应提交监理人。</w:t>
      </w:r>
    </w:p>
    <w:p w14:paraId="7C55312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16.2.8 石砌体工程的完工验收</w:t>
      </w:r>
    </w:p>
    <w:p w14:paraId="6B4CDD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石砌体工程全部完工后，承包人应向监理人申请完工验收，并提交以下完工验收资料。</w:t>
      </w:r>
    </w:p>
    <w:p w14:paraId="7EDE04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）石砌体工程各项石材的现场试验和检测记录。</w:t>
      </w:r>
    </w:p>
    <w:p w14:paraId="265CE5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）浆砌石砌体胶结材料配合比检查和试验检验记录。</w:t>
      </w:r>
    </w:p>
    <w:p w14:paraId="54E3DF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）石砌体工程建筑物开挖基面及基础垫层混凝土的质量检查和试验检验记录。</w:t>
      </w:r>
    </w:p>
    <w:p w14:paraId="44F317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）石砌体工程建筑物的结构允许偏差和附属结构物的质量检测和验收记录。</w:t>
      </w:r>
    </w:p>
    <w:p w14:paraId="3CC749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）浆砌石坝容重（空隙率）和密实度（单位吸水率）的试验检验记录。</w:t>
      </w:r>
    </w:p>
    <w:p w14:paraId="446BCF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）浆砌石坝结构允许偏差和附属结构物的质量检测和验收记录。</w:t>
      </w:r>
    </w:p>
    <w:p w14:paraId="770564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）监理人要求提交的其他完工验收资料。</w:t>
      </w:r>
    </w:p>
    <w:p w14:paraId="24E7C9A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55" w:name="_Toc7924"/>
      <w:bookmarkStart w:id="1456" w:name="_Toc24438"/>
      <w:bookmarkStart w:id="1457" w:name="_Toc2519"/>
      <w:r>
        <w:rPr>
          <w:rFonts w:hint="eastAsia" w:ascii="宋体" w:hAnsi="宋体" w:eastAsia="宋体" w:cs="宋体"/>
          <w:b/>
          <w:bCs/>
          <w:color w:val="auto"/>
          <w:sz w:val="24"/>
          <w:szCs w:val="24"/>
          <w:lang w:eastAsia="zh-CN"/>
        </w:rPr>
        <w:t>16.3 砖和小砌块砌体工程</w:t>
      </w:r>
      <w:bookmarkEnd w:id="1455"/>
      <w:bookmarkEnd w:id="1456"/>
      <w:bookmarkEnd w:id="1457"/>
    </w:p>
    <w:p w14:paraId="6B2F05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砖和小砌块砌体工程包括砖实体墙、砖空斗墙及带钢筋混凝土构造柱的配筋砖砌体，以及普通小砌块砌体和带钢筋混凝土芯柱或构造柱的配筋小砌块砌体。</w:t>
      </w:r>
    </w:p>
    <w:p w14:paraId="0602FFD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16.3.1 材料</w:t>
      </w:r>
    </w:p>
    <w:p w14:paraId="3C1C70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）砖：砖砌体工程采用的普通烧结砖分为黏土砖、页岩砖、煤矸石砖和粉煤灰砖。其外形尺寸应按《烧结多孔砖和多孔砌块》（</w:t>
      </w:r>
      <w:r>
        <w:rPr>
          <w:rFonts w:hint="eastAsia" w:ascii="Times New Roman" w:hAnsi="Times New Roman" w:eastAsia="宋体" w:cs="Times New Roman"/>
          <w:color w:val="auto"/>
          <w:sz w:val="24"/>
          <w:szCs w:val="24"/>
          <w:lang w:eastAsia="zh-CN"/>
        </w:rPr>
        <w:t>GB/T 13544-2011</w:t>
      </w:r>
      <w:r>
        <w:rPr>
          <w:rFonts w:ascii="宋体" w:hAnsi="宋体" w:eastAsia="宋体" w:cs="宋体"/>
          <w:color w:val="auto"/>
          <w:sz w:val="24"/>
          <w:szCs w:val="24"/>
          <w:lang w:eastAsia="zh-CN"/>
        </w:rPr>
        <w:t>）的规定执行。</w:t>
      </w:r>
    </w:p>
    <w:p w14:paraId="2A0F29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）混凝土小型空心砌块（简称小砌块）：普通混凝土小型空心砌块以碎石或卵石为粗骨料制作；轻骨料混凝土空心砌块以浮石、火山渣、煤渣、自然煤研石、陶粒等粗骨料制作。</w:t>
      </w:r>
    </w:p>
    <w:p w14:paraId="22C46A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）砌筑砂浆：砌筑砂浆应遵守</w:t>
      </w:r>
      <w:r>
        <w:rPr>
          <w:rFonts w:ascii="宋体" w:hAnsi="宋体" w:eastAsia="宋体" w:cs="宋体"/>
          <w:color w:val="auto"/>
          <w:spacing w:val="-28"/>
          <w:sz w:val="24"/>
          <w:szCs w:val="24"/>
          <w:lang w:eastAsia="zh-CN"/>
        </w:rPr>
        <w:t>《砌体结构工程施工质量验收规范》（</w:t>
      </w:r>
      <w:r>
        <w:rPr>
          <w:rFonts w:hint="eastAsia" w:ascii="Times New Roman" w:hAnsi="Times New Roman" w:eastAsia="宋体" w:cs="Times New Roman"/>
          <w:color w:val="auto"/>
          <w:spacing w:val="-28"/>
          <w:sz w:val="24"/>
          <w:szCs w:val="24"/>
          <w:lang w:eastAsia="zh-CN"/>
        </w:rPr>
        <w:t>GB 50203-2011</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章的有关规定。</w:t>
      </w:r>
    </w:p>
    <w:p w14:paraId="6437A5F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16.3.2 砖砌体施工</w:t>
      </w:r>
    </w:p>
    <w:p w14:paraId="45E5F3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砖砌体施工应遵守《砌体结构工程施工质量验收规范》（</w:t>
      </w:r>
      <w:r>
        <w:rPr>
          <w:rFonts w:hint="eastAsia" w:ascii="Times New Roman" w:hAnsi="Times New Roman" w:eastAsia="宋体" w:cs="Times New Roman"/>
          <w:color w:val="auto"/>
          <w:sz w:val="24"/>
          <w:szCs w:val="24"/>
          <w:lang w:eastAsia="zh-CN"/>
        </w:rPr>
        <w:t>GB 50203-2011</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章的有关规定。</w:t>
      </w:r>
    </w:p>
    <w:p w14:paraId="21C6025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16.3.3 小砌块砌体施工</w:t>
      </w:r>
    </w:p>
    <w:p w14:paraId="4454B6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）小砌块砌体施工应遵守</w:t>
      </w:r>
      <w:r>
        <w:rPr>
          <w:rFonts w:ascii="宋体" w:hAnsi="宋体" w:eastAsia="宋体" w:cs="宋体"/>
          <w:color w:val="auto"/>
          <w:spacing w:val="-20"/>
          <w:sz w:val="24"/>
          <w:szCs w:val="24"/>
          <w:lang w:eastAsia="zh-CN"/>
        </w:rPr>
        <w:t>《混凝土小型空心砌块建筑技术规程》（</w:t>
      </w:r>
      <w:r>
        <w:rPr>
          <w:rFonts w:hint="eastAsia" w:ascii="Times New Roman" w:hAnsi="Times New Roman" w:eastAsia="宋体" w:cs="Times New Roman"/>
          <w:color w:val="auto"/>
          <w:spacing w:val="-20"/>
          <w:sz w:val="24"/>
          <w:szCs w:val="24"/>
          <w:lang w:eastAsia="zh-CN"/>
        </w:rPr>
        <w:t>JGJ/T 14-2011</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8.10</w:t>
      </w:r>
      <w:r>
        <w:rPr>
          <w:rFonts w:ascii="宋体" w:hAnsi="宋体" w:eastAsia="宋体" w:cs="宋体"/>
          <w:color w:val="auto"/>
          <w:sz w:val="24"/>
          <w:szCs w:val="24"/>
          <w:lang w:eastAsia="zh-CN"/>
        </w:rPr>
        <w:t>节的有关规定。</w:t>
      </w:r>
    </w:p>
    <w:p w14:paraId="00F484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）钢筋混凝土芯柱施工应遵守</w:t>
      </w:r>
      <w:r>
        <w:rPr>
          <w:rFonts w:ascii="宋体" w:hAnsi="宋体" w:eastAsia="宋体" w:cs="宋体"/>
          <w:color w:val="auto"/>
          <w:spacing w:val="-28"/>
          <w:sz w:val="24"/>
          <w:szCs w:val="24"/>
          <w:lang w:eastAsia="zh-CN"/>
        </w:rPr>
        <w:t>《混凝土小型空心砌块建筑技术规程》（</w:t>
      </w:r>
      <w:r>
        <w:rPr>
          <w:rFonts w:hint="eastAsia" w:ascii="Times New Roman" w:hAnsi="Times New Roman" w:eastAsia="宋体" w:cs="Times New Roman"/>
          <w:color w:val="auto"/>
          <w:spacing w:val="-28"/>
          <w:sz w:val="24"/>
          <w:szCs w:val="24"/>
          <w:lang w:eastAsia="zh-CN"/>
        </w:rPr>
        <w:t>JGJ/T 14-2011</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8.6</w:t>
      </w:r>
      <w:r>
        <w:rPr>
          <w:rFonts w:ascii="宋体" w:hAnsi="宋体" w:eastAsia="宋体" w:cs="宋体"/>
          <w:color w:val="auto"/>
          <w:sz w:val="24"/>
          <w:szCs w:val="24"/>
          <w:lang w:eastAsia="zh-CN"/>
        </w:rPr>
        <w:t>节的有关规定。</w:t>
      </w:r>
    </w:p>
    <w:p w14:paraId="3F8724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）钢筋混凝土构造柱施工应遵守</w:t>
      </w:r>
      <w:r>
        <w:rPr>
          <w:rFonts w:ascii="宋体" w:hAnsi="宋体" w:eastAsia="宋体" w:cs="宋体"/>
          <w:color w:val="auto"/>
          <w:spacing w:val="-34"/>
          <w:sz w:val="24"/>
          <w:szCs w:val="24"/>
          <w:lang w:eastAsia="zh-CN"/>
        </w:rPr>
        <w:t>《混凝土小型空心砌块建筑技术规程》（</w:t>
      </w:r>
      <w:r>
        <w:rPr>
          <w:rFonts w:hint="eastAsia" w:ascii="Times New Roman" w:hAnsi="Times New Roman" w:eastAsia="宋体" w:cs="Times New Roman"/>
          <w:color w:val="auto"/>
          <w:spacing w:val="-34"/>
          <w:sz w:val="24"/>
          <w:szCs w:val="24"/>
          <w:lang w:eastAsia="zh-CN"/>
        </w:rPr>
        <w:t>JGJ/T 14-2011</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8.7</w:t>
      </w:r>
      <w:r>
        <w:rPr>
          <w:rFonts w:ascii="宋体" w:hAnsi="宋体" w:eastAsia="宋体" w:cs="宋体"/>
          <w:color w:val="auto"/>
          <w:sz w:val="24"/>
          <w:szCs w:val="24"/>
          <w:lang w:eastAsia="zh-CN"/>
        </w:rPr>
        <w:t>节的有关规定。</w:t>
      </w:r>
    </w:p>
    <w:p w14:paraId="3E8D435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16.3.4 砖和小砌块砌体工程的质量检查和验收</w:t>
      </w:r>
    </w:p>
    <w:p w14:paraId="4C5E1C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）砖砌体的质量检查应按</w:t>
      </w:r>
      <w:r>
        <w:rPr>
          <w:rFonts w:ascii="宋体" w:hAnsi="宋体" w:eastAsia="宋体" w:cs="宋体"/>
          <w:color w:val="auto"/>
          <w:spacing w:val="-20"/>
          <w:sz w:val="24"/>
          <w:szCs w:val="24"/>
          <w:lang w:eastAsia="zh-CN"/>
        </w:rPr>
        <w:t>《砌体结构工程施工质量验收规范》（</w:t>
      </w:r>
      <w:r>
        <w:rPr>
          <w:rFonts w:hint="eastAsia" w:ascii="Times New Roman" w:hAnsi="Times New Roman" w:eastAsia="宋体" w:cs="Times New Roman"/>
          <w:color w:val="auto"/>
          <w:spacing w:val="-20"/>
          <w:sz w:val="24"/>
          <w:szCs w:val="24"/>
          <w:lang w:eastAsia="zh-CN"/>
        </w:rPr>
        <w:t>GB 50203-2011</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章的规定进行。</w:t>
      </w:r>
    </w:p>
    <w:p w14:paraId="518992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）混凝土小型空心砌块的质量检查应按</w:t>
      </w:r>
      <w:r>
        <w:rPr>
          <w:rFonts w:ascii="宋体" w:hAnsi="宋体" w:eastAsia="宋体" w:cs="宋体"/>
          <w:color w:val="auto"/>
          <w:spacing w:val="20"/>
          <w:sz w:val="24"/>
          <w:szCs w:val="24"/>
          <w:lang w:eastAsia="zh-CN"/>
        </w:rPr>
        <w:t>《砌体结构工程施工质量验收规范》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 50203-2011</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章的有关规定进行。</w:t>
      </w:r>
    </w:p>
    <w:p w14:paraId="25B805D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16.3.5 完工验收</w:t>
      </w:r>
    </w:p>
    <w:p w14:paraId="1FC584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砖和小砌块砌体工程全部完工后，承包人应向监理人申请完工验收，并提交以下完工验收资料：</w:t>
      </w:r>
    </w:p>
    <w:p w14:paraId="778418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）砖和小砌块砌体工程各项材料的质量证明书、试验报告和现场检测报告。</w:t>
      </w:r>
    </w:p>
    <w:p w14:paraId="21A2DA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）各项砌筑砂浆和混凝土配合比试验及其试块的检查检验记录。</w:t>
      </w:r>
    </w:p>
    <w:p w14:paraId="7FAD70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）砌体基础面的检查验收记录。</w:t>
      </w:r>
    </w:p>
    <w:p w14:paraId="3BBD01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）各项砌体建筑物及其细部结构尺寸和允许偏差以及外观的检查验收记录。</w:t>
      </w:r>
    </w:p>
    <w:p w14:paraId="5CE2B6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）监理人要求提交的其他完工资料。</w:t>
      </w:r>
    </w:p>
    <w:p w14:paraId="008D6FB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58" w:name="_Toc11257"/>
      <w:bookmarkStart w:id="1459" w:name="_Toc496"/>
      <w:bookmarkStart w:id="1460" w:name="_Toc18214"/>
      <w:r>
        <w:rPr>
          <w:rFonts w:hint="eastAsia" w:ascii="宋体" w:hAnsi="宋体" w:eastAsia="宋体" w:cs="宋体"/>
          <w:b/>
          <w:bCs/>
          <w:color w:val="auto"/>
          <w:sz w:val="24"/>
          <w:szCs w:val="24"/>
          <w:lang w:eastAsia="zh-CN"/>
        </w:rPr>
        <w:t>16.4 计量和支付</w:t>
      </w:r>
      <w:bookmarkEnd w:id="1458"/>
      <w:bookmarkEnd w:id="1459"/>
      <w:bookmarkEnd w:id="1460"/>
    </w:p>
    <w:p w14:paraId="4D035A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）浆砌石、干砌石、混凝土灌砌块石、混凝土预制块挡墙和砖砌体按施工图纸所示尺寸计算的有效砌筑体积以立方米为单位计量，由发包人按《工程量清单》相应项目有效工程量的每立方米工程单价支付。</w:t>
      </w:r>
    </w:p>
    <w:p w14:paraId="14B4DC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）混凝土预制块护坡（底）按施工图纸所示尺寸计算的有效砌筑面积以平方米为单位计量，由发包人按《工程量清单》相应项目有效工程量的每平方米工程单价支付。</w:t>
      </w:r>
    </w:p>
    <w:p w14:paraId="7988E3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）生态格网石笼挡墙及护坡按不同规格分类列项，按施工图纸所示尺寸计算的有效体积以立方米为单位计量，由发包人按《工程量清单》相应项目有效工程量的每立方米工程单价支付。</w:t>
      </w:r>
    </w:p>
    <w:p w14:paraId="13868C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）生态砌块挡墙按挡墙厚度分类，按施工图纸所示尺寸计算的有效立面投影面积以平方米为单位计量，由发包人按《工程量清单》相应项目有效工程量的每平方米工程单价支付。</w:t>
      </w:r>
    </w:p>
    <w:p w14:paraId="2BC8C2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）砌筑工程的砂浆、拉结筋等费用，包含在《工程量清单》相应砌筑项目有效工程量的每立方米工程单价中，发包人不另行支付。</w:t>
      </w:r>
    </w:p>
    <w:p w14:paraId="4FE4E9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）承包人按合同要求完成砌体建筑物的基础清理和施工排水等工作所需的费用，包含在《工程量清单》相应砌筑项目有效工程量的每立方米工程单价中，发包人不另行支付。</w:t>
      </w:r>
    </w:p>
    <w:p w14:paraId="1BD3C12B">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25A64E76">
      <w:pPr>
        <w:widowControl w:val="0"/>
        <w:kinsoku/>
        <w:topLinePunct/>
        <w:autoSpaceDE/>
        <w:autoSpaceDN/>
        <w:spacing w:line="520" w:lineRule="exact"/>
        <w:jc w:val="center"/>
        <w:outlineLvl w:val="1"/>
        <w:rPr>
          <w:rFonts w:hint="eastAsia" w:ascii="宋体" w:hAnsi="宋体" w:eastAsia="宋体" w:cs="宋体"/>
          <w:color w:val="auto"/>
          <w:sz w:val="28"/>
          <w:szCs w:val="28"/>
          <w:lang w:eastAsia="zh-CN"/>
        </w:rPr>
      </w:pPr>
      <w:bookmarkStart w:id="1461" w:name="_Toc24777"/>
      <w:bookmarkStart w:id="1462" w:name="_Toc29843"/>
      <w:bookmarkStart w:id="1463" w:name="_Toc21887"/>
      <w:r>
        <w:rPr>
          <w:rFonts w:ascii="Times New Roman" w:hAnsi="Times New Roman" w:eastAsia="Times New Roman" w:cs="Times New Roman"/>
          <w:b/>
          <w:bCs/>
          <w:color w:val="auto"/>
          <w:sz w:val="28"/>
          <w:szCs w:val="28"/>
          <w:lang w:eastAsia="zh-CN"/>
        </w:rPr>
        <w:t>17</w:t>
      </w:r>
      <w:r>
        <w:rPr>
          <w:rFonts w:hint="eastAsia" w:ascii="Times New Roman" w:hAnsi="Times New Roman" w:eastAsia="宋体" w:cs="Times New Roman"/>
          <w:b/>
          <w:bCs/>
          <w:color w:val="auto"/>
          <w:sz w:val="28"/>
          <w:szCs w:val="28"/>
          <w:lang w:eastAsia="zh-CN"/>
        </w:rPr>
        <w:t xml:space="preserve"> </w:t>
      </w:r>
      <w:r>
        <w:rPr>
          <w:rFonts w:ascii="宋体" w:hAnsi="宋体" w:eastAsia="宋体" w:cs="宋体"/>
          <w:b/>
          <w:bCs/>
          <w:color w:val="auto"/>
          <w:sz w:val="28"/>
          <w:szCs w:val="28"/>
          <w:lang w:eastAsia="zh-CN"/>
        </w:rPr>
        <w:t>疏浚和吹填工程</w:t>
      </w:r>
      <w:bookmarkEnd w:id="1461"/>
      <w:bookmarkEnd w:id="1462"/>
      <w:bookmarkEnd w:id="1463"/>
    </w:p>
    <w:p w14:paraId="781CD569">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pPr>
      <w:r>
        <w:rPr>
          <w:rFonts w:hint="eastAsia" w:ascii="宋体" w:hAnsi="宋体" w:eastAsia="宋体" w:cs="宋体"/>
          <w:b/>
          <w:bCs/>
          <w:color w:val="auto"/>
          <w:sz w:val="24"/>
          <w:szCs w:val="24"/>
          <w:lang w:eastAsia="zh-CN"/>
        </w:rPr>
        <w:t>本标段不涉及疏浚和吹填工程。</w:t>
      </w:r>
      <w:r>
        <w:rPr>
          <w:rFonts w:ascii="Times New Roman" w:hAnsi="Times New Roman" w:eastAsia="Times New Roman" w:cs="Times New Roman"/>
          <w:b/>
          <w:bCs/>
          <w:color w:val="auto"/>
          <w:sz w:val="28"/>
          <w:szCs w:val="28"/>
          <w:lang w:eastAsia="zh-CN"/>
        </w:rPr>
        <w:br w:type="page"/>
      </w:r>
    </w:p>
    <w:p w14:paraId="05342777">
      <w:pPr>
        <w:widowControl w:val="0"/>
        <w:kinsoku/>
        <w:topLinePunct/>
        <w:autoSpaceDE/>
        <w:autoSpaceDN/>
        <w:spacing w:line="520" w:lineRule="exact"/>
        <w:jc w:val="center"/>
        <w:outlineLvl w:val="1"/>
        <w:rPr>
          <w:rFonts w:hint="eastAsia" w:ascii="宋体" w:hAnsi="宋体" w:eastAsia="宋体" w:cs="宋体"/>
          <w:color w:val="auto"/>
          <w:sz w:val="28"/>
          <w:szCs w:val="28"/>
          <w:lang w:eastAsia="zh-CN"/>
        </w:rPr>
      </w:pPr>
      <w:bookmarkStart w:id="1464" w:name="_Toc31424"/>
      <w:bookmarkStart w:id="1465" w:name="_Toc32220"/>
      <w:bookmarkStart w:id="1466" w:name="_Toc328"/>
      <w:r>
        <w:rPr>
          <w:rFonts w:ascii="Times New Roman" w:hAnsi="Times New Roman" w:eastAsia="Times New Roman" w:cs="Times New Roman"/>
          <w:b/>
          <w:bCs/>
          <w:color w:val="auto"/>
          <w:sz w:val="28"/>
          <w:szCs w:val="28"/>
          <w:lang w:eastAsia="zh-CN"/>
        </w:rPr>
        <w:t>18</w:t>
      </w:r>
      <w:r>
        <w:rPr>
          <w:rFonts w:hint="eastAsia" w:ascii="Times New Roman" w:hAnsi="Times New Roman" w:eastAsia="宋体" w:cs="Times New Roman"/>
          <w:b/>
          <w:bCs/>
          <w:color w:val="auto"/>
          <w:sz w:val="28"/>
          <w:szCs w:val="28"/>
          <w:lang w:eastAsia="zh-CN"/>
        </w:rPr>
        <w:t xml:space="preserve"> </w:t>
      </w:r>
      <w:r>
        <w:rPr>
          <w:rFonts w:ascii="宋体" w:hAnsi="宋体" w:eastAsia="宋体" w:cs="宋体"/>
          <w:b/>
          <w:bCs/>
          <w:color w:val="auto"/>
          <w:sz w:val="28"/>
          <w:szCs w:val="28"/>
          <w:lang w:eastAsia="zh-CN"/>
        </w:rPr>
        <w:t>屋面和地面建筑工程</w:t>
      </w:r>
      <w:bookmarkEnd w:id="1464"/>
      <w:bookmarkEnd w:id="1465"/>
      <w:bookmarkEnd w:id="1466"/>
    </w:p>
    <w:p w14:paraId="3CDABFB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67" w:name="_Toc29019"/>
      <w:bookmarkStart w:id="1468" w:name="_Toc4585"/>
      <w:bookmarkStart w:id="1469" w:name="_Toc18699"/>
      <w:r>
        <w:rPr>
          <w:rFonts w:hint="eastAsia" w:ascii="宋体" w:hAnsi="宋体" w:eastAsia="宋体" w:cs="宋体"/>
          <w:b/>
          <w:bCs/>
          <w:color w:val="auto"/>
          <w:sz w:val="24"/>
          <w:szCs w:val="24"/>
          <w:lang w:eastAsia="zh-CN"/>
        </w:rPr>
        <w:t>18.1 一般规定</w:t>
      </w:r>
      <w:bookmarkEnd w:id="1467"/>
      <w:bookmarkEnd w:id="1468"/>
      <w:bookmarkEnd w:id="1469"/>
    </w:p>
    <w:p w14:paraId="2EF8E3B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18.1.1 应用范围</w:t>
      </w:r>
    </w:p>
    <w:p w14:paraId="1D4575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施工图纸所示的屋面建筑工程和地面建筑工程。根据水利水电工程的需要，屋面建筑工程列入了钢筋混凝土屋面的防水和保温、隔热工程。地面建筑工程编入了地基基层铺设和楼层地面铺设。</w:t>
      </w:r>
    </w:p>
    <w:p w14:paraId="0CB9469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18.1.2 承包人责任</w:t>
      </w:r>
    </w:p>
    <w:p w14:paraId="3AD573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）承包人应按本技术条款第</w:t>
      </w:r>
      <w:r>
        <w:rPr>
          <w:rFonts w:ascii="Times New Roman" w:hAnsi="Times New Roman" w:eastAsia="Times New Roman" w:cs="Times New Roman"/>
          <w:color w:val="auto"/>
          <w:sz w:val="24"/>
          <w:szCs w:val="24"/>
          <w:lang w:eastAsia="zh-CN"/>
        </w:rPr>
        <w:t>18.1.1</w:t>
      </w:r>
      <w:r>
        <w:rPr>
          <w:rFonts w:ascii="宋体" w:hAnsi="宋体" w:eastAsia="宋体" w:cs="宋体"/>
          <w:color w:val="auto"/>
          <w:sz w:val="24"/>
          <w:szCs w:val="24"/>
          <w:lang w:eastAsia="zh-CN"/>
        </w:rPr>
        <w:t>项规定的范围，及本章施工技术要求，完成施工图纸所示的屋面建筑工程和地面建筑工程。</w:t>
      </w:r>
    </w:p>
    <w:p w14:paraId="29BD10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）除合同另有约定外，承包人应负责提供上述工程所需的全部建筑材料，并按本合同技术条款的规定进行试验、检验和验收。承包人应对其采购的建筑材料质量承担全部责任。</w:t>
      </w:r>
    </w:p>
    <w:p w14:paraId="5532BDA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18.1.3 主要提交件</w:t>
      </w:r>
    </w:p>
    <w:p w14:paraId="16A1D9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）承包人应在屋面工程（或地面工程）施工前，将屋面工程（或地面工程）的施工措施计划提交监理人批准，其内容包括：</w:t>
      </w:r>
    </w:p>
    <w:p w14:paraId="5A3320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Times New Roman" w:hAnsi="Times New Roman" w:eastAsia="Times New Roman" w:cs="Times New Roman"/>
          <w:color w:val="auto"/>
          <w:sz w:val="24"/>
          <w:szCs w:val="24"/>
        </w:rPr>
        <w:t>1</w:t>
      </w:r>
      <w:r>
        <w:rPr>
          <w:rFonts w:ascii="宋体" w:hAnsi="宋体" w:eastAsia="宋体" w:cs="宋体"/>
          <w:color w:val="auto"/>
          <w:sz w:val="24"/>
          <w:szCs w:val="24"/>
        </w:rPr>
        <w:t>）屋面工程或地面工程的施工程序和方法。</w:t>
      </w:r>
    </w:p>
    <w:p w14:paraId="768258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）主要施工设备的配置。</w:t>
      </w:r>
    </w:p>
    <w:p w14:paraId="017B70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）施工质量控制和安全保证措施。</w:t>
      </w:r>
    </w:p>
    <w:p w14:paraId="7786BE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）施工进度计划。</w:t>
      </w:r>
    </w:p>
    <w:p w14:paraId="074140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）承包人应编制屋面工程的各项现场工艺试验报告，提交监理人批准。其内容包括：</w:t>
      </w:r>
    </w:p>
    <w:p w14:paraId="6D51E1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）各种防水卷材的铺贴工艺试验和防水涂膜现场施涂工艺试验。</w:t>
      </w:r>
    </w:p>
    <w:p w14:paraId="7943E8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）防水卷材及其胶粘材料、防水涂膜材料和基层处理剂等的材料相容性试验。</w:t>
      </w:r>
    </w:p>
    <w:p w14:paraId="3D3C49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）接缝密封防水及其背衬材料的性能与施工工艺试验。</w:t>
      </w:r>
    </w:p>
    <w:p w14:paraId="4CD8BD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）补偿收缩混凝土屋面的混凝土浇筑工艺及其防水性能试验。</w:t>
      </w:r>
    </w:p>
    <w:p w14:paraId="31E9A8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）钢纤维混凝土屋面的混凝土浇筑工艺及其防水性能试验。</w:t>
      </w:r>
    </w:p>
    <w:p w14:paraId="6BF691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）屋面保温层现喷硬质聚氨酯泡沫塑料的施工工艺试验。</w:t>
      </w:r>
    </w:p>
    <w:p w14:paraId="6D2CA57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18.1.4 引用标准</w:t>
      </w:r>
    </w:p>
    <w:p w14:paraId="64D4CD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w:t>
      </w:r>
    </w:p>
    <w:p w14:paraId="52ECD5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）《屋面工程质量验收规范》（</w:t>
      </w:r>
      <w:r>
        <w:rPr>
          <w:rFonts w:hint="eastAsia" w:ascii="Times New Roman" w:hAnsi="Times New Roman" w:eastAsia="宋体" w:cs="Times New Roman"/>
          <w:color w:val="auto"/>
          <w:sz w:val="24"/>
          <w:szCs w:val="24"/>
          <w:lang w:eastAsia="zh-CN"/>
        </w:rPr>
        <w:t>GB 50207-2012</w:t>
      </w:r>
      <w:r>
        <w:rPr>
          <w:rFonts w:ascii="宋体" w:hAnsi="宋体" w:eastAsia="宋体" w:cs="宋体"/>
          <w:color w:val="auto"/>
          <w:sz w:val="24"/>
          <w:szCs w:val="24"/>
          <w:lang w:eastAsia="zh-CN"/>
        </w:rPr>
        <w:t>）。</w:t>
      </w:r>
    </w:p>
    <w:p w14:paraId="62B989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w:t>
      </w:r>
    </w:p>
    <w:p w14:paraId="02EE91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）《建筑地基基础工程施工质量验收标准》（</w:t>
      </w:r>
      <w:r>
        <w:rPr>
          <w:rFonts w:hint="eastAsia" w:ascii="Times New Roman" w:hAnsi="Times New Roman" w:eastAsia="宋体" w:cs="Times New Roman"/>
          <w:color w:val="auto"/>
          <w:sz w:val="24"/>
          <w:szCs w:val="24"/>
          <w:lang w:eastAsia="zh-CN"/>
        </w:rPr>
        <w:t>GB 50202-2018</w:t>
      </w:r>
      <w:r>
        <w:rPr>
          <w:rFonts w:ascii="宋体" w:hAnsi="宋体" w:eastAsia="宋体" w:cs="宋体"/>
          <w:color w:val="auto"/>
          <w:sz w:val="24"/>
          <w:szCs w:val="24"/>
          <w:lang w:eastAsia="zh-CN"/>
        </w:rPr>
        <w:t>）。</w:t>
      </w:r>
    </w:p>
    <w:p w14:paraId="156169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）《建设用卵石、碎石》（</w:t>
      </w:r>
      <w:r>
        <w:rPr>
          <w:rFonts w:hint="eastAsia" w:ascii="Times New Roman" w:hAnsi="Times New Roman" w:eastAsia="宋体" w:cs="Times New Roman"/>
          <w:color w:val="auto"/>
          <w:sz w:val="24"/>
          <w:szCs w:val="24"/>
          <w:lang w:eastAsia="zh-CN"/>
        </w:rPr>
        <w:t>GB/T 14685-2022</w:t>
      </w:r>
      <w:r>
        <w:rPr>
          <w:rFonts w:ascii="宋体" w:hAnsi="宋体" w:eastAsia="宋体" w:cs="宋体"/>
          <w:color w:val="auto"/>
          <w:sz w:val="24"/>
          <w:szCs w:val="24"/>
          <w:lang w:eastAsia="zh-CN"/>
        </w:rPr>
        <w:t>）。</w:t>
      </w:r>
    </w:p>
    <w:p w14:paraId="551627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）《建设用砂》（</w:t>
      </w:r>
      <w:r>
        <w:rPr>
          <w:rFonts w:hint="eastAsia" w:ascii="Times New Roman" w:hAnsi="Times New Roman" w:eastAsia="宋体" w:cs="Times New Roman"/>
          <w:color w:val="auto"/>
          <w:sz w:val="24"/>
          <w:szCs w:val="24"/>
          <w:lang w:eastAsia="zh-CN"/>
        </w:rPr>
        <w:t>GB/T 14684-2022</w:t>
      </w:r>
      <w:r>
        <w:rPr>
          <w:rFonts w:ascii="宋体" w:hAnsi="宋体" w:eastAsia="宋体" w:cs="宋体"/>
          <w:color w:val="auto"/>
          <w:sz w:val="24"/>
          <w:szCs w:val="24"/>
          <w:lang w:eastAsia="zh-CN"/>
        </w:rPr>
        <w:t>）。</w:t>
      </w:r>
    </w:p>
    <w:p w14:paraId="4E01027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70" w:name="_Toc22313"/>
      <w:bookmarkStart w:id="1471" w:name="_Toc31363"/>
      <w:bookmarkStart w:id="1472" w:name="_Toc21088"/>
      <w:r>
        <w:rPr>
          <w:rFonts w:hint="eastAsia" w:ascii="宋体" w:hAnsi="宋体" w:eastAsia="宋体" w:cs="宋体"/>
          <w:b/>
          <w:bCs/>
          <w:color w:val="auto"/>
          <w:sz w:val="24"/>
          <w:szCs w:val="24"/>
          <w:lang w:eastAsia="zh-CN"/>
        </w:rPr>
        <w:t>18.2 屋面建筑工程</w:t>
      </w:r>
      <w:bookmarkEnd w:id="1470"/>
      <w:bookmarkEnd w:id="1471"/>
      <w:bookmarkEnd w:id="1472"/>
    </w:p>
    <w:p w14:paraId="17C77A4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18.2.1 一般要求</w:t>
      </w:r>
    </w:p>
    <w:p w14:paraId="5AAAA5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）本工程各类厂房和辅助房屋建筑的屋面防水和保温、隔热工程的类型包括：</w:t>
      </w:r>
    </w:p>
    <w:p w14:paraId="5F9714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Times New Roman" w:hAnsi="Times New Roman" w:eastAsia="Times New Roman" w:cs="Times New Roman"/>
          <w:color w:val="auto"/>
          <w:sz w:val="24"/>
          <w:szCs w:val="24"/>
        </w:rPr>
        <w:t>1</w:t>
      </w:r>
      <w:r>
        <w:rPr>
          <w:rFonts w:ascii="宋体" w:hAnsi="宋体" w:eastAsia="宋体" w:cs="宋体"/>
          <w:color w:val="auto"/>
          <w:sz w:val="24"/>
          <w:szCs w:val="24"/>
        </w:rPr>
        <w:t>）卷材和涂膜防水屋面。</w:t>
      </w:r>
    </w:p>
    <w:p w14:paraId="41F8E2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）刚性防水屋面。</w:t>
      </w:r>
    </w:p>
    <w:p w14:paraId="041F27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）屋面结构的防水密封。</w:t>
      </w:r>
    </w:p>
    <w:p w14:paraId="3A3783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）屋面的保温和隔热。</w:t>
      </w:r>
    </w:p>
    <w:p w14:paraId="7EC9BE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）屋面建筑工程采用的材料应按施工图纸要求和</w:t>
      </w:r>
      <w:r>
        <w:rPr>
          <w:rFonts w:ascii="宋体" w:hAnsi="宋体" w:eastAsia="宋体" w:cs="宋体"/>
          <w:color w:val="auto"/>
          <w:spacing w:val="51"/>
          <w:sz w:val="24"/>
          <w:szCs w:val="24"/>
          <w:lang w:eastAsia="zh-CN"/>
        </w:rPr>
        <w:t>《屋面工程技术规范》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章的规定选用，进场材料应有质量证明文件及性能检测报告。</w:t>
      </w:r>
    </w:p>
    <w:p w14:paraId="1CA797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）屋面建筑工程的施工条件及环境温度控制应符合下列规定：</w:t>
      </w:r>
    </w:p>
    <w:p w14:paraId="647D3B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）屋面建筑材料采用合成高分子防水卷材时，工程严禁在雨天、雪天、五级风及以上的气候条件下施工。</w:t>
      </w:r>
    </w:p>
    <w:p w14:paraId="3352A3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）屋面防水卷材、防水涂膜、防水密封材料和保温隔热材料的施工环境气温均应在</w:t>
      </w:r>
      <w:r>
        <w:rPr>
          <w:rFonts w:ascii="Times New Roman" w:hAnsi="Times New Roman" w:eastAsia="Times New Roman" w:cs="Times New Roman"/>
          <w:color w:val="auto"/>
          <w:sz w:val="24"/>
          <w:szCs w:val="24"/>
          <w:u w:val="single"/>
          <w:lang w:eastAsia="zh-CN"/>
        </w:rPr>
        <w:t>5</w:t>
      </w:r>
      <w:r>
        <w:rPr>
          <w:rFonts w:ascii="宋体" w:hAnsi="宋体" w:eastAsia="宋体" w:cs="宋体"/>
          <w:color w:val="auto"/>
          <w:sz w:val="24"/>
          <w:szCs w:val="24"/>
          <w:u w:val="single"/>
          <w:lang w:eastAsia="zh-CN"/>
        </w:rPr>
        <w:t>～</w:t>
      </w:r>
      <w:r>
        <w:rPr>
          <w:rFonts w:ascii="Times New Roman" w:hAnsi="Times New Roman" w:eastAsia="Times New Roman" w:cs="Times New Roman"/>
          <w:color w:val="auto"/>
          <w:sz w:val="24"/>
          <w:szCs w:val="24"/>
          <w:u w:val="single"/>
          <w:lang w:eastAsia="zh-CN"/>
        </w:rPr>
        <w:t>35</w:t>
      </w:r>
      <w:r>
        <w:rPr>
          <w:rFonts w:ascii="宋体" w:hAnsi="宋体" w:eastAsia="宋体" w:cs="宋体"/>
          <w:color w:val="auto"/>
          <w:sz w:val="24"/>
          <w:szCs w:val="24"/>
          <w:u w:val="single"/>
          <w:lang w:eastAsia="zh-CN"/>
        </w:rPr>
        <w:t>℃</w:t>
      </w:r>
      <w:r>
        <w:rPr>
          <w:rFonts w:ascii="宋体" w:hAnsi="宋体" w:eastAsia="宋体" w:cs="宋体"/>
          <w:color w:val="auto"/>
          <w:sz w:val="24"/>
          <w:szCs w:val="24"/>
          <w:lang w:eastAsia="zh-CN"/>
        </w:rPr>
        <w:t>之间，环境气温高出</w:t>
      </w:r>
      <w:r>
        <w:rPr>
          <w:rFonts w:ascii="Times New Roman" w:hAnsi="Times New Roman" w:eastAsia="Times New Roman" w:cs="Times New Roman"/>
          <w:color w:val="auto"/>
          <w:sz w:val="24"/>
          <w:szCs w:val="24"/>
          <w:u w:val="single"/>
          <w:lang w:eastAsia="zh-CN"/>
        </w:rPr>
        <w:t>35</w:t>
      </w:r>
      <w:r>
        <w:rPr>
          <w:rFonts w:ascii="宋体" w:hAnsi="宋体" w:eastAsia="宋体" w:cs="宋体"/>
          <w:color w:val="auto"/>
          <w:sz w:val="24"/>
          <w:szCs w:val="24"/>
          <w:u w:val="single"/>
          <w:lang w:eastAsia="zh-CN"/>
        </w:rPr>
        <w:t>℃</w:t>
      </w:r>
      <w:r>
        <w:rPr>
          <w:rFonts w:ascii="宋体" w:hAnsi="宋体" w:eastAsia="宋体" w:cs="宋体"/>
          <w:color w:val="auto"/>
          <w:sz w:val="24"/>
          <w:szCs w:val="24"/>
          <w:lang w:eastAsia="zh-CN"/>
        </w:rPr>
        <w:t>时不应施工；当环境气温低于</w:t>
      </w:r>
      <w:r>
        <w:rPr>
          <w:rFonts w:ascii="Times New Roman" w:hAnsi="Times New Roman" w:eastAsia="Times New Roman" w:cs="Times New Roman"/>
          <w:color w:val="auto"/>
          <w:sz w:val="24"/>
          <w:szCs w:val="24"/>
          <w:u w:val="single"/>
          <w:lang w:eastAsia="zh-CN"/>
        </w:rPr>
        <w:t>5</w:t>
      </w:r>
      <w:r>
        <w:rPr>
          <w:rFonts w:ascii="宋体" w:hAnsi="宋体" w:eastAsia="宋体" w:cs="宋体"/>
          <w:color w:val="auto"/>
          <w:sz w:val="24"/>
          <w:szCs w:val="24"/>
          <w:u w:val="single"/>
          <w:lang w:eastAsia="zh-CN"/>
        </w:rPr>
        <w:t>℃</w:t>
      </w:r>
      <w:r>
        <w:rPr>
          <w:rFonts w:ascii="宋体" w:hAnsi="宋体" w:eastAsia="宋体" w:cs="宋体"/>
          <w:color w:val="auto"/>
          <w:sz w:val="24"/>
          <w:szCs w:val="24"/>
          <w:lang w:eastAsia="zh-CN"/>
        </w:rPr>
        <w:t>时，应严格按产品说明书的要求进行施工。</w:t>
      </w:r>
    </w:p>
    <w:p w14:paraId="044BD48A">
      <w:pPr>
        <w:widowControl w:val="0"/>
        <w:kinsoku/>
        <w:topLinePunct/>
        <w:autoSpaceDE/>
        <w:autoSpaceDN/>
        <w:spacing w:line="520" w:lineRule="exact"/>
        <w:jc w:val="both"/>
        <w:outlineLvl w:val="3"/>
        <w:rPr>
          <w:rFonts w:hint="eastAsia" w:ascii="宋体" w:hAnsi="宋体" w:eastAsia="宋体" w:cs="宋体"/>
          <w:b/>
          <w:bCs/>
          <w:color w:val="auto"/>
          <w:sz w:val="24"/>
          <w:szCs w:val="24"/>
        </w:rPr>
      </w:pPr>
      <w:r>
        <w:rPr>
          <w:rFonts w:hint="eastAsia" w:ascii="宋体" w:hAnsi="宋体" w:eastAsia="宋体" w:cs="宋体"/>
          <w:b/>
          <w:bCs/>
          <w:color w:val="auto"/>
          <w:sz w:val="24"/>
          <w:szCs w:val="24"/>
        </w:rPr>
        <w:t>18.2.2</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rPr>
        <w:t>卷材、涂膜防水屋面</w:t>
      </w:r>
    </w:p>
    <w:p w14:paraId="6C2573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宋体" w:hAnsi="宋体" w:eastAsia="宋体" w:cs="宋体"/>
          <w:color w:val="auto"/>
          <w:sz w:val="24"/>
          <w:szCs w:val="24"/>
        </w:rPr>
        <w:t>（</w:t>
      </w:r>
      <w:r>
        <w:rPr>
          <w:rFonts w:ascii="Times New Roman" w:hAnsi="Times New Roman" w:eastAsia="Times New Roman" w:cs="Times New Roman"/>
          <w:color w:val="auto"/>
          <w:sz w:val="24"/>
          <w:szCs w:val="24"/>
        </w:rPr>
        <w:t>1</w:t>
      </w:r>
      <w:r>
        <w:rPr>
          <w:rFonts w:ascii="宋体" w:hAnsi="宋体" w:eastAsia="宋体" w:cs="宋体"/>
          <w:color w:val="auto"/>
          <w:sz w:val="24"/>
          <w:szCs w:val="24"/>
        </w:rPr>
        <w:t>）材料。</w:t>
      </w:r>
    </w:p>
    <w:p w14:paraId="73BA6C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）防水卷材及其胶粘材料的外观质量和物理性能应遵守《屋面工程技术规范》（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4.5</w:t>
      </w:r>
      <w:r>
        <w:rPr>
          <w:rFonts w:ascii="宋体" w:hAnsi="宋体" w:eastAsia="宋体" w:cs="宋体"/>
          <w:color w:val="auto"/>
          <w:sz w:val="24"/>
          <w:szCs w:val="24"/>
          <w:lang w:eastAsia="zh-CN"/>
        </w:rPr>
        <w:t>节和第</w:t>
      </w:r>
      <w:r>
        <w:rPr>
          <w:rFonts w:ascii="Times New Roman" w:hAnsi="Times New Roman" w:eastAsia="Times New Roman" w:cs="Times New Roman"/>
          <w:color w:val="auto"/>
          <w:sz w:val="24"/>
          <w:szCs w:val="24"/>
          <w:lang w:eastAsia="zh-CN"/>
        </w:rPr>
        <w:t>5.4</w:t>
      </w:r>
      <w:r>
        <w:rPr>
          <w:rFonts w:ascii="宋体" w:hAnsi="宋体" w:eastAsia="宋体" w:cs="宋体"/>
          <w:color w:val="auto"/>
          <w:sz w:val="24"/>
          <w:szCs w:val="24"/>
          <w:lang w:eastAsia="zh-CN"/>
        </w:rPr>
        <w:t>节的规定；其胶粘剂的粘结剥离强度应遵守《屋面工程技术规范》（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B.1.3</w:t>
      </w:r>
      <w:r>
        <w:rPr>
          <w:rFonts w:ascii="宋体" w:hAnsi="宋体" w:eastAsia="宋体" w:cs="宋体"/>
          <w:color w:val="auto"/>
          <w:sz w:val="24"/>
          <w:szCs w:val="24"/>
          <w:lang w:eastAsia="zh-CN"/>
        </w:rPr>
        <w:t>的规定。</w:t>
      </w:r>
    </w:p>
    <w:p w14:paraId="51D58A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）防水涂料及胎体增强材料的质量应遵守</w:t>
      </w:r>
      <w:r>
        <w:rPr>
          <w:rFonts w:ascii="宋体" w:hAnsi="宋体" w:eastAsia="宋体" w:cs="宋体"/>
          <w:color w:val="auto"/>
          <w:spacing w:val="-20"/>
          <w:sz w:val="24"/>
          <w:szCs w:val="24"/>
          <w:lang w:eastAsia="zh-CN"/>
        </w:rPr>
        <w:t>《屋面工程技术规范》（</w:t>
      </w:r>
      <w:r>
        <w:rPr>
          <w:rFonts w:hint="eastAsia" w:ascii="Times New Roman" w:hAnsi="Times New Roman" w:eastAsia="宋体" w:cs="Times New Roman"/>
          <w:color w:val="auto"/>
          <w:spacing w:val="-20"/>
          <w:sz w:val="24"/>
          <w:szCs w:val="24"/>
          <w:lang w:eastAsia="zh-CN"/>
        </w:rPr>
        <w:t>GB 50345-2012</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附录</w:t>
      </w:r>
      <w:r>
        <w:rPr>
          <w:rFonts w:ascii="Times New Roman" w:hAnsi="Times New Roman" w:eastAsia="Times New Roman" w:cs="Times New Roman"/>
          <w:color w:val="auto"/>
          <w:sz w:val="24"/>
          <w:szCs w:val="24"/>
          <w:lang w:eastAsia="zh-CN"/>
        </w:rPr>
        <w:t>B</w:t>
      </w:r>
      <w:r>
        <w:rPr>
          <w:rFonts w:ascii="宋体" w:hAnsi="宋体" w:eastAsia="宋体" w:cs="宋体"/>
          <w:color w:val="auto"/>
          <w:sz w:val="24"/>
          <w:szCs w:val="24"/>
          <w:lang w:eastAsia="zh-CN"/>
        </w:rPr>
        <w:t>的规定。</w:t>
      </w:r>
    </w:p>
    <w:p w14:paraId="083D0B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）找平层施工。</w:t>
      </w:r>
    </w:p>
    <w:p w14:paraId="28FDE7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屋面防水层和保温、隔热层的基层应根据施工图纸要求设置找平层，其施工要求应符合施工图纸的要求，并遵守《屋面工程技术规范》（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5.2.2</w:t>
      </w:r>
      <w:r>
        <w:rPr>
          <w:rFonts w:ascii="宋体" w:hAnsi="宋体" w:eastAsia="宋体" w:cs="宋体"/>
          <w:color w:val="auto"/>
          <w:sz w:val="24"/>
          <w:szCs w:val="24"/>
          <w:lang w:eastAsia="zh-CN"/>
        </w:rPr>
        <w:t>条的规定与参照表</w:t>
      </w:r>
      <w:r>
        <w:rPr>
          <w:rFonts w:ascii="Times New Roman" w:hAnsi="Times New Roman" w:eastAsia="Times New Roman" w:cs="Times New Roman"/>
          <w:color w:val="auto"/>
          <w:sz w:val="24"/>
          <w:szCs w:val="24"/>
          <w:lang w:eastAsia="zh-CN"/>
        </w:rPr>
        <w:t>5.2.7</w:t>
      </w:r>
      <w:r>
        <w:rPr>
          <w:rFonts w:ascii="宋体" w:hAnsi="宋体" w:eastAsia="宋体" w:cs="宋体"/>
          <w:color w:val="auto"/>
          <w:sz w:val="24"/>
          <w:szCs w:val="24"/>
          <w:lang w:eastAsia="zh-CN"/>
        </w:rPr>
        <w:t>的数据确定。</w:t>
      </w:r>
    </w:p>
    <w:p w14:paraId="2FB518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）卷材、涂膜防水层施工。</w:t>
      </w:r>
    </w:p>
    <w:p w14:paraId="518437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）卷材防水层施工应遵守</w:t>
      </w:r>
      <w:r>
        <w:rPr>
          <w:rFonts w:ascii="宋体" w:hAnsi="宋体" w:eastAsia="宋体" w:cs="宋体"/>
          <w:color w:val="auto"/>
          <w:spacing w:val="-20"/>
          <w:sz w:val="24"/>
          <w:szCs w:val="24"/>
          <w:lang w:eastAsia="zh-CN"/>
        </w:rPr>
        <w:t>《屋面工程技术规范》（</w:t>
      </w:r>
      <w:r>
        <w:rPr>
          <w:rFonts w:hint="eastAsia" w:ascii="Times New Roman" w:hAnsi="Times New Roman" w:eastAsia="宋体" w:cs="Times New Roman"/>
          <w:color w:val="auto"/>
          <w:spacing w:val="-20"/>
          <w:sz w:val="24"/>
          <w:szCs w:val="24"/>
          <w:lang w:eastAsia="zh-CN"/>
        </w:rPr>
        <w:t>GB 50345-2012</w:t>
      </w:r>
      <w:r>
        <w:rPr>
          <w:rFonts w:ascii="宋体" w:hAnsi="宋体" w:eastAsia="宋体" w:cs="宋体"/>
          <w:color w:val="auto"/>
          <w:spacing w:val="-20"/>
          <w:sz w:val="24"/>
          <w:szCs w:val="24"/>
          <w:lang w:eastAsia="zh-CN"/>
        </w:rPr>
        <w:t>）第</w:t>
      </w:r>
      <w:r>
        <w:rPr>
          <w:rFonts w:ascii="Times New Roman" w:hAnsi="Times New Roman" w:eastAsia="Times New Roman" w:cs="Times New Roman"/>
          <w:color w:val="auto"/>
          <w:spacing w:val="-20"/>
          <w:sz w:val="24"/>
          <w:szCs w:val="24"/>
          <w:lang w:eastAsia="zh-CN"/>
        </w:rPr>
        <w:t>5.1.8</w:t>
      </w:r>
      <w:r>
        <w:rPr>
          <w:rFonts w:hint="eastAsia" w:ascii="宋体" w:hAnsi="宋体" w:eastAsia="宋体" w:cs="宋体"/>
          <w:color w:val="auto"/>
          <w:spacing w:val="-20"/>
          <w:sz w:val="24"/>
          <w:szCs w:val="24"/>
          <w:lang w:eastAsia="zh-CN"/>
        </w:rPr>
        <w:t>～</w:t>
      </w:r>
      <w:r>
        <w:rPr>
          <w:rFonts w:ascii="Times New Roman" w:hAnsi="Times New Roman" w:eastAsia="Times New Roman" w:cs="Times New Roman"/>
          <w:color w:val="auto"/>
          <w:spacing w:val="-20"/>
          <w:sz w:val="24"/>
          <w:szCs w:val="24"/>
          <w:lang w:eastAsia="zh-CN"/>
        </w:rPr>
        <w:t>5.1.11</w:t>
      </w:r>
      <w:r>
        <w:rPr>
          <w:rFonts w:ascii="宋体" w:hAnsi="宋体" w:eastAsia="宋体" w:cs="宋体"/>
          <w:color w:val="auto"/>
          <w:sz w:val="24"/>
          <w:szCs w:val="24"/>
          <w:lang w:eastAsia="zh-CN"/>
        </w:rPr>
        <w:t>条的规定；涂膜防水层施工应遵守《屋面工程技术规范》（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6.5</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6.7</w:t>
      </w:r>
      <w:r>
        <w:rPr>
          <w:rFonts w:ascii="宋体" w:hAnsi="宋体" w:eastAsia="宋体" w:cs="宋体"/>
          <w:color w:val="auto"/>
          <w:sz w:val="24"/>
          <w:szCs w:val="24"/>
          <w:lang w:eastAsia="zh-CN"/>
        </w:rPr>
        <w:t>节的规定。</w:t>
      </w:r>
    </w:p>
    <w:p w14:paraId="5859AA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）卷材、涂膜防水层应根据施工图纸要求涂刷基层处理剂，基层处理剂应根据本章第</w:t>
      </w:r>
      <w:r>
        <w:rPr>
          <w:rFonts w:ascii="Times New Roman" w:hAnsi="Times New Roman" w:eastAsia="Times New Roman" w:cs="Times New Roman"/>
          <w:color w:val="auto"/>
          <w:sz w:val="24"/>
          <w:szCs w:val="24"/>
          <w:lang w:eastAsia="zh-CN"/>
        </w:rPr>
        <w:t>18.1.3</w:t>
      </w:r>
      <w:r>
        <w:rPr>
          <w:rFonts w:ascii="宋体" w:hAnsi="宋体" w:eastAsia="宋体" w:cs="宋体"/>
          <w:color w:val="auto"/>
          <w:sz w:val="24"/>
          <w:szCs w:val="24"/>
          <w:lang w:eastAsia="zh-CN"/>
        </w:rPr>
        <w:t>项第（</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）目规定的材料相容性试验选定，试验成果应提交监理人；基层处理剂的涂刷应遵守《屋面工程技术规范》（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5.1.4</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5.1.5</w:t>
      </w:r>
      <w:r>
        <w:rPr>
          <w:rFonts w:ascii="宋体" w:hAnsi="宋体" w:eastAsia="宋体" w:cs="宋体"/>
          <w:color w:val="auto"/>
          <w:sz w:val="24"/>
          <w:szCs w:val="24"/>
          <w:lang w:eastAsia="zh-CN"/>
        </w:rPr>
        <w:t>条的规定。卷材或涂膜防水层的施工作业应在基层处理剂干燥后立即进行。</w:t>
      </w:r>
    </w:p>
    <w:p w14:paraId="02F6FC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）承包人应通过现场试验选择防水卷材的施工方法。防水卷材铺贴可比较选用冷粘法、自粘法或热粘法，防水涂膜涂刷可比较选用刮涂法或喷涂法。</w:t>
      </w:r>
    </w:p>
    <w:p w14:paraId="583DF8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）卷材、涂膜防水层施工前，应按施工图纸要求和监理人指示，完成被覆盖部位的密封材料嵌填和屋面结构缝及细部构造处的卷材或涂膜附加层的铺设。</w:t>
      </w:r>
    </w:p>
    <w:p w14:paraId="5C60DA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）在已完工的卷材、涂膜防水层上面未作保护层前，不得在其上面进行其他施工作业或直接堆放物品。</w:t>
      </w:r>
    </w:p>
    <w:p w14:paraId="0AB0BB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）屋面保护层施工。</w:t>
      </w:r>
    </w:p>
    <w:p w14:paraId="3927CC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各种防水卷材保护层的施工应符合</w:t>
      </w:r>
      <w:r>
        <w:rPr>
          <w:rFonts w:ascii="宋体" w:hAnsi="宋体" w:eastAsia="宋体" w:cs="宋体"/>
          <w:color w:val="auto"/>
          <w:spacing w:val="20"/>
          <w:sz w:val="24"/>
          <w:szCs w:val="24"/>
          <w:lang w:eastAsia="zh-CN"/>
        </w:rPr>
        <w:t>《屋面工程技术规范》（</w:t>
      </w:r>
      <w:r>
        <w:rPr>
          <w:rFonts w:hint="eastAsia" w:ascii="Times New Roman" w:hAnsi="Times New Roman" w:eastAsia="宋体" w:cs="Times New Roman"/>
          <w:color w:val="auto"/>
          <w:spacing w:val="20"/>
          <w:sz w:val="24"/>
          <w:szCs w:val="24"/>
          <w:lang w:eastAsia="zh-CN"/>
        </w:rPr>
        <w:t>GB 50345-2012</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5.5.6</w:t>
      </w:r>
      <w:r>
        <w:rPr>
          <w:rFonts w:ascii="宋体" w:hAnsi="宋体" w:eastAsia="宋体" w:cs="宋体"/>
          <w:color w:val="auto"/>
          <w:sz w:val="24"/>
          <w:szCs w:val="24"/>
          <w:lang w:eastAsia="zh-CN"/>
        </w:rPr>
        <w:t>条和第</w:t>
      </w:r>
      <w:r>
        <w:rPr>
          <w:rFonts w:ascii="Times New Roman" w:hAnsi="Times New Roman" w:eastAsia="Times New Roman" w:cs="Times New Roman"/>
          <w:color w:val="auto"/>
          <w:sz w:val="24"/>
          <w:szCs w:val="24"/>
          <w:lang w:eastAsia="zh-CN"/>
        </w:rPr>
        <w:t>5.6.7</w:t>
      </w:r>
      <w:r>
        <w:rPr>
          <w:rFonts w:ascii="宋体" w:hAnsi="宋体" w:eastAsia="宋体" w:cs="宋体"/>
          <w:color w:val="auto"/>
          <w:sz w:val="24"/>
          <w:szCs w:val="24"/>
          <w:lang w:eastAsia="zh-CN"/>
        </w:rPr>
        <w:t>条的规定；各种防水涂膜保护层的施工应遵守《屋面工程技术规范》（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6.3.5</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6.5.5</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6.6.5</w:t>
      </w:r>
      <w:r>
        <w:rPr>
          <w:rFonts w:ascii="宋体" w:hAnsi="宋体" w:eastAsia="宋体" w:cs="宋体"/>
          <w:color w:val="auto"/>
          <w:sz w:val="24"/>
          <w:szCs w:val="24"/>
          <w:lang w:eastAsia="zh-CN"/>
        </w:rPr>
        <w:t>条和第</w:t>
      </w:r>
      <w:r>
        <w:rPr>
          <w:rFonts w:ascii="Times New Roman" w:hAnsi="Times New Roman" w:eastAsia="Times New Roman" w:cs="Times New Roman"/>
          <w:color w:val="auto"/>
          <w:sz w:val="24"/>
          <w:szCs w:val="24"/>
          <w:lang w:eastAsia="zh-CN"/>
        </w:rPr>
        <w:t>6.7.5</w:t>
      </w:r>
      <w:r>
        <w:rPr>
          <w:rFonts w:ascii="宋体" w:hAnsi="宋体" w:eastAsia="宋体" w:cs="宋体"/>
          <w:color w:val="auto"/>
          <w:sz w:val="24"/>
          <w:szCs w:val="24"/>
          <w:lang w:eastAsia="zh-CN"/>
        </w:rPr>
        <w:t>条的规定。</w:t>
      </w:r>
    </w:p>
    <w:p w14:paraId="46D44F3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18.2.3 刚性防水屋面</w:t>
      </w:r>
    </w:p>
    <w:p w14:paraId="59F04D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刚性防水屋面包括普通细石混凝土防水屋面、补偿收缩混凝土防水屋面和钢纤维混凝土防水屋面。</w:t>
      </w:r>
    </w:p>
    <w:p w14:paraId="72EB09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）材料。</w:t>
      </w:r>
    </w:p>
    <w:p w14:paraId="3DDDB2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）刚性防水屋面使用的水泥、钢筋、粗细骨料应遵守</w:t>
      </w:r>
      <w:r>
        <w:rPr>
          <w:rFonts w:ascii="宋体" w:hAnsi="宋体" w:eastAsia="宋体" w:cs="宋体"/>
          <w:color w:val="auto"/>
          <w:spacing w:val="20"/>
          <w:sz w:val="24"/>
          <w:szCs w:val="24"/>
          <w:lang w:eastAsia="zh-CN"/>
        </w:rPr>
        <w:t>《屋面工程技术规范》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7.2</w:t>
      </w:r>
      <w:r>
        <w:rPr>
          <w:rFonts w:ascii="宋体" w:hAnsi="宋体" w:eastAsia="宋体" w:cs="宋体"/>
          <w:color w:val="auto"/>
          <w:sz w:val="24"/>
          <w:szCs w:val="24"/>
          <w:lang w:eastAsia="zh-CN"/>
        </w:rPr>
        <w:t>节的规定；钢纤维应遵守</w:t>
      </w:r>
      <w:r>
        <w:rPr>
          <w:rFonts w:ascii="宋体" w:hAnsi="宋体" w:eastAsia="宋体" w:cs="宋体"/>
          <w:color w:val="auto"/>
          <w:spacing w:val="-28"/>
          <w:sz w:val="24"/>
          <w:szCs w:val="24"/>
          <w:lang w:eastAsia="zh-CN"/>
        </w:rPr>
        <w:t>《屋面工程技术规范》（</w:t>
      </w:r>
      <w:r>
        <w:rPr>
          <w:rFonts w:hint="eastAsia" w:ascii="Times New Roman" w:hAnsi="Times New Roman" w:eastAsia="宋体" w:cs="Times New Roman"/>
          <w:color w:val="auto"/>
          <w:spacing w:val="-28"/>
          <w:sz w:val="24"/>
          <w:szCs w:val="24"/>
          <w:lang w:eastAsia="zh-CN"/>
        </w:rPr>
        <w:t>GB 50345-2012</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7.7.3</w:t>
      </w:r>
      <w:r>
        <w:rPr>
          <w:rFonts w:ascii="宋体" w:hAnsi="宋体" w:eastAsia="宋体" w:cs="宋体"/>
          <w:color w:val="auto"/>
          <w:sz w:val="24"/>
          <w:szCs w:val="24"/>
          <w:lang w:eastAsia="zh-CN"/>
        </w:rPr>
        <w:t>条的规定。</w:t>
      </w:r>
    </w:p>
    <w:p w14:paraId="7D1284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）补偿收缩混凝土使用的膨胀剂，应按施工图纸的要求通过工艺试验选用。</w:t>
      </w:r>
    </w:p>
    <w:p w14:paraId="4A7681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）刚性防水层施工。</w:t>
      </w:r>
    </w:p>
    <w:p w14:paraId="3F5CB9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）刚性混凝土找平层施工应遵守本章第</w:t>
      </w:r>
      <w:r>
        <w:rPr>
          <w:rFonts w:ascii="Times New Roman" w:hAnsi="Times New Roman" w:eastAsia="Times New Roman" w:cs="Times New Roman"/>
          <w:color w:val="auto"/>
          <w:sz w:val="24"/>
          <w:szCs w:val="24"/>
          <w:lang w:eastAsia="zh-CN"/>
        </w:rPr>
        <w:t>18.2.2</w:t>
      </w:r>
      <w:r>
        <w:rPr>
          <w:rFonts w:ascii="宋体" w:hAnsi="宋体" w:eastAsia="宋体" w:cs="宋体"/>
          <w:color w:val="auto"/>
          <w:sz w:val="24"/>
          <w:szCs w:val="24"/>
          <w:lang w:eastAsia="zh-CN"/>
        </w:rPr>
        <w:t>项的规定；各种刚性防水屋面的施工应遵守《屋面工程技术规范》（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章的规定。</w:t>
      </w:r>
    </w:p>
    <w:p w14:paraId="634E14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）在刚性防水层混凝土浇筑前应完成被浇筑混凝土覆盖部位的密封材料嵌填；</w:t>
      </w:r>
    </w:p>
    <w:p w14:paraId="458861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在浇筑后应完成刚性防水层分格缝、屋面与垂直墙体留缝和其他缝隙的密封材料嵌填。防水层分隔缝嵌填密封材料后，应加设保护层。</w:t>
      </w:r>
    </w:p>
    <w:p w14:paraId="1C0648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）根据施工图纸要求完成屋面结构缝及其他细部构造处的卷材或涂膜保护层的铺设后，按本章第</w:t>
      </w:r>
      <w:r>
        <w:rPr>
          <w:rFonts w:ascii="Times New Roman" w:hAnsi="Times New Roman" w:eastAsia="Times New Roman" w:cs="Times New Roman"/>
          <w:color w:val="auto"/>
          <w:sz w:val="24"/>
          <w:szCs w:val="24"/>
          <w:lang w:eastAsia="zh-CN"/>
        </w:rPr>
        <w:t>18.2.4</w:t>
      </w:r>
      <w:r>
        <w:rPr>
          <w:rFonts w:ascii="宋体" w:hAnsi="宋体" w:eastAsia="宋体" w:cs="宋体"/>
          <w:color w:val="auto"/>
          <w:sz w:val="24"/>
          <w:szCs w:val="24"/>
          <w:lang w:eastAsia="zh-CN"/>
        </w:rPr>
        <w:t>条规定做好收头和密封。</w:t>
      </w:r>
    </w:p>
    <w:p w14:paraId="3805441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18.2.4 屋面结构的防水密封</w:t>
      </w:r>
    </w:p>
    <w:p w14:paraId="3D1174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本节规定适用于卷材、涂膜防水屋面及刚性防水屋面的结构缝及细部构造处的防水密封处理。其范围包括屋面找平层分格缝、刚性防水层分格缝、屋面结构变形缝等。</w:t>
      </w:r>
    </w:p>
    <w:p w14:paraId="61AD61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）防水密封材料。</w:t>
      </w:r>
    </w:p>
    <w:p w14:paraId="537030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）防水密封材料的物理性能应遵守</w:t>
      </w:r>
      <w:r>
        <w:rPr>
          <w:rFonts w:ascii="宋体" w:hAnsi="宋体" w:eastAsia="宋体" w:cs="宋体"/>
          <w:color w:val="auto"/>
          <w:spacing w:val="-20"/>
          <w:sz w:val="24"/>
          <w:szCs w:val="24"/>
          <w:lang w:eastAsia="zh-CN"/>
        </w:rPr>
        <w:t>《屋面工程技术规范》（</w:t>
      </w:r>
      <w:r>
        <w:rPr>
          <w:rFonts w:hint="eastAsia" w:ascii="Times New Roman" w:hAnsi="Times New Roman" w:eastAsia="宋体" w:cs="Times New Roman"/>
          <w:color w:val="auto"/>
          <w:spacing w:val="-20"/>
          <w:sz w:val="24"/>
          <w:szCs w:val="24"/>
          <w:lang w:eastAsia="zh-CN"/>
        </w:rPr>
        <w:t>GB 50345-2012</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8.2</w:t>
      </w:r>
      <w:r>
        <w:rPr>
          <w:rFonts w:ascii="宋体" w:hAnsi="宋体" w:eastAsia="宋体" w:cs="宋体"/>
          <w:color w:val="auto"/>
          <w:sz w:val="24"/>
          <w:szCs w:val="24"/>
          <w:lang w:eastAsia="zh-CN"/>
        </w:rPr>
        <w:t>节的规定。</w:t>
      </w:r>
    </w:p>
    <w:p w14:paraId="11F002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）防水密封材料的配比应通过工艺试验选定；工艺试验成果应提交监理人。</w:t>
      </w:r>
    </w:p>
    <w:p w14:paraId="3F9996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）防水密封结构的施工。</w:t>
      </w:r>
    </w:p>
    <w:p w14:paraId="02296E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）接缝处的密封材料底部应根据施工图纸要求设置背衬材料。承包人应通过工艺试验选择耐热性好、与密封材料不粘结或粘结力弱的背衬材料，工艺试验成果应提交监理人。</w:t>
      </w:r>
    </w:p>
    <w:p w14:paraId="0A8BCD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）平接屋面结构变形缝内应按施工图纸要求填充弹性材料，其上部填放衬垫材料后用卷材封盖；刚性防水层和变形缝两侧墙体交接处，应按施工图纸要求嵌填防水密封材料。</w:t>
      </w:r>
    </w:p>
    <w:p w14:paraId="3046D9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）高低屋面结构变形缝缝内除填充弹性材料外，应按施工图纸要求，在高墙面固定盖缝卷材处用密封材料封严。</w:t>
      </w:r>
    </w:p>
    <w:p w14:paraId="29230DE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）屋面细部构造的防水密封处理应遵守</w:t>
      </w:r>
      <w:r>
        <w:rPr>
          <w:rFonts w:ascii="宋体" w:hAnsi="宋体" w:eastAsia="宋体" w:cs="宋体"/>
          <w:color w:val="auto"/>
          <w:spacing w:val="-20"/>
          <w:sz w:val="24"/>
          <w:szCs w:val="24"/>
          <w:lang w:eastAsia="zh-CN"/>
        </w:rPr>
        <w:t>《屋面工程技术规范》（</w:t>
      </w:r>
      <w:r>
        <w:rPr>
          <w:rFonts w:hint="eastAsia" w:ascii="Times New Roman" w:hAnsi="Times New Roman" w:eastAsia="宋体" w:cs="Times New Roman"/>
          <w:color w:val="auto"/>
          <w:spacing w:val="-20"/>
          <w:sz w:val="24"/>
          <w:szCs w:val="24"/>
          <w:lang w:eastAsia="zh-CN"/>
        </w:rPr>
        <w:t xml:space="preserve">GB  </w:t>
      </w:r>
      <w:r>
        <w:rPr>
          <w:rFonts w:ascii="Times New Roman" w:hAnsi="Times New Roman" w:eastAsia="Times New Roman" w:cs="Times New Roman"/>
          <w:color w:val="auto"/>
          <w:spacing w:val="-20"/>
          <w:sz w:val="24"/>
          <w:szCs w:val="24"/>
          <w:lang w:eastAsia="zh-CN"/>
        </w:rPr>
        <w:t>50345</w:t>
      </w:r>
      <w:r>
        <w:rPr>
          <w:rFonts w:hint="eastAsia" w:ascii="Times New Roman" w:hAnsi="Times New Roman" w:eastAsia="宋体" w:cs="Times New Roman"/>
          <w:color w:val="auto"/>
          <w:spacing w:val="-20"/>
          <w:sz w:val="24"/>
          <w:szCs w:val="24"/>
          <w:lang w:eastAsia="zh-CN"/>
        </w:rPr>
        <w:t>-</w:t>
      </w:r>
      <w:r>
        <w:rPr>
          <w:rFonts w:ascii="Times New Roman" w:hAnsi="Times New Roman" w:eastAsia="Times New Roman" w:cs="Times New Roman"/>
          <w:color w:val="auto"/>
          <w:spacing w:val="-20"/>
          <w:sz w:val="24"/>
          <w:szCs w:val="24"/>
          <w:lang w:eastAsia="zh-CN"/>
        </w:rPr>
        <w:t>2012</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8.4</w:t>
      </w:r>
      <w:r>
        <w:rPr>
          <w:rFonts w:ascii="宋体" w:hAnsi="宋体" w:eastAsia="宋体" w:cs="宋体"/>
          <w:color w:val="auto"/>
          <w:sz w:val="24"/>
          <w:szCs w:val="24"/>
          <w:lang w:eastAsia="zh-CN"/>
        </w:rPr>
        <w:t>节的规定。</w:t>
      </w:r>
    </w:p>
    <w:p w14:paraId="40D996C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18.2.5 屋面的保温和隔热</w:t>
      </w:r>
    </w:p>
    <w:p w14:paraId="7679F4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列入本节的钢筋混凝土屋面保温和隔热层的类型，包括板状材料保温层屋面、整体现喷保温层屋面，以及架空隔热屋面。</w:t>
      </w:r>
    </w:p>
    <w:p w14:paraId="3F9539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）材料。</w:t>
      </w:r>
    </w:p>
    <w:p w14:paraId="5AC3DB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）板状保温材料应参照《屋面工程技术规范》（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9.2.1</w:t>
      </w:r>
      <w:r>
        <w:rPr>
          <w:rFonts w:ascii="宋体" w:hAnsi="宋体" w:eastAsia="宋体" w:cs="宋体"/>
          <w:color w:val="auto"/>
          <w:sz w:val="24"/>
          <w:szCs w:val="24"/>
          <w:lang w:eastAsia="zh-CN"/>
        </w:rPr>
        <w:t>的数据选定。</w:t>
      </w:r>
    </w:p>
    <w:p w14:paraId="26CF1E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）板状保温材料胶粘剂，应按本章第</w:t>
      </w:r>
      <w:r>
        <w:rPr>
          <w:rFonts w:ascii="Times New Roman" w:hAnsi="Times New Roman" w:eastAsia="Times New Roman" w:cs="Times New Roman"/>
          <w:color w:val="auto"/>
          <w:sz w:val="24"/>
          <w:szCs w:val="24"/>
          <w:lang w:eastAsia="zh-CN"/>
        </w:rPr>
        <w:t>18.1.3</w:t>
      </w:r>
      <w:r>
        <w:rPr>
          <w:rFonts w:ascii="宋体" w:hAnsi="宋体" w:eastAsia="宋体" w:cs="宋体"/>
          <w:color w:val="auto"/>
          <w:sz w:val="24"/>
          <w:szCs w:val="24"/>
          <w:lang w:eastAsia="zh-CN"/>
        </w:rPr>
        <w:t>项第（</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）目的规定进行工艺试验，选择与板状保温材料材质相容、粘结性好的胶粘剂。其工艺试验成果应提交监理人。</w:t>
      </w:r>
    </w:p>
    <w:p w14:paraId="72DC11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）现喷硬质聚氨酯泡沫塑料的质量应遵守</w:t>
      </w:r>
      <w:r>
        <w:rPr>
          <w:rFonts w:ascii="宋体" w:hAnsi="宋体" w:eastAsia="宋体" w:cs="宋体"/>
          <w:color w:val="auto"/>
          <w:spacing w:val="-20"/>
          <w:sz w:val="24"/>
          <w:szCs w:val="24"/>
          <w:lang w:eastAsia="zh-CN"/>
        </w:rPr>
        <w:t>《屋面工程技术规范》（</w:t>
      </w:r>
      <w:r>
        <w:rPr>
          <w:rFonts w:hint="eastAsia" w:ascii="Times New Roman" w:hAnsi="Times New Roman" w:eastAsia="宋体" w:cs="Times New Roman"/>
          <w:color w:val="auto"/>
          <w:spacing w:val="-20"/>
          <w:sz w:val="24"/>
          <w:szCs w:val="24"/>
          <w:lang w:eastAsia="zh-CN"/>
        </w:rPr>
        <w:t>GB 50345-2012</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9.2.2</w:t>
      </w:r>
      <w:r>
        <w:rPr>
          <w:rFonts w:ascii="宋体" w:hAnsi="宋体" w:eastAsia="宋体" w:cs="宋体"/>
          <w:color w:val="auto"/>
          <w:sz w:val="24"/>
          <w:szCs w:val="24"/>
          <w:lang w:eastAsia="zh-CN"/>
        </w:rPr>
        <w:t>条的规定。</w:t>
      </w:r>
    </w:p>
    <w:p w14:paraId="7F9492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）预制钢筋混凝土架空隔热板的强度等级、外观尺寸应符合施工图纸规定；质量以及抽样检验数量，应遵守《混凝土结构工程施工质量验收规范》（</w:t>
      </w:r>
      <w:r>
        <w:rPr>
          <w:rFonts w:hint="eastAsia" w:ascii="Times New Roman" w:hAnsi="Times New Roman" w:eastAsia="宋体" w:cs="Times New Roman"/>
          <w:color w:val="auto"/>
          <w:sz w:val="24"/>
          <w:szCs w:val="24"/>
          <w:lang w:eastAsia="zh-CN"/>
        </w:rPr>
        <w:t>GB 50204-2015</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章的有关规定。</w:t>
      </w:r>
    </w:p>
    <w:p w14:paraId="01B9C3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）保温、隔热层施工。</w:t>
      </w:r>
    </w:p>
    <w:p w14:paraId="4E8A69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）保温、隔热层的细部构造应遵守</w:t>
      </w:r>
      <w:r>
        <w:rPr>
          <w:rFonts w:ascii="宋体" w:hAnsi="宋体" w:eastAsia="宋体" w:cs="宋体"/>
          <w:color w:val="auto"/>
          <w:spacing w:val="-20"/>
          <w:sz w:val="24"/>
          <w:szCs w:val="24"/>
          <w:lang w:eastAsia="zh-CN"/>
        </w:rPr>
        <w:t>《屋面工程技术规范》（</w:t>
      </w:r>
      <w:r>
        <w:rPr>
          <w:rFonts w:hint="eastAsia" w:ascii="Times New Roman" w:hAnsi="Times New Roman" w:eastAsia="宋体" w:cs="Times New Roman"/>
          <w:color w:val="auto"/>
          <w:spacing w:val="-20"/>
          <w:sz w:val="24"/>
          <w:szCs w:val="24"/>
          <w:lang w:eastAsia="zh-CN"/>
        </w:rPr>
        <w:t>GB 50345-2012</w:t>
      </w:r>
      <w:r>
        <w:rPr>
          <w:rFonts w:ascii="宋体" w:hAnsi="宋体" w:eastAsia="宋体" w:cs="宋体"/>
          <w:color w:val="auto"/>
          <w:spacing w:val="-20"/>
          <w:sz w:val="24"/>
          <w:szCs w:val="24"/>
          <w:lang w:eastAsia="zh-CN"/>
        </w:rPr>
        <w:t>）第</w:t>
      </w:r>
      <w:r>
        <w:rPr>
          <w:rFonts w:ascii="Times New Roman" w:hAnsi="Times New Roman" w:eastAsia="Times New Roman" w:cs="Times New Roman"/>
          <w:color w:val="auto"/>
          <w:spacing w:val="-20"/>
          <w:sz w:val="24"/>
          <w:szCs w:val="24"/>
          <w:lang w:eastAsia="zh-CN"/>
        </w:rPr>
        <w:t>9.4</w:t>
      </w:r>
      <w:r>
        <w:rPr>
          <w:rFonts w:ascii="宋体" w:hAnsi="宋体" w:eastAsia="宋体" w:cs="宋体"/>
          <w:color w:val="auto"/>
          <w:spacing w:val="-20"/>
          <w:sz w:val="24"/>
          <w:szCs w:val="24"/>
          <w:lang w:eastAsia="zh-CN"/>
        </w:rPr>
        <w:t>节</w:t>
      </w:r>
      <w:r>
        <w:rPr>
          <w:rFonts w:ascii="宋体" w:hAnsi="宋体" w:eastAsia="宋体" w:cs="宋体"/>
          <w:color w:val="auto"/>
          <w:sz w:val="24"/>
          <w:szCs w:val="24"/>
          <w:lang w:eastAsia="zh-CN"/>
        </w:rPr>
        <w:t>的规定。</w:t>
      </w:r>
    </w:p>
    <w:p w14:paraId="2F10D6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）板状材料保温层施工应遵守《屋面工程技术规范》（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9.5.1</w:t>
      </w:r>
      <w:r>
        <w:rPr>
          <w:rFonts w:ascii="宋体" w:hAnsi="宋体" w:eastAsia="宋体" w:cs="宋体"/>
          <w:color w:val="auto"/>
          <w:sz w:val="24"/>
          <w:szCs w:val="24"/>
          <w:lang w:eastAsia="zh-CN"/>
        </w:rPr>
        <w:t>条的规定。</w:t>
      </w:r>
    </w:p>
    <w:p w14:paraId="33FDB6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）整体现喷保温层施工应遵守《屋面工程技术规范》（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9.5.2</w:t>
      </w:r>
      <w:r>
        <w:rPr>
          <w:rFonts w:ascii="宋体" w:hAnsi="宋体" w:eastAsia="宋体" w:cs="宋体"/>
          <w:color w:val="auto"/>
          <w:sz w:val="24"/>
          <w:szCs w:val="24"/>
          <w:lang w:eastAsia="zh-CN"/>
        </w:rPr>
        <w:t>条的规定。</w:t>
      </w:r>
    </w:p>
    <w:p w14:paraId="27402C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）架空隔热层施工应遵守《屋面工程技术规范》（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9.6</w:t>
      </w:r>
      <w:r>
        <w:rPr>
          <w:rFonts w:ascii="宋体" w:hAnsi="宋体" w:eastAsia="宋体" w:cs="宋体"/>
          <w:color w:val="auto"/>
          <w:sz w:val="24"/>
          <w:szCs w:val="24"/>
          <w:lang w:eastAsia="zh-CN"/>
        </w:rPr>
        <w:t>节的规定。</w:t>
      </w:r>
    </w:p>
    <w:p w14:paraId="6400021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18.2.6 质量检查和验收</w:t>
      </w:r>
    </w:p>
    <w:p w14:paraId="6F5DA4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）材料的质量检查和验收。</w:t>
      </w:r>
    </w:p>
    <w:p w14:paraId="7674AC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承包人应按《屋面工程技术规范》（</w:t>
      </w:r>
      <w:r>
        <w:rPr>
          <w:rFonts w:hint="eastAsia" w:ascii="Times New Roman" w:hAnsi="Times New Roman" w:eastAsia="宋体" w:cs="Times New Roman"/>
          <w:color w:val="auto"/>
          <w:sz w:val="24"/>
          <w:szCs w:val="24"/>
          <w:lang w:eastAsia="zh-CN"/>
        </w:rPr>
        <w:t>GB 50345-2012</w:t>
      </w:r>
      <w:r>
        <w:rPr>
          <w:rFonts w:ascii="宋体" w:hAnsi="宋体" w:eastAsia="宋体" w:cs="宋体"/>
          <w:color w:val="auto"/>
          <w:sz w:val="24"/>
          <w:szCs w:val="24"/>
          <w:lang w:eastAsia="zh-CN"/>
        </w:rPr>
        <w:t>）的规定，对到货的各类卷材、涂料和防水密封等材料进行抽样检查和检验；每批材料的抽样检验均应由承包人按规定的格式编制材料抽样检验报告提交监理人。</w:t>
      </w:r>
    </w:p>
    <w:p w14:paraId="751C19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）工程隐蔽部位的检查和验收。</w:t>
      </w:r>
    </w:p>
    <w:p w14:paraId="520876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每项工程隐蔽部位施工完毕后，应按监理人指示进行检查和验收。承包人应编制的隐蔽工程验收报告，提交监理人。其内容包括：</w:t>
      </w:r>
    </w:p>
    <w:p w14:paraId="29B678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）各工程隐蔽部位的质量检查和验收记录。</w:t>
      </w:r>
    </w:p>
    <w:p w14:paraId="582827A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）重大缺陷和质量事故处理报告。</w:t>
      </w:r>
    </w:p>
    <w:p w14:paraId="1785C3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）监理人要求提交的其他验收资料。</w:t>
      </w:r>
    </w:p>
    <w:p w14:paraId="019B88D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18.2.7 完工验收</w:t>
      </w:r>
    </w:p>
    <w:p w14:paraId="46DCFD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屋面建筑工程全部完工后，承包人应向监理人申请对屋面建筑工程完工验收，并提交以下完工验收资料：</w:t>
      </w:r>
    </w:p>
    <w:p w14:paraId="26F861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）屋面工程布置总图、施工图和相关的技术文件。</w:t>
      </w:r>
    </w:p>
    <w:p w14:paraId="21B85E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）各项材料的检验和复验报告及其质量合格证件和使用说明书。</w:t>
      </w:r>
    </w:p>
    <w:p w14:paraId="391B68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）各项施工工艺试验报告及相关的图纸和资料。</w:t>
      </w:r>
    </w:p>
    <w:p w14:paraId="6B95FC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）各工程隐蔽部位的质量检查和验收报告。</w:t>
      </w:r>
    </w:p>
    <w:p w14:paraId="73F1A8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）监理人要求提供的其他完工资料。</w:t>
      </w:r>
    </w:p>
    <w:p w14:paraId="18D54803">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73" w:name="_Toc27078"/>
      <w:bookmarkStart w:id="1474" w:name="_Toc11748"/>
      <w:bookmarkStart w:id="1475" w:name="_Toc12158"/>
      <w:r>
        <w:rPr>
          <w:rFonts w:hint="eastAsia" w:ascii="宋体" w:hAnsi="宋体" w:eastAsia="宋体" w:cs="宋体"/>
          <w:b/>
          <w:bCs/>
          <w:color w:val="auto"/>
          <w:sz w:val="24"/>
          <w:szCs w:val="24"/>
          <w:lang w:eastAsia="zh-CN"/>
        </w:rPr>
        <w:t>18.3 地面建筑工程</w:t>
      </w:r>
      <w:bookmarkEnd w:id="1473"/>
      <w:bookmarkEnd w:id="1474"/>
      <w:bookmarkEnd w:id="1475"/>
    </w:p>
    <w:p w14:paraId="49386C8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18.3.1 一般要求</w:t>
      </w:r>
    </w:p>
    <w:p w14:paraId="14A8AE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）地面建筑工程采用的材料应按施工图纸的要求和《建筑地面工程施工质量验收规范》（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）的有关规定选用；进场材料应有质量合格证明文件及性能检测报告。</w:t>
      </w:r>
    </w:p>
    <w:p w14:paraId="263FBD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）地面建筑工程的各层施工环境温度应遵守《建筑地面工程施工质量验收规范》（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3.0.11</w:t>
      </w:r>
      <w:r>
        <w:rPr>
          <w:rFonts w:ascii="宋体" w:hAnsi="宋体" w:eastAsia="宋体" w:cs="宋体"/>
          <w:color w:val="auto"/>
          <w:sz w:val="24"/>
          <w:szCs w:val="24"/>
          <w:lang w:eastAsia="zh-CN"/>
        </w:rPr>
        <w:t>条的规定。</w:t>
      </w:r>
    </w:p>
    <w:p w14:paraId="76685D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）地面建筑工程基层（各构造层）和面层的铺设，均应在其下一层检验合格后进行。地面建筑工程各层铺设前与设备管道安装等工程之间，应进行交接验收。</w:t>
      </w:r>
    </w:p>
    <w:p w14:paraId="1CD94DA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18.3.2 基层铺设</w:t>
      </w:r>
    </w:p>
    <w:p w14:paraId="5785B7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基层铺设包括基土、垫层、找平层、隔离层和填充层等的基层铺设。</w:t>
      </w:r>
    </w:p>
    <w:p w14:paraId="3FECA2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）基土铺设。</w:t>
      </w:r>
    </w:p>
    <w:p w14:paraId="7411F9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）基土铺设前，其下层表面应清理干净；当垫层、找平层内埋设暗管时，管道应按施工图纸要求予以稳固。</w:t>
      </w:r>
    </w:p>
    <w:p w14:paraId="709AE4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）基土铺设的材料质量、密实度和强度等级（或配合比）等应符合施工图纸要求和《建筑地面工程施工质量验收规范》（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4.1.2</w:t>
      </w:r>
      <w:r>
        <w:rPr>
          <w:rFonts w:ascii="宋体" w:hAnsi="宋体" w:eastAsia="宋体" w:cs="宋体"/>
          <w:color w:val="auto"/>
          <w:sz w:val="24"/>
          <w:szCs w:val="24"/>
          <w:lang w:eastAsia="zh-CN"/>
        </w:rPr>
        <w:t>条的有关规定。</w:t>
      </w:r>
    </w:p>
    <w:p w14:paraId="014E1F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）承包人应按施工图纸的要求，将其表面的土层置换为填筑和夯实后的均匀基础土层，填土质量要达到以下要求：</w:t>
      </w:r>
    </w:p>
    <w:p w14:paraId="2D087C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①严禁用腐殖土、冻土、耕植土、膨胀土和含有大于</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的有机物质土作为填土。</w:t>
      </w:r>
    </w:p>
    <w:p w14:paraId="39A690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②填土应分层压（夯）实，填土质量应遵守《建筑地基基础工程施工质量验收标准》（</w:t>
      </w:r>
      <w:r>
        <w:rPr>
          <w:rFonts w:hint="eastAsia" w:ascii="Times New Roman" w:hAnsi="Times New Roman" w:eastAsia="宋体" w:cs="Times New Roman"/>
          <w:color w:val="auto"/>
          <w:sz w:val="24"/>
          <w:szCs w:val="24"/>
          <w:lang w:eastAsia="zh-CN"/>
        </w:rPr>
        <w:t>GB 50202-2018</w:t>
      </w:r>
      <w:r>
        <w:rPr>
          <w:rFonts w:ascii="宋体" w:hAnsi="宋体" w:eastAsia="宋体" w:cs="宋体"/>
          <w:color w:val="auto"/>
          <w:sz w:val="24"/>
          <w:szCs w:val="24"/>
          <w:lang w:eastAsia="zh-CN"/>
        </w:rPr>
        <w:t>）的有关规定。</w:t>
      </w:r>
    </w:p>
    <w:p w14:paraId="45F86C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③填土土料应取最优含水量，对重要工程或大面积的地面填土前，应取土样，并采用土工击实试验确定其最优含水量与相应的最大干密度。</w:t>
      </w:r>
    </w:p>
    <w:p w14:paraId="665D03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）垫层铺设。：</w:t>
      </w:r>
    </w:p>
    <w:p w14:paraId="195D21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）灰土垫层应遵守</w:t>
      </w:r>
      <w:r>
        <w:rPr>
          <w:rFonts w:ascii="宋体" w:hAnsi="宋体" w:eastAsia="宋体" w:cs="宋体"/>
          <w:color w:val="auto"/>
          <w:spacing w:val="-20"/>
          <w:sz w:val="24"/>
          <w:szCs w:val="24"/>
          <w:lang w:eastAsia="zh-CN"/>
        </w:rPr>
        <w:t>《建筑地面工程施工质量验收规范》（</w:t>
      </w:r>
      <w:r>
        <w:rPr>
          <w:rFonts w:hint="eastAsia" w:ascii="Times New Roman" w:hAnsi="Times New Roman" w:eastAsia="宋体" w:cs="Times New Roman"/>
          <w:color w:val="auto"/>
          <w:spacing w:val="-20"/>
          <w:sz w:val="24"/>
          <w:szCs w:val="24"/>
          <w:lang w:eastAsia="zh-CN"/>
        </w:rPr>
        <w:t>GB 50209-2010</w:t>
      </w:r>
      <w:r>
        <w:rPr>
          <w:rFonts w:ascii="宋体" w:hAnsi="宋体" w:eastAsia="宋体" w:cs="宋体"/>
          <w:color w:val="auto"/>
          <w:spacing w:val="-20"/>
          <w:sz w:val="24"/>
          <w:szCs w:val="24"/>
          <w:lang w:eastAsia="zh-CN"/>
        </w:rPr>
        <w:t>）第</w:t>
      </w:r>
      <w:r>
        <w:rPr>
          <w:rFonts w:ascii="Times New Roman" w:hAnsi="Times New Roman" w:eastAsia="Times New Roman" w:cs="Times New Roman"/>
          <w:color w:val="auto"/>
          <w:spacing w:val="-20"/>
          <w:sz w:val="24"/>
          <w:szCs w:val="24"/>
          <w:lang w:eastAsia="zh-CN"/>
        </w:rPr>
        <w:t>4.3.1-4.3.4</w:t>
      </w:r>
      <w:r>
        <w:rPr>
          <w:rFonts w:ascii="宋体" w:hAnsi="宋体" w:eastAsia="宋体" w:cs="宋体"/>
          <w:color w:val="auto"/>
          <w:sz w:val="24"/>
          <w:szCs w:val="24"/>
          <w:lang w:eastAsia="zh-CN"/>
        </w:rPr>
        <w:t>条的规定。</w:t>
      </w:r>
    </w:p>
    <w:p w14:paraId="24E260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）砂垫层和砂石垫层应遵守</w:t>
      </w:r>
      <w:r>
        <w:rPr>
          <w:rFonts w:ascii="宋体" w:hAnsi="宋体" w:eastAsia="宋体" w:cs="宋体"/>
          <w:color w:val="auto"/>
          <w:spacing w:val="-20"/>
          <w:sz w:val="24"/>
          <w:szCs w:val="24"/>
          <w:lang w:eastAsia="zh-CN"/>
        </w:rPr>
        <w:t>《建筑地面工程施工质量验收规范》（</w:t>
      </w:r>
      <w:r>
        <w:rPr>
          <w:rFonts w:hint="eastAsia" w:ascii="Times New Roman" w:hAnsi="Times New Roman" w:eastAsia="宋体" w:cs="Times New Roman"/>
          <w:color w:val="auto"/>
          <w:spacing w:val="-20"/>
          <w:sz w:val="24"/>
          <w:szCs w:val="24"/>
          <w:lang w:eastAsia="zh-CN"/>
        </w:rPr>
        <w:t>GB 50209-2010</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4.4</w:t>
      </w:r>
      <w:r>
        <w:rPr>
          <w:rFonts w:ascii="宋体" w:hAnsi="宋体" w:eastAsia="宋体" w:cs="宋体"/>
          <w:color w:val="auto"/>
          <w:sz w:val="24"/>
          <w:szCs w:val="24"/>
          <w:lang w:eastAsia="zh-CN"/>
        </w:rPr>
        <w:t>节的规定，并参照表</w:t>
      </w:r>
      <w:r>
        <w:rPr>
          <w:rFonts w:ascii="Times New Roman" w:hAnsi="Times New Roman" w:eastAsia="Times New Roman" w:cs="Times New Roman"/>
          <w:color w:val="auto"/>
          <w:sz w:val="24"/>
          <w:szCs w:val="24"/>
          <w:lang w:eastAsia="zh-CN"/>
        </w:rPr>
        <w:t>4.1.7</w:t>
      </w:r>
      <w:r>
        <w:rPr>
          <w:rFonts w:ascii="宋体" w:hAnsi="宋体" w:eastAsia="宋体" w:cs="宋体"/>
          <w:color w:val="auto"/>
          <w:sz w:val="24"/>
          <w:szCs w:val="24"/>
          <w:lang w:eastAsia="zh-CN"/>
        </w:rPr>
        <w:t>的数据确定。</w:t>
      </w:r>
    </w:p>
    <w:p w14:paraId="1B979A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）碎石垫层和碎砖垫层应遵守</w:t>
      </w:r>
      <w:r>
        <w:rPr>
          <w:rFonts w:ascii="宋体" w:hAnsi="宋体" w:eastAsia="宋体" w:cs="宋体"/>
          <w:color w:val="auto"/>
          <w:spacing w:val="-20"/>
          <w:sz w:val="24"/>
          <w:szCs w:val="24"/>
          <w:lang w:eastAsia="zh-CN"/>
        </w:rPr>
        <w:t>《建筑地面工程施工质量验收规范》（</w:t>
      </w:r>
      <w:r>
        <w:rPr>
          <w:rFonts w:hint="eastAsia" w:ascii="Times New Roman" w:hAnsi="Times New Roman" w:eastAsia="宋体" w:cs="Times New Roman"/>
          <w:color w:val="auto"/>
          <w:spacing w:val="-20"/>
          <w:sz w:val="24"/>
          <w:szCs w:val="24"/>
          <w:lang w:eastAsia="zh-CN"/>
        </w:rPr>
        <w:t>GB 50209-2010</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4.5</w:t>
      </w:r>
      <w:r>
        <w:rPr>
          <w:rFonts w:ascii="宋体" w:hAnsi="宋体" w:eastAsia="宋体" w:cs="宋体"/>
          <w:color w:val="auto"/>
          <w:sz w:val="24"/>
          <w:szCs w:val="24"/>
          <w:lang w:eastAsia="zh-CN"/>
        </w:rPr>
        <w:t>节的规定。</w:t>
      </w:r>
    </w:p>
    <w:p w14:paraId="22030B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）三合土垫层应遵守</w:t>
      </w:r>
      <w:r>
        <w:rPr>
          <w:rFonts w:ascii="宋体" w:hAnsi="宋体" w:eastAsia="宋体" w:cs="宋体"/>
          <w:color w:val="auto"/>
          <w:spacing w:val="-20"/>
          <w:sz w:val="24"/>
          <w:szCs w:val="24"/>
          <w:lang w:eastAsia="zh-CN"/>
        </w:rPr>
        <w:t>《建筑地面工程施工质量验收规范》（</w:t>
      </w:r>
      <w:r>
        <w:rPr>
          <w:rFonts w:hint="eastAsia" w:ascii="Times New Roman" w:hAnsi="Times New Roman" w:eastAsia="宋体" w:cs="Times New Roman"/>
          <w:color w:val="auto"/>
          <w:spacing w:val="-20"/>
          <w:sz w:val="24"/>
          <w:szCs w:val="24"/>
          <w:lang w:eastAsia="zh-CN"/>
        </w:rPr>
        <w:t>GB 50209-2010</w:t>
      </w:r>
      <w:r>
        <w:rPr>
          <w:rFonts w:ascii="宋体" w:hAnsi="宋体" w:eastAsia="宋体" w:cs="宋体"/>
          <w:color w:val="auto"/>
          <w:spacing w:val="-20"/>
          <w:sz w:val="24"/>
          <w:szCs w:val="24"/>
          <w:lang w:eastAsia="zh-CN"/>
        </w:rPr>
        <w:t>）第</w:t>
      </w:r>
      <w:r>
        <w:rPr>
          <w:rFonts w:ascii="Times New Roman" w:hAnsi="Times New Roman" w:eastAsia="Times New Roman" w:cs="Times New Roman"/>
          <w:color w:val="auto"/>
          <w:spacing w:val="-20"/>
          <w:sz w:val="24"/>
          <w:szCs w:val="24"/>
          <w:lang w:eastAsia="zh-CN"/>
        </w:rPr>
        <w:t>4.6</w:t>
      </w:r>
      <w:r>
        <w:rPr>
          <w:rFonts w:ascii="宋体" w:hAnsi="宋体" w:eastAsia="宋体" w:cs="宋体"/>
          <w:color w:val="auto"/>
          <w:sz w:val="24"/>
          <w:szCs w:val="24"/>
          <w:lang w:eastAsia="zh-CN"/>
        </w:rPr>
        <w:t>节的规定。</w:t>
      </w:r>
    </w:p>
    <w:p w14:paraId="69DAA6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）水泥混凝土垫层应遵守</w:t>
      </w:r>
      <w:r>
        <w:rPr>
          <w:rFonts w:ascii="宋体" w:hAnsi="宋体" w:eastAsia="宋体" w:cs="宋体"/>
          <w:color w:val="auto"/>
          <w:spacing w:val="-6"/>
          <w:sz w:val="24"/>
          <w:szCs w:val="24"/>
          <w:lang w:eastAsia="zh-CN"/>
        </w:rPr>
        <w:t>《建筑地面工程施工质量验收规范》（</w:t>
      </w:r>
      <w:r>
        <w:rPr>
          <w:rFonts w:hint="eastAsia" w:ascii="Times New Roman" w:hAnsi="Times New Roman" w:eastAsia="宋体" w:cs="Times New Roman"/>
          <w:color w:val="auto"/>
          <w:spacing w:val="-6"/>
          <w:sz w:val="24"/>
          <w:szCs w:val="24"/>
          <w:lang w:eastAsia="zh-CN"/>
        </w:rPr>
        <w:t>GB 50209-2010</w:t>
      </w:r>
      <w:r>
        <w:rPr>
          <w:rFonts w:ascii="宋体" w:hAnsi="宋体" w:eastAsia="宋体" w:cs="宋体"/>
          <w:color w:val="auto"/>
          <w:spacing w:val="-6"/>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4.8</w:t>
      </w:r>
      <w:r>
        <w:rPr>
          <w:rFonts w:ascii="宋体" w:hAnsi="宋体" w:eastAsia="宋体" w:cs="宋体"/>
          <w:color w:val="auto"/>
          <w:sz w:val="24"/>
          <w:szCs w:val="24"/>
          <w:lang w:eastAsia="zh-CN"/>
        </w:rPr>
        <w:t>节的规定。</w:t>
      </w:r>
    </w:p>
    <w:p w14:paraId="042001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）找平层铺设。</w:t>
      </w:r>
    </w:p>
    <w:p w14:paraId="5AF7DC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）找平层应采用水泥砂浆或水泥混凝土铺设，其采用的石料粒径应遵守《建筑地面工程施工质量验收规范》（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4.9.6</w:t>
      </w:r>
      <w:r>
        <w:rPr>
          <w:rFonts w:ascii="宋体" w:hAnsi="宋体" w:eastAsia="宋体" w:cs="宋体"/>
          <w:color w:val="auto"/>
          <w:sz w:val="24"/>
          <w:szCs w:val="24"/>
          <w:lang w:eastAsia="zh-CN"/>
        </w:rPr>
        <w:t>条的规定；水泥砂浆体积比或水泥混凝土强度等级应遵守《建筑地面工程施工质量验收规范》（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4.9.7</w:t>
      </w:r>
      <w:r>
        <w:rPr>
          <w:rFonts w:ascii="宋体" w:hAnsi="宋体" w:eastAsia="宋体" w:cs="宋体"/>
          <w:color w:val="auto"/>
          <w:sz w:val="24"/>
          <w:szCs w:val="24"/>
          <w:lang w:eastAsia="zh-CN"/>
        </w:rPr>
        <w:t>条的规定。</w:t>
      </w:r>
    </w:p>
    <w:p w14:paraId="71CBA7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）有防水要求的建筑地面，铺设前必须对立管、套管和地漏与楼板节点之间进行密封处理；排水坡度应符合施工图纸要求。</w:t>
      </w:r>
    </w:p>
    <w:p w14:paraId="2CE1F9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）预制钢筋混凝土板上铺设找平层应遵守《建筑地面工程施工质量验收规范》（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4.9.4</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4.9.5</w:t>
      </w:r>
      <w:r>
        <w:rPr>
          <w:rFonts w:ascii="宋体" w:hAnsi="宋体" w:eastAsia="宋体" w:cs="宋体"/>
          <w:color w:val="auto"/>
          <w:sz w:val="24"/>
          <w:szCs w:val="24"/>
          <w:lang w:eastAsia="zh-CN"/>
        </w:rPr>
        <w:t>条的规定。</w:t>
      </w:r>
    </w:p>
    <w:p w14:paraId="741C517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）隔离层施工应遵守符合</w:t>
      </w:r>
      <w:r>
        <w:rPr>
          <w:rFonts w:ascii="宋体" w:hAnsi="宋体" w:eastAsia="宋体" w:cs="宋体"/>
          <w:color w:val="auto"/>
          <w:spacing w:val="-20"/>
          <w:sz w:val="24"/>
          <w:szCs w:val="24"/>
          <w:lang w:eastAsia="zh-CN"/>
        </w:rPr>
        <w:t>《建筑地面工程施工质量验收规范》</w:t>
      </w:r>
      <w:r>
        <w:rPr>
          <w:rFonts w:ascii="宋体" w:hAnsi="宋体" w:eastAsia="宋体" w:cs="宋体"/>
          <w:color w:val="auto"/>
          <w:spacing w:val="-17"/>
          <w:sz w:val="24"/>
          <w:szCs w:val="24"/>
          <w:lang w:eastAsia="zh-CN"/>
        </w:rPr>
        <w:t>（</w:t>
      </w:r>
      <w:r>
        <w:rPr>
          <w:rFonts w:hint="eastAsia" w:ascii="Times New Roman" w:hAnsi="Times New Roman" w:eastAsia="宋体" w:cs="Times New Roman"/>
          <w:color w:val="auto"/>
          <w:spacing w:val="-17"/>
          <w:sz w:val="24"/>
          <w:szCs w:val="24"/>
          <w:lang w:eastAsia="zh-CN"/>
        </w:rPr>
        <w:t>GB 50209-2010</w:t>
      </w:r>
      <w:r>
        <w:rPr>
          <w:rFonts w:ascii="宋体" w:hAnsi="宋体" w:eastAsia="宋体" w:cs="宋体"/>
          <w:color w:val="auto"/>
          <w:spacing w:val="-17"/>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4.10</w:t>
      </w:r>
      <w:r>
        <w:rPr>
          <w:rFonts w:ascii="宋体" w:hAnsi="宋体" w:eastAsia="宋体" w:cs="宋体"/>
          <w:color w:val="auto"/>
          <w:sz w:val="24"/>
          <w:szCs w:val="24"/>
          <w:lang w:eastAsia="zh-CN"/>
        </w:rPr>
        <w:t>节的规定。</w:t>
      </w:r>
    </w:p>
    <w:p w14:paraId="7D6D67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）填充层施工应遵守《建筑地面工程施工质量验收规范》（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4.11</w:t>
      </w:r>
      <w:r>
        <w:rPr>
          <w:rFonts w:ascii="宋体" w:hAnsi="宋体" w:eastAsia="宋体" w:cs="宋体"/>
          <w:color w:val="auto"/>
          <w:sz w:val="24"/>
          <w:szCs w:val="24"/>
          <w:lang w:eastAsia="zh-CN"/>
        </w:rPr>
        <w:t>节的规定。</w:t>
      </w:r>
    </w:p>
    <w:p w14:paraId="692B07E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18.3.3 整体面层铺设</w:t>
      </w:r>
    </w:p>
    <w:p w14:paraId="32DB2E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整体面层铺设包括水泥混凝土（含细石混凝土）面层、水泥砂浆面层、水磨石面层、防油渗面层和不发火（防爆）混凝土面层等的整体面层。其各项施工技术要求如下：</w:t>
      </w:r>
    </w:p>
    <w:p w14:paraId="1D88D3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）整体面层的水泥类基层抗压强度应遵守《建筑地面工程施工质量验收规范》（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5.1.2</w:t>
      </w:r>
      <w:r>
        <w:rPr>
          <w:rFonts w:ascii="宋体" w:hAnsi="宋体" w:eastAsia="宋体" w:cs="宋体"/>
          <w:color w:val="auto"/>
          <w:sz w:val="24"/>
          <w:szCs w:val="24"/>
          <w:lang w:eastAsia="zh-CN"/>
        </w:rPr>
        <w:t>条的规定。</w:t>
      </w:r>
    </w:p>
    <w:p w14:paraId="2518D9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）整体面层施工后的养护时间应遵守</w:t>
      </w:r>
      <w:r>
        <w:rPr>
          <w:rFonts w:ascii="宋体" w:hAnsi="宋体" w:eastAsia="宋体" w:cs="宋体"/>
          <w:color w:val="auto"/>
          <w:spacing w:val="20"/>
          <w:sz w:val="24"/>
          <w:szCs w:val="24"/>
          <w:lang w:eastAsia="zh-CN"/>
        </w:rPr>
        <w:t>《建筑地面工程施工质量验收规范》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5.1.4</w:t>
      </w:r>
      <w:r>
        <w:rPr>
          <w:rFonts w:ascii="宋体" w:hAnsi="宋体" w:eastAsia="宋体" w:cs="宋体"/>
          <w:color w:val="auto"/>
          <w:sz w:val="24"/>
          <w:szCs w:val="24"/>
          <w:lang w:eastAsia="zh-CN"/>
        </w:rPr>
        <w:t>条的规定。</w:t>
      </w:r>
    </w:p>
    <w:p w14:paraId="45678E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）整体面层的抹平工作应在水泥初凝前完成，压光工作应在水泥终凝前完成。</w:t>
      </w:r>
    </w:p>
    <w:p w14:paraId="30E58F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）水泥混凝土面层的施工应遵守</w:t>
      </w:r>
      <w:r>
        <w:rPr>
          <w:rFonts w:ascii="宋体" w:hAnsi="宋体" w:eastAsia="宋体" w:cs="宋体"/>
          <w:color w:val="auto"/>
          <w:spacing w:val="-34"/>
          <w:sz w:val="24"/>
          <w:szCs w:val="24"/>
          <w:lang w:eastAsia="zh-CN"/>
        </w:rPr>
        <w:t>《建筑地面工程施工质量验收规范》（</w:t>
      </w:r>
      <w:r>
        <w:rPr>
          <w:rFonts w:hint="eastAsia" w:ascii="Times New Roman" w:hAnsi="Times New Roman" w:eastAsia="宋体" w:cs="Times New Roman"/>
          <w:color w:val="auto"/>
          <w:spacing w:val="-34"/>
          <w:sz w:val="24"/>
          <w:szCs w:val="24"/>
          <w:lang w:eastAsia="zh-CN"/>
        </w:rPr>
        <w:t>GB 50209-2010</w:t>
      </w:r>
      <w:r>
        <w:rPr>
          <w:rFonts w:ascii="宋体" w:hAnsi="宋体" w:eastAsia="宋体" w:cs="宋体"/>
          <w:color w:val="auto"/>
          <w:spacing w:val="-34"/>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5.2</w:t>
      </w:r>
      <w:r>
        <w:rPr>
          <w:rFonts w:ascii="宋体" w:hAnsi="宋体" w:eastAsia="宋体" w:cs="宋体"/>
          <w:color w:val="auto"/>
          <w:sz w:val="24"/>
          <w:szCs w:val="24"/>
          <w:lang w:eastAsia="zh-CN"/>
        </w:rPr>
        <w:t>节的规定。</w:t>
      </w:r>
    </w:p>
    <w:p w14:paraId="71AF90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）水泥砂浆面层的施工应遵守</w:t>
      </w:r>
      <w:r>
        <w:rPr>
          <w:rFonts w:ascii="宋体" w:hAnsi="宋体" w:eastAsia="宋体" w:cs="宋体"/>
          <w:color w:val="auto"/>
          <w:spacing w:val="-28"/>
          <w:sz w:val="24"/>
          <w:szCs w:val="24"/>
          <w:lang w:eastAsia="zh-CN"/>
        </w:rPr>
        <w:t>《建筑地面工程施工质量验收规范》（</w:t>
      </w:r>
      <w:r>
        <w:rPr>
          <w:rFonts w:hint="eastAsia" w:ascii="Times New Roman" w:hAnsi="Times New Roman" w:eastAsia="宋体" w:cs="Times New Roman"/>
          <w:color w:val="auto"/>
          <w:spacing w:val="-28"/>
          <w:sz w:val="24"/>
          <w:szCs w:val="24"/>
          <w:lang w:eastAsia="zh-CN"/>
        </w:rPr>
        <w:t>GB 50209-2010</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5.3</w:t>
      </w:r>
      <w:r>
        <w:rPr>
          <w:rFonts w:ascii="宋体" w:hAnsi="宋体" w:eastAsia="宋体" w:cs="宋体"/>
          <w:color w:val="auto"/>
          <w:sz w:val="24"/>
          <w:szCs w:val="24"/>
          <w:lang w:eastAsia="zh-CN"/>
        </w:rPr>
        <w:t>节的规定。</w:t>
      </w:r>
    </w:p>
    <w:p w14:paraId="774146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）水磨石面层的施工应遵守《建筑地面工程施工质量验收规范》</w:t>
      </w:r>
      <w:r>
        <w:rPr>
          <w:rFonts w:ascii="宋体" w:hAnsi="宋体" w:eastAsia="宋体" w:cs="宋体"/>
          <w:color w:val="auto"/>
          <w:spacing w:val="-28"/>
          <w:sz w:val="24"/>
          <w:szCs w:val="24"/>
          <w:lang w:eastAsia="zh-CN"/>
        </w:rPr>
        <w:t>（</w:t>
      </w:r>
      <w:r>
        <w:rPr>
          <w:rFonts w:hint="eastAsia" w:ascii="Times New Roman" w:hAnsi="Times New Roman" w:eastAsia="宋体" w:cs="Times New Roman"/>
          <w:color w:val="auto"/>
          <w:spacing w:val="-28"/>
          <w:sz w:val="24"/>
          <w:szCs w:val="24"/>
          <w:lang w:eastAsia="zh-CN"/>
        </w:rPr>
        <w:t>GB 50209-2010</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5.4</w:t>
      </w:r>
      <w:r>
        <w:rPr>
          <w:rFonts w:ascii="宋体" w:hAnsi="宋体" w:eastAsia="宋体" w:cs="宋体"/>
          <w:color w:val="auto"/>
          <w:sz w:val="24"/>
          <w:szCs w:val="24"/>
          <w:lang w:eastAsia="zh-CN"/>
        </w:rPr>
        <w:t>节的规定。</w:t>
      </w:r>
    </w:p>
    <w:p w14:paraId="1E450C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）防油渗面层的施工应遵守</w:t>
      </w:r>
      <w:r>
        <w:rPr>
          <w:rFonts w:ascii="宋体" w:hAnsi="宋体" w:eastAsia="宋体" w:cs="宋体"/>
          <w:color w:val="auto"/>
          <w:spacing w:val="-17"/>
          <w:sz w:val="24"/>
          <w:szCs w:val="24"/>
          <w:lang w:eastAsia="zh-CN"/>
        </w:rPr>
        <w:t>《建筑地面工程施工质量验收规范》（</w:t>
      </w:r>
      <w:r>
        <w:rPr>
          <w:rFonts w:hint="eastAsia" w:ascii="Times New Roman" w:hAnsi="Times New Roman" w:eastAsia="宋体" w:cs="Times New Roman"/>
          <w:color w:val="auto"/>
          <w:spacing w:val="-17"/>
          <w:sz w:val="24"/>
          <w:szCs w:val="24"/>
          <w:lang w:eastAsia="zh-CN"/>
        </w:rPr>
        <w:t>GB 50209-2010</w:t>
      </w:r>
      <w:r>
        <w:rPr>
          <w:rFonts w:ascii="宋体" w:hAnsi="宋体" w:eastAsia="宋体" w:cs="宋体"/>
          <w:color w:val="auto"/>
          <w:spacing w:val="-17"/>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节的规定。</w:t>
      </w:r>
    </w:p>
    <w:p w14:paraId="5A08B3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）不发火（防爆）混凝土面层应遵守</w:t>
      </w:r>
      <w:r>
        <w:rPr>
          <w:rFonts w:ascii="宋体" w:hAnsi="宋体" w:eastAsia="宋体" w:cs="宋体"/>
          <w:color w:val="auto"/>
          <w:spacing w:val="20"/>
          <w:sz w:val="24"/>
          <w:szCs w:val="24"/>
          <w:lang w:eastAsia="zh-CN"/>
        </w:rPr>
        <w:t>《建筑地面工程施工质量验收规范》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5.7</w:t>
      </w:r>
      <w:r>
        <w:rPr>
          <w:rFonts w:ascii="宋体" w:hAnsi="宋体" w:eastAsia="宋体" w:cs="宋体"/>
          <w:color w:val="auto"/>
          <w:sz w:val="24"/>
          <w:szCs w:val="24"/>
          <w:lang w:eastAsia="zh-CN"/>
        </w:rPr>
        <w:t>节的规定。</w:t>
      </w:r>
    </w:p>
    <w:p w14:paraId="1ACC6AE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18.3.4 地面工程细部构造</w:t>
      </w:r>
    </w:p>
    <w:p w14:paraId="2F2DF4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）埋设件。</w:t>
      </w:r>
    </w:p>
    <w:p w14:paraId="10F8E2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）地面工程的埋设件应按施工图纸和本技术条款第</w:t>
      </w:r>
      <w:r>
        <w:rPr>
          <w:rFonts w:ascii="Times New Roman" w:hAnsi="Times New Roman" w:eastAsia="Times New Roman" w:cs="Times New Roman"/>
          <w:color w:val="auto"/>
          <w:sz w:val="24"/>
          <w:szCs w:val="24"/>
          <w:lang w:eastAsia="zh-CN"/>
        </w:rPr>
        <w:t>23</w:t>
      </w:r>
      <w:r>
        <w:rPr>
          <w:rFonts w:ascii="宋体" w:hAnsi="宋体" w:eastAsia="宋体" w:cs="宋体"/>
          <w:color w:val="auto"/>
          <w:sz w:val="24"/>
          <w:szCs w:val="24"/>
          <w:lang w:eastAsia="zh-CN"/>
        </w:rPr>
        <w:t>章的规定执行。</w:t>
      </w:r>
    </w:p>
    <w:p w14:paraId="372870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）埋设有管道和地漏的楼面和地面，当其有防水要求时，应在埋设的立管、套管和地漏穿过楼板或地面的节点间，按施工图纸要求进行封堵。</w:t>
      </w:r>
    </w:p>
    <w:p w14:paraId="2570DC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）在有强烈机械作用下的面层间的分格条，以及面层与管沟、孔洞、检查井和管沟变形缝相邻处，均应按施工图纸要求埋设镶边角铁等构件。</w:t>
      </w:r>
    </w:p>
    <w:p w14:paraId="75DA54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）变形缝。</w:t>
      </w:r>
    </w:p>
    <w:p w14:paraId="53D6C8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）地面工程的伸缩缝、沉降缝和防震缝等变形缝应按施工图纸的要求施工。</w:t>
      </w:r>
    </w:p>
    <w:p w14:paraId="71DF00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）变形缝应贯通各层楼地面，变形缝的填充材料应按施工图纸的要求配置，并应符合防火、防水、防虫害和防油渗的要求。</w:t>
      </w:r>
    </w:p>
    <w:p w14:paraId="1326F1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）不同垫层厚度的交界处应按施工图纸的要求设置变形缝，缝内应填充弹性材料。</w:t>
      </w:r>
    </w:p>
    <w:p w14:paraId="581B22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）防冻胀层地面的混凝土垫层，其纵、横向缩缝均应采用平头缝。</w:t>
      </w:r>
    </w:p>
    <w:p w14:paraId="2410246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18.3.5 质量检查和验收</w:t>
      </w:r>
    </w:p>
    <w:p w14:paraId="1A51F7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）材料的质量检查和验收：承包人应会同监理人对地面工程的各项材料进行质量检查、检验和验收，检查和检验结果应提交监理人。</w:t>
      </w:r>
    </w:p>
    <w:p w14:paraId="558F34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）地面工程的质量检查和验收。</w:t>
      </w:r>
    </w:p>
    <w:p w14:paraId="71DDC2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）各层地面和楼面的坡度、厚度、标高、平整度和厚度，以及各填筑层的强度和密度偏差等应符合施工图纸和本章技术条款的要求。</w:t>
      </w:r>
    </w:p>
    <w:p w14:paraId="63825F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）各层地面、楼面及各填筑层的平面偏差应遵守《建筑地面工程施工质量验收规范》（</w:t>
      </w:r>
      <w:r>
        <w:rPr>
          <w:rFonts w:hint="eastAsia" w:ascii="Times New Roman" w:hAnsi="Times New Roman" w:eastAsia="宋体" w:cs="Times New Roman"/>
          <w:color w:val="auto"/>
          <w:sz w:val="24"/>
          <w:szCs w:val="24"/>
          <w:lang w:eastAsia="zh-CN"/>
        </w:rPr>
        <w:t>GB 50209-2010</w:t>
      </w:r>
      <w:r>
        <w:rPr>
          <w:rFonts w:ascii="宋体" w:hAnsi="宋体" w:eastAsia="宋体" w:cs="宋体"/>
          <w:color w:val="auto"/>
          <w:sz w:val="24"/>
          <w:szCs w:val="24"/>
          <w:lang w:eastAsia="zh-CN"/>
        </w:rPr>
        <w:t>）的有关规定。</w:t>
      </w:r>
    </w:p>
    <w:p w14:paraId="1B8A5D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）楼地面的面层与基层应结合良好，不得有空鼓、裂纹、麻面、起砂等现象。</w:t>
      </w:r>
    </w:p>
    <w:p w14:paraId="262360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）变形缝的位置、尺寸、</w:t>
      </w:r>
      <w:r>
        <w:rPr>
          <w:rFonts w:ascii="宋体" w:hAnsi="宋体" w:eastAsia="宋体" w:cs="宋体"/>
          <w:color w:val="auto"/>
          <w:spacing w:val="-20"/>
          <w:sz w:val="24"/>
          <w:szCs w:val="24"/>
          <w:lang w:eastAsia="zh-CN"/>
        </w:rPr>
        <w:t>缝隙值以及材料的填缝质量均应符合本技术条款第</w:t>
      </w:r>
      <w:r>
        <w:rPr>
          <w:rFonts w:ascii="Times New Roman" w:hAnsi="Times New Roman" w:eastAsia="Times New Roman" w:cs="Times New Roman"/>
          <w:color w:val="auto"/>
          <w:spacing w:val="-20"/>
          <w:sz w:val="24"/>
          <w:szCs w:val="24"/>
          <w:lang w:eastAsia="zh-CN"/>
        </w:rPr>
        <w:t>18.3.4</w:t>
      </w:r>
      <w:r>
        <w:rPr>
          <w:rFonts w:ascii="宋体" w:hAnsi="宋体" w:eastAsia="宋体" w:cs="宋体"/>
          <w:color w:val="auto"/>
          <w:sz w:val="24"/>
          <w:szCs w:val="24"/>
          <w:lang w:eastAsia="zh-CN"/>
        </w:rPr>
        <w:t>的规定。</w:t>
      </w:r>
    </w:p>
    <w:p w14:paraId="363255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）工程隐蔽部位的质量检查和验收</w:t>
      </w:r>
    </w:p>
    <w:p w14:paraId="4400F5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每项工程隐蔽部位施工完毕后，应按监理人指示进行检查和验收，承包人应编制隐蔽工程验收报告，经与监理人共同签字后作为隐蔽工程验收资料。</w:t>
      </w:r>
    </w:p>
    <w:p w14:paraId="73E925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）完工验收</w:t>
      </w:r>
    </w:p>
    <w:p w14:paraId="52545E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地面建筑工程全部完工后，承包人应向监理人申请完工验收，并提交以下完工验收资料：</w:t>
      </w:r>
    </w:p>
    <w:p w14:paraId="09AB38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）地面建筑工程布置总图和相关的技术文件。</w:t>
      </w:r>
    </w:p>
    <w:p w14:paraId="089064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）各项材料的检验和复验报告及其质量合格证件和使用说明书。</w:t>
      </w:r>
    </w:p>
    <w:p w14:paraId="26691F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）各项施工工艺试验报告。</w:t>
      </w:r>
    </w:p>
    <w:p w14:paraId="29E99D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）各工程隐蔽部位的质量检查和验收报告。</w:t>
      </w:r>
    </w:p>
    <w:p w14:paraId="025AA5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）监理人要求提供的其他完工资料。</w:t>
      </w:r>
    </w:p>
    <w:p w14:paraId="6A925E4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76" w:name="_Toc18849"/>
      <w:bookmarkStart w:id="1477" w:name="_Toc31203"/>
      <w:bookmarkStart w:id="1478" w:name="_Toc5468"/>
      <w:r>
        <w:rPr>
          <w:rFonts w:hint="eastAsia" w:ascii="宋体" w:hAnsi="宋体" w:eastAsia="宋体" w:cs="宋体"/>
          <w:b/>
          <w:bCs/>
          <w:color w:val="auto"/>
          <w:sz w:val="24"/>
          <w:szCs w:val="24"/>
          <w:lang w:eastAsia="zh-CN"/>
        </w:rPr>
        <w:t>18.4 计量和支付</w:t>
      </w:r>
      <w:bookmarkEnd w:id="1476"/>
      <w:bookmarkEnd w:id="1477"/>
      <w:bookmarkEnd w:id="1478"/>
    </w:p>
    <w:p w14:paraId="0C3866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屋面和地面建筑工程可参照</w:t>
      </w:r>
      <w:r>
        <w:rPr>
          <w:rFonts w:hint="eastAsia" w:ascii="宋体" w:hAnsi="宋体" w:eastAsia="宋体" w:cs="宋体"/>
          <w:color w:val="auto"/>
          <w:sz w:val="24"/>
          <w:szCs w:val="24"/>
          <w:lang w:eastAsia="zh-CN"/>
        </w:rPr>
        <w:t>现行的</w:t>
      </w:r>
      <w:r>
        <w:rPr>
          <w:rFonts w:ascii="宋体" w:hAnsi="宋体" w:eastAsia="宋体" w:cs="宋体"/>
          <w:color w:val="auto"/>
          <w:spacing w:val="-20"/>
          <w:sz w:val="24"/>
          <w:szCs w:val="24"/>
          <w:lang w:eastAsia="zh-CN"/>
        </w:rPr>
        <w:t>《房屋建筑与装饰工程工程量计算规范》（</w:t>
      </w:r>
      <w:r>
        <w:rPr>
          <w:rFonts w:hint="eastAsia" w:ascii="Times New Roman" w:hAnsi="Times New Roman" w:eastAsia="宋体" w:cs="Times New Roman"/>
          <w:color w:val="auto"/>
          <w:spacing w:val="-20"/>
          <w:sz w:val="24"/>
          <w:szCs w:val="24"/>
          <w:lang w:eastAsia="zh-CN"/>
        </w:rPr>
        <w:t>GB 50584</w:t>
      </w:r>
      <w:r>
        <w:rPr>
          <w:rFonts w:ascii="宋体" w:hAnsi="宋体" w:eastAsia="宋体" w:cs="宋体"/>
          <w:color w:val="auto"/>
          <w:spacing w:val="-20"/>
          <w:sz w:val="24"/>
          <w:szCs w:val="24"/>
          <w:lang w:eastAsia="zh-CN"/>
        </w:rPr>
        <w:t>）</w:t>
      </w:r>
      <w:r>
        <w:rPr>
          <w:rFonts w:ascii="宋体" w:hAnsi="宋体" w:eastAsia="宋体" w:cs="宋体"/>
          <w:color w:val="auto"/>
          <w:sz w:val="24"/>
          <w:szCs w:val="24"/>
          <w:lang w:eastAsia="zh-CN"/>
        </w:rPr>
        <w:t>进行计量和支付。</w:t>
      </w:r>
    </w:p>
    <w:p w14:paraId="6AD05580">
      <w:pPr>
        <w:widowControl w:val="0"/>
        <w:kinsoku/>
        <w:topLinePunct/>
        <w:autoSpaceDE/>
        <w:autoSpaceDN/>
        <w:spacing w:line="520" w:lineRule="exact"/>
        <w:ind w:firstLine="560" w:firstLineChars="200"/>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556D086F">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479" w:name="_Toc30620"/>
      <w:bookmarkStart w:id="1480" w:name="_Toc6771"/>
      <w:bookmarkStart w:id="1481" w:name="_Toc29276"/>
      <w:r>
        <w:rPr>
          <w:rFonts w:ascii="Times New Roman" w:hAnsi="Times New Roman" w:eastAsia="Times New Roman" w:cs="Times New Roman"/>
          <w:b/>
          <w:bCs/>
          <w:color w:val="auto"/>
          <w:sz w:val="28"/>
          <w:szCs w:val="28"/>
          <w:lang w:eastAsia="zh-CN"/>
        </w:rPr>
        <w:t>19</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压力钢管制造和安装</w:t>
      </w:r>
      <w:bookmarkEnd w:id="1479"/>
      <w:bookmarkEnd w:id="1480"/>
      <w:bookmarkEnd w:id="1481"/>
    </w:p>
    <w:p w14:paraId="52E96AC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82" w:name="_Toc24066"/>
      <w:bookmarkStart w:id="1483" w:name="_Toc1527"/>
      <w:bookmarkStart w:id="1484" w:name="_Toc17994"/>
      <w:r>
        <w:rPr>
          <w:rFonts w:hint="eastAsia" w:ascii="宋体" w:hAnsi="宋体" w:eastAsia="宋体" w:cs="宋体"/>
          <w:b/>
          <w:bCs/>
          <w:color w:val="auto"/>
          <w:sz w:val="24"/>
          <w:szCs w:val="24"/>
          <w:lang w:eastAsia="zh-CN"/>
        </w:rPr>
        <w:t>19.1 一般规定</w:t>
      </w:r>
      <w:bookmarkEnd w:id="1482"/>
      <w:bookmarkEnd w:id="1483"/>
      <w:bookmarkEnd w:id="1484"/>
    </w:p>
    <w:p w14:paraId="5FB1658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19.1.1 应用范围</w:t>
      </w:r>
    </w:p>
    <w:p w14:paraId="33919A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本章规定适用于本合同施工图纸所示的压力钢管的直管、弯管、渐变管、岔管和支管及其附件的制造和安装。</w:t>
      </w:r>
    </w:p>
    <w:p w14:paraId="73D6924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19.1.2 承包人责任</w:t>
      </w:r>
    </w:p>
    <w:p w14:paraId="09B603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）除合同另有约定外，承包人应负责采购本工程钢管制造和安装所需的全部材料，并按本章第</w:t>
      </w:r>
      <w:r>
        <w:rPr>
          <w:rFonts w:ascii="Times New Roman" w:hAnsi="Times New Roman" w:eastAsia="Times New Roman" w:cs="Times New Roman"/>
          <w:color w:val="auto"/>
          <w:sz w:val="24"/>
          <w:szCs w:val="24"/>
          <w:lang w:eastAsia="zh-CN"/>
        </w:rPr>
        <w:t>19.2</w:t>
      </w:r>
      <w:r>
        <w:rPr>
          <w:rFonts w:ascii="宋体" w:hAnsi="宋体" w:eastAsia="宋体" w:cs="宋体"/>
          <w:color w:val="auto"/>
          <w:sz w:val="24"/>
          <w:szCs w:val="24"/>
          <w:lang w:eastAsia="zh-CN"/>
        </w:rPr>
        <w:t>节的规定，进行检验和验收。</w:t>
      </w:r>
    </w:p>
    <w:p w14:paraId="26AF87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19.3</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19.10</w:t>
      </w:r>
      <w:r>
        <w:rPr>
          <w:rFonts w:ascii="宋体" w:hAnsi="宋体" w:eastAsia="宋体" w:cs="宋体"/>
          <w:color w:val="auto"/>
          <w:sz w:val="24"/>
          <w:szCs w:val="24"/>
          <w:lang w:eastAsia="zh-CN"/>
        </w:rPr>
        <w:t>节的规定，进行钢管卷制、焊接、试验、运输、安装、涂装、灌浆以及质量检查和验收的全部工作。</w:t>
      </w:r>
    </w:p>
    <w:p w14:paraId="36F6DD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）按合同约定，由其他承包人承担水轮机进水管（阀）与压力钢管的对接安装时，承包人应负责提供该压力钢管段的材料特性，以及壁厚与焊接工艺要求。</w:t>
      </w:r>
    </w:p>
    <w:p w14:paraId="37A835F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19.1.3 主要提交件</w:t>
      </w:r>
    </w:p>
    <w:p w14:paraId="4B2B81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）钢管制造安装措施计划。</w:t>
      </w:r>
    </w:p>
    <w:p w14:paraId="5F0A4E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承包人应在钢管工程施工前，将钢管制造和安装措施计划，提交监理人批准，其内容包括：</w:t>
      </w:r>
    </w:p>
    <w:p w14:paraId="296E19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）钢管加工车间布置。</w:t>
      </w:r>
    </w:p>
    <w:p w14:paraId="7FD57F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）钢管材料采购计划。</w:t>
      </w:r>
    </w:p>
    <w:p w14:paraId="3C88FA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）钢管制造、安装、焊接、涂装工艺设计。</w:t>
      </w:r>
    </w:p>
    <w:p w14:paraId="6E0CAD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）钢管运输和安装措施。</w:t>
      </w:r>
    </w:p>
    <w:p w14:paraId="777A2F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）钢管接触灌浆施工方法。</w:t>
      </w:r>
    </w:p>
    <w:p w14:paraId="258D59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）质量和安全保证措施。</w:t>
      </w:r>
    </w:p>
    <w:p w14:paraId="3AA621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）施工进度计划。</w:t>
      </w:r>
    </w:p>
    <w:p w14:paraId="126B93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）监理人要求提交的其他资料。</w:t>
      </w:r>
    </w:p>
    <w:p w14:paraId="440F5A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）车间加工图。</w:t>
      </w:r>
    </w:p>
    <w:p w14:paraId="1C008A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承包人应在钢管加工制造前，按监理人提供的压力钢管施工图纸，绘制钢管车间加工图，提交监理人批准。</w:t>
      </w:r>
    </w:p>
    <w:p w14:paraId="5BC404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）钢管水压试验措施计划。</w:t>
      </w:r>
    </w:p>
    <w:p w14:paraId="09DF21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承包人应按本章第</w:t>
      </w:r>
      <w:r>
        <w:rPr>
          <w:rFonts w:ascii="Times New Roman" w:hAnsi="Times New Roman" w:eastAsia="Times New Roman" w:cs="Times New Roman"/>
          <w:color w:val="auto"/>
          <w:sz w:val="24"/>
          <w:szCs w:val="24"/>
          <w:lang w:eastAsia="zh-CN"/>
        </w:rPr>
        <w:t>19.5.1</w:t>
      </w:r>
      <w:r>
        <w:rPr>
          <w:rFonts w:ascii="宋体" w:hAnsi="宋体" w:eastAsia="宋体" w:cs="宋体"/>
          <w:color w:val="auto"/>
          <w:sz w:val="24"/>
          <w:szCs w:val="24"/>
          <w:lang w:eastAsia="zh-CN"/>
        </w:rPr>
        <w:t>项的规定，编制钢管水压试验措施计划，提交监理人批准并按本章第</w:t>
      </w:r>
      <w:r>
        <w:rPr>
          <w:rFonts w:ascii="Times New Roman" w:hAnsi="Times New Roman" w:eastAsia="Times New Roman" w:cs="Times New Roman"/>
          <w:color w:val="auto"/>
          <w:sz w:val="24"/>
          <w:szCs w:val="24"/>
          <w:lang w:eastAsia="zh-CN"/>
        </w:rPr>
        <w:t>19.5.4</w:t>
      </w:r>
      <w:r>
        <w:rPr>
          <w:rFonts w:ascii="宋体" w:hAnsi="宋体" w:eastAsia="宋体" w:cs="宋体"/>
          <w:color w:val="auto"/>
          <w:sz w:val="24"/>
          <w:szCs w:val="24"/>
          <w:lang w:eastAsia="zh-CN"/>
        </w:rPr>
        <w:t>项的规定，将试验成果报告提交监理人。</w:t>
      </w:r>
    </w:p>
    <w:p w14:paraId="501FCD8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19.1.4 引用标准</w:t>
      </w:r>
    </w:p>
    <w:p w14:paraId="6F1D50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）《低合金高强度结构钢》（</w:t>
      </w:r>
      <w:r>
        <w:rPr>
          <w:rFonts w:hint="eastAsia" w:ascii="Times New Roman" w:hAnsi="Times New Roman" w:eastAsia="宋体" w:cs="Times New Roman"/>
          <w:color w:val="auto"/>
          <w:sz w:val="24"/>
          <w:szCs w:val="24"/>
          <w:lang w:eastAsia="zh-CN"/>
        </w:rPr>
        <w:t>GB/T 1591-2018</w:t>
      </w:r>
      <w:r>
        <w:rPr>
          <w:rFonts w:ascii="宋体" w:hAnsi="宋体" w:eastAsia="宋体" w:cs="宋体"/>
          <w:color w:val="auto"/>
          <w:sz w:val="24"/>
          <w:szCs w:val="24"/>
          <w:lang w:eastAsia="zh-CN"/>
        </w:rPr>
        <w:t>）。</w:t>
      </w:r>
    </w:p>
    <w:p w14:paraId="529979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w:t>
      </w:r>
      <w:r>
        <w:rPr>
          <w:rFonts w:ascii="宋体" w:hAnsi="宋体" w:eastAsia="宋体" w:cs="宋体"/>
          <w:color w:val="auto"/>
          <w:spacing w:val="20"/>
          <w:sz w:val="24"/>
          <w:szCs w:val="24"/>
          <w:lang w:eastAsia="zh-CN"/>
        </w:rPr>
        <w:t>《承压设备用钢板和钢带第</w:t>
      </w:r>
      <w:r>
        <w:rPr>
          <w:rFonts w:ascii="Times New Roman" w:hAnsi="Times New Roman" w:eastAsia="Times New Roman" w:cs="Times New Roman"/>
          <w:color w:val="auto"/>
          <w:spacing w:val="20"/>
          <w:sz w:val="24"/>
          <w:szCs w:val="24"/>
          <w:lang w:eastAsia="zh-CN"/>
        </w:rPr>
        <w:t>2</w:t>
      </w:r>
      <w:r>
        <w:rPr>
          <w:rFonts w:ascii="宋体" w:hAnsi="宋体" w:eastAsia="宋体" w:cs="宋体"/>
          <w:color w:val="auto"/>
          <w:spacing w:val="20"/>
          <w:sz w:val="24"/>
          <w:szCs w:val="24"/>
          <w:lang w:eastAsia="zh-CN"/>
        </w:rPr>
        <w:t>部分：规定温度性能的非合金钢和合金钢》</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GB/T 713.2-2023</w:t>
      </w:r>
      <w:r>
        <w:rPr>
          <w:rFonts w:ascii="宋体" w:hAnsi="宋体" w:eastAsia="宋体" w:cs="宋体"/>
          <w:color w:val="auto"/>
          <w:sz w:val="24"/>
          <w:szCs w:val="24"/>
          <w:lang w:eastAsia="zh-CN"/>
        </w:rPr>
        <w:t>）。</w:t>
      </w:r>
    </w:p>
    <w:p w14:paraId="64D45B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）《热轧钢板和钢带的尺寸、外形、重量及允许偏差》（</w:t>
      </w:r>
      <w:r>
        <w:rPr>
          <w:rFonts w:hint="eastAsia" w:ascii="Times New Roman" w:hAnsi="Times New Roman" w:eastAsia="宋体" w:cs="Times New Roman"/>
          <w:color w:val="auto"/>
          <w:sz w:val="24"/>
          <w:szCs w:val="24"/>
          <w:lang w:eastAsia="zh-CN"/>
        </w:rPr>
        <w:t>GB/T 709-2019</w:t>
      </w:r>
      <w:r>
        <w:rPr>
          <w:rFonts w:ascii="宋体" w:hAnsi="宋体" w:eastAsia="宋体" w:cs="宋体"/>
          <w:color w:val="auto"/>
          <w:sz w:val="24"/>
          <w:szCs w:val="24"/>
          <w:lang w:eastAsia="zh-CN"/>
        </w:rPr>
        <w:t>）。</w:t>
      </w:r>
    </w:p>
    <w:p w14:paraId="41D5CE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）《金属熔化焊对接接头射线检测技术和质量分级》（</w:t>
      </w:r>
      <w:r>
        <w:rPr>
          <w:rFonts w:hint="eastAsia" w:ascii="Times New Roman" w:hAnsi="Times New Roman" w:eastAsia="宋体" w:cs="Times New Roman"/>
          <w:color w:val="auto"/>
          <w:sz w:val="24"/>
          <w:szCs w:val="24"/>
          <w:lang w:eastAsia="zh-CN"/>
        </w:rPr>
        <w:t>DL/T 821-2017</w:t>
      </w:r>
      <w:r>
        <w:rPr>
          <w:rFonts w:ascii="宋体" w:hAnsi="宋体" w:eastAsia="宋体" w:cs="宋体"/>
          <w:color w:val="auto"/>
          <w:sz w:val="24"/>
          <w:szCs w:val="24"/>
          <w:lang w:eastAsia="zh-CN"/>
        </w:rPr>
        <w:t>）。</w:t>
      </w:r>
    </w:p>
    <w:p w14:paraId="4265EF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）《无损检测人员资格鉴定与认证》（</w:t>
      </w:r>
      <w:r>
        <w:rPr>
          <w:rFonts w:hint="eastAsia" w:ascii="Times New Roman" w:hAnsi="Times New Roman" w:eastAsia="宋体" w:cs="Times New Roman"/>
          <w:color w:val="auto"/>
          <w:sz w:val="24"/>
          <w:szCs w:val="24"/>
          <w:lang w:eastAsia="zh-CN"/>
        </w:rPr>
        <w:t>GB/T 9445-2024</w:t>
      </w:r>
      <w:r>
        <w:rPr>
          <w:rFonts w:ascii="宋体" w:hAnsi="宋体" w:eastAsia="宋体" w:cs="宋体"/>
          <w:color w:val="auto"/>
          <w:sz w:val="24"/>
          <w:szCs w:val="24"/>
          <w:lang w:eastAsia="zh-CN"/>
        </w:rPr>
        <w:t>）。</w:t>
      </w:r>
    </w:p>
    <w:p w14:paraId="5BB147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）《厚钢板超声检测方法》（</w:t>
      </w:r>
      <w:r>
        <w:rPr>
          <w:rFonts w:hint="eastAsia" w:ascii="Times New Roman" w:hAnsi="Times New Roman" w:eastAsia="宋体" w:cs="Times New Roman"/>
          <w:color w:val="auto"/>
          <w:sz w:val="24"/>
          <w:szCs w:val="24"/>
          <w:lang w:eastAsia="zh-CN"/>
        </w:rPr>
        <w:t>GB/T 2970-2016</w:t>
      </w:r>
      <w:r>
        <w:rPr>
          <w:rFonts w:ascii="宋体" w:hAnsi="宋体" w:eastAsia="宋体" w:cs="宋体"/>
          <w:color w:val="auto"/>
          <w:sz w:val="24"/>
          <w:szCs w:val="24"/>
          <w:lang w:eastAsia="zh-CN"/>
        </w:rPr>
        <w:t>）。</w:t>
      </w:r>
    </w:p>
    <w:p w14:paraId="3B1DAB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）《承压设备用钢板和钢带第</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部分：调质高强度钢》（</w:t>
      </w:r>
      <w:r>
        <w:rPr>
          <w:rFonts w:hint="eastAsia" w:ascii="Times New Roman" w:hAnsi="Times New Roman" w:eastAsia="宋体" w:cs="Times New Roman"/>
          <w:color w:val="auto"/>
          <w:sz w:val="24"/>
          <w:szCs w:val="24"/>
          <w:lang w:eastAsia="zh-CN"/>
        </w:rPr>
        <w:t>GB/T 713.6-2023</w:t>
      </w:r>
      <w:r>
        <w:rPr>
          <w:rFonts w:ascii="宋体" w:hAnsi="宋体" w:eastAsia="宋体" w:cs="宋体"/>
          <w:color w:val="auto"/>
          <w:sz w:val="24"/>
          <w:szCs w:val="24"/>
          <w:lang w:eastAsia="zh-CN"/>
        </w:rPr>
        <w:t>）。</w:t>
      </w:r>
    </w:p>
    <w:p w14:paraId="7C3D57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）《焊缝无损检测超声检测技术、检测等级和评定》（</w:t>
      </w:r>
      <w:r>
        <w:rPr>
          <w:rFonts w:hint="eastAsia" w:ascii="Times New Roman" w:hAnsi="Times New Roman" w:eastAsia="宋体" w:cs="Times New Roman"/>
          <w:color w:val="auto"/>
          <w:sz w:val="24"/>
          <w:szCs w:val="24"/>
          <w:lang w:eastAsia="zh-CN"/>
        </w:rPr>
        <w:t>GB/T 11345-2023</w:t>
      </w:r>
      <w:r>
        <w:rPr>
          <w:rFonts w:ascii="宋体" w:hAnsi="宋体" w:eastAsia="宋体" w:cs="宋体"/>
          <w:color w:val="auto"/>
          <w:sz w:val="24"/>
          <w:szCs w:val="24"/>
          <w:lang w:eastAsia="zh-CN"/>
        </w:rPr>
        <w:t>）。</w:t>
      </w:r>
    </w:p>
    <w:p w14:paraId="5851097B">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w:t>
      </w:r>
      <w:r>
        <w:rPr>
          <w:rFonts w:ascii="宋体" w:hAnsi="宋体" w:eastAsia="宋体" w:cs="宋体"/>
          <w:color w:val="auto"/>
          <w:spacing w:val="-20"/>
          <w:sz w:val="24"/>
          <w:szCs w:val="24"/>
          <w:lang w:eastAsia="zh-CN"/>
        </w:rPr>
        <w:t>《气焊、焊条电弧焊、气体保护焊和高能束焊的推荐坡口》（</w:t>
      </w:r>
      <w:r>
        <w:rPr>
          <w:rFonts w:hint="eastAsia" w:ascii="Times New Roman" w:hAnsi="Times New Roman" w:eastAsia="宋体" w:cs="Times New Roman"/>
          <w:color w:val="auto"/>
          <w:spacing w:val="-20"/>
          <w:sz w:val="24"/>
          <w:szCs w:val="24"/>
          <w:lang w:eastAsia="zh-CN"/>
        </w:rPr>
        <w:t>GB/T 985.1-2008</w:t>
      </w:r>
      <w:r>
        <w:rPr>
          <w:rFonts w:ascii="宋体" w:hAnsi="宋体" w:eastAsia="宋体" w:cs="宋体"/>
          <w:color w:val="auto"/>
          <w:spacing w:val="-20"/>
          <w:sz w:val="24"/>
          <w:szCs w:val="24"/>
          <w:lang w:eastAsia="zh-CN"/>
        </w:rPr>
        <w:t>）。</w:t>
      </w:r>
    </w:p>
    <w:p w14:paraId="37E595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ascii="宋体" w:hAnsi="宋体" w:eastAsia="宋体" w:cs="宋体"/>
          <w:color w:val="auto"/>
          <w:sz w:val="24"/>
          <w:szCs w:val="24"/>
        </w:rPr>
        <w:t>（</w:t>
      </w:r>
      <w:r>
        <w:rPr>
          <w:rFonts w:ascii="Times New Roman" w:hAnsi="Times New Roman" w:eastAsia="Times New Roman" w:cs="Times New Roman"/>
          <w:color w:val="auto"/>
          <w:sz w:val="24"/>
          <w:szCs w:val="24"/>
        </w:rPr>
        <w:t>10</w:t>
      </w:r>
      <w:r>
        <w:rPr>
          <w:rFonts w:ascii="宋体" w:hAnsi="宋体" w:eastAsia="宋体" w:cs="宋体"/>
          <w:color w:val="auto"/>
          <w:sz w:val="24"/>
          <w:szCs w:val="24"/>
        </w:rPr>
        <w:t>）《埋弧焊的推荐坡口》（</w:t>
      </w:r>
      <w:r>
        <w:rPr>
          <w:rFonts w:hint="eastAsia" w:ascii="Times New Roman" w:hAnsi="Times New Roman" w:eastAsia="宋体" w:cs="Times New Roman"/>
          <w:color w:val="auto"/>
          <w:sz w:val="24"/>
          <w:szCs w:val="24"/>
          <w:lang w:eastAsia="zh-CN"/>
        </w:rPr>
        <w:t>GB/T 985.2-2008</w:t>
      </w:r>
      <w:r>
        <w:rPr>
          <w:rFonts w:ascii="宋体" w:hAnsi="宋体" w:eastAsia="宋体" w:cs="宋体"/>
          <w:color w:val="auto"/>
          <w:sz w:val="24"/>
          <w:szCs w:val="24"/>
        </w:rPr>
        <w:t>）。</w:t>
      </w:r>
    </w:p>
    <w:p w14:paraId="7DAF511F">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11</w:t>
      </w:r>
      <w:r>
        <w:rPr>
          <w:rFonts w:ascii="宋体" w:hAnsi="宋体" w:eastAsia="宋体" w:cs="宋体"/>
          <w:color w:val="auto"/>
          <w:sz w:val="24"/>
          <w:szCs w:val="24"/>
          <w:lang w:eastAsia="zh-CN"/>
        </w:rPr>
        <w:t>）</w:t>
      </w:r>
      <w:r>
        <w:rPr>
          <w:rFonts w:ascii="宋体" w:hAnsi="宋体" w:eastAsia="宋体" w:cs="宋体"/>
          <w:color w:val="auto"/>
          <w:spacing w:val="-20"/>
          <w:sz w:val="24"/>
          <w:szCs w:val="24"/>
          <w:lang w:eastAsia="zh-CN"/>
        </w:rPr>
        <w:t>《涂覆涂料前钢材表面处理表面清洁度的目视评定第</w:t>
      </w:r>
      <w:r>
        <w:rPr>
          <w:rFonts w:ascii="Times New Roman" w:hAnsi="Times New Roman" w:eastAsia="Times New Roman" w:cs="Times New Roman"/>
          <w:color w:val="auto"/>
          <w:spacing w:val="-20"/>
          <w:sz w:val="24"/>
          <w:szCs w:val="24"/>
          <w:lang w:eastAsia="zh-CN"/>
        </w:rPr>
        <w:t>1</w:t>
      </w:r>
      <w:r>
        <w:rPr>
          <w:rFonts w:ascii="宋体" w:hAnsi="宋体" w:eastAsia="宋体" w:cs="宋体"/>
          <w:color w:val="auto"/>
          <w:spacing w:val="-20"/>
          <w:sz w:val="24"/>
          <w:szCs w:val="24"/>
          <w:lang w:eastAsia="zh-CN"/>
        </w:rPr>
        <w:t>部分：未涂覆过的钢材表面和全面清除原有涂层后的钢材表面的锈蚀等级和处理等级》（</w:t>
      </w:r>
      <w:r>
        <w:rPr>
          <w:rFonts w:hint="eastAsia" w:ascii="Times New Roman" w:hAnsi="Times New Roman" w:eastAsia="宋体" w:cs="Times New Roman"/>
          <w:color w:val="auto"/>
          <w:spacing w:val="-20"/>
          <w:sz w:val="24"/>
          <w:szCs w:val="24"/>
          <w:lang w:eastAsia="zh-CN"/>
        </w:rPr>
        <w:t>GB/T 8923.1-2011</w:t>
      </w:r>
      <w:r>
        <w:rPr>
          <w:rFonts w:ascii="宋体" w:hAnsi="宋体" w:eastAsia="宋体" w:cs="宋体"/>
          <w:color w:val="auto"/>
          <w:spacing w:val="-20"/>
          <w:sz w:val="24"/>
          <w:szCs w:val="24"/>
          <w:lang w:eastAsia="zh-CN"/>
        </w:rPr>
        <w:t>）。</w:t>
      </w:r>
    </w:p>
    <w:p w14:paraId="49C819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12</w:t>
      </w:r>
      <w:r>
        <w:rPr>
          <w:rFonts w:ascii="宋体" w:hAnsi="宋体" w:eastAsia="宋体" w:cs="宋体"/>
          <w:color w:val="auto"/>
          <w:sz w:val="24"/>
          <w:szCs w:val="24"/>
          <w:lang w:eastAsia="zh-CN"/>
        </w:rPr>
        <w:t>）《优质碳素结构钢》（</w:t>
      </w:r>
      <w:r>
        <w:rPr>
          <w:rFonts w:hint="eastAsia" w:ascii="Times New Roman" w:hAnsi="Times New Roman" w:eastAsia="宋体" w:cs="Times New Roman"/>
          <w:color w:val="auto"/>
          <w:sz w:val="24"/>
          <w:szCs w:val="24"/>
          <w:lang w:eastAsia="zh-CN"/>
        </w:rPr>
        <w:t>GB/T 699-2015</w:t>
      </w:r>
      <w:r>
        <w:rPr>
          <w:rFonts w:ascii="宋体" w:hAnsi="宋体" w:eastAsia="宋体" w:cs="宋体"/>
          <w:color w:val="auto"/>
          <w:sz w:val="24"/>
          <w:szCs w:val="24"/>
          <w:lang w:eastAsia="zh-CN"/>
        </w:rPr>
        <w:t>）。</w:t>
      </w:r>
    </w:p>
    <w:p w14:paraId="1C7625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13</w:t>
      </w:r>
      <w:r>
        <w:rPr>
          <w:rFonts w:ascii="宋体" w:hAnsi="宋体" w:eastAsia="宋体" w:cs="宋体"/>
          <w:color w:val="auto"/>
          <w:sz w:val="24"/>
          <w:szCs w:val="24"/>
          <w:lang w:eastAsia="zh-CN"/>
        </w:rPr>
        <w:t>）《碳素结构钢》（</w:t>
      </w:r>
      <w:r>
        <w:rPr>
          <w:rFonts w:hint="eastAsia" w:ascii="Times New Roman" w:hAnsi="Times New Roman" w:eastAsia="宋体" w:cs="Times New Roman"/>
          <w:color w:val="auto"/>
          <w:sz w:val="24"/>
          <w:szCs w:val="24"/>
          <w:lang w:eastAsia="zh-CN"/>
        </w:rPr>
        <w:t>GB/T 700-2006</w:t>
      </w:r>
      <w:r>
        <w:rPr>
          <w:rFonts w:ascii="宋体" w:hAnsi="宋体" w:eastAsia="宋体" w:cs="宋体"/>
          <w:color w:val="auto"/>
          <w:sz w:val="24"/>
          <w:szCs w:val="24"/>
          <w:lang w:eastAsia="zh-CN"/>
        </w:rPr>
        <w:t>）。</w:t>
      </w:r>
    </w:p>
    <w:p w14:paraId="7B8D2D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14</w:t>
      </w:r>
      <w:r>
        <w:rPr>
          <w:rFonts w:ascii="宋体" w:hAnsi="宋体" w:eastAsia="宋体" w:cs="宋体"/>
          <w:color w:val="auto"/>
          <w:sz w:val="24"/>
          <w:szCs w:val="24"/>
          <w:lang w:eastAsia="zh-CN"/>
        </w:rPr>
        <w:t>）《厚度方向性能钢板》（</w:t>
      </w:r>
      <w:r>
        <w:rPr>
          <w:rFonts w:hint="eastAsia" w:ascii="Times New Roman" w:hAnsi="Times New Roman" w:eastAsia="宋体" w:cs="Times New Roman"/>
          <w:color w:val="auto"/>
          <w:sz w:val="24"/>
          <w:szCs w:val="24"/>
          <w:lang w:eastAsia="zh-CN"/>
        </w:rPr>
        <w:t>GB/T 5313-2023</w:t>
      </w:r>
      <w:r>
        <w:rPr>
          <w:rFonts w:ascii="宋体" w:hAnsi="宋体" w:eastAsia="宋体" w:cs="宋体"/>
          <w:color w:val="auto"/>
          <w:sz w:val="24"/>
          <w:szCs w:val="24"/>
          <w:lang w:eastAsia="zh-CN"/>
        </w:rPr>
        <w:t>）。</w:t>
      </w:r>
    </w:p>
    <w:p w14:paraId="72198B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15</w:t>
      </w:r>
      <w:r>
        <w:rPr>
          <w:rFonts w:ascii="宋体" w:hAnsi="宋体" w:eastAsia="宋体" w:cs="宋体"/>
          <w:color w:val="auto"/>
          <w:sz w:val="24"/>
          <w:szCs w:val="24"/>
          <w:lang w:eastAsia="zh-CN"/>
        </w:rPr>
        <w:t>）《水利水电工程压力钢管制造安装及验收规范》（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w:t>
      </w:r>
    </w:p>
    <w:p w14:paraId="590F9B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16</w:t>
      </w:r>
      <w:r>
        <w:rPr>
          <w:rFonts w:ascii="宋体" w:hAnsi="宋体" w:eastAsia="宋体" w:cs="宋体"/>
          <w:color w:val="auto"/>
          <w:sz w:val="24"/>
          <w:szCs w:val="24"/>
          <w:lang w:eastAsia="zh-CN"/>
        </w:rPr>
        <w:t>）《水工金属结构防腐蚀规范》（</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w:t>
      </w:r>
    </w:p>
    <w:p w14:paraId="46D128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17</w:t>
      </w:r>
      <w:r>
        <w:rPr>
          <w:rFonts w:ascii="宋体" w:hAnsi="宋体" w:eastAsia="宋体" w:cs="宋体"/>
          <w:color w:val="auto"/>
          <w:sz w:val="24"/>
          <w:szCs w:val="24"/>
          <w:lang w:eastAsia="zh-CN"/>
        </w:rPr>
        <w:t>）《水利水电工程机电设备安装安全技术规程》（</w:t>
      </w:r>
      <w:r>
        <w:rPr>
          <w:rFonts w:hint="eastAsia" w:ascii="Times New Roman" w:hAnsi="Times New Roman" w:eastAsia="宋体" w:cs="Times New Roman"/>
          <w:color w:val="auto"/>
          <w:sz w:val="24"/>
          <w:szCs w:val="24"/>
          <w:lang w:eastAsia="zh-CN"/>
        </w:rPr>
        <w:t>SL 400-2016</w:t>
      </w:r>
      <w:r>
        <w:rPr>
          <w:rFonts w:ascii="宋体" w:hAnsi="宋体" w:eastAsia="宋体" w:cs="宋体"/>
          <w:color w:val="auto"/>
          <w:sz w:val="24"/>
          <w:szCs w:val="24"/>
          <w:lang w:eastAsia="zh-CN"/>
        </w:rPr>
        <w:t>）。</w:t>
      </w:r>
    </w:p>
    <w:p w14:paraId="610220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18</w:t>
      </w:r>
      <w:r>
        <w:rPr>
          <w:rFonts w:ascii="宋体" w:hAnsi="宋体" w:eastAsia="宋体" w:cs="宋体"/>
          <w:color w:val="auto"/>
          <w:sz w:val="24"/>
          <w:szCs w:val="24"/>
          <w:lang w:eastAsia="zh-CN"/>
        </w:rPr>
        <w:t>）《水工金属结构焊接通用技术条件》（</w:t>
      </w:r>
      <w:r>
        <w:rPr>
          <w:rFonts w:hint="eastAsia" w:ascii="Times New Roman" w:hAnsi="Times New Roman" w:eastAsia="宋体" w:cs="Times New Roman"/>
          <w:color w:val="auto"/>
          <w:sz w:val="24"/>
          <w:szCs w:val="24"/>
          <w:lang w:eastAsia="zh-CN"/>
        </w:rPr>
        <w:t>SL 36-2016</w:t>
      </w:r>
      <w:r>
        <w:rPr>
          <w:rFonts w:ascii="宋体" w:hAnsi="宋体" w:eastAsia="宋体" w:cs="宋体"/>
          <w:color w:val="auto"/>
          <w:sz w:val="24"/>
          <w:szCs w:val="24"/>
          <w:lang w:eastAsia="zh-CN"/>
        </w:rPr>
        <w:t>）。</w:t>
      </w:r>
    </w:p>
    <w:p w14:paraId="299755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19</w:t>
      </w:r>
      <w:r>
        <w:rPr>
          <w:rFonts w:ascii="宋体" w:hAnsi="宋体" w:eastAsia="宋体" w:cs="宋体"/>
          <w:color w:val="auto"/>
          <w:sz w:val="24"/>
          <w:szCs w:val="24"/>
          <w:lang w:eastAsia="zh-CN"/>
        </w:rPr>
        <w:t>）《焊缝无损检测焊缝磁粉检测验收等级》（</w:t>
      </w:r>
      <w:r>
        <w:rPr>
          <w:rFonts w:hint="eastAsia" w:ascii="Times New Roman" w:hAnsi="Times New Roman" w:eastAsia="宋体" w:cs="Times New Roman"/>
          <w:color w:val="auto"/>
          <w:sz w:val="24"/>
          <w:szCs w:val="24"/>
          <w:lang w:eastAsia="zh-CN"/>
        </w:rPr>
        <w:t>GB/T 26952-2011</w:t>
      </w:r>
      <w:r>
        <w:rPr>
          <w:rFonts w:ascii="宋体" w:hAnsi="宋体" w:eastAsia="宋体" w:cs="宋体"/>
          <w:color w:val="auto"/>
          <w:sz w:val="24"/>
          <w:szCs w:val="24"/>
          <w:lang w:eastAsia="zh-CN"/>
        </w:rPr>
        <w:t>）。</w:t>
      </w:r>
    </w:p>
    <w:p w14:paraId="2DBD9B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20</w:t>
      </w:r>
      <w:r>
        <w:rPr>
          <w:rFonts w:ascii="宋体" w:hAnsi="宋体" w:eastAsia="宋体" w:cs="宋体"/>
          <w:color w:val="auto"/>
          <w:sz w:val="24"/>
          <w:szCs w:val="24"/>
          <w:lang w:eastAsia="zh-CN"/>
        </w:rPr>
        <w:t>）《焊缝无损检测焊缝渗透检测验收等级》（</w:t>
      </w:r>
      <w:r>
        <w:rPr>
          <w:rFonts w:hint="eastAsia" w:ascii="Times New Roman" w:hAnsi="Times New Roman" w:eastAsia="宋体" w:cs="Times New Roman"/>
          <w:color w:val="auto"/>
          <w:sz w:val="24"/>
          <w:szCs w:val="24"/>
          <w:lang w:eastAsia="zh-CN"/>
        </w:rPr>
        <w:t>GB/T 26953-2011</w:t>
      </w:r>
      <w:r>
        <w:rPr>
          <w:rFonts w:ascii="宋体" w:hAnsi="宋体" w:eastAsia="宋体" w:cs="宋体"/>
          <w:color w:val="auto"/>
          <w:sz w:val="24"/>
          <w:szCs w:val="24"/>
          <w:lang w:eastAsia="zh-CN"/>
        </w:rPr>
        <w:t>）。</w:t>
      </w:r>
    </w:p>
    <w:p w14:paraId="5E154AB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85" w:name="_Toc20271"/>
      <w:bookmarkStart w:id="1486" w:name="_Toc2203"/>
      <w:bookmarkStart w:id="1487" w:name="_Toc18383"/>
      <w:r>
        <w:rPr>
          <w:rFonts w:hint="eastAsia" w:ascii="宋体" w:hAnsi="宋体" w:eastAsia="宋体" w:cs="宋体"/>
          <w:b/>
          <w:bCs/>
          <w:color w:val="auto"/>
          <w:sz w:val="24"/>
          <w:szCs w:val="24"/>
          <w:lang w:eastAsia="zh-CN"/>
        </w:rPr>
        <w:t>19.2 材料</w:t>
      </w:r>
      <w:bookmarkEnd w:id="1485"/>
      <w:bookmarkEnd w:id="1486"/>
      <w:bookmarkEnd w:id="1487"/>
    </w:p>
    <w:p w14:paraId="71DF3A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压力钢管用各种钢材、焊接材料应按《水利水电工程压力钢管制造安装及验收规范》（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3.4</w:t>
      </w:r>
      <w:r>
        <w:rPr>
          <w:rFonts w:ascii="宋体" w:hAnsi="宋体" w:eastAsia="宋体" w:cs="宋体"/>
          <w:color w:val="auto"/>
          <w:sz w:val="24"/>
          <w:szCs w:val="24"/>
          <w:lang w:eastAsia="zh-CN"/>
        </w:rPr>
        <w:t>节和第</w:t>
      </w:r>
      <w:r>
        <w:rPr>
          <w:rFonts w:ascii="Times New Roman" w:hAnsi="Times New Roman" w:eastAsia="Times New Roman" w:cs="Times New Roman"/>
          <w:color w:val="auto"/>
          <w:sz w:val="24"/>
          <w:szCs w:val="24"/>
          <w:lang w:eastAsia="zh-CN"/>
        </w:rPr>
        <w:t>3.5</w:t>
      </w:r>
      <w:r>
        <w:rPr>
          <w:rFonts w:ascii="宋体" w:hAnsi="宋体" w:eastAsia="宋体" w:cs="宋体"/>
          <w:color w:val="auto"/>
          <w:sz w:val="24"/>
          <w:szCs w:val="24"/>
          <w:lang w:eastAsia="zh-CN"/>
        </w:rPr>
        <w:t>节的规定选用。承包人应向监理人提交产品质量证明书等技术文件。每批材料应由承包人会同监理人进行入库验收。承包人应按监理人指示进行抽样检验，对钢板标号不清或对材质有疑问时应予复验，检验成果应提交监理人。</w:t>
      </w:r>
    </w:p>
    <w:p w14:paraId="1BDC9D8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88" w:name="_Toc25816"/>
      <w:bookmarkStart w:id="1489" w:name="_Toc7968"/>
      <w:bookmarkStart w:id="1490" w:name="_Toc9754"/>
      <w:r>
        <w:rPr>
          <w:rFonts w:hint="eastAsia" w:ascii="宋体" w:hAnsi="宋体" w:eastAsia="宋体" w:cs="宋体"/>
          <w:b/>
          <w:bCs/>
          <w:color w:val="auto"/>
          <w:sz w:val="24"/>
          <w:szCs w:val="24"/>
          <w:lang w:eastAsia="zh-CN"/>
        </w:rPr>
        <w:t>19.3 钢管制造</w:t>
      </w:r>
      <w:bookmarkEnd w:id="1488"/>
      <w:bookmarkEnd w:id="1489"/>
      <w:bookmarkEnd w:id="1490"/>
    </w:p>
    <w:p w14:paraId="79951C0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19.3.1 直管、弯管和渐变管制造</w:t>
      </w:r>
    </w:p>
    <w:p w14:paraId="686182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）钢板划线、切割和坡口加工。</w:t>
      </w:r>
    </w:p>
    <w:p w14:paraId="7FC8EA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）钢板划线及标记应遵守</w:t>
      </w:r>
      <w:r>
        <w:rPr>
          <w:rFonts w:ascii="宋体" w:hAnsi="宋体" w:eastAsia="宋体" w:cs="宋体"/>
          <w:color w:val="auto"/>
          <w:spacing w:val="20"/>
          <w:sz w:val="24"/>
          <w:szCs w:val="24"/>
          <w:lang w:eastAsia="zh-CN"/>
        </w:rPr>
        <w:t>《水利水电工程压力钢管制造安装及验收规范》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4.1.1</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4.1.7</w:t>
      </w:r>
      <w:r>
        <w:rPr>
          <w:rFonts w:ascii="宋体" w:hAnsi="宋体" w:eastAsia="宋体" w:cs="宋体"/>
          <w:color w:val="auto"/>
          <w:sz w:val="24"/>
          <w:szCs w:val="24"/>
          <w:lang w:eastAsia="zh-CN"/>
        </w:rPr>
        <w:t>条的规定。</w:t>
      </w:r>
    </w:p>
    <w:p w14:paraId="59DCD0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）钢板下料前的超声波检测应遵守《水利水电工程压力钢管制造安装及验收规范》（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的规定。</w:t>
      </w:r>
    </w:p>
    <w:p w14:paraId="073919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）钢板下料和焊接坡口的加工应遵守《水利水电工程压力钢管制造安装及验收规范》（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4.1.10</w:t>
      </w:r>
      <w:r>
        <w:rPr>
          <w:rFonts w:ascii="宋体" w:hAnsi="宋体" w:eastAsia="宋体" w:cs="宋体"/>
          <w:color w:val="auto"/>
          <w:sz w:val="24"/>
          <w:szCs w:val="24"/>
          <w:lang w:eastAsia="zh-CN"/>
        </w:rPr>
        <w:t>条的规定。</w:t>
      </w:r>
    </w:p>
    <w:p w14:paraId="349E7A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）切割质量和尺寸偏差、切割面修磨、补焊区及其周边</w:t>
      </w:r>
      <w:r>
        <w:rPr>
          <w:rFonts w:ascii="Times New Roman" w:hAnsi="Times New Roman" w:eastAsia="Times New Roman" w:cs="Times New Roman"/>
          <w:color w:val="auto"/>
          <w:sz w:val="24"/>
          <w:szCs w:val="24"/>
          <w:lang w:eastAsia="zh-CN"/>
        </w:rPr>
        <w:t>20mm</w:t>
      </w:r>
      <w:r>
        <w:rPr>
          <w:rFonts w:ascii="宋体" w:hAnsi="宋体" w:eastAsia="宋体" w:cs="宋体"/>
          <w:color w:val="auto"/>
          <w:sz w:val="24"/>
          <w:szCs w:val="24"/>
          <w:lang w:eastAsia="zh-CN"/>
        </w:rPr>
        <w:t>内进行无损检测的要求，应遵守《水利工程压力钢管制造安装及验收规范》（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4.1.11</w:t>
      </w:r>
      <w:r>
        <w:rPr>
          <w:rFonts w:ascii="宋体" w:hAnsi="宋体" w:eastAsia="宋体" w:cs="宋体"/>
          <w:color w:val="auto"/>
          <w:sz w:val="24"/>
          <w:szCs w:val="24"/>
          <w:lang w:eastAsia="zh-CN"/>
        </w:rPr>
        <w:t>条的规定。</w:t>
      </w:r>
    </w:p>
    <w:p w14:paraId="3EBC21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）钢板加工后坡口的极限偏差应遵守《气焊、焊条电弧焊、气体保护焊和高能束焊的推荐坡口》（</w:t>
      </w:r>
      <w:r>
        <w:rPr>
          <w:rFonts w:hint="eastAsia" w:ascii="Times New Roman" w:hAnsi="Times New Roman" w:eastAsia="宋体" w:cs="Times New Roman"/>
          <w:color w:val="auto"/>
          <w:sz w:val="24"/>
          <w:szCs w:val="24"/>
          <w:lang w:eastAsia="zh-CN"/>
        </w:rPr>
        <w:t>GB/T 985.1-2008</w:t>
      </w:r>
      <w:r>
        <w:rPr>
          <w:rFonts w:ascii="宋体" w:hAnsi="宋体" w:eastAsia="宋体" w:cs="宋体"/>
          <w:color w:val="auto"/>
          <w:sz w:val="24"/>
          <w:szCs w:val="24"/>
          <w:lang w:eastAsia="zh-CN"/>
        </w:rPr>
        <w:t>）、《埋弧焊的推荐坡口》（</w:t>
      </w:r>
      <w:r>
        <w:rPr>
          <w:rFonts w:hint="eastAsia" w:ascii="Times New Roman" w:hAnsi="Times New Roman" w:eastAsia="宋体" w:cs="Times New Roman"/>
          <w:color w:val="auto"/>
          <w:sz w:val="24"/>
          <w:szCs w:val="24"/>
          <w:lang w:eastAsia="zh-CN"/>
        </w:rPr>
        <w:t>GB/T 985.2-2008</w:t>
      </w:r>
      <w:r>
        <w:rPr>
          <w:rFonts w:ascii="宋体" w:hAnsi="宋体" w:eastAsia="宋体" w:cs="宋体"/>
          <w:color w:val="auto"/>
          <w:sz w:val="24"/>
          <w:szCs w:val="24"/>
          <w:lang w:eastAsia="zh-CN"/>
        </w:rPr>
        <w:t>）和施工图纸规定；坡口加工完毕后，应立即涂刷无毒、无害、且不影响焊接性能和焊接质量的坡口防锈涂料。</w:t>
      </w:r>
    </w:p>
    <w:p w14:paraId="5267C05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）高强钢板上严禁锯、锉及用钢印作记号，不得在卷板外侧表面打标记、冲眼。</w:t>
      </w:r>
    </w:p>
    <w:p w14:paraId="714A40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）卷板。</w:t>
      </w:r>
    </w:p>
    <w:p w14:paraId="48A648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钢管管节的钢板卷板，应遵守</w:t>
      </w:r>
      <w:r>
        <w:rPr>
          <w:rFonts w:ascii="宋体" w:hAnsi="宋体" w:eastAsia="宋体" w:cs="宋体"/>
          <w:color w:val="auto"/>
          <w:spacing w:val="20"/>
          <w:sz w:val="24"/>
          <w:szCs w:val="24"/>
          <w:lang w:eastAsia="zh-CN"/>
        </w:rPr>
        <w:t>《水利水电工程压力钢管制造安装及验收规范》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4.1.12</w:t>
      </w:r>
      <w:r>
        <w:rPr>
          <w:rFonts w:ascii="宋体" w:hAnsi="宋体" w:eastAsia="宋体" w:cs="宋体"/>
          <w:color w:val="auto"/>
          <w:sz w:val="24"/>
          <w:szCs w:val="24"/>
          <w:lang w:eastAsia="zh-CN"/>
        </w:rPr>
        <w:t>条和第</w:t>
      </w:r>
      <w:r>
        <w:rPr>
          <w:rFonts w:ascii="Times New Roman" w:hAnsi="Times New Roman" w:eastAsia="Times New Roman" w:cs="Times New Roman"/>
          <w:color w:val="auto"/>
          <w:sz w:val="24"/>
          <w:szCs w:val="24"/>
          <w:lang w:eastAsia="zh-CN"/>
        </w:rPr>
        <w:t>4.1.13</w:t>
      </w:r>
      <w:r>
        <w:rPr>
          <w:rFonts w:ascii="宋体" w:hAnsi="宋体" w:eastAsia="宋体" w:cs="宋体"/>
          <w:color w:val="auto"/>
          <w:sz w:val="24"/>
          <w:szCs w:val="24"/>
          <w:lang w:eastAsia="zh-CN"/>
        </w:rPr>
        <w:t>条的规定。</w:t>
      </w:r>
    </w:p>
    <w:p w14:paraId="2E2FB3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）钢管管节组装或组焊。</w:t>
      </w:r>
    </w:p>
    <w:p w14:paraId="7702F1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）钢管管节组焊应遵守本章第</w:t>
      </w:r>
      <w:r>
        <w:rPr>
          <w:rFonts w:ascii="Times New Roman" w:hAnsi="Times New Roman" w:eastAsia="Times New Roman" w:cs="Times New Roman"/>
          <w:color w:val="auto"/>
          <w:sz w:val="24"/>
          <w:szCs w:val="24"/>
          <w:lang w:eastAsia="zh-CN"/>
        </w:rPr>
        <w:t>19.4.3</w:t>
      </w:r>
      <w:r>
        <w:rPr>
          <w:rFonts w:ascii="宋体" w:hAnsi="宋体" w:eastAsia="宋体" w:cs="宋体"/>
          <w:color w:val="auto"/>
          <w:sz w:val="24"/>
          <w:szCs w:val="24"/>
          <w:lang w:eastAsia="zh-CN"/>
        </w:rPr>
        <w:t>项的规定。</w:t>
      </w:r>
    </w:p>
    <w:p w14:paraId="47004E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）钢管管节成型后的检查，应遵守《水利水电工程压力钢管制造安装及验收规范》（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4.1.13</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4.1.21</w:t>
      </w:r>
      <w:r>
        <w:rPr>
          <w:rFonts w:ascii="宋体" w:hAnsi="宋体" w:eastAsia="宋体" w:cs="宋体"/>
          <w:color w:val="auto"/>
          <w:sz w:val="24"/>
          <w:szCs w:val="24"/>
          <w:lang w:eastAsia="zh-CN"/>
        </w:rPr>
        <w:t>条的规定。</w:t>
      </w:r>
    </w:p>
    <w:p w14:paraId="71E1AD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）在钢管管节上加焊和拆除卡具、吊耳等附加物时，应注意不伤及母材，以及保证起吊时不损伤钢管和产生过大的局部应力。对后序工作无不良影响的附加物可不拆除。</w:t>
      </w:r>
    </w:p>
    <w:p w14:paraId="79BC61B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19.3.2 岔管制造</w:t>
      </w:r>
    </w:p>
    <w:p w14:paraId="4AFDC4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）承包人应根据本章第</w:t>
      </w:r>
      <w:r>
        <w:rPr>
          <w:rFonts w:ascii="Times New Roman" w:hAnsi="Times New Roman" w:eastAsia="Times New Roman" w:cs="Times New Roman"/>
          <w:color w:val="auto"/>
          <w:sz w:val="24"/>
          <w:szCs w:val="24"/>
          <w:lang w:eastAsia="zh-CN"/>
        </w:rPr>
        <w:t>19.1.3</w:t>
      </w:r>
      <w:r>
        <w:rPr>
          <w:rFonts w:ascii="宋体" w:hAnsi="宋体" w:eastAsia="宋体" w:cs="宋体"/>
          <w:color w:val="auto"/>
          <w:sz w:val="24"/>
          <w:szCs w:val="24"/>
          <w:lang w:eastAsia="zh-CN"/>
        </w:rPr>
        <w:t>项的规定提交岔管车间加工图。</w:t>
      </w:r>
    </w:p>
    <w:p w14:paraId="046E41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）岔管钢板的分块、划线、切割和坡口要求应遵守本章第</w:t>
      </w:r>
      <w:r>
        <w:rPr>
          <w:rFonts w:ascii="Times New Roman" w:hAnsi="Times New Roman" w:eastAsia="Times New Roman" w:cs="Times New Roman"/>
          <w:color w:val="auto"/>
          <w:sz w:val="24"/>
          <w:szCs w:val="24"/>
          <w:lang w:eastAsia="zh-CN"/>
        </w:rPr>
        <w:t>19.3.1</w:t>
      </w:r>
      <w:r>
        <w:rPr>
          <w:rFonts w:ascii="宋体" w:hAnsi="宋体" w:eastAsia="宋体" w:cs="宋体"/>
          <w:color w:val="auto"/>
          <w:sz w:val="24"/>
          <w:szCs w:val="24"/>
          <w:lang w:eastAsia="zh-CN"/>
        </w:rPr>
        <w:t>项的规定。</w:t>
      </w:r>
    </w:p>
    <w:p w14:paraId="14DDC2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）岔管钢板的卷板应遵守本章第</w:t>
      </w:r>
      <w:r>
        <w:rPr>
          <w:rFonts w:ascii="Times New Roman" w:hAnsi="Times New Roman" w:eastAsia="Times New Roman" w:cs="Times New Roman"/>
          <w:color w:val="auto"/>
          <w:sz w:val="24"/>
          <w:szCs w:val="24"/>
          <w:lang w:eastAsia="zh-CN"/>
        </w:rPr>
        <w:t>19.3.1</w:t>
      </w:r>
      <w:r>
        <w:rPr>
          <w:rFonts w:ascii="宋体" w:hAnsi="宋体" w:eastAsia="宋体" w:cs="宋体"/>
          <w:color w:val="auto"/>
          <w:sz w:val="24"/>
          <w:szCs w:val="24"/>
          <w:lang w:eastAsia="zh-CN"/>
        </w:rPr>
        <w:t>项的规定。球形岔管球壳的压制成型，应按监理人批准的方法进行。</w:t>
      </w:r>
    </w:p>
    <w:p w14:paraId="1A8676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）岔管组装或组焊。</w:t>
      </w:r>
    </w:p>
    <w:p w14:paraId="338C6C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）岔管组焊应遵守本章第</w:t>
      </w:r>
      <w:r>
        <w:rPr>
          <w:rFonts w:ascii="Times New Roman" w:hAnsi="Times New Roman" w:eastAsia="Times New Roman" w:cs="Times New Roman"/>
          <w:color w:val="auto"/>
          <w:sz w:val="24"/>
          <w:szCs w:val="24"/>
          <w:lang w:eastAsia="zh-CN"/>
        </w:rPr>
        <w:t>19.4.3</w:t>
      </w:r>
      <w:r>
        <w:rPr>
          <w:rFonts w:ascii="宋体" w:hAnsi="宋体" w:eastAsia="宋体" w:cs="宋体"/>
          <w:color w:val="auto"/>
          <w:sz w:val="24"/>
          <w:szCs w:val="24"/>
          <w:lang w:eastAsia="zh-CN"/>
        </w:rPr>
        <w:t>项的规定。</w:t>
      </w:r>
    </w:p>
    <w:p w14:paraId="2D2F7D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）岔管应在车间内进行整体组装或组焊。组装或组焊后的各项尺寸应分别符合《水利水电工程压力钢管制造安装及验收规范》（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4.2.2</w:t>
      </w:r>
      <w:r>
        <w:rPr>
          <w:rFonts w:ascii="宋体" w:hAnsi="宋体" w:eastAsia="宋体" w:cs="宋体"/>
          <w:color w:val="auto"/>
          <w:sz w:val="24"/>
          <w:szCs w:val="24"/>
          <w:lang w:eastAsia="zh-CN"/>
        </w:rPr>
        <w:t>条和第</w:t>
      </w:r>
      <w:r>
        <w:rPr>
          <w:rFonts w:ascii="Times New Roman" w:hAnsi="Times New Roman" w:eastAsia="Times New Roman" w:cs="Times New Roman"/>
          <w:color w:val="auto"/>
          <w:sz w:val="24"/>
          <w:szCs w:val="24"/>
          <w:lang w:eastAsia="zh-CN"/>
        </w:rPr>
        <w:t>4.2.4</w:t>
      </w:r>
      <w:r>
        <w:rPr>
          <w:rFonts w:ascii="宋体" w:hAnsi="宋体" w:eastAsia="宋体" w:cs="宋体"/>
          <w:color w:val="auto"/>
          <w:sz w:val="24"/>
          <w:szCs w:val="24"/>
          <w:lang w:eastAsia="zh-CN"/>
        </w:rPr>
        <w:t>条的规定。</w:t>
      </w:r>
    </w:p>
    <w:p w14:paraId="11F644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）球形岔管的球壳板曲率及几何尺寸的极限偏差应遵守《水利水电工程压力钢管制造安装及验收规范》（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4.2.3</w:t>
      </w:r>
      <w:r>
        <w:rPr>
          <w:rFonts w:ascii="宋体" w:hAnsi="宋体" w:eastAsia="宋体" w:cs="宋体"/>
          <w:color w:val="auto"/>
          <w:sz w:val="24"/>
          <w:szCs w:val="24"/>
          <w:lang w:eastAsia="zh-CN"/>
        </w:rPr>
        <w:t>条的规定。</w:t>
      </w:r>
    </w:p>
    <w:p w14:paraId="2FBC06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）岔管组焊后若需进行消应处理，应在车间内进行。若岔管尺寸大于运输界限，应在车间内按结构要求组装成允许的最大部件，再分件运至现场进行总组装。</w:t>
      </w:r>
    </w:p>
    <w:p w14:paraId="5B47F7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）加强梁系（三梁岔的</w:t>
      </w:r>
      <w:r>
        <w:rPr>
          <w:rFonts w:ascii="Times New Roman" w:hAnsi="Times New Roman" w:eastAsia="Times New Roman" w:cs="Times New Roman"/>
          <w:color w:val="auto"/>
          <w:sz w:val="24"/>
          <w:szCs w:val="24"/>
          <w:lang w:eastAsia="zh-CN"/>
        </w:rPr>
        <w:t>U</w:t>
      </w:r>
      <w:r>
        <w:rPr>
          <w:rFonts w:ascii="宋体" w:hAnsi="宋体" w:eastAsia="宋体" w:cs="宋体"/>
          <w:color w:val="auto"/>
          <w:sz w:val="24"/>
          <w:szCs w:val="24"/>
          <w:lang w:eastAsia="zh-CN"/>
        </w:rPr>
        <w:t>形梁和腰梁、月牙岔的月牙肋、球岔的环形梁等）本身的连接焊缝及与之相邻管壁间的组合焊缝，必须在车间内完成，若因故不能在车间内完成时，现场施焊的工艺、方法须经监理人批准。</w:t>
      </w:r>
    </w:p>
    <w:p w14:paraId="72F388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）组装后岔管腰线转折角偏差应不大于</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w:t>
      </w:r>
    </w:p>
    <w:p w14:paraId="03B7F74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19.3.3 附件制造</w:t>
      </w:r>
    </w:p>
    <w:p w14:paraId="43971A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）伸缩节。</w:t>
      </w:r>
    </w:p>
    <w:p w14:paraId="16CDEB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）伸缩节的划线、切割、坡口加工和卷板应遵守本章第</w:t>
      </w:r>
      <w:r>
        <w:rPr>
          <w:rFonts w:ascii="Times New Roman" w:hAnsi="Times New Roman" w:eastAsia="Times New Roman" w:cs="Times New Roman"/>
          <w:color w:val="auto"/>
          <w:sz w:val="24"/>
          <w:szCs w:val="24"/>
          <w:lang w:eastAsia="zh-CN"/>
        </w:rPr>
        <w:t>19.3.1</w:t>
      </w:r>
      <w:r>
        <w:rPr>
          <w:rFonts w:ascii="宋体" w:hAnsi="宋体" w:eastAsia="宋体" w:cs="宋体"/>
          <w:color w:val="auto"/>
          <w:sz w:val="24"/>
          <w:szCs w:val="24"/>
          <w:lang w:eastAsia="zh-CN"/>
        </w:rPr>
        <w:t>项的规定。波纹管式伸缩节应与制造厂家协商确定。</w:t>
      </w:r>
    </w:p>
    <w:p w14:paraId="74D0D5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）伸缩节组焊应遵守本章第</w:t>
      </w:r>
      <w:r>
        <w:rPr>
          <w:rFonts w:ascii="Times New Roman" w:hAnsi="Times New Roman" w:eastAsia="Times New Roman" w:cs="Times New Roman"/>
          <w:color w:val="auto"/>
          <w:sz w:val="24"/>
          <w:szCs w:val="24"/>
          <w:lang w:eastAsia="zh-CN"/>
        </w:rPr>
        <w:t>19.4.3</w:t>
      </w:r>
      <w:r>
        <w:rPr>
          <w:rFonts w:ascii="宋体" w:hAnsi="宋体" w:eastAsia="宋体" w:cs="宋体"/>
          <w:color w:val="auto"/>
          <w:sz w:val="24"/>
          <w:szCs w:val="24"/>
          <w:lang w:eastAsia="zh-CN"/>
        </w:rPr>
        <w:t>项的规定。</w:t>
      </w:r>
    </w:p>
    <w:p w14:paraId="0A8F48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）套筒式伸缩节内、外套管和止水压环制作成型后的直径、弧度、间隙和行程等的极限偏差，应遵守</w:t>
      </w:r>
      <w:r>
        <w:rPr>
          <w:rFonts w:ascii="宋体" w:hAnsi="宋体" w:eastAsia="宋体" w:cs="宋体"/>
          <w:color w:val="auto"/>
          <w:spacing w:val="-6"/>
          <w:sz w:val="24"/>
          <w:szCs w:val="24"/>
          <w:lang w:eastAsia="zh-CN"/>
        </w:rPr>
        <w:t>《水利水电工程压力钢管制造安装及验收规范》（</w:t>
      </w:r>
      <w:r>
        <w:rPr>
          <w:rFonts w:hint="eastAsia" w:ascii="Times New Roman" w:hAnsi="Times New Roman" w:eastAsia="宋体" w:cs="Times New Roman"/>
          <w:color w:val="auto"/>
          <w:spacing w:val="-6"/>
          <w:sz w:val="24"/>
          <w:szCs w:val="24"/>
          <w:lang w:eastAsia="zh-CN"/>
        </w:rPr>
        <w:t>SL/T 432-2024</w:t>
      </w:r>
      <w:r>
        <w:rPr>
          <w:rFonts w:ascii="宋体" w:hAnsi="宋体" w:eastAsia="宋体" w:cs="宋体"/>
          <w:color w:val="auto"/>
          <w:spacing w:val="-6"/>
          <w:sz w:val="24"/>
          <w:szCs w:val="24"/>
          <w:lang w:eastAsia="zh-CN"/>
        </w:rPr>
        <w:t>）</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4.2.5</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4.2.7</w:t>
      </w:r>
      <w:r>
        <w:rPr>
          <w:rFonts w:ascii="宋体" w:hAnsi="宋体" w:eastAsia="宋体" w:cs="宋体"/>
          <w:color w:val="auto"/>
          <w:sz w:val="24"/>
          <w:szCs w:val="24"/>
          <w:lang w:eastAsia="zh-CN"/>
        </w:rPr>
        <w:t>条、第</w:t>
      </w:r>
      <w:r>
        <w:rPr>
          <w:rFonts w:ascii="Times New Roman" w:hAnsi="Times New Roman" w:eastAsia="Times New Roman" w:cs="Times New Roman"/>
          <w:color w:val="auto"/>
          <w:sz w:val="24"/>
          <w:szCs w:val="24"/>
          <w:lang w:eastAsia="zh-CN"/>
        </w:rPr>
        <w:t>4.2.10</w:t>
      </w:r>
      <w:r>
        <w:rPr>
          <w:rFonts w:ascii="宋体" w:hAnsi="宋体" w:eastAsia="宋体" w:cs="宋体"/>
          <w:color w:val="auto"/>
          <w:sz w:val="24"/>
          <w:szCs w:val="24"/>
          <w:lang w:eastAsia="zh-CN"/>
        </w:rPr>
        <w:t>条的规定。</w:t>
      </w:r>
    </w:p>
    <w:p w14:paraId="35E44E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）套筒式伸缩节的止水盘根应根据施工图纸的要求选用。</w:t>
      </w:r>
    </w:p>
    <w:p w14:paraId="12B381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）套筒式伸缩节内套管外壁和外套管内壁的纵缝应磨平，使其与钢管表面同高，盘根滑动范围不得布置横向焊缝。</w:t>
      </w:r>
    </w:p>
    <w:p w14:paraId="0B7E00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）波纹管伸缩节的制造和试验应遵守《水利水电工程压力钢管制造安装及验收规范》（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4.2.8</w:t>
      </w:r>
      <w:r>
        <w:rPr>
          <w:rFonts w:ascii="宋体" w:hAnsi="宋体" w:eastAsia="宋体" w:cs="宋体"/>
          <w:color w:val="auto"/>
          <w:sz w:val="24"/>
          <w:szCs w:val="24"/>
          <w:lang w:eastAsia="zh-CN"/>
        </w:rPr>
        <w:t>条和第</w:t>
      </w:r>
      <w:r>
        <w:rPr>
          <w:rFonts w:ascii="Times New Roman" w:hAnsi="Times New Roman" w:eastAsia="Times New Roman" w:cs="Times New Roman"/>
          <w:color w:val="auto"/>
          <w:sz w:val="24"/>
          <w:szCs w:val="24"/>
          <w:lang w:eastAsia="zh-CN"/>
        </w:rPr>
        <w:t>4.2.9</w:t>
      </w:r>
      <w:r>
        <w:rPr>
          <w:rFonts w:ascii="宋体" w:hAnsi="宋体" w:eastAsia="宋体" w:cs="宋体"/>
          <w:color w:val="auto"/>
          <w:sz w:val="24"/>
          <w:szCs w:val="24"/>
          <w:lang w:eastAsia="zh-CN"/>
        </w:rPr>
        <w:t>条的规定。</w:t>
      </w:r>
    </w:p>
    <w:p w14:paraId="7BECA9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）伸缩节装配、运输应遵守</w:t>
      </w:r>
      <w:r>
        <w:rPr>
          <w:rFonts w:ascii="宋体" w:hAnsi="宋体" w:eastAsia="宋体" w:cs="宋体"/>
          <w:color w:val="auto"/>
          <w:spacing w:val="45"/>
          <w:sz w:val="24"/>
          <w:szCs w:val="24"/>
          <w:lang w:eastAsia="zh-CN"/>
        </w:rPr>
        <w:t>《水利工程压力钢管制造安装及验收规范》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4.2.19</w:t>
      </w:r>
      <w:r>
        <w:rPr>
          <w:rFonts w:ascii="宋体" w:hAnsi="宋体" w:eastAsia="宋体" w:cs="宋体"/>
          <w:color w:val="auto"/>
          <w:sz w:val="24"/>
          <w:szCs w:val="24"/>
          <w:lang w:eastAsia="zh-CN"/>
        </w:rPr>
        <w:t>条的规定。</w:t>
      </w:r>
    </w:p>
    <w:p w14:paraId="412B32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）明管支座。</w:t>
      </w:r>
    </w:p>
    <w:p w14:paraId="3130C1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）明管支座的制造应符合施工图纸的要求和遵守本章第</w:t>
      </w:r>
      <w:r>
        <w:rPr>
          <w:rFonts w:ascii="Times New Roman" w:hAnsi="Times New Roman" w:eastAsia="Times New Roman" w:cs="Times New Roman"/>
          <w:color w:val="auto"/>
          <w:sz w:val="24"/>
          <w:szCs w:val="24"/>
          <w:lang w:eastAsia="zh-CN"/>
        </w:rPr>
        <w:t>19.3.1</w:t>
      </w:r>
      <w:r>
        <w:rPr>
          <w:rFonts w:ascii="宋体" w:hAnsi="宋体" w:eastAsia="宋体" w:cs="宋体"/>
          <w:color w:val="auto"/>
          <w:sz w:val="24"/>
          <w:szCs w:val="24"/>
          <w:lang w:eastAsia="zh-CN"/>
        </w:rPr>
        <w:t>条和第</w:t>
      </w:r>
      <w:r>
        <w:rPr>
          <w:rFonts w:ascii="Times New Roman" w:hAnsi="Times New Roman" w:eastAsia="Times New Roman" w:cs="Times New Roman"/>
          <w:color w:val="auto"/>
          <w:sz w:val="24"/>
          <w:szCs w:val="24"/>
          <w:lang w:eastAsia="zh-CN"/>
        </w:rPr>
        <w:t>19.4.3</w:t>
      </w:r>
      <w:r>
        <w:rPr>
          <w:rFonts w:ascii="宋体" w:hAnsi="宋体" w:eastAsia="宋体" w:cs="宋体"/>
          <w:color w:val="auto"/>
          <w:sz w:val="24"/>
          <w:szCs w:val="24"/>
          <w:lang w:eastAsia="zh-CN"/>
        </w:rPr>
        <w:t>条的规定。</w:t>
      </w:r>
    </w:p>
    <w:p w14:paraId="368AFD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）滚动、滑动和摇摆支座，应保证组装后各部件不得妨碍支座行动。</w:t>
      </w:r>
    </w:p>
    <w:p w14:paraId="0D30CD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）鞍形支座的弧形承压板允许制造误差与钢管相同。预组装时，应校正其圆度。安排管节时，应在支座滑动区内错开环缝及纵缝。</w:t>
      </w:r>
    </w:p>
    <w:p w14:paraId="243545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）支座应在车间内进行预组装。</w:t>
      </w:r>
    </w:p>
    <w:p w14:paraId="2AC0CA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）加劲环、支承环、止推环和阻水环。</w:t>
      </w:r>
    </w:p>
    <w:p w14:paraId="4121EF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）加劲环、支承环、止推环和阻水环的制造应遵守本章第</w:t>
      </w:r>
      <w:r>
        <w:rPr>
          <w:rFonts w:ascii="Times New Roman" w:hAnsi="Times New Roman" w:eastAsia="Times New Roman" w:cs="Times New Roman"/>
          <w:color w:val="auto"/>
          <w:sz w:val="24"/>
          <w:szCs w:val="24"/>
          <w:lang w:eastAsia="zh-CN"/>
        </w:rPr>
        <w:t>19.3.1</w:t>
      </w:r>
      <w:r>
        <w:rPr>
          <w:rFonts w:ascii="宋体" w:hAnsi="宋体" w:eastAsia="宋体" w:cs="宋体"/>
          <w:color w:val="auto"/>
          <w:sz w:val="24"/>
          <w:szCs w:val="24"/>
          <w:lang w:eastAsia="zh-CN"/>
        </w:rPr>
        <w:t>项和第</w:t>
      </w:r>
      <w:r>
        <w:rPr>
          <w:rFonts w:ascii="Times New Roman" w:hAnsi="Times New Roman" w:eastAsia="Times New Roman" w:cs="Times New Roman"/>
          <w:color w:val="auto"/>
          <w:sz w:val="24"/>
          <w:szCs w:val="24"/>
          <w:lang w:eastAsia="zh-CN"/>
        </w:rPr>
        <w:t>19.4.3</w:t>
      </w:r>
      <w:r>
        <w:rPr>
          <w:rFonts w:ascii="宋体" w:hAnsi="宋体" w:eastAsia="宋体" w:cs="宋体"/>
          <w:color w:val="auto"/>
          <w:sz w:val="24"/>
          <w:szCs w:val="24"/>
          <w:lang w:eastAsia="zh-CN"/>
        </w:rPr>
        <w:t>项的规定。</w:t>
      </w:r>
    </w:p>
    <w:p w14:paraId="4DF9FE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）上述各环的对接焊缝应与钢管纵缝错开</w:t>
      </w:r>
      <w:r>
        <w:rPr>
          <w:rFonts w:ascii="Times New Roman" w:hAnsi="Times New Roman" w:eastAsia="Times New Roman" w:cs="Times New Roman"/>
          <w:color w:val="auto"/>
          <w:sz w:val="24"/>
          <w:szCs w:val="24"/>
          <w:lang w:eastAsia="zh-CN"/>
        </w:rPr>
        <w:t>200mm</w:t>
      </w:r>
      <w:r>
        <w:rPr>
          <w:rFonts w:hint="eastAsia" w:ascii="Times New Roman" w:hAnsi="Times New Roman" w:eastAsia="宋体" w:cs="Times New Roman"/>
          <w:color w:val="auto"/>
          <w:sz w:val="24"/>
          <w:szCs w:val="24"/>
          <w:lang w:eastAsia="zh-CN"/>
        </w:rPr>
        <w:t xml:space="preserve"> </w:t>
      </w:r>
      <w:r>
        <w:rPr>
          <w:rFonts w:ascii="宋体" w:hAnsi="宋体" w:eastAsia="宋体" w:cs="宋体"/>
          <w:color w:val="auto"/>
          <w:sz w:val="24"/>
          <w:szCs w:val="24"/>
          <w:lang w:eastAsia="zh-CN"/>
        </w:rPr>
        <w:t>以上。加劲环、支承环与钢管管壁间的组合焊缝应按施工图纸要求进行。阻水环与管壁间的组合焊缝应为连续焊缝。</w:t>
      </w:r>
    </w:p>
    <w:p w14:paraId="0A9E37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）加劲环、支承环、止推环和阻水环的内圈弧度间隙，应参照《</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的数据选定。加劲环、支承环、止推环和阻水环与钢管外壁的局部间隙，不应大于</w:t>
      </w:r>
      <w:r>
        <w:rPr>
          <w:rFonts w:ascii="Times New Roman" w:hAnsi="Times New Roman" w:eastAsia="Times New Roman" w:cs="Times New Roman"/>
          <w:color w:val="auto"/>
          <w:sz w:val="24"/>
          <w:szCs w:val="24"/>
          <w:lang w:eastAsia="zh-CN"/>
        </w:rPr>
        <w:t>3mm</w:t>
      </w:r>
      <w:r>
        <w:rPr>
          <w:rFonts w:ascii="宋体" w:hAnsi="宋体" w:eastAsia="宋体" w:cs="宋体"/>
          <w:color w:val="auto"/>
          <w:sz w:val="24"/>
          <w:szCs w:val="24"/>
          <w:lang w:eastAsia="zh-CN"/>
        </w:rPr>
        <w:t>。</w:t>
      </w:r>
    </w:p>
    <w:p w14:paraId="72C9CD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）钢管的加劲环、止推环和支承环组装的垂直度极限偏差，应参照《水利水电工程压力钢管制造安装及验收规范》（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的数据选定。</w:t>
      </w:r>
    </w:p>
    <w:p w14:paraId="42DA74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）在加劲环、支承环、止推环与钢管的连接焊缝和钢管纵缝交叉处，应在加劲环、支承环和止推环内弧侧钻设半径</w:t>
      </w:r>
      <w:r>
        <w:rPr>
          <w:rFonts w:ascii="Times New Roman" w:hAnsi="Times New Roman" w:eastAsia="Times New Roman" w:cs="Times New Roman"/>
          <w:color w:val="auto"/>
          <w:sz w:val="24"/>
          <w:szCs w:val="24"/>
          <w:lang w:eastAsia="zh-CN"/>
        </w:rPr>
        <w:t>25</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50mm</w:t>
      </w:r>
      <w:r>
        <w:rPr>
          <w:rFonts w:ascii="宋体" w:hAnsi="宋体" w:eastAsia="宋体" w:cs="宋体"/>
          <w:color w:val="auto"/>
          <w:sz w:val="24"/>
          <w:szCs w:val="24"/>
          <w:lang w:eastAsia="zh-CN"/>
        </w:rPr>
        <w:t>的避缝孔。</w:t>
      </w:r>
    </w:p>
    <w:p w14:paraId="51A91C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）水压试验闷头。</w:t>
      </w:r>
    </w:p>
    <w:p w14:paraId="5FBCEE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）水压试验用的临时闷头由承包人负责设计和制造。承包人应在闷头制造前，将闷头的布置图、计算书和车间加工图提交监理人批准。</w:t>
      </w:r>
    </w:p>
    <w:p w14:paraId="6E207C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）闷头上应设置进人孔、排气孔、进水孔、排水孔和测试仪表的安装孔等。</w:t>
      </w:r>
    </w:p>
    <w:p w14:paraId="6F4B225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91" w:name="_Toc18564"/>
      <w:bookmarkStart w:id="1492" w:name="_Toc4695"/>
      <w:bookmarkStart w:id="1493" w:name="_Toc21296"/>
      <w:r>
        <w:rPr>
          <w:rFonts w:hint="eastAsia" w:ascii="宋体" w:hAnsi="宋体" w:eastAsia="宋体" w:cs="宋体"/>
          <w:b/>
          <w:bCs/>
          <w:color w:val="auto"/>
          <w:sz w:val="24"/>
          <w:szCs w:val="24"/>
          <w:lang w:eastAsia="zh-CN"/>
        </w:rPr>
        <w:t>19.4 焊接</w:t>
      </w:r>
      <w:bookmarkEnd w:id="1491"/>
      <w:bookmarkEnd w:id="1492"/>
      <w:bookmarkEnd w:id="1493"/>
    </w:p>
    <w:p w14:paraId="3071A9A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19.4.1 焊工和无损检测人员资格</w:t>
      </w:r>
    </w:p>
    <w:p w14:paraId="1385D5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）焊工应取得相关资格证书，才能从事与其证书相适应的焊接工作。</w:t>
      </w:r>
    </w:p>
    <w:p w14:paraId="10591F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）从事压力钢管质量检测的无损检测人员，其相应的资质应符合《水利水电工程压力钢管制造安装及验收规范》（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6.4.2</w:t>
      </w:r>
      <w:r>
        <w:rPr>
          <w:rFonts w:ascii="宋体" w:hAnsi="宋体" w:eastAsia="宋体" w:cs="宋体"/>
          <w:color w:val="auto"/>
          <w:sz w:val="24"/>
          <w:szCs w:val="24"/>
          <w:lang w:eastAsia="zh-CN"/>
        </w:rPr>
        <w:t>条的规定。焊缝质量评定应由持Ⅱ级或Ⅱ级以上资格证书的无损检测人员担任。</w:t>
      </w:r>
    </w:p>
    <w:p w14:paraId="46154D8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19.4.2 焊接工艺评定报告和焊接工艺规程</w:t>
      </w:r>
    </w:p>
    <w:p w14:paraId="3A4B77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承包人应按《水利水电工程压力钢管制造安装及验收规范》（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8.</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节的规定，编制焊接工艺评定报告和焊接工艺规程提交监理人批准。</w:t>
      </w:r>
    </w:p>
    <w:p w14:paraId="7C3FCBC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19.4.3 生产性施焊</w:t>
      </w:r>
    </w:p>
    <w:p w14:paraId="367ACA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）焊缝分类应遵守</w:t>
      </w:r>
      <w:r>
        <w:rPr>
          <w:rFonts w:ascii="宋体" w:hAnsi="宋体" w:eastAsia="宋体" w:cs="宋体"/>
          <w:color w:val="auto"/>
          <w:spacing w:val="-11"/>
          <w:sz w:val="24"/>
          <w:szCs w:val="24"/>
          <w:lang w:eastAsia="zh-CN"/>
        </w:rPr>
        <w:t>《水利工程压力钢管制造安装及验收规范》（</w:t>
      </w:r>
      <w:r>
        <w:rPr>
          <w:rFonts w:hint="eastAsia" w:ascii="Times New Roman" w:hAnsi="Times New Roman" w:eastAsia="宋体" w:cs="Times New Roman"/>
          <w:color w:val="auto"/>
          <w:spacing w:val="-11"/>
          <w:sz w:val="24"/>
          <w:szCs w:val="24"/>
          <w:lang w:eastAsia="zh-CN"/>
        </w:rPr>
        <w:t>SL/T 432-2024</w:t>
      </w:r>
      <w:r>
        <w:rPr>
          <w:rFonts w:ascii="宋体" w:hAnsi="宋体" w:eastAsia="宋体" w:cs="宋体"/>
          <w:color w:val="auto"/>
          <w:spacing w:val="-11"/>
          <w:sz w:val="24"/>
          <w:szCs w:val="24"/>
          <w:lang w:eastAsia="zh-CN"/>
        </w:rPr>
        <w:t>）</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8.1</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条的规定。</w:t>
      </w:r>
    </w:p>
    <w:p w14:paraId="1FB08B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）焊接材料的选用、焊接环境、焊接烘焙和保管应遵守《水利水电工程压力钢管制造安装及验收规范》（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第8.2.1条、第8.2.2条和第8.2.3条</w:t>
      </w:r>
      <w:r>
        <w:rPr>
          <w:rFonts w:ascii="宋体" w:hAnsi="宋体" w:eastAsia="宋体" w:cs="宋体"/>
          <w:color w:val="auto"/>
          <w:sz w:val="24"/>
          <w:szCs w:val="24"/>
          <w:lang w:eastAsia="zh-CN"/>
        </w:rPr>
        <w:t>的规定。</w:t>
      </w:r>
    </w:p>
    <w:p w14:paraId="52D239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）焊前清理。所有拟焊面及坡口两侧各</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20mm</w:t>
      </w:r>
      <w:r>
        <w:rPr>
          <w:rFonts w:ascii="宋体" w:hAnsi="宋体" w:eastAsia="宋体" w:cs="宋体"/>
          <w:color w:val="auto"/>
          <w:sz w:val="24"/>
          <w:szCs w:val="24"/>
          <w:lang w:eastAsia="zh-CN"/>
        </w:rPr>
        <w:t>范围内的氧化皮、铁锈、油污及其他杂物应清除干净，每一焊道焊完后也应及时清理，检查合格后才能继续施焊。</w:t>
      </w:r>
    </w:p>
    <w:p w14:paraId="66021D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）定位焊。采用已批准的焊接工艺规程进行组装和定位焊。定位焊应遵守《水利水电工程压力钢管制造安装及验收规范》（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8.2.4</w:t>
      </w:r>
      <w:r>
        <w:rPr>
          <w:rFonts w:ascii="宋体" w:hAnsi="宋体" w:eastAsia="宋体" w:cs="宋体"/>
          <w:color w:val="auto"/>
          <w:sz w:val="24"/>
          <w:szCs w:val="24"/>
          <w:lang w:eastAsia="zh-CN"/>
        </w:rPr>
        <w:t>条的规定。</w:t>
      </w:r>
    </w:p>
    <w:p w14:paraId="7A2F2E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）装配校正。装配中的错边应采用卡具校正，不得用锤击或其他有损钢板的器具校正。</w:t>
      </w:r>
    </w:p>
    <w:p w14:paraId="7F11C0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）预热。按工艺要求需要预热的焊件，应按《水水利水电工程压力钢管制造安装及验收规范》（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8.2.6</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8.2.9</w:t>
      </w:r>
      <w:r>
        <w:rPr>
          <w:rFonts w:ascii="宋体" w:hAnsi="宋体" w:eastAsia="宋体" w:cs="宋体"/>
          <w:color w:val="auto"/>
          <w:sz w:val="24"/>
          <w:szCs w:val="24"/>
          <w:lang w:eastAsia="zh-CN"/>
        </w:rPr>
        <w:t>条的规定进行。监理人有权对某些焊接部位提出特殊的预热要求，承包人应遵照执行。</w:t>
      </w:r>
    </w:p>
    <w:p w14:paraId="671AB8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）焊接。除应遵守</w:t>
      </w:r>
      <w:r>
        <w:rPr>
          <w:rFonts w:ascii="宋体" w:hAnsi="宋体" w:eastAsia="宋体" w:cs="宋体"/>
          <w:color w:val="auto"/>
          <w:spacing w:val="-11"/>
          <w:sz w:val="24"/>
          <w:szCs w:val="24"/>
          <w:lang w:eastAsia="zh-CN"/>
        </w:rPr>
        <w:t>《利水电工程压力钢管制造安装及验收规范》（</w:t>
      </w:r>
      <w:r>
        <w:rPr>
          <w:rFonts w:hint="eastAsia" w:ascii="Times New Roman" w:hAnsi="Times New Roman" w:eastAsia="宋体" w:cs="Times New Roman"/>
          <w:color w:val="auto"/>
          <w:spacing w:val="-11"/>
          <w:sz w:val="24"/>
          <w:szCs w:val="24"/>
          <w:lang w:eastAsia="zh-CN"/>
        </w:rPr>
        <w:t>SL/T 432-2024</w:t>
      </w:r>
      <w:r>
        <w:rPr>
          <w:rFonts w:ascii="宋体" w:hAnsi="宋体" w:eastAsia="宋体" w:cs="宋体"/>
          <w:color w:val="auto"/>
          <w:spacing w:val="-11"/>
          <w:sz w:val="24"/>
          <w:szCs w:val="24"/>
          <w:lang w:eastAsia="zh-CN"/>
        </w:rPr>
        <w:t>）</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8.2</w:t>
      </w:r>
      <w:r>
        <w:rPr>
          <w:rFonts w:ascii="宋体" w:hAnsi="宋体" w:eastAsia="宋体" w:cs="宋体"/>
          <w:color w:val="auto"/>
          <w:sz w:val="24"/>
          <w:szCs w:val="24"/>
          <w:lang w:eastAsia="zh-CN"/>
        </w:rPr>
        <w:t>节和《水工金属结构焊接通用技术条件》（</w:t>
      </w:r>
      <w:r>
        <w:rPr>
          <w:rFonts w:hint="eastAsia" w:ascii="Times New Roman" w:hAnsi="Times New Roman" w:eastAsia="宋体" w:cs="Times New Roman"/>
          <w:color w:val="auto"/>
          <w:sz w:val="24"/>
          <w:szCs w:val="24"/>
          <w:lang w:eastAsia="zh-CN"/>
        </w:rPr>
        <w:t>SL 36-2016</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章的规定外，压力钢管的焊接工艺还应满足：</w:t>
      </w:r>
    </w:p>
    <w:p w14:paraId="0720D0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）为尽量减少变形和收缩应力，应在施焊前选定定位焊焊点和焊接顺序。从构件受周围约束较大的部位开始焊接，向约束较小的部位推进。</w:t>
      </w:r>
    </w:p>
    <w:p w14:paraId="10D9BE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）双面焊接时（设有垫板者例外），在其单侧焊接后应进行清根并打磨干净，再继续焊另一面。对需预热后焊接的钢板，应在清根前预热。若采用单面焊缝双面成型，应提出相应的焊接措施，并经监理人批准。</w:t>
      </w:r>
    </w:p>
    <w:p w14:paraId="0C7B02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）每条焊缝应一次连续焊完，当因故中断焊接时，应采取防裂措施。</w:t>
      </w:r>
    </w:p>
    <w:p w14:paraId="6610D6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）产品焊接试板（标准抗拉强度大于540N/mm</w:t>
      </w:r>
      <w:r>
        <w:rPr>
          <w:rFonts w:ascii="宋体" w:hAnsi="宋体" w:eastAsia="宋体" w:cs="宋体"/>
          <w:color w:val="auto"/>
          <w:sz w:val="24"/>
          <w:szCs w:val="24"/>
          <w:vertAlign w:val="superscript"/>
          <w:lang w:eastAsia="zh-CN"/>
        </w:rPr>
        <w:t>2</w:t>
      </w:r>
      <w:r>
        <w:rPr>
          <w:rFonts w:ascii="宋体" w:hAnsi="宋体" w:eastAsia="宋体" w:cs="宋体"/>
          <w:color w:val="auto"/>
          <w:sz w:val="24"/>
          <w:szCs w:val="24"/>
          <w:lang w:eastAsia="zh-CN"/>
        </w:rPr>
        <w:t>）。</w:t>
      </w:r>
    </w:p>
    <w:p w14:paraId="2EF20F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）管壁纵缝、加强构件（包括支承环及岔管的肋和梁）的对接焊缝应作产品焊接试板</w:t>
      </w:r>
    </w:p>
    <w:p w14:paraId="174CE8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）相同板厚的纵焊，每</w:t>
      </w:r>
      <w:r>
        <w:rPr>
          <w:rFonts w:ascii="Times New Roman" w:hAnsi="Times New Roman" w:eastAsia="Times New Roman" w:cs="Times New Roman"/>
          <w:color w:val="auto"/>
          <w:sz w:val="24"/>
          <w:szCs w:val="24"/>
          <w:lang w:eastAsia="zh-CN"/>
        </w:rPr>
        <w:t>100m</w:t>
      </w:r>
      <w:r>
        <w:rPr>
          <w:rFonts w:ascii="宋体" w:hAnsi="宋体" w:eastAsia="宋体" w:cs="宋体"/>
          <w:color w:val="auto"/>
          <w:sz w:val="24"/>
          <w:szCs w:val="24"/>
          <w:lang w:eastAsia="zh-CN"/>
        </w:rPr>
        <w:t>焊缝长作一块产品焊接试板，且每种板厚不少于两块。试板尺寸及试验项目与焊接工艺评定的规定相同。</w:t>
      </w:r>
    </w:p>
    <w:p w14:paraId="7C8140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）试板须在纵缝的延长部位与钢管纵缝同时施焊，试板的厚度和焊接工艺须与管壁相同，可以延长试板长度而不设助焊板。</w:t>
      </w:r>
    </w:p>
    <w:p w14:paraId="058B0D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9</w:t>
      </w:r>
      <w:r>
        <w:rPr>
          <w:rFonts w:ascii="宋体" w:hAnsi="宋体" w:eastAsia="宋体" w:cs="宋体"/>
          <w:color w:val="auto"/>
          <w:sz w:val="24"/>
          <w:szCs w:val="24"/>
          <w:lang w:eastAsia="zh-CN"/>
        </w:rPr>
        <w:t>）后热。后热要求应通过焊接工艺评定确定，并应遵守《水工金属结构焊接通用技术条件》（</w:t>
      </w:r>
      <w:r>
        <w:rPr>
          <w:rFonts w:hint="eastAsia" w:ascii="Times New Roman" w:hAnsi="Times New Roman" w:eastAsia="宋体" w:cs="Times New Roman"/>
          <w:color w:val="auto"/>
          <w:sz w:val="24"/>
          <w:szCs w:val="24"/>
          <w:lang w:eastAsia="zh-CN"/>
        </w:rPr>
        <w:t>SL 36-2016</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章的规定。</w:t>
      </w:r>
    </w:p>
    <w:p w14:paraId="4285521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19.4.4 焊缝质量检验</w:t>
      </w:r>
    </w:p>
    <w:p w14:paraId="0FAAEE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）焊缝外观质量检查应遵守</w:t>
      </w:r>
      <w:r>
        <w:rPr>
          <w:rFonts w:ascii="宋体" w:hAnsi="宋体" w:eastAsia="宋体" w:cs="宋体"/>
          <w:color w:val="auto"/>
          <w:spacing w:val="20"/>
          <w:sz w:val="24"/>
          <w:szCs w:val="24"/>
          <w:lang w:eastAsia="zh-CN"/>
        </w:rPr>
        <w:t>《水利水电工程压力钢管制造安装及验收规范》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）表</w:t>
      </w:r>
      <w:r>
        <w:rPr>
          <w:rFonts w:ascii="Times New Roman" w:hAnsi="Times New Roman" w:eastAsia="Times New Roman" w:cs="Times New Roman"/>
          <w:color w:val="auto"/>
          <w:sz w:val="24"/>
          <w:szCs w:val="24"/>
          <w:lang w:eastAsia="zh-CN"/>
        </w:rPr>
        <w:t>1</w:t>
      </w:r>
      <w:r>
        <w:rPr>
          <w:rFonts w:hint="eastAsia" w:ascii="Times New Roman" w:hAnsi="Times New Roman" w:eastAsia="宋体" w:cs="Times New Roman"/>
          <w:color w:val="auto"/>
          <w:sz w:val="24"/>
          <w:szCs w:val="24"/>
          <w:lang w:eastAsia="zh-CN"/>
        </w:rPr>
        <w:t>3</w:t>
      </w:r>
      <w:r>
        <w:rPr>
          <w:rFonts w:ascii="宋体" w:hAnsi="宋体" w:eastAsia="宋体" w:cs="宋体"/>
          <w:color w:val="auto"/>
          <w:sz w:val="24"/>
          <w:szCs w:val="24"/>
          <w:lang w:eastAsia="zh-CN"/>
        </w:rPr>
        <w:t>的规定。</w:t>
      </w:r>
    </w:p>
    <w:p w14:paraId="2B8EB2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）焊缝质量检验所用的无损检测方法，应遵守《水利水电工程压力钢管制造安装及验收规范》（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Times New Roman" w:cs="Times New Roman"/>
          <w:color w:val="auto"/>
          <w:sz w:val="24"/>
          <w:szCs w:val="24"/>
          <w:lang w:eastAsia="zh-CN"/>
        </w:rPr>
        <w:t>8.3.4～8.3</w:t>
      </w:r>
      <w:r>
        <w:rPr>
          <w:rFonts w:ascii="Times New Roman" w:hAnsi="Times New Roman" w:eastAsia="Times New Roman" w:cs="Times New Roman"/>
          <w:color w:val="auto"/>
          <w:sz w:val="24"/>
          <w:szCs w:val="24"/>
          <w:lang w:eastAsia="zh-CN"/>
        </w:rPr>
        <w:t>.10</w:t>
      </w:r>
      <w:r>
        <w:rPr>
          <w:rFonts w:ascii="宋体" w:hAnsi="宋体" w:eastAsia="宋体" w:cs="宋体"/>
          <w:color w:val="auto"/>
          <w:sz w:val="24"/>
          <w:szCs w:val="24"/>
          <w:lang w:eastAsia="zh-CN"/>
        </w:rPr>
        <w:t>条的规定。</w:t>
      </w:r>
    </w:p>
    <w:p w14:paraId="1C5913F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19.4.5 焊缝缺陷处理</w:t>
      </w:r>
    </w:p>
    <w:p w14:paraId="205FFF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）承包人应根据焊缝质量检验确定的焊缝缺陷，提出缺陷返修的部位和返修措施，经监理人同意后，由承包人进行返修，直至监理人认为合格为止。返修后的焊缝，仍应按本章第</w:t>
      </w:r>
      <w:r>
        <w:rPr>
          <w:rFonts w:ascii="Times New Roman" w:hAnsi="Times New Roman" w:eastAsia="Times New Roman" w:cs="Times New Roman"/>
          <w:color w:val="auto"/>
          <w:sz w:val="24"/>
          <w:szCs w:val="24"/>
          <w:lang w:eastAsia="zh-CN"/>
        </w:rPr>
        <w:t>19.4.4</w:t>
      </w:r>
      <w:r>
        <w:rPr>
          <w:rFonts w:ascii="宋体" w:hAnsi="宋体" w:eastAsia="宋体" w:cs="宋体"/>
          <w:color w:val="auto"/>
          <w:sz w:val="24"/>
          <w:szCs w:val="24"/>
          <w:lang w:eastAsia="zh-CN"/>
        </w:rPr>
        <w:t>条规定的焊缝质量进行复验。返修和复验记录应提交监理人。</w:t>
      </w:r>
    </w:p>
    <w:p w14:paraId="1DD281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）同一部位返修次数。碳素钢和低合金钢不宜超过两次、高强钢不宜超过一次，否则应制订可靠的技术措施，提交监理人批准。</w:t>
      </w:r>
    </w:p>
    <w:p w14:paraId="2FB7F7C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19.4.6 焊后消应处理</w:t>
      </w:r>
    </w:p>
    <w:p w14:paraId="3FA9C1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施工图纸要求进行焊后消应处理的钢管，应按《水利水电工程压力钢管制造安装及验收规范》（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8.5节</w:t>
      </w:r>
      <w:r>
        <w:rPr>
          <w:rFonts w:ascii="宋体" w:hAnsi="宋体" w:eastAsia="宋体" w:cs="宋体"/>
          <w:color w:val="auto"/>
          <w:sz w:val="24"/>
          <w:szCs w:val="24"/>
          <w:lang w:eastAsia="zh-CN"/>
        </w:rPr>
        <w:t>的规定进行。消应处理数据应提交监理人。</w:t>
      </w:r>
    </w:p>
    <w:p w14:paraId="6E6E192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94" w:name="_Toc20109"/>
      <w:bookmarkStart w:id="1495" w:name="_Toc5961"/>
      <w:bookmarkStart w:id="1496" w:name="_Toc27061"/>
      <w:r>
        <w:rPr>
          <w:rFonts w:hint="eastAsia" w:ascii="宋体" w:hAnsi="宋体" w:eastAsia="宋体" w:cs="宋体"/>
          <w:b/>
          <w:bCs/>
          <w:color w:val="auto"/>
          <w:sz w:val="24"/>
          <w:szCs w:val="24"/>
          <w:lang w:eastAsia="zh-CN"/>
        </w:rPr>
        <w:t>19.5 水压试验（略）</w:t>
      </w:r>
      <w:bookmarkEnd w:id="1494"/>
      <w:bookmarkEnd w:id="1495"/>
      <w:bookmarkEnd w:id="1496"/>
    </w:p>
    <w:p w14:paraId="10C90ED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497" w:name="_Toc15111"/>
      <w:bookmarkStart w:id="1498" w:name="_Toc1618"/>
      <w:bookmarkStart w:id="1499" w:name="_Toc6842"/>
      <w:r>
        <w:rPr>
          <w:rFonts w:hint="eastAsia" w:ascii="宋体" w:hAnsi="宋体" w:eastAsia="宋体" w:cs="宋体"/>
          <w:b/>
          <w:bCs/>
          <w:color w:val="auto"/>
          <w:sz w:val="24"/>
          <w:szCs w:val="24"/>
          <w:lang w:eastAsia="zh-CN"/>
        </w:rPr>
        <w:t>19.6 钢管运输</w:t>
      </w:r>
      <w:bookmarkEnd w:id="1497"/>
      <w:bookmarkEnd w:id="1498"/>
      <w:bookmarkEnd w:id="1499"/>
    </w:p>
    <w:p w14:paraId="0C4A53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）承包人应根据钢管各项运输部件的不同情况，制定详细的运输措施，其内容包括采用的吊装和运输设备、大件运输方法以及防止钢管变形的加固措施等。</w:t>
      </w:r>
    </w:p>
    <w:p w14:paraId="1A7BAE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）运输成型的管节时，可在管节内加设内支撑。管节运输时，应将钢管安放在鞍形支座或加垫木梁上，以保护管节及其坡口免遭破坏。</w:t>
      </w:r>
    </w:p>
    <w:p w14:paraId="15EF29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）钢索捆扎吊运钢管或瓦片时，应将钢索与钢管或瓦片接触部位加设软垫，避免在吊运和运输过程中损坏涂层。</w:t>
      </w:r>
    </w:p>
    <w:p w14:paraId="1318D51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00" w:name="_Toc32194"/>
      <w:bookmarkStart w:id="1501" w:name="_Toc12972"/>
      <w:bookmarkStart w:id="1502" w:name="_Toc1805"/>
      <w:r>
        <w:rPr>
          <w:rFonts w:hint="eastAsia" w:ascii="宋体" w:hAnsi="宋体" w:eastAsia="宋体" w:cs="宋体"/>
          <w:b/>
          <w:bCs/>
          <w:color w:val="auto"/>
          <w:sz w:val="24"/>
          <w:szCs w:val="24"/>
          <w:lang w:eastAsia="zh-CN"/>
        </w:rPr>
        <w:t>19.7 钢管现场安装</w:t>
      </w:r>
      <w:bookmarkEnd w:id="1500"/>
      <w:bookmarkEnd w:id="1501"/>
      <w:bookmarkEnd w:id="1502"/>
    </w:p>
    <w:p w14:paraId="3AB3C44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19.7.1 一般要求</w:t>
      </w:r>
    </w:p>
    <w:p w14:paraId="1D7D81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）用于测量高程、里程和安装轴线基准点等的安装控制点，均应明显、牢固和便于使用。</w:t>
      </w:r>
    </w:p>
    <w:p w14:paraId="72CAD9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）压力钢管制造、安装及验收所用的测量器具应遵守《水利水电工程压力钢管制造安装及验收规范》（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Times New Roman" w:cs="Times New Roman"/>
          <w:color w:val="auto"/>
          <w:sz w:val="24"/>
          <w:szCs w:val="24"/>
          <w:lang w:eastAsia="zh-CN"/>
        </w:rPr>
        <w:t>4.5节和第6.1.3条</w:t>
      </w:r>
      <w:r>
        <w:rPr>
          <w:rFonts w:ascii="宋体" w:hAnsi="宋体" w:eastAsia="宋体" w:cs="宋体"/>
          <w:color w:val="auto"/>
          <w:sz w:val="24"/>
          <w:szCs w:val="24"/>
          <w:lang w:eastAsia="zh-CN"/>
        </w:rPr>
        <w:t>的规定。</w:t>
      </w:r>
    </w:p>
    <w:p w14:paraId="6B052C0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19.7.2 安装偏差</w:t>
      </w:r>
    </w:p>
    <w:p w14:paraId="4076F0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）钢管的直管、弯管和岔管，以及伸缩节等附件与施工图纸规定的轴线平行度误差不应大于</w:t>
      </w:r>
      <w:r>
        <w:rPr>
          <w:rFonts w:ascii="Times New Roman" w:hAnsi="Times New Roman" w:eastAsia="Times New Roman" w:cs="Times New Roman"/>
          <w:color w:val="auto"/>
          <w:sz w:val="24"/>
          <w:szCs w:val="24"/>
          <w:lang w:eastAsia="zh-CN"/>
        </w:rPr>
        <w:t>0.2</w:t>
      </w:r>
      <w:r>
        <w:rPr>
          <w:rFonts w:ascii="宋体" w:hAnsi="宋体" w:eastAsia="宋体" w:cs="宋体"/>
          <w:color w:val="auto"/>
          <w:sz w:val="24"/>
          <w:szCs w:val="24"/>
          <w:lang w:eastAsia="zh-CN"/>
        </w:rPr>
        <w:t>％。</w:t>
      </w:r>
    </w:p>
    <w:p w14:paraId="2DE883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）钢管安装中心和管口圆度偏差应遵守《水利水电工程压力钢管制造安装及验收规范》（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7</w:t>
      </w:r>
      <w:r>
        <w:rPr>
          <w:rFonts w:ascii="Times New Roman" w:hAnsi="Times New Roman" w:eastAsia="Times New Roman" w:cs="Times New Roman"/>
          <w:color w:val="auto"/>
          <w:sz w:val="24"/>
          <w:szCs w:val="24"/>
          <w:lang w:eastAsia="zh-CN"/>
        </w:rPr>
        <w:t>.2.1</w:t>
      </w:r>
      <w:r>
        <w:rPr>
          <w:rFonts w:ascii="宋体" w:hAnsi="宋体" w:eastAsia="宋体" w:cs="宋体"/>
          <w:color w:val="auto"/>
          <w:sz w:val="24"/>
          <w:szCs w:val="24"/>
          <w:lang w:eastAsia="zh-CN"/>
        </w:rPr>
        <w:t>条和第</w:t>
      </w:r>
      <w:r>
        <w:rPr>
          <w:rFonts w:hint="eastAsia" w:ascii="Times New Roman" w:hAnsi="Times New Roman" w:eastAsia="宋体" w:cs="Times New Roman"/>
          <w:color w:val="auto"/>
          <w:sz w:val="24"/>
          <w:szCs w:val="24"/>
          <w:lang w:eastAsia="zh-CN"/>
        </w:rPr>
        <w:t>7</w:t>
      </w:r>
      <w:r>
        <w:rPr>
          <w:rFonts w:ascii="Times New Roman" w:hAnsi="Times New Roman" w:eastAsia="Times New Roman" w:cs="Times New Roman"/>
          <w:color w:val="auto"/>
          <w:sz w:val="24"/>
          <w:szCs w:val="24"/>
          <w:lang w:eastAsia="zh-CN"/>
        </w:rPr>
        <w:t>.2.3</w:t>
      </w:r>
      <w:r>
        <w:rPr>
          <w:rFonts w:ascii="宋体" w:hAnsi="宋体" w:eastAsia="宋体" w:cs="宋体"/>
          <w:color w:val="auto"/>
          <w:sz w:val="24"/>
          <w:szCs w:val="24"/>
          <w:lang w:eastAsia="zh-CN"/>
        </w:rPr>
        <w:t>条的规定。</w:t>
      </w:r>
    </w:p>
    <w:p w14:paraId="4C0BA1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）钢管始装节的里程偏差应遵守《水利水电工程压力钢管制造安装及验收规范》（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7</w:t>
      </w:r>
      <w:r>
        <w:rPr>
          <w:rFonts w:ascii="Times New Roman" w:hAnsi="Times New Roman" w:eastAsia="Times New Roman" w:cs="Times New Roman"/>
          <w:color w:val="auto"/>
          <w:sz w:val="24"/>
          <w:szCs w:val="24"/>
          <w:lang w:eastAsia="zh-CN"/>
        </w:rPr>
        <w:t>.2.2</w:t>
      </w:r>
      <w:r>
        <w:rPr>
          <w:rFonts w:ascii="宋体" w:hAnsi="宋体" w:eastAsia="宋体" w:cs="宋体"/>
          <w:color w:val="auto"/>
          <w:sz w:val="24"/>
          <w:szCs w:val="24"/>
          <w:lang w:eastAsia="zh-CN"/>
        </w:rPr>
        <w:t>条的规定。</w:t>
      </w:r>
    </w:p>
    <w:p w14:paraId="754246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）明管支座的安装偏差应遵守《水利水电工程压力钢管制造安装及验收规范》（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7</w:t>
      </w:r>
      <w:r>
        <w:rPr>
          <w:rFonts w:ascii="Times New Roman" w:hAnsi="Times New Roman" w:eastAsia="Times New Roman" w:cs="Times New Roman"/>
          <w:color w:val="auto"/>
          <w:sz w:val="24"/>
          <w:szCs w:val="24"/>
          <w:lang w:eastAsia="zh-CN"/>
        </w:rPr>
        <w:t>.3.1</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7</w:t>
      </w:r>
      <w:r>
        <w:rPr>
          <w:rFonts w:ascii="Times New Roman" w:hAnsi="Times New Roman" w:eastAsia="Times New Roman" w:cs="Times New Roman"/>
          <w:color w:val="auto"/>
          <w:sz w:val="24"/>
          <w:szCs w:val="24"/>
          <w:lang w:eastAsia="zh-CN"/>
        </w:rPr>
        <w:t>.3.</w:t>
      </w:r>
      <w:r>
        <w:rPr>
          <w:rFonts w:hint="eastAsia" w:ascii="Times New Roman" w:hAnsi="Times New Roman" w:eastAsia="宋体" w:cs="Times New Roman"/>
          <w:color w:val="auto"/>
          <w:sz w:val="24"/>
          <w:szCs w:val="24"/>
          <w:lang w:eastAsia="zh-CN"/>
        </w:rPr>
        <w:t>4</w:t>
      </w:r>
      <w:r>
        <w:rPr>
          <w:rFonts w:ascii="宋体" w:hAnsi="宋体" w:eastAsia="宋体" w:cs="宋体"/>
          <w:color w:val="auto"/>
          <w:sz w:val="24"/>
          <w:szCs w:val="24"/>
          <w:lang w:eastAsia="zh-CN"/>
        </w:rPr>
        <w:t>条的规定。</w:t>
      </w:r>
    </w:p>
    <w:p w14:paraId="0A9FAA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）伸缩节的焊接、安装应遵守《水利水电工程压力钢管制造安装及验收规范》（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Times New Roman" w:cs="Times New Roman"/>
          <w:color w:val="auto"/>
          <w:sz w:val="24"/>
          <w:szCs w:val="24"/>
          <w:lang w:eastAsia="zh-CN"/>
        </w:rPr>
        <w:t>7.4.1～7.4.6</w:t>
      </w:r>
      <w:r>
        <w:rPr>
          <w:rFonts w:ascii="宋体" w:hAnsi="宋体" w:eastAsia="宋体" w:cs="宋体"/>
          <w:color w:val="auto"/>
          <w:sz w:val="24"/>
          <w:szCs w:val="24"/>
          <w:lang w:eastAsia="zh-CN"/>
        </w:rPr>
        <w:t>条的规定。</w:t>
      </w:r>
    </w:p>
    <w:p w14:paraId="2A686F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）在焊接两镇墩间的最后一道合拢焊缝时，应解除伸缩节的约束。</w:t>
      </w:r>
    </w:p>
    <w:p w14:paraId="0399232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19.7.3 现场安装焊接</w:t>
      </w:r>
    </w:p>
    <w:p w14:paraId="24E607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）在现场焊接钢管环缝前，应校测钢管位置和管口圆度，若发现其安装偏差超过规定时，应及时纠正，并经监理人检查认可后，才准施焊。</w:t>
      </w:r>
    </w:p>
    <w:p w14:paraId="27B8AB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）定位焊后应尽快焊接安装环缝，每条焊缝应连续完成，不得中断。</w:t>
      </w:r>
    </w:p>
    <w:p w14:paraId="72A2EB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）安装环缝应由两名或两名以上焊工，按同向对称进行焊接。</w:t>
      </w:r>
    </w:p>
    <w:p w14:paraId="6F3CF0A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19.7.4 观测仪器埋设</w:t>
      </w:r>
    </w:p>
    <w:p w14:paraId="0FE87D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钢管安装时，应同时埋设观测仪器，观测仪器支座的</w:t>
      </w:r>
      <w:r>
        <w:rPr>
          <w:rFonts w:hint="eastAsia" w:ascii="宋体" w:hAnsi="宋体" w:eastAsia="宋体" w:cs="宋体"/>
          <w:color w:val="auto"/>
          <w:sz w:val="24"/>
          <w:szCs w:val="24"/>
          <w:lang w:eastAsia="zh-CN"/>
        </w:rPr>
        <w:t>安装</w:t>
      </w:r>
      <w:r>
        <w:rPr>
          <w:rFonts w:ascii="宋体" w:hAnsi="宋体" w:eastAsia="宋体" w:cs="宋体"/>
          <w:color w:val="auto"/>
          <w:sz w:val="24"/>
          <w:szCs w:val="24"/>
          <w:lang w:eastAsia="zh-CN"/>
        </w:rPr>
        <w:t>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11章</w:t>
      </w:r>
      <w:r>
        <w:rPr>
          <w:rFonts w:ascii="宋体" w:hAnsi="宋体" w:eastAsia="宋体" w:cs="宋体"/>
          <w:color w:val="auto"/>
          <w:sz w:val="24"/>
          <w:szCs w:val="24"/>
          <w:lang w:eastAsia="zh-CN"/>
        </w:rPr>
        <w:t>的规定。</w:t>
      </w:r>
    </w:p>
    <w:p w14:paraId="65121B7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19.7.5 质量检验和缺陷处理</w:t>
      </w:r>
    </w:p>
    <w:p w14:paraId="02B553FE">
      <w:pPr>
        <w:widowControl w:val="0"/>
        <w:kinsoku/>
        <w:topLinePunct/>
        <w:autoSpaceDE/>
        <w:autoSpaceDN/>
        <w:spacing w:line="520" w:lineRule="exact"/>
        <w:ind w:firstLine="560" w:firstLineChars="200"/>
        <w:jc w:val="both"/>
        <w:rPr>
          <w:rFonts w:hint="eastAsia" w:ascii="宋体" w:hAnsi="宋体" w:eastAsia="宋体" w:cs="宋体"/>
          <w:color w:val="auto"/>
          <w:sz w:val="24"/>
          <w:szCs w:val="24"/>
          <w:lang w:eastAsia="zh-CN"/>
        </w:rPr>
      </w:pPr>
      <w:r>
        <w:rPr>
          <w:rFonts w:ascii="宋体" w:hAnsi="宋体" w:eastAsia="宋体" w:cs="宋体"/>
          <w:color w:val="auto"/>
          <w:spacing w:val="20"/>
          <w:sz w:val="24"/>
          <w:szCs w:val="24"/>
          <w:lang w:eastAsia="zh-CN"/>
        </w:rPr>
        <w:t>承包人应按本章第</w:t>
      </w:r>
      <w:r>
        <w:rPr>
          <w:rFonts w:ascii="Times New Roman" w:hAnsi="Times New Roman" w:eastAsia="Times New Roman" w:cs="Times New Roman"/>
          <w:color w:val="auto"/>
          <w:spacing w:val="20"/>
          <w:sz w:val="24"/>
          <w:szCs w:val="24"/>
          <w:lang w:eastAsia="zh-CN"/>
        </w:rPr>
        <w:t>19.4.4</w:t>
      </w:r>
      <w:r>
        <w:rPr>
          <w:rFonts w:hint="eastAsia" w:ascii="Times New Roman" w:hAnsi="Times New Roman" w:eastAsia="宋体" w:cs="Times New Roman"/>
          <w:color w:val="auto"/>
          <w:spacing w:val="20"/>
          <w:sz w:val="24"/>
          <w:szCs w:val="24"/>
          <w:lang w:eastAsia="zh-CN"/>
        </w:rPr>
        <w:t xml:space="preserve"> </w:t>
      </w:r>
      <w:r>
        <w:rPr>
          <w:rFonts w:ascii="宋体" w:hAnsi="宋体" w:eastAsia="宋体" w:cs="宋体"/>
          <w:color w:val="auto"/>
          <w:spacing w:val="20"/>
          <w:sz w:val="24"/>
          <w:szCs w:val="24"/>
          <w:lang w:eastAsia="zh-CN"/>
        </w:rPr>
        <w:t>项的规定对全部现场安装焊缝进行检验，</w:t>
      </w:r>
      <w:r>
        <w:rPr>
          <w:rFonts w:ascii="宋体" w:hAnsi="宋体" w:eastAsia="宋体" w:cs="宋体"/>
          <w:color w:val="auto"/>
          <w:sz w:val="24"/>
          <w:szCs w:val="24"/>
          <w:lang w:eastAsia="zh-CN"/>
        </w:rPr>
        <w:t>并按本章第</w:t>
      </w:r>
      <w:r>
        <w:rPr>
          <w:rFonts w:ascii="Times New Roman" w:hAnsi="Times New Roman" w:eastAsia="Times New Roman" w:cs="Times New Roman"/>
          <w:color w:val="auto"/>
          <w:sz w:val="24"/>
          <w:szCs w:val="24"/>
          <w:lang w:eastAsia="zh-CN"/>
        </w:rPr>
        <w:t>19.4.5</w:t>
      </w:r>
      <w:r>
        <w:rPr>
          <w:rFonts w:hint="eastAsia" w:ascii="Times New Roman" w:hAnsi="Times New Roman" w:eastAsia="宋体" w:cs="Times New Roman"/>
          <w:color w:val="auto"/>
          <w:sz w:val="24"/>
          <w:szCs w:val="24"/>
          <w:lang w:eastAsia="zh-CN"/>
        </w:rPr>
        <w:t xml:space="preserve"> </w:t>
      </w:r>
      <w:r>
        <w:rPr>
          <w:rFonts w:ascii="宋体" w:hAnsi="宋体" w:eastAsia="宋体" w:cs="宋体"/>
          <w:color w:val="auto"/>
          <w:sz w:val="24"/>
          <w:szCs w:val="24"/>
          <w:lang w:eastAsia="zh-CN"/>
        </w:rPr>
        <w:t>条的规定进行缺陷处理。钢管安装的质量检验和缺陷处理记录应提交监理人。</w:t>
      </w:r>
    </w:p>
    <w:p w14:paraId="0163F8F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03" w:name="_Toc6832"/>
      <w:bookmarkStart w:id="1504" w:name="_Toc19572"/>
      <w:bookmarkStart w:id="1505" w:name="_Toc32499"/>
      <w:r>
        <w:rPr>
          <w:rFonts w:hint="eastAsia" w:ascii="宋体" w:hAnsi="宋体" w:eastAsia="宋体" w:cs="宋体"/>
          <w:b/>
          <w:bCs/>
          <w:color w:val="auto"/>
          <w:sz w:val="24"/>
          <w:szCs w:val="24"/>
          <w:lang w:eastAsia="zh-CN"/>
        </w:rPr>
        <w:t>19.8 涂装</w:t>
      </w:r>
      <w:bookmarkEnd w:id="1503"/>
      <w:bookmarkEnd w:id="1504"/>
      <w:bookmarkEnd w:id="1505"/>
    </w:p>
    <w:p w14:paraId="7353C0D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19.8.1 涂装工艺措施报告</w:t>
      </w:r>
    </w:p>
    <w:p w14:paraId="6F1A4B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承包人应在涂装作业前，编制钢管涂装工艺措施报告，提交监理人批准。涂装工艺措施应详细说明各种涂装材料的施涂方法、使用设备、质量检验和涂装缺陷修补措施。</w:t>
      </w:r>
    </w:p>
    <w:p w14:paraId="5EDC96C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19.8.2 涂装施工</w:t>
      </w:r>
    </w:p>
    <w:p w14:paraId="4F912D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）钢材表面涂装前，应将钢材表面的焊渣、毛刺、油脂等污物应清除干净。</w:t>
      </w:r>
    </w:p>
    <w:p w14:paraId="0F7D26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）当钢管内壁及明管外壁采用涂料或金属喷涂时，《水工金属结构防腐蚀规范》（</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3.3</w:t>
      </w:r>
      <w:r>
        <w:rPr>
          <w:rFonts w:ascii="宋体" w:hAnsi="宋体" w:eastAsia="宋体" w:cs="宋体"/>
          <w:color w:val="auto"/>
          <w:sz w:val="24"/>
          <w:szCs w:val="24"/>
          <w:lang w:eastAsia="zh-CN"/>
        </w:rPr>
        <w:t>节的规定。</w:t>
      </w:r>
    </w:p>
    <w:p w14:paraId="4F4847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）涂装施工前，承包人应根据施工图纸和涂料生产厂的要求进行工艺试验，试验过程应有涂料生产厂的人员负责指导，并与专业人员共同进行检验。检验结果应提交监理人。</w:t>
      </w:r>
    </w:p>
    <w:p w14:paraId="22E026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）组焊后的管节、岔管及附件（除安装焊缝外），应在车间内完成涂装；现场安装焊缝及表面涂装损坏部位，则在现场进行涂装。</w:t>
      </w:r>
    </w:p>
    <w:p w14:paraId="0C2D09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）涂料涂装。</w:t>
      </w:r>
    </w:p>
    <w:p w14:paraId="36C762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）钢管内壁和明管外壁应涂刷自养护的底漆和面漆。</w:t>
      </w:r>
    </w:p>
    <w:p w14:paraId="1A23CB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）涂料应按施工图纸的要求选择，并应遵守</w:t>
      </w:r>
      <w:r>
        <w:rPr>
          <w:rFonts w:ascii="宋体" w:hAnsi="宋体" w:eastAsia="宋体" w:cs="宋体"/>
          <w:color w:val="auto"/>
          <w:spacing w:val="34"/>
          <w:sz w:val="24"/>
          <w:szCs w:val="24"/>
          <w:lang w:eastAsia="zh-CN"/>
        </w:rPr>
        <w:t>《水工金属结构防腐蚀规范》</w:t>
      </w:r>
      <w:r>
        <w:rPr>
          <w:rFonts w:ascii="宋体" w:hAnsi="宋体" w:eastAsia="宋体" w:cs="宋体"/>
          <w:color w:val="auto"/>
          <w:sz w:val="24"/>
          <w:szCs w:val="24"/>
          <w:lang w:eastAsia="zh-CN"/>
        </w:rPr>
        <w:t>（</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4.2</w:t>
      </w:r>
      <w:r>
        <w:rPr>
          <w:rFonts w:ascii="宋体" w:hAnsi="宋体" w:eastAsia="宋体" w:cs="宋体"/>
          <w:color w:val="auto"/>
          <w:sz w:val="24"/>
          <w:szCs w:val="24"/>
          <w:lang w:eastAsia="zh-CN"/>
        </w:rPr>
        <w:t>节的规定。</w:t>
      </w:r>
    </w:p>
    <w:p w14:paraId="6A4C25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）涂料涂装施工方法和程序以及对环境的要求应遵守《水工金属结构防腐蚀规范》（</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4.3</w:t>
      </w:r>
      <w:r>
        <w:rPr>
          <w:rFonts w:ascii="宋体" w:hAnsi="宋体" w:eastAsia="宋体" w:cs="宋体"/>
          <w:color w:val="auto"/>
          <w:sz w:val="24"/>
          <w:szCs w:val="24"/>
          <w:lang w:eastAsia="zh-CN"/>
        </w:rPr>
        <w:t>节的规定。</w:t>
      </w:r>
    </w:p>
    <w:p w14:paraId="0638DB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）涂料涂装后，埋管应在外壁均匀涂刷一层水泥浆，涂后注意养护。</w:t>
      </w:r>
    </w:p>
    <w:p w14:paraId="4E520A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）金属热喷涂。</w:t>
      </w:r>
    </w:p>
    <w:p w14:paraId="3C61C1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）金属热喷涂材料应按施工图纸的要求选择，并应遵守《水工金属结构防腐蚀规范》（</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5.2</w:t>
      </w:r>
      <w:r>
        <w:rPr>
          <w:rFonts w:ascii="宋体" w:hAnsi="宋体" w:eastAsia="宋体" w:cs="宋体"/>
          <w:color w:val="auto"/>
          <w:sz w:val="24"/>
          <w:szCs w:val="24"/>
          <w:lang w:eastAsia="zh-CN"/>
        </w:rPr>
        <w:t>节的规定。</w:t>
      </w:r>
    </w:p>
    <w:p w14:paraId="0D3704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）金属热喷涂涂层厚度及配套涂料的选定应遵守《水工金属结构防腐蚀规范》（</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5.3</w:t>
      </w:r>
      <w:r>
        <w:rPr>
          <w:rFonts w:ascii="宋体" w:hAnsi="宋体" w:eastAsia="宋体" w:cs="宋体"/>
          <w:color w:val="auto"/>
          <w:sz w:val="24"/>
          <w:szCs w:val="24"/>
          <w:lang w:eastAsia="zh-CN"/>
        </w:rPr>
        <w:t>节的规定。</w:t>
      </w:r>
    </w:p>
    <w:p w14:paraId="12C5F5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）金属热喷涂施工应遵守《水工金属结构防腐蚀规范》（</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5.4</w:t>
      </w:r>
      <w:r>
        <w:rPr>
          <w:rFonts w:ascii="宋体" w:hAnsi="宋体" w:eastAsia="宋体" w:cs="宋体"/>
          <w:color w:val="auto"/>
          <w:sz w:val="24"/>
          <w:szCs w:val="24"/>
          <w:lang w:eastAsia="zh-CN"/>
        </w:rPr>
        <w:t>节的有关规定。</w:t>
      </w:r>
    </w:p>
    <w:p w14:paraId="4F6A3E8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19.8.3 涂装质量检验</w:t>
      </w:r>
    </w:p>
    <w:p w14:paraId="39ED70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）涂料涂层质量检验应遵守《水工金属结构防腐蚀规范》（</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4.4</w:t>
      </w:r>
      <w:r>
        <w:rPr>
          <w:rFonts w:ascii="宋体" w:hAnsi="宋体" w:eastAsia="宋体" w:cs="宋体"/>
          <w:color w:val="auto"/>
          <w:sz w:val="24"/>
          <w:szCs w:val="24"/>
          <w:lang w:eastAsia="zh-CN"/>
        </w:rPr>
        <w:t>节的规定；若监理人检查发现流挂、皱纹、针孔、裂纹、鼓泡等现象时应及时进行处理，直至监理人认为合格为止。</w:t>
      </w:r>
    </w:p>
    <w:p w14:paraId="650C2A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）金属热喷涂质量检验应遵守《水工金属结构防腐蚀规范》（</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5.5</w:t>
      </w:r>
      <w:r>
        <w:rPr>
          <w:rFonts w:ascii="宋体" w:hAnsi="宋体" w:eastAsia="宋体" w:cs="宋体"/>
          <w:color w:val="auto"/>
          <w:sz w:val="24"/>
          <w:szCs w:val="24"/>
          <w:lang w:eastAsia="zh-CN"/>
        </w:rPr>
        <w:t>节的规定；金属热喷涂复合保护涂层的质量检验应遵守《水工金属结构防腐蚀规范》（</w:t>
      </w:r>
      <w:r>
        <w:rPr>
          <w:rFonts w:hint="eastAsia" w:ascii="Times New Roman" w:hAnsi="Times New Roman" w:eastAsia="宋体" w:cs="Times New Roman"/>
          <w:color w:val="auto"/>
          <w:sz w:val="24"/>
          <w:szCs w:val="24"/>
          <w:lang w:eastAsia="zh-CN"/>
        </w:rPr>
        <w:t>SL 105-2007</w:t>
      </w:r>
      <w:r>
        <w:rPr>
          <w:rFonts w:ascii="宋体" w:hAnsi="宋体" w:eastAsia="宋体" w:cs="宋体"/>
          <w:color w:val="auto"/>
          <w:sz w:val="24"/>
          <w:szCs w:val="24"/>
          <w:lang w:eastAsia="zh-CN"/>
        </w:rPr>
        <w:t>）第</w:t>
      </w:r>
      <w:r>
        <w:rPr>
          <w:rFonts w:ascii="Times New Roman" w:hAnsi="Times New Roman" w:eastAsia="Times New Roman" w:cs="Times New Roman"/>
          <w:color w:val="auto"/>
          <w:sz w:val="24"/>
          <w:szCs w:val="24"/>
          <w:lang w:eastAsia="zh-CN"/>
        </w:rPr>
        <w:t>5.6</w:t>
      </w:r>
      <w:r>
        <w:rPr>
          <w:rFonts w:ascii="宋体" w:hAnsi="宋体" w:eastAsia="宋体" w:cs="宋体"/>
          <w:color w:val="auto"/>
          <w:sz w:val="24"/>
          <w:szCs w:val="24"/>
          <w:lang w:eastAsia="zh-CN"/>
        </w:rPr>
        <w:t>节的规定。</w:t>
      </w:r>
    </w:p>
    <w:p w14:paraId="1EC58B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）涂装结束后，应将钢管涂装的质量检验成果提交监理人。</w:t>
      </w:r>
    </w:p>
    <w:p w14:paraId="1B8FC01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06" w:name="_Toc9805"/>
      <w:bookmarkStart w:id="1507" w:name="_Toc11535"/>
      <w:bookmarkStart w:id="1508" w:name="_Toc14585"/>
      <w:r>
        <w:rPr>
          <w:rFonts w:hint="eastAsia" w:ascii="宋体" w:hAnsi="宋体" w:eastAsia="宋体" w:cs="宋体"/>
          <w:b/>
          <w:bCs/>
          <w:color w:val="auto"/>
          <w:sz w:val="24"/>
          <w:szCs w:val="24"/>
          <w:lang w:eastAsia="zh-CN"/>
        </w:rPr>
        <w:t>19.9 地下钢管接触灌浆</w:t>
      </w:r>
      <w:bookmarkEnd w:id="1506"/>
      <w:bookmarkEnd w:id="1507"/>
      <w:bookmarkEnd w:id="1508"/>
    </w:p>
    <w:p w14:paraId="74C7E1D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19.9.1 灌浆孔</w:t>
      </w:r>
    </w:p>
    <w:p w14:paraId="332F6E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）制造钢管时，应按施工图纸所示的孔位和结构要求预留灌浆孔。必要时应在钢管外壁加焊补强板。补强板应设有内螺纹，出厂时应在内螺纹上抹油防锈，并加旋孔塞保护螺纹。</w:t>
      </w:r>
    </w:p>
    <w:p w14:paraId="3DBAF1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）在现场灌浆过程中，若需要在已埋设的钢管上加钻灌浆孔，应经监理人批准。</w:t>
      </w:r>
    </w:p>
    <w:p w14:paraId="47D0012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19.9.2 灌浆材料</w:t>
      </w:r>
    </w:p>
    <w:p w14:paraId="11C962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l</w:t>
      </w:r>
      <w:r>
        <w:rPr>
          <w:rFonts w:ascii="宋体" w:hAnsi="宋体" w:eastAsia="宋体" w:cs="宋体"/>
          <w:color w:val="auto"/>
          <w:sz w:val="24"/>
          <w:szCs w:val="24"/>
          <w:lang w:eastAsia="zh-CN"/>
        </w:rPr>
        <w:t>）水泥、水。接触灌浆采用的水泥、水应遵守本技术条款第</w:t>
      </w:r>
      <w:r>
        <w:rPr>
          <w:rFonts w:ascii="Times New Roman" w:hAnsi="Times New Roman" w:eastAsia="Times New Roman" w:cs="Times New Roman"/>
          <w:color w:val="auto"/>
          <w:sz w:val="24"/>
          <w:szCs w:val="24"/>
          <w:lang w:eastAsia="zh-CN"/>
        </w:rPr>
        <w:t>10.2.2</w:t>
      </w:r>
      <w:r>
        <w:rPr>
          <w:rFonts w:ascii="宋体" w:hAnsi="宋体" w:eastAsia="宋体" w:cs="宋体"/>
          <w:color w:val="auto"/>
          <w:sz w:val="24"/>
          <w:szCs w:val="24"/>
          <w:lang w:eastAsia="zh-CN"/>
        </w:rPr>
        <w:t>项和第</w:t>
      </w:r>
      <w:r>
        <w:rPr>
          <w:rFonts w:ascii="Times New Roman" w:hAnsi="Times New Roman" w:eastAsia="Times New Roman" w:cs="Times New Roman"/>
          <w:color w:val="auto"/>
          <w:sz w:val="24"/>
          <w:szCs w:val="24"/>
          <w:lang w:eastAsia="zh-CN"/>
        </w:rPr>
        <w:t>10.2.3</w:t>
      </w:r>
      <w:r>
        <w:rPr>
          <w:rFonts w:ascii="宋体" w:hAnsi="宋体" w:eastAsia="宋体" w:cs="宋体"/>
          <w:color w:val="auto"/>
          <w:sz w:val="24"/>
          <w:szCs w:val="24"/>
          <w:lang w:eastAsia="zh-CN"/>
        </w:rPr>
        <w:t>项的规定。若施工图纸规定需采用细水泥浆液灌浆时，应通过试验选用干磨水泥、湿磨水泥或超细水泥。</w:t>
      </w:r>
    </w:p>
    <w:p w14:paraId="75C841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）外加剂。根据钢管接触灌浆工艺的需要选用速凝剂、减水剂等外加剂，其掺量应通过试验确定。试验成果应提交监理人。</w:t>
      </w:r>
    </w:p>
    <w:p w14:paraId="1E92F21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19.9.3 接触灌浆施工</w:t>
      </w:r>
    </w:p>
    <w:p w14:paraId="065DD7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）灌浆设备的选用应遵守本技术条款第</w:t>
      </w:r>
      <w:r>
        <w:rPr>
          <w:rFonts w:ascii="Times New Roman" w:hAnsi="Times New Roman" w:eastAsia="Times New Roman" w:cs="Times New Roman"/>
          <w:color w:val="auto"/>
          <w:sz w:val="24"/>
          <w:szCs w:val="24"/>
          <w:lang w:eastAsia="zh-CN"/>
        </w:rPr>
        <w:t>10.3</w:t>
      </w:r>
      <w:r>
        <w:rPr>
          <w:rFonts w:ascii="宋体" w:hAnsi="宋体" w:eastAsia="宋体" w:cs="宋体"/>
          <w:color w:val="auto"/>
          <w:sz w:val="24"/>
          <w:szCs w:val="24"/>
          <w:lang w:eastAsia="zh-CN"/>
        </w:rPr>
        <w:t>款的规定。</w:t>
      </w:r>
    </w:p>
    <w:p w14:paraId="592C10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）接触灌浆的制浆应遵守本技术条款第</w:t>
      </w:r>
      <w:r>
        <w:rPr>
          <w:rFonts w:ascii="Times New Roman" w:hAnsi="Times New Roman" w:eastAsia="Times New Roman" w:cs="Times New Roman"/>
          <w:color w:val="auto"/>
          <w:sz w:val="24"/>
          <w:szCs w:val="24"/>
          <w:lang w:eastAsia="zh-CN"/>
        </w:rPr>
        <w:t>10.7</w:t>
      </w:r>
      <w:r>
        <w:rPr>
          <w:rFonts w:ascii="宋体" w:hAnsi="宋体" w:eastAsia="宋体" w:cs="宋体"/>
          <w:color w:val="auto"/>
          <w:sz w:val="24"/>
          <w:szCs w:val="24"/>
          <w:lang w:eastAsia="zh-CN"/>
        </w:rPr>
        <w:t>款的规定。</w:t>
      </w:r>
    </w:p>
    <w:p w14:paraId="0A8CD5E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）钢管平洞的回填灌浆和固结灌浆结束后，应堵塞混凝土中的灌浆孔，不得有渗水进入，然后进行接触灌浆。</w:t>
      </w:r>
    </w:p>
    <w:p w14:paraId="57F69B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）接触灌浆前，采用稍高于灌浆压力的水（其压力不高于钢管抗外压的安全压力），挤开补强板与混凝土间的缝隙。</w:t>
      </w:r>
    </w:p>
    <w:p w14:paraId="2AA8A6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）接触灌浆应采用循环灌浆法。浆液水灰比（重量比）根据试验确定，起灌水灰比可采用（</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0.45</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。在规定的灌浆压力下，最大浓度浆液停止吸浆</w:t>
      </w:r>
      <w:r>
        <w:rPr>
          <w:rFonts w:ascii="Times New Roman" w:hAnsi="Times New Roman" w:eastAsia="Times New Roman" w:cs="Times New Roman"/>
          <w:color w:val="auto"/>
          <w:sz w:val="24"/>
          <w:szCs w:val="24"/>
          <w:lang w:eastAsia="zh-CN"/>
        </w:rPr>
        <w:t>5min</w:t>
      </w:r>
      <w:r>
        <w:rPr>
          <w:rFonts w:hint="eastAsia" w:ascii="Times New Roman" w:hAnsi="Times New Roman" w:eastAsia="宋体" w:cs="Times New Roman"/>
          <w:color w:val="auto"/>
          <w:sz w:val="24"/>
          <w:szCs w:val="24"/>
          <w:lang w:eastAsia="zh-CN"/>
        </w:rPr>
        <w:t xml:space="preserve"> </w:t>
      </w:r>
      <w:r>
        <w:rPr>
          <w:rFonts w:ascii="宋体" w:hAnsi="宋体" w:eastAsia="宋体" w:cs="宋体"/>
          <w:color w:val="auto"/>
          <w:sz w:val="24"/>
          <w:szCs w:val="24"/>
          <w:lang w:eastAsia="zh-CN"/>
        </w:rPr>
        <w:t>后可停灌。</w:t>
      </w:r>
    </w:p>
    <w:p w14:paraId="230B8B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）承包人应在灌浆孔旁设置变位计，观测钢管变位，防止管壁失稳。灌浆过程中，承包人应随班记录孔位、配比、吸浆量和钢管变形等，灌浆记录应及时提交监理人。</w:t>
      </w:r>
    </w:p>
    <w:p w14:paraId="0CE730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）接触灌浆后，应清除灌浆孔杂物，封焊灌浆孔，磨平余高及飞溅物残迹，补喷金属涂层或补刷涂料。堵头封堵及焊缝质量检验应遵守《水利水电工程压力钢管制造安装及验收规范》（</w:t>
      </w:r>
      <w:r>
        <w:rPr>
          <w:rFonts w:hint="eastAsia" w:ascii="Times New Roman" w:hAnsi="Times New Roman" w:eastAsia="宋体" w:cs="Times New Roman"/>
          <w:color w:val="auto"/>
          <w:sz w:val="24"/>
          <w:szCs w:val="24"/>
          <w:lang w:eastAsia="zh-CN"/>
        </w:rPr>
        <w:t>SL/T 432-2024</w:t>
      </w:r>
      <w:r>
        <w:rPr>
          <w:rFonts w:ascii="宋体" w:hAnsi="宋体" w:eastAsia="宋体" w:cs="宋体"/>
          <w:color w:val="auto"/>
          <w:sz w:val="24"/>
          <w:szCs w:val="24"/>
          <w:lang w:eastAsia="zh-CN"/>
        </w:rPr>
        <w:t>）第</w:t>
      </w:r>
      <w:r>
        <w:rPr>
          <w:rFonts w:hint="eastAsia" w:ascii="Times New Roman" w:hAnsi="Times New Roman" w:eastAsia="宋体" w:cs="Times New Roman"/>
          <w:color w:val="auto"/>
          <w:sz w:val="24"/>
          <w:szCs w:val="24"/>
          <w:lang w:eastAsia="zh-CN"/>
        </w:rPr>
        <w:t>7.2.5</w:t>
      </w:r>
      <w:r>
        <w:rPr>
          <w:rFonts w:ascii="宋体" w:hAnsi="宋体" w:eastAsia="宋体" w:cs="宋体"/>
          <w:color w:val="auto"/>
          <w:sz w:val="24"/>
          <w:szCs w:val="24"/>
          <w:lang w:eastAsia="zh-CN"/>
        </w:rPr>
        <w:t>条的规定。</w:t>
      </w:r>
    </w:p>
    <w:p w14:paraId="1C3CF26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19.9.4 接触灌浆质量检查</w:t>
      </w:r>
    </w:p>
    <w:p w14:paraId="692C00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接触灌浆结束</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天后，由承包人会同监理人用锤击法进行灌浆质量的检查，其脱空范围和程度应满足施工图纸的要求。不合格的部位应由承包人继续进行补灌处理至监理人认为合格为止。</w:t>
      </w:r>
    </w:p>
    <w:p w14:paraId="5820141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09" w:name="_Toc5400"/>
      <w:bookmarkStart w:id="1510" w:name="_Toc20879"/>
      <w:bookmarkStart w:id="1511" w:name="_Toc32519"/>
      <w:r>
        <w:rPr>
          <w:rFonts w:hint="eastAsia" w:ascii="宋体" w:hAnsi="宋体" w:eastAsia="宋体" w:cs="宋体"/>
          <w:b/>
          <w:bCs/>
          <w:color w:val="auto"/>
          <w:sz w:val="24"/>
          <w:szCs w:val="24"/>
          <w:lang w:eastAsia="zh-CN"/>
        </w:rPr>
        <w:t>19.10 质量检查和验收</w:t>
      </w:r>
      <w:bookmarkEnd w:id="1509"/>
      <w:bookmarkEnd w:id="1510"/>
      <w:bookmarkEnd w:id="1511"/>
    </w:p>
    <w:p w14:paraId="61AEE79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19.10.1 钢管材料的检查和验收</w:t>
      </w:r>
    </w:p>
    <w:p w14:paraId="0DF802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钢管制造和安装所需的材料均应按本章第</w:t>
      </w:r>
      <w:r>
        <w:rPr>
          <w:rFonts w:ascii="Times New Roman" w:hAnsi="Times New Roman" w:eastAsia="Times New Roman" w:cs="Times New Roman"/>
          <w:color w:val="auto"/>
          <w:sz w:val="24"/>
          <w:szCs w:val="24"/>
          <w:lang w:eastAsia="zh-CN"/>
        </w:rPr>
        <w:t>19.2</w:t>
      </w:r>
      <w:r>
        <w:rPr>
          <w:rFonts w:ascii="宋体" w:hAnsi="宋体" w:eastAsia="宋体" w:cs="宋体"/>
          <w:color w:val="auto"/>
          <w:sz w:val="24"/>
          <w:szCs w:val="24"/>
          <w:lang w:eastAsia="zh-CN"/>
        </w:rPr>
        <w:t>款的规定进行检验和验收。</w:t>
      </w:r>
    </w:p>
    <w:p w14:paraId="7E91002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19.10.2 钢管制造质量检查和验收</w:t>
      </w:r>
    </w:p>
    <w:p w14:paraId="1BBF34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钢管管节和附件全部制成后，承包人应向监理人提交钢管管节和附件的验收申请报告，并提交以下各项验收资料：</w:t>
      </w:r>
    </w:p>
    <w:p w14:paraId="114841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）钢管管节和附件清单。</w:t>
      </w:r>
    </w:p>
    <w:p w14:paraId="1C02DF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）钢材、焊接材料、外购连接件和涂装材料的质量证明书、使用说明书或试验报告。</w:t>
      </w:r>
    </w:p>
    <w:p w14:paraId="3546B5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）焊接工艺评定报告和焊接工艺规程。</w:t>
      </w:r>
    </w:p>
    <w:p w14:paraId="74A93AE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）焊缝质量检验成果。</w:t>
      </w:r>
    </w:p>
    <w:p w14:paraId="1B469D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）缺陷修整和焊缝缺陷处理记录。</w:t>
      </w:r>
    </w:p>
    <w:p w14:paraId="7F14CD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）钢管管节和附件的尺寸及偏差检查记录。</w:t>
      </w:r>
    </w:p>
    <w:p w14:paraId="5C14FD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）涂装质量检验记录。</w:t>
      </w:r>
    </w:p>
    <w:p w14:paraId="2C55D0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）监理人要求提交的其他验收资料。</w:t>
      </w:r>
    </w:p>
    <w:p w14:paraId="7330D1E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19.10.3 钢管安装质量检查和验收</w:t>
      </w:r>
    </w:p>
    <w:p w14:paraId="32F268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）承包人应会同监理人对各管段及部件的定位准确性、支撑牢固性等以及每条现场焊缝进行逐条检查、验收。验收记录应提交监理人。</w:t>
      </w:r>
    </w:p>
    <w:p w14:paraId="189E37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）钢管的现场涂装结束后，承包人应会同监理人对钢管的涂装质量进行检查和验收，不合格的涂装面应进行返修和重新检验，直至监理人认为合格为止。验收记录应提交监理人。</w:t>
      </w:r>
    </w:p>
    <w:p w14:paraId="08D66C1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19.10.4 完工验收</w:t>
      </w:r>
    </w:p>
    <w:p w14:paraId="24FE0C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钢管工程全部完工后，承包人应向监理人提交工程验收申请报告，并附以下完工资料：</w:t>
      </w:r>
    </w:p>
    <w:p w14:paraId="4121D4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）钢管竣工图。</w:t>
      </w:r>
    </w:p>
    <w:p w14:paraId="49D765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）各项材料和外购连接件的出厂质量证明和使用说明书。</w:t>
      </w:r>
    </w:p>
    <w:p w14:paraId="6765597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）钢管制造、安装的质量检查报告。</w:t>
      </w:r>
    </w:p>
    <w:p w14:paraId="362546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4</w:t>
      </w:r>
      <w:r>
        <w:rPr>
          <w:rFonts w:ascii="宋体" w:hAnsi="宋体" w:eastAsia="宋体" w:cs="宋体"/>
          <w:color w:val="auto"/>
          <w:sz w:val="24"/>
          <w:szCs w:val="24"/>
          <w:lang w:eastAsia="zh-CN"/>
        </w:rPr>
        <w:t>）钢管一类、二类焊缝焊接工作档案卡（包括焊工名册和代号）。</w:t>
      </w:r>
    </w:p>
    <w:p w14:paraId="4F1FBE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5</w:t>
      </w:r>
      <w:r>
        <w:rPr>
          <w:rFonts w:ascii="宋体" w:hAnsi="宋体" w:eastAsia="宋体" w:cs="宋体"/>
          <w:color w:val="auto"/>
          <w:sz w:val="24"/>
          <w:szCs w:val="24"/>
          <w:lang w:eastAsia="zh-CN"/>
        </w:rPr>
        <w:t>）水压试验成果。</w:t>
      </w:r>
    </w:p>
    <w:p w14:paraId="0FE104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）重大缺陷处理报告。</w:t>
      </w:r>
    </w:p>
    <w:p w14:paraId="4688A0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）钢管接触灌浆质量检查报告。</w:t>
      </w:r>
    </w:p>
    <w:p w14:paraId="027578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8</w:t>
      </w:r>
      <w:r>
        <w:rPr>
          <w:rFonts w:ascii="宋体" w:hAnsi="宋体" w:eastAsia="宋体" w:cs="宋体"/>
          <w:color w:val="auto"/>
          <w:sz w:val="24"/>
          <w:szCs w:val="24"/>
          <w:lang w:eastAsia="zh-CN"/>
        </w:rPr>
        <w:t>）监理人要求提供的其他完工资料。</w:t>
      </w:r>
    </w:p>
    <w:p w14:paraId="6F8B49C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12" w:name="_Toc21691"/>
      <w:bookmarkStart w:id="1513" w:name="_Toc17493"/>
      <w:bookmarkStart w:id="1514" w:name="_Toc30059"/>
      <w:r>
        <w:rPr>
          <w:rFonts w:hint="eastAsia" w:ascii="宋体" w:hAnsi="宋体" w:eastAsia="宋体" w:cs="宋体"/>
          <w:b/>
          <w:bCs/>
          <w:color w:val="auto"/>
          <w:sz w:val="24"/>
          <w:szCs w:val="24"/>
          <w:lang w:eastAsia="zh-CN"/>
        </w:rPr>
        <w:t>19.11 计量和支付</w:t>
      </w:r>
      <w:bookmarkEnd w:id="1512"/>
      <w:bookmarkEnd w:id="1513"/>
      <w:bookmarkEnd w:id="1514"/>
    </w:p>
    <w:p w14:paraId="4D9B882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19.11.1 钢管</w:t>
      </w:r>
    </w:p>
    <w:p w14:paraId="62C33D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1</w:t>
      </w:r>
      <w:r>
        <w:rPr>
          <w:rFonts w:ascii="宋体" w:hAnsi="宋体" w:eastAsia="宋体" w:cs="宋体"/>
          <w:color w:val="auto"/>
          <w:sz w:val="24"/>
          <w:szCs w:val="24"/>
          <w:lang w:eastAsia="zh-CN"/>
        </w:rPr>
        <w:t>）压力钢管（含加劲环和伸缩节）及其附件的制造、运输和安装，按施工图纸所示尺寸计算的有效长度以吨或米为单位计量，由发包人按《工程量清单》相应项目有效工程量的每吨或米工程单价支付。</w:t>
      </w:r>
    </w:p>
    <w:p w14:paraId="772D52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2</w:t>
      </w:r>
      <w:r>
        <w:rPr>
          <w:rFonts w:ascii="宋体" w:hAnsi="宋体" w:eastAsia="宋体" w:cs="宋体"/>
          <w:color w:val="auto"/>
          <w:sz w:val="24"/>
          <w:szCs w:val="24"/>
          <w:lang w:eastAsia="zh-CN"/>
        </w:rPr>
        <w:t>）弯管、岔管、渐变管应按施工图纸所示与直管分别列项，以吨为单位计量，由发包人按《工程量清单》相应项目有效工程量的每吨工程单价支付。</w:t>
      </w:r>
    </w:p>
    <w:p w14:paraId="20BBFD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ascii="Times New Roman" w:hAnsi="Times New Roman" w:eastAsia="Times New Roman" w:cs="Times New Roman"/>
          <w:color w:val="auto"/>
          <w:sz w:val="24"/>
          <w:szCs w:val="24"/>
          <w:lang w:eastAsia="zh-CN"/>
        </w:rPr>
        <w:t>3</w:t>
      </w:r>
      <w:r>
        <w:rPr>
          <w:rFonts w:ascii="宋体" w:hAnsi="宋体" w:eastAsia="宋体" w:cs="宋体"/>
          <w:color w:val="auto"/>
          <w:sz w:val="24"/>
          <w:szCs w:val="24"/>
          <w:lang w:eastAsia="zh-CN"/>
        </w:rPr>
        <w:t>）压力钢管水压试验、涂装、无损探伤检验等所需费用，包含在《工程量清单》相应项目有效工程量的每吨或米工程单价中，发包人不另行支付。</w:t>
      </w:r>
    </w:p>
    <w:p w14:paraId="670AAF0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19.11.2 钢管接触灌浆</w:t>
      </w:r>
    </w:p>
    <w:p w14:paraId="1FEA09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ascii="宋体" w:hAnsi="宋体" w:eastAsia="宋体" w:cs="宋体"/>
          <w:color w:val="auto"/>
          <w:sz w:val="24"/>
          <w:szCs w:val="24"/>
          <w:lang w:eastAsia="zh-CN"/>
        </w:rPr>
        <w:t>1）</w:t>
      </w:r>
      <w:r>
        <w:rPr>
          <w:rFonts w:hint="eastAsia" w:ascii="宋体" w:hAnsi="宋体" w:eastAsia="宋体" w:cs="宋体"/>
          <w:color w:val="auto"/>
          <w:sz w:val="24"/>
          <w:szCs w:val="24"/>
          <w:lang w:eastAsia="zh-CN"/>
        </w:rPr>
        <w:t>接触灌浆按底部中点弦高</w:t>
      </w:r>
      <w:r>
        <w:rPr>
          <w:rFonts w:ascii="宋体" w:hAnsi="宋体" w:eastAsia="宋体" w:cs="宋体"/>
          <w:color w:val="auto"/>
          <w:sz w:val="24"/>
          <w:szCs w:val="24"/>
          <w:lang w:eastAsia="zh-CN"/>
        </w:rPr>
        <w:t>50cm范围内</w:t>
      </w:r>
      <w:r>
        <w:rPr>
          <w:rFonts w:hint="eastAsia" w:ascii="宋体" w:hAnsi="宋体" w:eastAsia="宋体" w:cs="宋体"/>
          <w:color w:val="auto"/>
          <w:sz w:val="24"/>
          <w:szCs w:val="24"/>
          <w:lang w:eastAsia="zh-CN"/>
        </w:rPr>
        <w:t>计算的有效灌浆面积以平方米为单位计量，由发包人按《工程量清单》相应项目有效工程量的每平方米工程单价支付。</w:t>
      </w:r>
    </w:p>
    <w:p w14:paraId="70745D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ascii="宋体" w:hAnsi="宋体" w:eastAsia="宋体" w:cs="宋体"/>
          <w:color w:val="auto"/>
          <w:sz w:val="24"/>
          <w:szCs w:val="24"/>
          <w:lang w:eastAsia="zh-CN"/>
        </w:rPr>
        <w:t>2）灌浆管焊接及安拆、金属埋件（止水、止浆片等）、检查验收等所需费用，包含在相应灌浆项目的工程单价中，发包人不另行支付。</w:t>
      </w:r>
    </w:p>
    <w:p w14:paraId="3B40CC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ascii="宋体" w:hAnsi="宋体" w:eastAsia="宋体" w:cs="宋体"/>
          <w:color w:val="auto"/>
          <w:sz w:val="24"/>
          <w:szCs w:val="24"/>
          <w:lang w:eastAsia="zh-CN"/>
        </w:rPr>
        <w:t>3）检查孔的钻孔、灌浆、压水试验所需费用，包含在相应灌浆项目的工程单价中，发包人不另行支付。</w:t>
      </w:r>
    </w:p>
    <w:p w14:paraId="3FFD002E">
      <w:pPr>
        <w:widowControl w:val="0"/>
        <w:kinsoku/>
        <w:topLinePunct/>
        <w:autoSpaceDE/>
        <w:autoSpaceDN/>
        <w:spacing w:line="520" w:lineRule="exact"/>
        <w:ind w:firstLine="560" w:firstLineChars="200"/>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67FCB149">
      <w:pPr>
        <w:widowControl w:val="0"/>
        <w:kinsoku/>
        <w:topLinePunct/>
        <w:autoSpaceDE/>
        <w:autoSpaceDN/>
        <w:spacing w:line="520" w:lineRule="exact"/>
        <w:jc w:val="center"/>
        <w:outlineLvl w:val="1"/>
        <w:rPr>
          <w:rFonts w:hint="eastAsia" w:ascii="宋体" w:hAnsi="宋体" w:eastAsia="宋体" w:cs="宋体"/>
          <w:b/>
          <w:bCs/>
          <w:color w:val="auto"/>
          <w:sz w:val="28"/>
          <w:szCs w:val="28"/>
          <w:lang w:eastAsia="zh-CN"/>
        </w:rPr>
      </w:pPr>
      <w:bookmarkStart w:id="1515" w:name="_Toc15339"/>
      <w:bookmarkStart w:id="1516" w:name="_Toc10545"/>
      <w:bookmarkStart w:id="1517" w:name="_Toc1345"/>
      <w:r>
        <w:rPr>
          <w:rFonts w:hint="eastAsia" w:ascii="宋体" w:hAnsi="宋体" w:eastAsia="宋体" w:cs="宋体"/>
          <w:b/>
          <w:bCs/>
          <w:color w:val="auto"/>
          <w:sz w:val="28"/>
          <w:szCs w:val="28"/>
          <w:lang w:eastAsia="zh-CN"/>
        </w:rPr>
        <w:t>20 钢结构的制作和安装</w:t>
      </w:r>
      <w:bookmarkEnd w:id="1515"/>
      <w:bookmarkEnd w:id="1516"/>
      <w:bookmarkEnd w:id="1517"/>
    </w:p>
    <w:p w14:paraId="642A2FC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18" w:name="_Toc14143"/>
      <w:bookmarkStart w:id="1519" w:name="_Toc30118"/>
      <w:bookmarkStart w:id="1520" w:name="_Toc2180"/>
      <w:r>
        <w:rPr>
          <w:rFonts w:hint="eastAsia" w:ascii="宋体" w:hAnsi="宋体" w:eastAsia="宋体" w:cs="宋体"/>
          <w:b/>
          <w:bCs/>
          <w:color w:val="auto"/>
          <w:sz w:val="24"/>
          <w:szCs w:val="24"/>
          <w:lang w:eastAsia="zh-CN"/>
        </w:rPr>
        <w:t>20.1 一般规定</w:t>
      </w:r>
      <w:bookmarkEnd w:id="1518"/>
      <w:bookmarkEnd w:id="1519"/>
      <w:bookmarkEnd w:id="1520"/>
    </w:p>
    <w:p w14:paraId="41780BE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20.1.1 应用范围</w:t>
      </w:r>
    </w:p>
    <w:p w14:paraId="356EA8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本章规定适用于本合同施工图纸所示的钢结构制作和安装。</w:t>
      </w:r>
    </w:p>
    <w:p w14:paraId="7141B27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20.1.2 承包人责任</w:t>
      </w:r>
    </w:p>
    <w:p w14:paraId="0069A7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（1）承包人应按合同约定，负责采购钢结构工程所需的钢材、压型金属板、外购件、焊接材料和涂装材料等，并按本章第20.2款的规定进行材料检验和验收。</w:t>
      </w:r>
    </w:p>
    <w:p w14:paraId="703C58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（2）承包人应负责本工程全部钢结构的制作、安装、维护和缺陷修复等工作。</w:t>
      </w:r>
    </w:p>
    <w:p w14:paraId="5625A2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（3）若合同约定，发包人将单项钢结构工程委托承包人进行专项总承包，则承包人应承担该项钢结构工程的设计、制造和安装的全部责任。</w:t>
      </w:r>
    </w:p>
    <w:p w14:paraId="7CD6292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20.1.3 主要提交件</w:t>
      </w:r>
    </w:p>
    <w:p w14:paraId="3EF5EE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（1）钢结构工程施工措施计划。</w:t>
      </w:r>
    </w:p>
    <w:p w14:paraId="7BD502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承包人应在钢结构制作前，编制钢结构工程施工措施计划，提交监理人批准。其内容应包括：</w:t>
      </w:r>
    </w:p>
    <w:p w14:paraId="35BEB5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1）制作和安装场地的布置及说明。</w:t>
      </w:r>
    </w:p>
    <w:p w14:paraId="703870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2）钢结构制作安装方法和工序设计。</w:t>
      </w:r>
    </w:p>
    <w:p w14:paraId="402DEA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3）大型钢构件的运输和吊装方案。</w:t>
      </w:r>
    </w:p>
    <w:p w14:paraId="3C8CC7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4）钢结构制作安装的质量控制和安全保证措施。</w:t>
      </w:r>
    </w:p>
    <w:p w14:paraId="7FE042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5）钢结构制作安装进度计划。</w:t>
      </w:r>
    </w:p>
    <w:p w14:paraId="595B2E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6）监理人要求提交的其他资料。</w:t>
      </w:r>
    </w:p>
    <w:p w14:paraId="1A0E12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（2）钢结构材料采购计划。承包人应按合同进度计划的要求，对钢结构材料（包括外购件），编制材料采购计划，提交监理人批准。</w:t>
      </w:r>
    </w:p>
    <w:p w14:paraId="28D86B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（3）钢结构工程的设计文件和图纸。</w:t>
      </w:r>
    </w:p>
    <w:p w14:paraId="11AF25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若发包人拟将单项钢结构工程交由承包人负责专项总承包时，则承包人应在该单项钢结构工程施工前，将钢结构工程的设计文件和图纸，提交监理人批准，其内容包括：</w:t>
      </w:r>
    </w:p>
    <w:p w14:paraId="0738B1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1）钢结构工程结构布置总图。</w:t>
      </w:r>
    </w:p>
    <w:p w14:paraId="24F5EA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2）钢结构工程结构布置详图、各节点、连接缝大样图。</w:t>
      </w:r>
    </w:p>
    <w:p w14:paraId="093F82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3）与其他构筑物连接详图、预埋件详图。</w:t>
      </w:r>
    </w:p>
    <w:p w14:paraId="648E1D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4）钢结构设计说明书，包括应力分析成果及其计算软件。</w:t>
      </w:r>
    </w:p>
    <w:p w14:paraId="3AFD77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5）材料和外购件合格证。</w:t>
      </w:r>
    </w:p>
    <w:p w14:paraId="28EFAB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6）发包人要求提交的其他资料。</w:t>
      </w:r>
    </w:p>
    <w:p w14:paraId="0D97E6C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20.1.4 引用标准</w:t>
      </w:r>
    </w:p>
    <w:p w14:paraId="177C34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（1）《金属熔化焊对接接头射线检测技术和质量分级》（DL/T 821-2017）。</w:t>
      </w:r>
    </w:p>
    <w:p w14:paraId="12F63F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（2）《钢结构防火涂料》（GB 14907-2018）。</w:t>
      </w:r>
    </w:p>
    <w:p w14:paraId="0BF3E1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（3）《冷弯薄壁型钢结构技术规范》（GB 50018-2002）。</w:t>
      </w:r>
    </w:p>
    <w:p w14:paraId="2619EA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（4）《钢结构工程施工质量验收标准》（GB 50205-2020）。</w:t>
      </w:r>
    </w:p>
    <w:p w14:paraId="4B3AAD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（5）《建筑构件耐火试验方法第1部分：通用要求》（GB/T 9978.1-2008）。</w:t>
      </w:r>
    </w:p>
    <w:p w14:paraId="252F19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（6）《建筑构件耐火试验方法第2部分：耐火试验试件受火作用均匀性的测量指南》（GB/T 9978.2-2019）</w:t>
      </w:r>
    </w:p>
    <w:p w14:paraId="1AE63A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w:t>
      </w:r>
      <w:r>
        <w:rPr>
          <w:rFonts w:hint="eastAsia" w:ascii="宋体" w:hAnsi="宋体" w:eastAsia="宋体" w:cs="宋体"/>
          <w:color w:val="auto"/>
          <w:spacing w:val="20"/>
          <w:sz w:val="24"/>
          <w:szCs w:val="24"/>
          <w:lang w:eastAsia="zh-CN"/>
        </w:rPr>
        <w:t>《建筑构件耐火试验方法第3部分：试验方法和试验数据应用注释》</w:t>
      </w:r>
      <w:r>
        <w:rPr>
          <w:rFonts w:hint="eastAsia" w:ascii="宋体" w:hAnsi="宋体" w:eastAsia="宋体" w:cs="宋体"/>
          <w:color w:val="auto"/>
          <w:sz w:val="24"/>
          <w:szCs w:val="24"/>
          <w:lang w:eastAsia="zh-CN"/>
        </w:rPr>
        <w:t>（GB/T 9978.3-2008）。</w:t>
      </w:r>
    </w:p>
    <w:p w14:paraId="0D53A8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w:t>
      </w:r>
      <w:r>
        <w:rPr>
          <w:rFonts w:hint="eastAsia" w:ascii="宋体" w:hAnsi="宋体" w:eastAsia="宋体" w:cs="宋体"/>
          <w:color w:val="auto"/>
          <w:spacing w:val="20"/>
          <w:sz w:val="24"/>
          <w:szCs w:val="24"/>
          <w:lang w:eastAsia="zh-CN"/>
        </w:rPr>
        <w:t>《建筑构件耐火试验方法第4部分：承重垂直分隔构件的特殊要求》</w:t>
      </w:r>
      <w:r>
        <w:rPr>
          <w:rFonts w:hint="eastAsia" w:ascii="宋体" w:hAnsi="宋体" w:eastAsia="宋体" w:cs="宋体"/>
          <w:color w:val="auto"/>
          <w:sz w:val="24"/>
          <w:szCs w:val="24"/>
          <w:lang w:eastAsia="zh-CN"/>
        </w:rPr>
        <w:t>（GB/T 9978.4-2008）。</w:t>
      </w:r>
    </w:p>
    <w:p w14:paraId="5D7C6D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w:t>
      </w:r>
      <w:r>
        <w:rPr>
          <w:rFonts w:hint="eastAsia" w:ascii="宋体" w:hAnsi="宋体" w:eastAsia="宋体" w:cs="宋体"/>
          <w:color w:val="auto"/>
          <w:spacing w:val="20"/>
          <w:sz w:val="24"/>
          <w:szCs w:val="24"/>
          <w:lang w:eastAsia="zh-CN"/>
        </w:rPr>
        <w:t>《建筑构件耐火试验方法第5 部分：承重水平分隔构件的特殊要求》</w:t>
      </w:r>
      <w:r>
        <w:rPr>
          <w:rFonts w:hint="eastAsia" w:ascii="宋体" w:hAnsi="宋体" w:eastAsia="宋体" w:cs="宋体"/>
          <w:color w:val="auto"/>
          <w:sz w:val="24"/>
          <w:szCs w:val="24"/>
          <w:lang w:eastAsia="zh-CN"/>
        </w:rPr>
        <w:t>（GB/T 9978.5-2008）。</w:t>
      </w:r>
    </w:p>
    <w:p w14:paraId="098CBB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w:t>
      </w:r>
      <w:r>
        <w:rPr>
          <w:rFonts w:hint="eastAsia" w:ascii="宋体" w:hAnsi="宋体" w:eastAsia="宋体" w:cs="宋体"/>
          <w:color w:val="auto"/>
          <w:spacing w:val="-17"/>
          <w:sz w:val="24"/>
          <w:szCs w:val="24"/>
          <w:lang w:eastAsia="zh-CN"/>
        </w:rPr>
        <w:t>《建筑构件耐火试验方法第6部分：梁的特殊要求》（GB/T  9978.6-2008）。</w:t>
      </w:r>
    </w:p>
    <w:p w14:paraId="76F44F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eastAsia="宋体" w:cs="宋体"/>
          <w:color w:val="auto"/>
          <w:spacing w:val="-11"/>
          <w:sz w:val="24"/>
          <w:szCs w:val="24"/>
          <w:lang w:eastAsia="zh-CN"/>
        </w:rPr>
        <w:t>《建筑构件耐火试验方法第7部分：柱的特殊要求》（GB/T  9978.7-2008）。</w:t>
      </w:r>
    </w:p>
    <w:p w14:paraId="159468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w:t>
      </w:r>
      <w:r>
        <w:rPr>
          <w:rFonts w:hint="eastAsia" w:ascii="宋体" w:hAnsi="宋体" w:eastAsia="宋体" w:cs="宋体"/>
          <w:color w:val="auto"/>
          <w:spacing w:val="20"/>
          <w:sz w:val="24"/>
          <w:szCs w:val="24"/>
          <w:lang w:eastAsia="zh-CN"/>
        </w:rPr>
        <w:t>《建筑构件耐火试验方法第8部分：非承重垂直分隔构件的特殊要求》</w:t>
      </w:r>
      <w:r>
        <w:rPr>
          <w:rFonts w:hint="eastAsia" w:ascii="宋体" w:hAnsi="宋体" w:eastAsia="宋体" w:cs="宋体"/>
          <w:color w:val="auto"/>
          <w:sz w:val="24"/>
          <w:szCs w:val="24"/>
          <w:lang w:eastAsia="zh-CN"/>
        </w:rPr>
        <w:t>（GB/T 9978.8-2008）。</w:t>
      </w:r>
    </w:p>
    <w:p w14:paraId="797494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w:t>
      </w:r>
      <w:r>
        <w:rPr>
          <w:rFonts w:hint="eastAsia" w:ascii="宋体" w:hAnsi="宋体" w:eastAsia="宋体" w:cs="宋体"/>
          <w:color w:val="auto"/>
          <w:spacing w:val="28"/>
          <w:sz w:val="24"/>
          <w:szCs w:val="24"/>
          <w:lang w:eastAsia="zh-CN"/>
        </w:rPr>
        <w:t>《建筑构件耐火试验方法第9部分：非承重吊顶构件的特殊要求》（</w:t>
      </w:r>
      <w:r>
        <w:rPr>
          <w:rFonts w:hint="eastAsia" w:ascii="宋体" w:hAnsi="宋体" w:eastAsia="宋体" w:cs="宋体"/>
          <w:color w:val="auto"/>
          <w:sz w:val="24"/>
          <w:szCs w:val="24"/>
          <w:lang w:eastAsia="zh-CN"/>
        </w:rPr>
        <w:t>GB/T 9978.9-2008）。</w:t>
      </w:r>
    </w:p>
    <w:p w14:paraId="087673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（14）《焊缝无损检测超声检测技术、检测等级和评定》（GB/T 11345-2023）。</w:t>
      </w:r>
    </w:p>
    <w:p w14:paraId="433E8F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w:t>
      </w:r>
      <w:r>
        <w:rPr>
          <w:rFonts w:hint="eastAsia" w:ascii="宋体" w:hAnsi="宋体" w:eastAsia="宋体" w:cs="宋体"/>
          <w:color w:val="auto"/>
          <w:spacing w:val="-11"/>
          <w:sz w:val="24"/>
          <w:szCs w:val="24"/>
          <w:lang w:eastAsia="zh-CN"/>
        </w:rPr>
        <w:t>《涂覆涂料前钢材表面处理表面清洁度的目视评定第1部分：未涂覆过的钢材表面和全面清除原有涂层后的钢材表面的锈蚀等级和处理等级》（GB/T 8923.1-2011）。</w:t>
      </w:r>
    </w:p>
    <w:p w14:paraId="520B5B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（16）《固定式钢梯及平台安全要求第1部分：钢直梯》（GB 4053.1-2009）。</w:t>
      </w:r>
    </w:p>
    <w:p w14:paraId="18C50C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（17）《固定式钢梯及平台安全要求第2部分：钢斜梯》（GB 4053.2-2009）。</w:t>
      </w:r>
    </w:p>
    <w:p w14:paraId="5A8B5A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w:t>
      </w:r>
      <w:r>
        <w:rPr>
          <w:rFonts w:hint="eastAsia" w:ascii="宋体" w:hAnsi="宋体" w:eastAsia="宋体" w:cs="宋体"/>
          <w:color w:val="auto"/>
          <w:spacing w:val="28"/>
          <w:sz w:val="24"/>
          <w:szCs w:val="24"/>
          <w:lang w:eastAsia="zh-CN"/>
        </w:rPr>
        <w:t>《固定式钢梯及平台安全要求第3部分：工业防护栏杆及钢平台》</w:t>
      </w:r>
      <w:r>
        <w:rPr>
          <w:rFonts w:hint="eastAsia" w:ascii="宋体" w:hAnsi="宋体" w:eastAsia="宋体" w:cs="宋体"/>
          <w:color w:val="auto"/>
          <w:sz w:val="24"/>
          <w:szCs w:val="24"/>
          <w:lang w:eastAsia="zh-CN"/>
        </w:rPr>
        <w:t>（GB 4053.3-2009）。</w:t>
      </w:r>
    </w:p>
    <w:p w14:paraId="2F26F5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（19）《焊缝无损检测焊缝磁粉检测验收等级》（GB/T 26952-2011）。</w:t>
      </w:r>
    </w:p>
    <w:p w14:paraId="04B00A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（20）《焊缝无损检测焊缝渗透检测验收等级》（GB/T 26953-2011）。</w:t>
      </w:r>
    </w:p>
    <w:p w14:paraId="7086C2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（21）《钢结构超声波探伤及质量分级法》（JG/T203-2007）。</w:t>
      </w:r>
    </w:p>
    <w:p w14:paraId="7CD7BC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（22）《钢结构焊接规范》（GB 50661-2011）。</w:t>
      </w:r>
    </w:p>
    <w:p w14:paraId="7B6D99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（23）《焊接H型钢》（GB/T 33814-2017）。</w:t>
      </w:r>
    </w:p>
    <w:p w14:paraId="369F0D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（24）《建筑钢结构防火技术规范》（GB 51249-2017）。</w:t>
      </w:r>
    </w:p>
    <w:p w14:paraId="0EC9F2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（25）《钢结构防火涂料应用技术规程》（T/CECS24-2020）。</w:t>
      </w:r>
    </w:p>
    <w:p w14:paraId="745ADA5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21" w:name="_Toc22236"/>
      <w:bookmarkStart w:id="1522" w:name="_Toc15017"/>
      <w:bookmarkStart w:id="1523" w:name="_Toc16898"/>
      <w:r>
        <w:rPr>
          <w:rFonts w:hint="eastAsia" w:ascii="宋体" w:hAnsi="宋体" w:eastAsia="宋体" w:cs="宋体"/>
          <w:b/>
          <w:bCs/>
          <w:color w:val="auto"/>
          <w:sz w:val="24"/>
          <w:szCs w:val="24"/>
          <w:lang w:eastAsia="zh-CN"/>
        </w:rPr>
        <w:t>20.2 材料和外购件</w:t>
      </w:r>
      <w:bookmarkEnd w:id="1521"/>
      <w:bookmarkEnd w:id="1522"/>
      <w:bookmarkEnd w:id="1523"/>
    </w:p>
    <w:p w14:paraId="5C7638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（1）材料和外购件运至目的地后，应由承包人会同监理人进行检验验收。每批到货的材料和外购件应附有合格证、使用说明书及材质检验报告等。材料和外购件的检验应符合《钢结构工程施工质量验收标准》（GB 50205-2020）的有关规定，检验验收记录应提交监理人。</w:t>
      </w:r>
    </w:p>
    <w:p w14:paraId="3E6A45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（2）按合同约定，对有特殊要求的材质需要进行复验，其复验成果应提交监理人。</w:t>
      </w:r>
    </w:p>
    <w:p w14:paraId="0DEBDB5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24" w:name="_Toc23028"/>
      <w:bookmarkStart w:id="1525" w:name="_Toc9438"/>
      <w:bookmarkStart w:id="1526" w:name="_Toc27295"/>
      <w:r>
        <w:rPr>
          <w:rFonts w:hint="eastAsia" w:ascii="宋体" w:hAnsi="宋体" w:eastAsia="宋体" w:cs="宋体"/>
          <w:b/>
          <w:bCs/>
          <w:color w:val="auto"/>
          <w:sz w:val="24"/>
          <w:szCs w:val="24"/>
          <w:lang w:eastAsia="zh-CN"/>
        </w:rPr>
        <w:t>20.3 钢构件制作和组装</w:t>
      </w:r>
      <w:bookmarkEnd w:id="1524"/>
      <w:bookmarkEnd w:id="1525"/>
      <w:bookmarkEnd w:id="1526"/>
    </w:p>
    <w:p w14:paraId="2C4B2B5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20.3.1 一般技术要求</w:t>
      </w:r>
    </w:p>
    <w:p w14:paraId="5ACB91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（1）钢构件制作和组装前，承包人应按施工图纸的要求，绘制钢构件加工详图。在钢构件制作过程中，承包人需要对构件进行局部修改时，应经监理人批准。</w:t>
      </w:r>
    </w:p>
    <w:p w14:paraId="4EA96C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（2）承包人应编制各工种的工艺规程。必要时，应进行主要工种的工艺试验，工艺试验的成果提交监理人。</w:t>
      </w:r>
    </w:p>
    <w:p w14:paraId="54B5BC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（3）钢构件制作和组装的检验应遵守</w:t>
      </w:r>
      <w:r>
        <w:rPr>
          <w:rFonts w:hint="eastAsia" w:ascii="宋体" w:hAnsi="宋体" w:eastAsia="宋体" w:cs="宋体"/>
          <w:color w:val="auto"/>
          <w:spacing w:val="-34"/>
          <w:sz w:val="24"/>
          <w:szCs w:val="24"/>
          <w:lang w:eastAsia="zh-CN"/>
        </w:rPr>
        <w:t>《钢结构工程施工质量验收标准》（GB 50205-2020）</w:t>
      </w:r>
      <w:r>
        <w:rPr>
          <w:rFonts w:hint="eastAsia" w:ascii="宋体" w:hAnsi="宋体" w:eastAsia="宋体" w:cs="宋体"/>
          <w:color w:val="auto"/>
          <w:sz w:val="24"/>
          <w:szCs w:val="24"/>
          <w:lang w:eastAsia="zh-CN"/>
        </w:rPr>
        <w:t>的有关规定。</w:t>
      </w:r>
    </w:p>
    <w:p w14:paraId="5B03E67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20.3.2 零部件加工</w:t>
      </w:r>
    </w:p>
    <w:p w14:paraId="3FACA5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钢零件和部件的切割、矫正和成型、边缘加工、制孔等工序要求应符合《钢结构工程施工质量验收标准》（GB 50205-2020）的有关规定。</w:t>
      </w:r>
    </w:p>
    <w:p w14:paraId="5D5B529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20.3.3 专业厂家提供的外购钢构件</w:t>
      </w:r>
    </w:p>
    <w:p w14:paraId="137BD4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（1）承包人应在外购钢构件采购前，将订货技术要求提交专业厂家。接货时，应查验专业厂家的产品合格证及检验报告，并提交监理人。</w:t>
      </w:r>
    </w:p>
    <w:p w14:paraId="10A653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（2）H 型钢外购件的检验及验收应遵守《焊接H型钢》（GB/T 33814-2017）的规定。</w:t>
      </w:r>
    </w:p>
    <w:p w14:paraId="57D12BA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20.3.4 焊接</w:t>
      </w:r>
    </w:p>
    <w:p w14:paraId="0E8484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（1）焊接工艺评定报告和焊接工艺规程。</w:t>
      </w:r>
    </w:p>
    <w:p w14:paraId="0CE5A6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1）在钢结构制作和安装前，承包人应按《钢结构焊接规范》（GB 50661-2011）第6.1.1条和第6.2节的规定进行焊接工艺评定，并编制焊接工艺评定报告，提交监理人批准。</w:t>
      </w:r>
    </w:p>
    <w:p w14:paraId="613E98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2）承包人应按焊接工艺评定成果和《钢结构焊接规范》（GB 50661-2011）第7.9节的规定，编制焊接工艺规程，提交监理人批准。</w:t>
      </w:r>
    </w:p>
    <w:p w14:paraId="396537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（2）焊工。</w:t>
      </w:r>
    </w:p>
    <w:p w14:paraId="7B0899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焊工应持有上岗合格证。合格证应注明证件有效期和焊工施焊范围。</w:t>
      </w:r>
    </w:p>
    <w:p w14:paraId="13FBC3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（3）焊接工艺。</w:t>
      </w:r>
    </w:p>
    <w:p w14:paraId="3C93A6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1）焊接材料的选配应遵守施工图纸及</w:t>
      </w:r>
      <w:r>
        <w:rPr>
          <w:rFonts w:hint="eastAsia" w:ascii="宋体" w:hAnsi="宋体" w:eastAsia="宋体" w:cs="宋体"/>
          <w:color w:val="auto"/>
          <w:spacing w:val="-20"/>
          <w:sz w:val="24"/>
          <w:szCs w:val="24"/>
          <w:lang w:eastAsia="zh-CN"/>
        </w:rPr>
        <w:t>《钢结构焊接规范》（GB 50661-2011）表7.2.7的规定。</w:t>
      </w:r>
    </w:p>
    <w:p w14:paraId="077109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2）焊接作业环境应遵守《钢结构焊接规范》（GB 50661-2011）第7.5.1条的规定。</w:t>
      </w:r>
    </w:p>
    <w:p w14:paraId="168D7B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3）焊接材料应按产品使用说明书及</w:t>
      </w:r>
      <w:r>
        <w:rPr>
          <w:rFonts w:hint="eastAsia" w:ascii="宋体" w:hAnsi="宋体" w:eastAsia="宋体" w:cs="宋体"/>
          <w:color w:val="auto"/>
          <w:spacing w:val="-11"/>
          <w:sz w:val="24"/>
          <w:szCs w:val="24"/>
          <w:lang w:eastAsia="zh-CN"/>
        </w:rPr>
        <w:t>《钢结构焊接规范》（GB 50661-2011）第7.2.2</w:t>
      </w:r>
      <w:r>
        <w:rPr>
          <w:rFonts w:hint="eastAsia" w:ascii="宋体" w:hAnsi="宋体" w:eastAsia="宋体" w:cs="宋体"/>
          <w:color w:val="auto"/>
          <w:sz w:val="24"/>
          <w:szCs w:val="24"/>
          <w:lang w:eastAsia="zh-CN"/>
        </w:rPr>
        <w:t>条的规定储存。</w:t>
      </w:r>
    </w:p>
    <w:p w14:paraId="4CB5B0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4）焊接使用引弧板、引出板和垫板应遵守</w:t>
      </w:r>
      <w:r>
        <w:rPr>
          <w:rFonts w:hint="eastAsia" w:ascii="宋体" w:hAnsi="宋体" w:eastAsia="宋体" w:cs="宋体"/>
          <w:color w:val="auto"/>
          <w:spacing w:val="-11"/>
          <w:sz w:val="24"/>
          <w:szCs w:val="24"/>
          <w:lang w:eastAsia="zh-CN"/>
        </w:rPr>
        <w:t>《钢结构焊接规范》（GB 50661-2011）</w:t>
      </w:r>
      <w:r>
        <w:rPr>
          <w:rFonts w:hint="eastAsia" w:ascii="宋体" w:hAnsi="宋体" w:eastAsia="宋体" w:cs="宋体"/>
          <w:color w:val="auto"/>
          <w:sz w:val="24"/>
          <w:szCs w:val="24"/>
          <w:lang w:eastAsia="zh-CN"/>
        </w:rPr>
        <w:t>第7.8节的规定。</w:t>
      </w:r>
    </w:p>
    <w:p w14:paraId="713E53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5）多层焊时应连续施焊，并应遵守</w:t>
      </w:r>
      <w:r>
        <w:rPr>
          <w:rFonts w:hint="eastAsia" w:ascii="宋体" w:hAnsi="宋体" w:eastAsia="宋体" w:cs="宋体"/>
          <w:color w:val="auto"/>
          <w:spacing w:val="-11"/>
          <w:sz w:val="24"/>
          <w:szCs w:val="24"/>
          <w:lang w:eastAsia="zh-CN"/>
        </w:rPr>
        <w:t>《钢结构焊接规范》（GB 50661-2011）第7.9.5</w:t>
      </w:r>
      <w:r>
        <w:rPr>
          <w:rFonts w:hint="eastAsia" w:ascii="宋体" w:hAnsi="宋体" w:eastAsia="宋体" w:cs="宋体"/>
          <w:color w:val="auto"/>
          <w:sz w:val="24"/>
          <w:szCs w:val="24"/>
          <w:lang w:eastAsia="zh-CN"/>
        </w:rPr>
        <w:t>条的规定。</w:t>
      </w:r>
    </w:p>
    <w:p w14:paraId="7F1983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6）定位焊应由持相应合格证的焊工施焊</w:t>
      </w:r>
      <w:r>
        <w:rPr>
          <w:rFonts w:hint="eastAsia" w:ascii="宋体" w:hAnsi="宋体" w:eastAsia="宋体" w:cs="宋体"/>
          <w:color w:val="auto"/>
          <w:spacing w:val="-40"/>
          <w:sz w:val="24"/>
          <w:szCs w:val="24"/>
          <w:lang w:eastAsia="zh-CN"/>
        </w:rPr>
        <w:t>，并应遵守《钢结构焊接规范》（GB 50661-2011）</w:t>
      </w:r>
      <w:r>
        <w:rPr>
          <w:rFonts w:hint="eastAsia" w:ascii="宋体" w:hAnsi="宋体" w:eastAsia="宋体" w:cs="宋体"/>
          <w:color w:val="auto"/>
          <w:sz w:val="24"/>
          <w:szCs w:val="24"/>
          <w:lang w:eastAsia="zh-CN"/>
        </w:rPr>
        <w:t>第7.4节的规定。</w:t>
      </w:r>
    </w:p>
    <w:p w14:paraId="10D0CF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7）对需要预热及后热的焊缝，其预热及后热温度应遵守</w:t>
      </w:r>
      <w:r>
        <w:rPr>
          <w:rFonts w:hint="eastAsia" w:ascii="宋体" w:hAnsi="宋体" w:eastAsia="宋体" w:cs="宋体"/>
          <w:color w:val="auto"/>
          <w:spacing w:val="28"/>
          <w:sz w:val="24"/>
          <w:szCs w:val="24"/>
          <w:lang w:eastAsia="zh-CN"/>
        </w:rPr>
        <w:t>《钢结构焊接规范》</w:t>
      </w:r>
      <w:r>
        <w:rPr>
          <w:rFonts w:hint="eastAsia" w:ascii="宋体" w:hAnsi="宋体" w:eastAsia="宋体" w:cs="宋体"/>
          <w:color w:val="auto"/>
          <w:sz w:val="24"/>
          <w:szCs w:val="24"/>
          <w:lang w:eastAsia="zh-CN"/>
        </w:rPr>
        <w:t>（GB 50661-2011）第7.6节的规定。</w:t>
      </w:r>
    </w:p>
    <w:p w14:paraId="35C325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8）焊接工作完毕后，应清理焊缝表面，在焊缝部位旁打上焊工工号钢印。</w:t>
      </w:r>
    </w:p>
    <w:p w14:paraId="1A8B45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9）焊后消应处理的标准应遵守《钢结构焊接规范》（GB 50661-2011）第7.7节的规定。</w:t>
      </w:r>
    </w:p>
    <w:p w14:paraId="6BFA40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（4）焊缝质量检验。</w:t>
      </w:r>
    </w:p>
    <w:p w14:paraId="7A9784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1）焊缝抽样检查合格率应遵守《钢结构焊接规范》（GB 50661-2011）第8.2.2条的规定。</w:t>
      </w:r>
    </w:p>
    <w:p w14:paraId="21C7D1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2）焊缝外观检查应遵守《钢结构焊接规范》（GB 50661-2011）第8.2.3条的规定。</w:t>
      </w:r>
    </w:p>
    <w:p w14:paraId="09B3907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3）无损检测人员须持有国家专业部门签发的二级或二级以上的无损检测资格证书。</w:t>
      </w:r>
    </w:p>
    <w:p w14:paraId="48B913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4）表面检测应按《焊缝无损检测焊缝磁粉检测验收等级》（GB/T 26952-2011）及《焊缝无损检测焊缝渗透检测验收等级》（GB/T 26953-2011）的规定采用磁粉探伤或渗透探伤。</w:t>
      </w:r>
    </w:p>
    <w:p w14:paraId="7F1F5E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5）采用超声波探伤的全焊透焊缝的检测应遵守</w:t>
      </w:r>
      <w:r>
        <w:rPr>
          <w:rFonts w:hint="eastAsia" w:ascii="宋体" w:hAnsi="宋体" w:eastAsia="宋体" w:cs="宋体"/>
          <w:color w:val="auto"/>
          <w:spacing w:val="-28"/>
          <w:sz w:val="24"/>
          <w:szCs w:val="24"/>
          <w:lang w:eastAsia="zh-CN"/>
        </w:rPr>
        <w:t>《钢结构焊接规范》（GB 50661-2011）</w:t>
      </w:r>
      <w:r>
        <w:rPr>
          <w:rFonts w:hint="eastAsia" w:ascii="宋体" w:hAnsi="宋体" w:eastAsia="宋体" w:cs="宋体"/>
          <w:color w:val="auto"/>
          <w:sz w:val="24"/>
          <w:szCs w:val="24"/>
          <w:lang w:eastAsia="zh-CN"/>
        </w:rPr>
        <w:t>第8.2.5条的规定。</w:t>
      </w:r>
    </w:p>
    <w:p w14:paraId="717792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6）采用超声波探伤的焊接球节点和螺栓球节点焊缝</w:t>
      </w:r>
      <w:r>
        <w:rPr>
          <w:rFonts w:hint="eastAsia" w:ascii="宋体" w:hAnsi="宋体" w:eastAsia="宋体" w:cs="宋体"/>
          <w:color w:val="auto"/>
          <w:spacing w:val="-23"/>
          <w:sz w:val="24"/>
          <w:szCs w:val="24"/>
          <w:lang w:eastAsia="zh-CN"/>
        </w:rPr>
        <w:t xml:space="preserve">，其缺陷分级应遵守JG/T203-2007 </w:t>
      </w:r>
      <w:r>
        <w:rPr>
          <w:rFonts w:hint="eastAsia" w:ascii="宋体" w:hAnsi="宋体" w:eastAsia="宋体" w:cs="宋体"/>
          <w:color w:val="auto"/>
          <w:sz w:val="24"/>
          <w:szCs w:val="24"/>
          <w:lang w:eastAsia="zh-CN"/>
        </w:rPr>
        <w:t>的规定。</w:t>
      </w:r>
    </w:p>
    <w:p w14:paraId="1334B8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7）箱型构件隔板电渣焊焊缝、圆管T、K、Y节点焊缝，其超声波探伤方法及缺焊分级应遵守《钢结构焊接规范》（GB 50661-2011）第8.2.6条的规定。</w:t>
      </w:r>
    </w:p>
    <w:p w14:paraId="689495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8）按合同要求须作射线探伤时，其射线探伤应遵守</w:t>
      </w:r>
      <w:r>
        <w:rPr>
          <w:rFonts w:hint="eastAsia" w:ascii="宋体" w:hAnsi="宋体" w:eastAsia="宋体" w:cs="宋体"/>
          <w:color w:val="auto"/>
          <w:spacing w:val="85"/>
          <w:sz w:val="24"/>
          <w:szCs w:val="24"/>
          <w:lang w:eastAsia="zh-CN"/>
        </w:rPr>
        <w:t>《钢结构焊接规范》</w:t>
      </w:r>
      <w:r>
        <w:rPr>
          <w:rFonts w:hint="eastAsia" w:ascii="宋体" w:hAnsi="宋体" w:eastAsia="宋体" w:cs="宋体"/>
          <w:color w:val="auto"/>
          <w:sz w:val="24"/>
          <w:szCs w:val="24"/>
          <w:lang w:eastAsia="zh-CN"/>
        </w:rPr>
        <w:t>（GB 50661-2011）第8.2.7条的规定。</w:t>
      </w:r>
    </w:p>
    <w:p w14:paraId="273830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9）上述无损检测记录应及时提交监理人。监理人有权指示承包人对可疑部位，增加探伤比例和抽查每个焊工的焊缝。</w:t>
      </w:r>
    </w:p>
    <w:p w14:paraId="319C54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10）焊缝质量检验全部完成后，承包人应将焊缝质量检验报告，提交监理人。</w:t>
      </w:r>
    </w:p>
    <w:p w14:paraId="5562E1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（5）焊缝缺陷处理。</w:t>
      </w:r>
    </w:p>
    <w:p w14:paraId="4D6784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经监理人检查确认的焊缝缺陷，应由承包人负责按</w:t>
      </w:r>
      <w:r>
        <w:rPr>
          <w:rFonts w:hint="eastAsia" w:ascii="宋体" w:hAnsi="宋体" w:eastAsia="宋体" w:cs="宋体"/>
          <w:color w:val="auto"/>
          <w:spacing w:val="96"/>
          <w:sz w:val="24"/>
          <w:szCs w:val="24"/>
          <w:lang w:eastAsia="zh-CN"/>
        </w:rPr>
        <w:t>《钢结构焊接规范》</w:t>
      </w:r>
      <w:r>
        <w:rPr>
          <w:rFonts w:hint="eastAsia" w:ascii="宋体" w:hAnsi="宋体" w:eastAsia="宋体" w:cs="宋体"/>
          <w:color w:val="auto"/>
          <w:sz w:val="24"/>
          <w:szCs w:val="24"/>
          <w:lang w:eastAsia="zh-CN"/>
        </w:rPr>
        <w:t>（GB 50661-2011）第7.11.3条的规定进行返修，返修后的缺陷部位仍需经监理人检查。当同一部位的返修次数超过两次时，应重新制定新的返修措施，提交监理人批准。</w:t>
      </w:r>
    </w:p>
    <w:p w14:paraId="175C9E4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20.3.5 组装</w:t>
      </w:r>
    </w:p>
    <w:p w14:paraId="5731E7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（1）钢构件组装前，应进行零、部件的检验，并作好记录，检验合格后才能投入组装。</w:t>
      </w:r>
    </w:p>
    <w:p w14:paraId="30790F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（2）构件组装过程中，应按批准的工艺装配。当有隐蔽焊缝时，必领先行施焊，并经检验合格后才可覆盖。</w:t>
      </w:r>
    </w:p>
    <w:p w14:paraId="2F5FE2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（3）安装焊缝坡口的允许偏差应遵守</w:t>
      </w:r>
      <w:r>
        <w:rPr>
          <w:rFonts w:hint="eastAsia" w:ascii="宋体" w:hAnsi="宋体" w:eastAsia="宋体" w:cs="宋体"/>
          <w:color w:val="auto"/>
          <w:spacing w:val="-34"/>
          <w:sz w:val="24"/>
          <w:szCs w:val="24"/>
          <w:lang w:eastAsia="zh-CN"/>
        </w:rPr>
        <w:t>《钢结构工程施工质量验收标准》（GB 50205-2020）</w:t>
      </w:r>
      <w:r>
        <w:rPr>
          <w:rFonts w:hint="eastAsia" w:ascii="宋体" w:hAnsi="宋体" w:eastAsia="宋体" w:cs="宋体"/>
          <w:color w:val="auto"/>
          <w:sz w:val="24"/>
          <w:szCs w:val="24"/>
          <w:lang w:eastAsia="zh-CN"/>
        </w:rPr>
        <w:t>表8.4.2的规定。焊接连接制作组装的允许偏差应参照《钢结构工程施工质量验收标准》（GB 50205-2020）附录C 表C.0.2的数据确定。</w:t>
      </w:r>
    </w:p>
    <w:p w14:paraId="0C82DB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（4）H型钢的组装应遵守《钢结构工程施工质量验收标准》（GB 50205-2020）第8.2 节的规定。</w:t>
      </w:r>
    </w:p>
    <w:p w14:paraId="1334DB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（5）顶紧接触面的检查应遵守</w:t>
      </w:r>
      <w:r>
        <w:rPr>
          <w:rFonts w:hint="eastAsia" w:ascii="宋体" w:hAnsi="宋体" w:eastAsia="宋体" w:cs="宋体"/>
          <w:color w:val="auto"/>
          <w:spacing w:val="-11"/>
          <w:sz w:val="24"/>
          <w:szCs w:val="24"/>
          <w:lang w:eastAsia="zh-CN"/>
        </w:rPr>
        <w:t>《钢结构工程施工质量验收标准》（GB 50205-2020）</w:t>
      </w:r>
      <w:r>
        <w:rPr>
          <w:rFonts w:hint="eastAsia" w:ascii="宋体" w:hAnsi="宋体" w:eastAsia="宋体" w:cs="宋体"/>
          <w:color w:val="auto"/>
          <w:sz w:val="24"/>
          <w:szCs w:val="24"/>
          <w:lang w:eastAsia="zh-CN"/>
        </w:rPr>
        <w:t>第8.3.3条的规定。</w:t>
      </w:r>
    </w:p>
    <w:p w14:paraId="6DD278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（6）钢桁架结构杆件轴线交点错位的允许偏差应遵守《钢结构工程施工质量验收标准》（GB 50205-2020）第8.3.4的规定。</w:t>
      </w:r>
    </w:p>
    <w:p w14:paraId="3E5579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（7）钢构件端部铣平的允许偏差应遵守</w:t>
      </w:r>
      <w:r>
        <w:rPr>
          <w:rFonts w:hint="eastAsia" w:ascii="宋体" w:hAnsi="宋体" w:eastAsia="宋体" w:cs="宋体"/>
          <w:color w:val="auto"/>
          <w:spacing w:val="45"/>
          <w:sz w:val="24"/>
          <w:szCs w:val="24"/>
          <w:lang w:eastAsia="zh-CN"/>
        </w:rPr>
        <w:t>《钢结构工程施工质量验收标准》</w:t>
      </w:r>
      <w:r>
        <w:rPr>
          <w:rFonts w:hint="eastAsia" w:ascii="宋体" w:hAnsi="宋体" w:eastAsia="宋体" w:cs="宋体"/>
          <w:color w:val="auto"/>
          <w:sz w:val="24"/>
          <w:szCs w:val="24"/>
          <w:lang w:eastAsia="zh-CN"/>
        </w:rPr>
        <w:t>（GB 50205-2020）第8.4.1条的规定。</w:t>
      </w:r>
    </w:p>
    <w:p w14:paraId="702E5B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（8）钢构件组装的外形尺寸允许偏差应遵守</w:t>
      </w:r>
      <w:r>
        <w:rPr>
          <w:rFonts w:hint="eastAsia" w:ascii="宋体" w:hAnsi="宋体" w:eastAsia="宋体" w:cs="宋体"/>
          <w:color w:val="auto"/>
          <w:spacing w:val="11"/>
          <w:sz w:val="24"/>
          <w:szCs w:val="24"/>
          <w:lang w:eastAsia="zh-CN"/>
        </w:rPr>
        <w:t>《钢结构工程施工质量验收标准》</w:t>
      </w:r>
      <w:r>
        <w:rPr>
          <w:rFonts w:hint="eastAsia" w:ascii="宋体" w:hAnsi="宋体" w:eastAsia="宋体" w:cs="宋体"/>
          <w:color w:val="auto"/>
          <w:sz w:val="24"/>
          <w:szCs w:val="24"/>
          <w:lang w:eastAsia="zh-CN"/>
        </w:rPr>
        <w:t>（GB 50205-2020）第8.5节的规定。</w:t>
      </w:r>
    </w:p>
    <w:p w14:paraId="3D7B25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（9）钢构件组装的检验记录应提交监理人。</w:t>
      </w:r>
    </w:p>
    <w:p w14:paraId="38514AB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20.3.6 涂装</w:t>
      </w:r>
    </w:p>
    <w:p w14:paraId="21AB29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（1）一般要求。</w:t>
      </w:r>
    </w:p>
    <w:p w14:paraId="3E637B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大型钢构件的涂装应由承包人编制施涂工艺报告，提交监理人批准。工艺报告的内容应包括涂装工艺试验、工艺流程、涂装设备配置、质量标准和检验方法、缺陷修补，以及防火、防爆、防毒等安全措施和环保措施等。</w:t>
      </w:r>
    </w:p>
    <w:p w14:paraId="097DF9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2）构件涂装时的环境温度应控制在5～38℃；相对湿度应小于85％。构件表面不应有结露，涂装后4小时内不得淋雨和日光暴晒。</w:t>
      </w:r>
    </w:p>
    <w:p w14:paraId="40CA93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3）涂装完成后，应由专业检验人员检查，并及时对涂装缺陷进行修补。</w:t>
      </w:r>
    </w:p>
    <w:p w14:paraId="368D01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（2）防腐涂料涂装。</w:t>
      </w:r>
    </w:p>
    <w:p w14:paraId="5A86A4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l）涂装防腐涂料前，其钢材表面的除锈质量应参照《钢结构工程施工质量验收标准》（GB 50205-2020）表14.2.1的要求确定。钢材表面处理后应及时涂刷防腐涂料，以免再度生锈。</w:t>
      </w:r>
    </w:p>
    <w:p w14:paraId="7A52CA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2）防腐涂料的涂装遍数、涂层厚度应遵守</w:t>
      </w:r>
      <w:r>
        <w:rPr>
          <w:rFonts w:hint="eastAsia" w:ascii="宋体" w:hAnsi="宋体" w:eastAsia="宋体" w:cs="宋体"/>
          <w:color w:val="auto"/>
          <w:spacing w:val="34"/>
          <w:sz w:val="24"/>
          <w:szCs w:val="24"/>
          <w:lang w:eastAsia="zh-CN"/>
        </w:rPr>
        <w:t>《钢结构工程施工质量验收标准》</w:t>
      </w:r>
      <w:r>
        <w:rPr>
          <w:rFonts w:hint="eastAsia" w:ascii="宋体" w:hAnsi="宋体" w:eastAsia="宋体" w:cs="宋体"/>
          <w:color w:val="auto"/>
          <w:sz w:val="24"/>
          <w:szCs w:val="24"/>
          <w:lang w:eastAsia="zh-CN"/>
        </w:rPr>
        <w:t>（GB 50205-2020）第14.2.2条的规定。</w:t>
      </w:r>
    </w:p>
    <w:p w14:paraId="55407A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3）当钢结构处在有腐蚀介质环境或外露，且施工图纸有要求时，应进行涂层附着力测试，当涂层检验范围的完整程度达到70％以上时，证明涂层附着力达到合格标准。</w:t>
      </w:r>
    </w:p>
    <w:p w14:paraId="25AE69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（3）防火涂料涂装。</w:t>
      </w:r>
    </w:p>
    <w:p w14:paraId="2F1817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1）防火涂料的涂装应由经培训合格的专业操作人员施工，并应持有消防部门批准的防火涂料施工准许证。</w:t>
      </w:r>
    </w:p>
    <w:p w14:paraId="4A529E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2）防火涂料应有国家质量检测机构对产品的耐火极限检测报告和理化、力学性能的检测报告，还应有消防监督部门颁发的消防产品生产许可证和产品合格证。</w:t>
      </w:r>
    </w:p>
    <w:p w14:paraId="5E965D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3）钢构件表面应先完成除锈及防腐底漆的涂装，并经监理人验收合格后，才可进行防火涂料涂装。</w:t>
      </w:r>
    </w:p>
    <w:p w14:paraId="498908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4）防火涂料的选用应符合施工图纸要求，施工质量控制及检验方法应遵守《建筑钢结构防火技术规范》（GB 51249-2017）、《钢结构防火涂料》</w:t>
      </w:r>
      <w:r>
        <w:rPr>
          <w:rFonts w:hint="eastAsia" w:ascii="宋体" w:hAnsi="宋体" w:eastAsia="宋体" w:cs="宋体"/>
          <w:color w:val="auto"/>
          <w:spacing w:val="-11"/>
          <w:sz w:val="24"/>
          <w:szCs w:val="24"/>
          <w:lang w:eastAsia="zh-CN"/>
        </w:rPr>
        <w:t>（GB 14907-2018）</w:t>
      </w:r>
      <w:r>
        <w:rPr>
          <w:rFonts w:hint="eastAsia" w:ascii="宋体" w:hAnsi="宋体" w:eastAsia="宋体" w:cs="宋体"/>
          <w:color w:val="auto"/>
          <w:sz w:val="24"/>
          <w:szCs w:val="24"/>
          <w:lang w:eastAsia="zh-CN"/>
        </w:rPr>
        <w:t>、《钢结构防火涂料应用技术规程》（T/CECS24-2020）及《建筑构件耐火试验方法（系列）》（GB/T 9978-2008）的有关规定。</w:t>
      </w:r>
    </w:p>
    <w:p w14:paraId="29148A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5）薄涂型、厚涂型防火涂料的涂层要求，应遵守《钢结构工程施工质量验收标准》（GB 50205-2020）第14.3.3条的规定。</w:t>
      </w:r>
    </w:p>
    <w:p w14:paraId="141208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6）防火涂料涂层应闭合，无脱层、空鼓、明显凹陷和乳突、粉化松散和浮浆等缺陷。</w:t>
      </w:r>
    </w:p>
    <w:p w14:paraId="12E197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（4）涂装验收。</w:t>
      </w:r>
    </w:p>
    <w:p w14:paraId="737CE3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在全部钢构件的组装结束后，承包人应会同监理人，对每项钢构件的涂装进行检查和验收。检查和验收记录应提交监理人。</w:t>
      </w:r>
    </w:p>
    <w:p w14:paraId="192C0C0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27" w:name="_Toc9041"/>
      <w:bookmarkStart w:id="1528" w:name="_Toc7680"/>
      <w:bookmarkStart w:id="1529" w:name="_Toc2920"/>
      <w:r>
        <w:rPr>
          <w:rFonts w:hint="eastAsia" w:ascii="宋体" w:hAnsi="宋体" w:eastAsia="宋体" w:cs="宋体"/>
          <w:b/>
          <w:bCs/>
          <w:color w:val="auto"/>
          <w:sz w:val="24"/>
          <w:szCs w:val="24"/>
          <w:lang w:eastAsia="zh-CN"/>
        </w:rPr>
        <w:t>20.4 钢构件预拼装</w:t>
      </w:r>
      <w:bookmarkEnd w:id="1527"/>
      <w:bookmarkEnd w:id="1528"/>
      <w:bookmarkEnd w:id="1529"/>
    </w:p>
    <w:p w14:paraId="49D74CD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20.4.1 一般要求</w:t>
      </w:r>
    </w:p>
    <w:p w14:paraId="63AB2F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（1）预拼装应在合格的工作平台及装配胎模上进行，以保证小拼单元的精度和互换性。</w:t>
      </w:r>
    </w:p>
    <w:p w14:paraId="3945E9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（2）承包人应根据施工图纸要求编制详细的预拼装方案，提交监理人批准。</w:t>
      </w:r>
    </w:p>
    <w:p w14:paraId="4A09288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20.4.2 预拼装</w:t>
      </w:r>
    </w:p>
    <w:p w14:paraId="5C658A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（1）高强度螺栓和普通螺栓连接的多层板叠预拼装质量，应遵守《钢结构工程施工质量验收标准》（GB 50205-2020）第9.2.1条的规定。</w:t>
      </w:r>
    </w:p>
    <w:p w14:paraId="3E8CC1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（2）多节柱、梁、桁架、管构件、构件平面总体预装应参照《钢结构工程施工质量验收标准》（GB 50205-2020）第9.2.1条的规定。</w:t>
      </w:r>
    </w:p>
    <w:p w14:paraId="38D649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（3）预拼装质量检查合格后，应标注中心线及安装控制基准线等标记。</w:t>
      </w:r>
    </w:p>
    <w:p w14:paraId="0FBDE0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（4）预拼装完成后，承包人应会同监理人按</w:t>
      </w:r>
      <w:r>
        <w:rPr>
          <w:rFonts w:hint="eastAsia" w:ascii="宋体" w:hAnsi="宋体" w:eastAsia="宋体" w:cs="宋体"/>
          <w:color w:val="auto"/>
          <w:spacing w:val="28"/>
          <w:sz w:val="24"/>
          <w:szCs w:val="24"/>
          <w:lang w:eastAsia="zh-CN"/>
        </w:rPr>
        <w:t>《钢结构工程施工质量验收标准》</w:t>
      </w:r>
      <w:r>
        <w:rPr>
          <w:rFonts w:hint="eastAsia" w:ascii="宋体" w:hAnsi="宋体" w:eastAsia="宋体" w:cs="宋体"/>
          <w:color w:val="auto"/>
          <w:sz w:val="24"/>
          <w:szCs w:val="24"/>
          <w:lang w:eastAsia="zh-CN"/>
        </w:rPr>
        <w:t>（GB 50205-2020）第9章的要求对钢构件预拼装进行检查。质量检查记录应提交监理人。</w:t>
      </w:r>
    </w:p>
    <w:p w14:paraId="02473D2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30" w:name="_Toc13070"/>
      <w:bookmarkStart w:id="1531" w:name="_Toc25952"/>
      <w:bookmarkStart w:id="1532" w:name="_Toc31215"/>
      <w:r>
        <w:rPr>
          <w:rFonts w:hint="eastAsia" w:ascii="宋体" w:hAnsi="宋体" w:eastAsia="宋体" w:cs="宋体"/>
          <w:b/>
          <w:bCs/>
          <w:color w:val="auto"/>
          <w:sz w:val="24"/>
          <w:szCs w:val="24"/>
          <w:lang w:eastAsia="zh-CN"/>
        </w:rPr>
        <w:t>20.5 钢结构安装</w:t>
      </w:r>
      <w:bookmarkEnd w:id="1530"/>
      <w:bookmarkEnd w:id="1531"/>
      <w:bookmarkEnd w:id="1532"/>
    </w:p>
    <w:p w14:paraId="0201391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20.5.1 钢构件运输、存放和验收</w:t>
      </w:r>
    </w:p>
    <w:p w14:paraId="03F7E4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（1）安装前，承包人应负责将验收合格的所有钢构件运至安装地点。对大型钢构件，应按本章第20.1.3项的规定，制订运输和吊装方案，提交监理人批准。</w:t>
      </w:r>
    </w:p>
    <w:p w14:paraId="581434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（2）钢构件存放场地应平整、坚实、干净，底层垫层应防止钢构件被压坏和变形，并应按安装顺序分区存放。</w:t>
      </w:r>
    </w:p>
    <w:p w14:paraId="1A3756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（3）承包人应会同监理人对钢构件进行逐项检查和验收，检查验收记录应提交监理人。</w:t>
      </w:r>
    </w:p>
    <w:p w14:paraId="58087AB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20.5.2 钢结构安装</w:t>
      </w:r>
    </w:p>
    <w:p w14:paraId="58588C5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（1）承包人应根据监理人批准的钢结构工程施工措施计划，制订各项钢结构安装措施，提交监理人批准，其内容包括：</w:t>
      </w:r>
    </w:p>
    <w:p w14:paraId="580C68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1）各项钢结构的安装方法。</w:t>
      </w:r>
    </w:p>
    <w:p w14:paraId="6F0480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2）安装起吊设备和辅助安装设施的配置，以及发包人设施和设备的使用计划。</w:t>
      </w:r>
    </w:p>
    <w:p w14:paraId="1ACC24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3）钢结构安装过程的精度控制以及检测程序。</w:t>
      </w:r>
    </w:p>
    <w:p w14:paraId="24AB0C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4）安全保证措施。</w:t>
      </w:r>
    </w:p>
    <w:p w14:paraId="510F5F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（2）钢结构安装前，承包人应会同监理人对全部钢结构安装工作面（包括其他承包人完成的钢结构安装工作面）进行验收，并经监理人确认合格后，才能开始安装。</w:t>
      </w:r>
    </w:p>
    <w:p w14:paraId="55DE6F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（3）承包人应按施工图纸的要求校测安装基准点和控制点；检查钢结构工程的安装轴线和基础标高、支座预埋件或预埋螺栓的安装位置等。</w:t>
      </w:r>
    </w:p>
    <w:p w14:paraId="5169E6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（4）各项钢结构的安装措施。</w:t>
      </w:r>
    </w:p>
    <w:p w14:paraId="66BA20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1）采用扩大拼装单元进行安装时，应对容易变形的钢构件进行强度和稳定性验算，必要时应采取加固措施。</w:t>
      </w:r>
    </w:p>
    <w:p w14:paraId="0D7798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2）大型钢构件和组成块体的网架结构，采用单点和多节杆吊装及高空滑移安装时，其吊点必须通过计算确定，应保证各吊点起升的同步性，并防止构件局部变形和损坏。</w:t>
      </w:r>
    </w:p>
    <w:p w14:paraId="4027F9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3）在室外进行钢结构安装校正时，应考虑焊接变形因素，并根据当地风力、温差、日照等影响，作出相应的调整措施。</w:t>
      </w:r>
    </w:p>
    <w:p w14:paraId="589AFA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4）钢构件的连接接头，应经检查合格后才能使用，在焊接和高强度螺栓并用的连接处，应按“先栓后焊”的原则进行。</w:t>
      </w:r>
    </w:p>
    <w:p w14:paraId="4C8686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（5）钢构件在运输和吊装过程中的被损坏涂层及安装连接处的未涂部位，应按本章第20.3.6项的规定进行补涂。</w:t>
      </w:r>
    </w:p>
    <w:p w14:paraId="5FD792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（6）需要隐蔽的钢结构部位安装完毕，经监理人验收合格后，才能进行覆盖。</w:t>
      </w:r>
    </w:p>
    <w:p w14:paraId="6C10541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20.5.3 钢网架结构安装</w:t>
      </w:r>
    </w:p>
    <w:p w14:paraId="4975EA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（1）钢网架结构支承面顶板和支承垫块的安装应遵守《钢结构工程施工质量验收标准》（GB 50205-2020）第12.2节规定。</w:t>
      </w:r>
    </w:p>
    <w:p w14:paraId="4BA24C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（2）钢网架结构的小拼、中拼单元的允许偏差应参照《钢结构工程施工质量验收标准》（GB 50205-2020）表12.3.1 和表12.3.2 的数据确定。</w:t>
      </w:r>
    </w:p>
    <w:p w14:paraId="2C70A7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（3）结构安全等级为一级、跨度为40m 及其以上的网架结构，应按施工图纸的要求进行节点承载力试验。试验应遵守</w:t>
      </w:r>
      <w:r>
        <w:rPr>
          <w:rFonts w:hint="eastAsia" w:ascii="宋体" w:hAnsi="宋体" w:eastAsia="宋体" w:cs="宋体"/>
          <w:color w:val="auto"/>
          <w:spacing w:val="-20"/>
          <w:sz w:val="24"/>
          <w:szCs w:val="24"/>
          <w:lang w:eastAsia="zh-CN"/>
        </w:rPr>
        <w:t>《钢结构工程施工质量验收标准》（GB 50205-2020）</w:t>
      </w:r>
      <w:r>
        <w:rPr>
          <w:rFonts w:hint="eastAsia" w:ascii="宋体" w:hAnsi="宋体" w:eastAsia="宋体" w:cs="宋体"/>
          <w:color w:val="auto"/>
          <w:sz w:val="24"/>
          <w:szCs w:val="24"/>
          <w:lang w:eastAsia="zh-CN"/>
        </w:rPr>
        <w:t>第12.3.3条的规定，试验成果应提交监理人。</w:t>
      </w:r>
    </w:p>
    <w:p w14:paraId="78E63D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（4）钢网架结构总拼完成后及屋面工程完成后，承包人应分别测量网架结构的的挠度值，其实测最大挠度值应不超过相应设计值的1.15 倍。实测成果应提交监理人。</w:t>
      </w:r>
    </w:p>
    <w:p w14:paraId="33E0CF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（5）钢网架结构安装的允许偏差和检验方法应遵守《钢结构工程施工质量验收标准》（GB 50205-2020）第12.3.6条的规定。</w:t>
      </w:r>
    </w:p>
    <w:p w14:paraId="527ECD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（6）钢网架总拼完成后，应对各球节点所有焊缝进行外观检查。对于大、中跨度钢管网架的拉杆与球的对接焊缝，应抽样进行无损探伤检验。抽样检验成果应提交监理人。</w:t>
      </w:r>
    </w:p>
    <w:p w14:paraId="65A2E2C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20.5.4 钢屋面板安装</w:t>
      </w:r>
    </w:p>
    <w:p w14:paraId="34E348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（1）钢屋面板安装应在下部钢桁架或钢网架结构验收合格后进行。</w:t>
      </w:r>
    </w:p>
    <w:p w14:paraId="0E6736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（2）采用压型金属板的钢屋面板安装应满足：</w:t>
      </w:r>
    </w:p>
    <w:p w14:paraId="28ABC5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1）有涂层或镀层的压型金属板成型后，其表面不应有肉眼可视见的裂痕、剥落及明显的凹凸和褶皱，表面应干净。</w:t>
      </w:r>
    </w:p>
    <w:p w14:paraId="60B56B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2）安装的压型金属屋面板，以及具有良好密封性能和外观的泛水板、包角板等均应固定牢固，连接件的数量和间距应符合施工图纸和现行有关规范的规定。</w:t>
      </w:r>
    </w:p>
    <w:p w14:paraId="2AE943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3）压型金属屋面板应在支承构件上可靠搭接，搭接要求应符合施工图纸要求和遵守《冷弯薄壁型钢结构技术规范》（GB 50018-2002）第7.2.5条和第7.2.7条的规定。</w:t>
      </w:r>
    </w:p>
    <w:p w14:paraId="51C5A1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4）压型金属屋面板的安装应遵守</w:t>
      </w:r>
      <w:r>
        <w:rPr>
          <w:rFonts w:hint="eastAsia" w:ascii="宋体" w:hAnsi="宋体" w:eastAsia="宋体" w:cs="宋体"/>
          <w:color w:val="auto"/>
          <w:spacing w:val="-20"/>
          <w:sz w:val="24"/>
          <w:szCs w:val="24"/>
          <w:lang w:eastAsia="zh-CN"/>
        </w:rPr>
        <w:t>《钢结构工程施工质量验收标准》（GB 50205-2020）</w:t>
      </w:r>
      <w:r>
        <w:rPr>
          <w:rFonts w:hint="eastAsia" w:ascii="宋体" w:hAnsi="宋体" w:eastAsia="宋体" w:cs="宋体"/>
          <w:color w:val="auto"/>
          <w:sz w:val="24"/>
          <w:szCs w:val="24"/>
          <w:lang w:eastAsia="zh-CN"/>
        </w:rPr>
        <w:t>第13.3节的规定。</w:t>
      </w:r>
    </w:p>
    <w:p w14:paraId="25D18E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钢屋面隔热材料应符合施工图纸要求。隔热材料的两端应固定，并将固定点之间采用的隔热毡材拉紧。防潮层置于建筑物的内侧，面上不得有孔。防潮层的纵向和横向搭接处应粘接或锁缝。位于端部的隔热材料应利用防潮层反折封闭，以防雨水渗入。当隔热材料不能承担自重时，应将其铺设在支承网上。</w:t>
      </w:r>
    </w:p>
    <w:p w14:paraId="73599C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（3）用于屋面结构金属板材的防水密封涂料，应由具有资质的检验机构提供检验成果，还应按监理人指示进行必要的现场工艺试验。现场工艺试验报告应提交监理人。</w:t>
      </w:r>
    </w:p>
    <w:p w14:paraId="4FCBC3A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20.5.5 零星钢结构的安装</w:t>
      </w:r>
    </w:p>
    <w:p w14:paraId="571CA7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零星钢结构的安装应符合</w:t>
      </w:r>
      <w:r>
        <w:rPr>
          <w:rFonts w:hint="eastAsia" w:ascii="宋体" w:hAnsi="宋体" w:eastAsia="宋体" w:cs="宋体"/>
          <w:color w:val="auto"/>
          <w:spacing w:val="23"/>
          <w:sz w:val="24"/>
          <w:szCs w:val="24"/>
          <w:lang w:eastAsia="zh-CN"/>
        </w:rPr>
        <w:t>《固定式钢梯及平台安全要求第1部分：钢直梯》</w:t>
      </w:r>
      <w:r>
        <w:rPr>
          <w:rFonts w:hint="eastAsia" w:ascii="宋体" w:hAnsi="宋体" w:eastAsia="宋体" w:cs="宋体"/>
          <w:color w:val="auto"/>
          <w:spacing w:val="-20"/>
          <w:sz w:val="24"/>
          <w:szCs w:val="24"/>
          <w:lang w:eastAsia="zh-CN"/>
        </w:rPr>
        <w:t>（GB 4053.1-2009）、《固定式钢梯及平台安全要求第2部分：钢斜梯》（GB 4053.2-2009）</w:t>
      </w:r>
      <w:r>
        <w:rPr>
          <w:rFonts w:hint="eastAsia" w:ascii="宋体" w:hAnsi="宋体" w:eastAsia="宋体" w:cs="宋体"/>
          <w:color w:val="auto"/>
          <w:sz w:val="24"/>
          <w:szCs w:val="24"/>
          <w:lang w:eastAsia="zh-CN"/>
        </w:rPr>
        <w:t>、《固定式钢梯及平台安全要求第3 部分：工业防护栏杆及钢平台》（GB 4053.3-2009）等标准。其允许偏差应参照《钢结构工程施工质量验收标准》（GB 50205-2020）附录E 中表E.0.4 的数据选定。</w:t>
      </w:r>
    </w:p>
    <w:p w14:paraId="01535D5B">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33" w:name="_Toc893"/>
      <w:bookmarkStart w:id="1534" w:name="_Toc9382"/>
      <w:bookmarkStart w:id="1535" w:name="_Toc28453"/>
      <w:r>
        <w:rPr>
          <w:rFonts w:hint="eastAsia" w:ascii="宋体" w:hAnsi="宋体" w:eastAsia="宋体" w:cs="宋体"/>
          <w:b/>
          <w:bCs/>
          <w:color w:val="auto"/>
          <w:sz w:val="24"/>
          <w:szCs w:val="24"/>
          <w:lang w:eastAsia="zh-CN"/>
        </w:rPr>
        <w:t>20.6 钢结构工程验收</w:t>
      </w:r>
      <w:bookmarkEnd w:id="1533"/>
      <w:bookmarkEnd w:id="1534"/>
      <w:bookmarkEnd w:id="1535"/>
    </w:p>
    <w:p w14:paraId="76311CD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20.6.1 钢结构材料和外购件验收</w:t>
      </w:r>
    </w:p>
    <w:p w14:paraId="552C21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用于钢结构工程的钢材、压型金属板、外购件、焊接材料和涂装材料等，均应由监理人按本技术条款和本章20.2款的规定进行检验和验收。</w:t>
      </w:r>
    </w:p>
    <w:p w14:paraId="18FE9BE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20.6.2 钢构件验收</w:t>
      </w:r>
    </w:p>
    <w:p w14:paraId="7AB046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每项钢构件制造完成后，承包人应向监理人申请对钢构件进行检查、验收，并同时提交以下验收资料：</w:t>
      </w:r>
    </w:p>
    <w:p w14:paraId="577C96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（1）钢构件或其组合件的验收清单。</w:t>
      </w:r>
    </w:p>
    <w:p w14:paraId="61A399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（2）钢构件加工详图。</w:t>
      </w:r>
    </w:p>
    <w:p w14:paraId="5C44D5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（3）焊接工艺评定报告和焊缝质量检验记录。</w:t>
      </w:r>
    </w:p>
    <w:p w14:paraId="57C962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（4）钢构件各项材料和外购件的质量合格证和使用说明书。</w:t>
      </w:r>
    </w:p>
    <w:p w14:paraId="63E3C8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（5）涂装质量检查记录。</w:t>
      </w:r>
    </w:p>
    <w:p w14:paraId="349D2E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（6）钢构件组装及预拼装的质量检查和评定记录。</w:t>
      </w:r>
    </w:p>
    <w:p w14:paraId="0D2040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（7）监理人要求提交的其他验收资料。</w:t>
      </w:r>
    </w:p>
    <w:p w14:paraId="295A4F1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20.6.3 完工验收</w:t>
      </w:r>
    </w:p>
    <w:p w14:paraId="08994A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钢结构工程全部完成后，承包人可申请对钢结构工程完工验收，并提交以下完工资料：</w:t>
      </w:r>
    </w:p>
    <w:p w14:paraId="7BBA91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（1）钢结构工程完工项目清单。</w:t>
      </w:r>
    </w:p>
    <w:p w14:paraId="3F720D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（2）钢结构工程竣工图。</w:t>
      </w:r>
    </w:p>
    <w:p w14:paraId="158C42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（3）钢结构安装的各项材料和标准件的质量合格证、使用说明书及检验报告。</w:t>
      </w:r>
    </w:p>
    <w:p w14:paraId="40D236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（4）钢结构工程基础、支承面及隐蔽部位安装的质量检查和验收资料。</w:t>
      </w:r>
    </w:p>
    <w:p w14:paraId="5B7405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（5）各安装工序的检测记录和验收资料。</w:t>
      </w:r>
    </w:p>
    <w:p w14:paraId="0D106E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（6）焊缝质量检查和检验验收资料。</w:t>
      </w:r>
    </w:p>
    <w:p w14:paraId="4A6958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（7）总拼就位的质量检查和验收资料。</w:t>
      </w:r>
    </w:p>
    <w:p w14:paraId="467C32E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（8）钢结构涂装的质量检查和验收资料。</w:t>
      </w:r>
    </w:p>
    <w:p w14:paraId="25B98F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（9）重大缺陷和质量事故处理报告。</w:t>
      </w:r>
    </w:p>
    <w:p w14:paraId="5AB0C1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（10）监理人要求提交的其他完工资料。</w:t>
      </w:r>
    </w:p>
    <w:p w14:paraId="49FB5F8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36" w:name="_Toc8922"/>
      <w:bookmarkStart w:id="1537" w:name="_Toc28792"/>
      <w:bookmarkStart w:id="1538" w:name="_Toc18106"/>
      <w:r>
        <w:rPr>
          <w:rFonts w:hint="eastAsia" w:ascii="宋体" w:hAnsi="宋体" w:eastAsia="宋体" w:cs="宋体"/>
          <w:b/>
          <w:bCs/>
          <w:color w:val="auto"/>
          <w:sz w:val="24"/>
          <w:szCs w:val="24"/>
          <w:lang w:eastAsia="zh-CN"/>
        </w:rPr>
        <w:t>20.7 计量和支付</w:t>
      </w:r>
      <w:bookmarkEnd w:id="1536"/>
      <w:bookmarkEnd w:id="1537"/>
      <w:bookmarkEnd w:id="1538"/>
    </w:p>
    <w:p w14:paraId="4B8CA1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（1）钢结构按施工图纸所示尺寸计算的有效重量以吨为单位计量，由发包人按《工程量清单》相应项目有效工程量的每吨工程单价支付。</w:t>
      </w:r>
    </w:p>
    <w:p w14:paraId="6D2419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（2）钢结构有效重量不扣减切肢、切边和孔眼损失的重量，也不计入电焊条、铆钉和螺栓增加的重量。</w:t>
      </w:r>
    </w:p>
    <w:p w14:paraId="1CFFD7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（3）施工架立件、搭接、焊接、套筒链接、操作损耗、涂装防腐和检验试验等所需费用，均包含在《工程量清单》相应项目有效工程量的每吨工程单价中，发包人不另行支付。</w:t>
      </w:r>
    </w:p>
    <w:p w14:paraId="1DE7CD94">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60C6718B">
      <w:pPr>
        <w:widowControl w:val="0"/>
        <w:kinsoku/>
        <w:topLinePunct/>
        <w:autoSpaceDE/>
        <w:autoSpaceDN/>
        <w:spacing w:line="520" w:lineRule="exact"/>
        <w:jc w:val="center"/>
        <w:outlineLvl w:val="1"/>
        <w:rPr>
          <w:rFonts w:ascii="Times New Roman" w:hAnsi="Times New Roman" w:eastAsia="Times New Roman" w:cs="Times New Roman"/>
          <w:b/>
          <w:bCs/>
          <w:color w:val="auto"/>
          <w:sz w:val="28"/>
          <w:szCs w:val="28"/>
          <w:lang w:eastAsia="zh-CN"/>
        </w:rPr>
      </w:pPr>
      <w:bookmarkStart w:id="1539" w:name="_Toc12636"/>
      <w:bookmarkStart w:id="1540" w:name="_Toc12295"/>
      <w:bookmarkStart w:id="1541" w:name="_Toc674"/>
      <w:r>
        <w:rPr>
          <w:rFonts w:ascii="Times New Roman" w:hAnsi="Times New Roman" w:eastAsia="Times New Roman" w:cs="Times New Roman"/>
          <w:b/>
          <w:bCs/>
          <w:color w:val="auto"/>
          <w:sz w:val="28"/>
          <w:szCs w:val="28"/>
          <w:lang w:eastAsia="zh-CN"/>
        </w:rPr>
        <w:t>21</w:t>
      </w:r>
      <w:r>
        <w:rPr>
          <w:rFonts w:hint="eastAsia" w:ascii="Times New Roman" w:hAnsi="Times New Roman" w:eastAsia="Times New Roman" w:cs="Times New Roman"/>
          <w:b/>
          <w:bCs/>
          <w:color w:val="auto"/>
          <w:sz w:val="28"/>
          <w:szCs w:val="28"/>
          <w:lang w:eastAsia="zh-CN"/>
        </w:rPr>
        <w:t xml:space="preserve"> </w:t>
      </w:r>
      <w:r>
        <w:rPr>
          <w:rFonts w:ascii="Times New Roman" w:hAnsi="Times New Roman" w:eastAsia="Times New Roman" w:cs="Times New Roman"/>
          <w:b/>
          <w:bCs/>
          <w:color w:val="auto"/>
          <w:sz w:val="28"/>
          <w:szCs w:val="28"/>
          <w:lang w:eastAsia="zh-CN"/>
        </w:rPr>
        <w:t>钢闸门制作</w:t>
      </w:r>
      <w:bookmarkEnd w:id="1539"/>
      <w:bookmarkEnd w:id="1540"/>
      <w:bookmarkEnd w:id="1541"/>
    </w:p>
    <w:p w14:paraId="37FEC5FA">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42" w:name="_Toc26818"/>
      <w:bookmarkStart w:id="1543" w:name="_Toc8949"/>
      <w:bookmarkStart w:id="1544" w:name="_Toc11442"/>
      <w:r>
        <w:rPr>
          <w:rFonts w:hint="eastAsia" w:ascii="宋体" w:hAnsi="宋体" w:eastAsia="宋体" w:cs="宋体"/>
          <w:b/>
          <w:bCs/>
          <w:color w:val="auto"/>
          <w:sz w:val="24"/>
          <w:szCs w:val="24"/>
          <w:lang w:eastAsia="zh-CN"/>
        </w:rPr>
        <w:t>21.1 一般规定</w:t>
      </w:r>
      <w:bookmarkEnd w:id="1542"/>
      <w:bookmarkEnd w:id="1543"/>
      <w:bookmarkEnd w:id="1544"/>
    </w:p>
    <w:p w14:paraId="43FDD18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21.1.1 应用范围</w:t>
      </w:r>
    </w:p>
    <w:p w14:paraId="7B5CDD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本章规定适用于本合同承包人负责的拦污栅、闸门及其埋件（以下统称闸门）的制造，详见工程量清单。</w:t>
      </w:r>
    </w:p>
    <w:p w14:paraId="34B89113">
      <w:pPr>
        <w:pStyle w:val="26"/>
        <w:rPr>
          <w:color w:val="auto"/>
        </w:rPr>
      </w:pPr>
      <w:r>
        <w:rPr>
          <w:color w:val="auto"/>
          <w:lang w:eastAsia="zh-CN"/>
        </w:rPr>
        <w:t xml:space="preserve">  </w:t>
      </w:r>
      <w:r>
        <w:rPr>
          <w:color w:val="auto"/>
        </w:rPr>
        <w:t>闸门制造项目表</w:t>
      </w:r>
    </w:p>
    <w:tbl>
      <w:tblPr>
        <w:tblStyle w:val="6"/>
        <w:tblW w:w="906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615"/>
        <w:gridCol w:w="1470"/>
        <w:gridCol w:w="735"/>
        <w:gridCol w:w="690"/>
        <w:gridCol w:w="1898"/>
        <w:gridCol w:w="1181"/>
        <w:gridCol w:w="1020"/>
        <w:gridCol w:w="735"/>
        <w:gridCol w:w="718"/>
      </w:tblGrid>
      <w:tr w14:paraId="224EE0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8" w:hRule="atLeast"/>
          <w:jc w:val="center"/>
        </w:trPr>
        <w:tc>
          <w:tcPr>
            <w:tcW w:w="615" w:type="dxa"/>
            <w:tcBorders>
              <w:top w:val="single" w:color="auto" w:sz="12" w:space="0"/>
              <w:left w:val="single" w:color="auto" w:sz="12" w:space="0"/>
            </w:tcBorders>
            <w:vAlign w:val="center"/>
          </w:tcPr>
          <w:p w14:paraId="27A25075">
            <w:pPr>
              <w:pStyle w:val="27"/>
              <w:rPr>
                <w:color w:val="auto"/>
              </w:rPr>
            </w:pPr>
            <w:r>
              <w:rPr>
                <w:color w:val="auto"/>
              </w:rPr>
              <w:t>序号</w:t>
            </w:r>
          </w:p>
        </w:tc>
        <w:tc>
          <w:tcPr>
            <w:tcW w:w="1470" w:type="dxa"/>
            <w:tcBorders>
              <w:top w:val="single" w:color="auto" w:sz="12" w:space="0"/>
            </w:tcBorders>
            <w:vAlign w:val="center"/>
          </w:tcPr>
          <w:p w14:paraId="18F56815">
            <w:pPr>
              <w:pStyle w:val="27"/>
              <w:rPr>
                <w:color w:val="auto"/>
              </w:rPr>
            </w:pPr>
            <w:r>
              <w:rPr>
                <w:color w:val="auto"/>
              </w:rPr>
              <w:t>项目名称</w:t>
            </w:r>
          </w:p>
        </w:tc>
        <w:tc>
          <w:tcPr>
            <w:tcW w:w="735" w:type="dxa"/>
            <w:tcBorders>
              <w:top w:val="single" w:color="auto" w:sz="12" w:space="0"/>
            </w:tcBorders>
            <w:vAlign w:val="center"/>
          </w:tcPr>
          <w:p w14:paraId="19A69D5C">
            <w:pPr>
              <w:pStyle w:val="27"/>
              <w:rPr>
                <w:color w:val="auto"/>
              </w:rPr>
            </w:pPr>
            <w:r>
              <w:rPr>
                <w:rFonts w:hint="eastAsia"/>
                <w:color w:val="auto"/>
              </w:rPr>
              <w:t>单位</w:t>
            </w:r>
          </w:p>
        </w:tc>
        <w:tc>
          <w:tcPr>
            <w:tcW w:w="690" w:type="dxa"/>
            <w:tcBorders>
              <w:top w:val="single" w:color="auto" w:sz="12" w:space="0"/>
            </w:tcBorders>
            <w:vAlign w:val="center"/>
          </w:tcPr>
          <w:p w14:paraId="27EFA0F3">
            <w:pPr>
              <w:pStyle w:val="27"/>
              <w:rPr>
                <w:color w:val="auto"/>
              </w:rPr>
            </w:pPr>
            <w:r>
              <w:rPr>
                <w:color w:val="auto"/>
              </w:rPr>
              <w:t>数量</w:t>
            </w:r>
          </w:p>
        </w:tc>
        <w:tc>
          <w:tcPr>
            <w:tcW w:w="1898" w:type="dxa"/>
            <w:tcBorders>
              <w:top w:val="single" w:color="auto" w:sz="12" w:space="0"/>
            </w:tcBorders>
            <w:vAlign w:val="center"/>
          </w:tcPr>
          <w:p w14:paraId="2EFE4B8B">
            <w:pPr>
              <w:pStyle w:val="27"/>
              <w:rPr>
                <w:color w:val="auto"/>
              </w:rPr>
            </w:pPr>
            <w:r>
              <w:rPr>
                <w:color w:val="auto"/>
              </w:rPr>
              <w:t>孔口尺寸</w:t>
            </w:r>
          </w:p>
          <w:p w14:paraId="6CA4CEFD">
            <w:pPr>
              <w:pStyle w:val="27"/>
              <w:rPr>
                <w:color w:val="auto"/>
              </w:rPr>
            </w:pPr>
            <w:r>
              <w:rPr>
                <w:color w:val="auto"/>
              </w:rPr>
              <w:t>(宽m×高m)</w:t>
            </w:r>
          </w:p>
        </w:tc>
        <w:tc>
          <w:tcPr>
            <w:tcW w:w="1181" w:type="dxa"/>
            <w:tcBorders>
              <w:top w:val="single" w:color="auto" w:sz="12" w:space="0"/>
            </w:tcBorders>
            <w:vAlign w:val="center"/>
          </w:tcPr>
          <w:p w14:paraId="09A5A24B">
            <w:pPr>
              <w:pStyle w:val="27"/>
              <w:rPr>
                <w:color w:val="auto"/>
              </w:rPr>
            </w:pPr>
            <w:r>
              <w:rPr>
                <w:color w:val="auto"/>
              </w:rPr>
              <w:t>设计水头</w:t>
            </w:r>
          </w:p>
          <w:p w14:paraId="324FDDC1">
            <w:pPr>
              <w:pStyle w:val="27"/>
              <w:rPr>
                <w:color w:val="auto"/>
              </w:rPr>
            </w:pPr>
            <w:r>
              <w:rPr>
                <w:color w:val="auto"/>
              </w:rPr>
              <w:t>(m)</w:t>
            </w:r>
          </w:p>
        </w:tc>
        <w:tc>
          <w:tcPr>
            <w:tcW w:w="1020" w:type="dxa"/>
            <w:tcBorders>
              <w:top w:val="single" w:color="auto" w:sz="12" w:space="0"/>
            </w:tcBorders>
            <w:vAlign w:val="center"/>
          </w:tcPr>
          <w:p w14:paraId="3CFB0C08">
            <w:pPr>
              <w:pStyle w:val="27"/>
              <w:rPr>
                <w:color w:val="auto"/>
              </w:rPr>
            </w:pPr>
            <w:r>
              <w:rPr>
                <w:color w:val="auto"/>
              </w:rPr>
              <w:t>闸门</w:t>
            </w:r>
          </w:p>
          <w:p w14:paraId="06095D5C">
            <w:pPr>
              <w:pStyle w:val="27"/>
              <w:rPr>
                <w:color w:val="auto"/>
              </w:rPr>
            </w:pPr>
            <w:r>
              <w:rPr>
                <w:color w:val="auto"/>
              </w:rPr>
              <w:t>型式</w:t>
            </w:r>
          </w:p>
        </w:tc>
        <w:tc>
          <w:tcPr>
            <w:tcW w:w="735" w:type="dxa"/>
            <w:tcBorders>
              <w:top w:val="single" w:color="auto" w:sz="12" w:space="0"/>
            </w:tcBorders>
            <w:vAlign w:val="center"/>
          </w:tcPr>
          <w:p w14:paraId="304F4CB8">
            <w:pPr>
              <w:pStyle w:val="27"/>
              <w:rPr>
                <w:color w:val="auto"/>
              </w:rPr>
            </w:pPr>
            <w:r>
              <w:rPr>
                <w:color w:val="auto"/>
              </w:rPr>
              <w:t>总重量(t)</w:t>
            </w:r>
          </w:p>
        </w:tc>
        <w:tc>
          <w:tcPr>
            <w:tcW w:w="718" w:type="dxa"/>
            <w:tcBorders>
              <w:top w:val="single" w:color="auto" w:sz="12" w:space="0"/>
              <w:right w:val="single" w:color="auto" w:sz="12" w:space="0"/>
            </w:tcBorders>
            <w:vAlign w:val="center"/>
          </w:tcPr>
          <w:p w14:paraId="6D3EEE75">
            <w:pPr>
              <w:pStyle w:val="27"/>
              <w:rPr>
                <w:color w:val="auto"/>
              </w:rPr>
            </w:pPr>
            <w:r>
              <w:rPr>
                <w:color w:val="auto"/>
              </w:rPr>
              <w:t>备注</w:t>
            </w:r>
          </w:p>
        </w:tc>
      </w:tr>
      <w:tr w14:paraId="56E4EC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3" w:hRule="atLeast"/>
          <w:jc w:val="center"/>
        </w:trPr>
        <w:tc>
          <w:tcPr>
            <w:tcW w:w="615" w:type="dxa"/>
            <w:tcBorders>
              <w:left w:val="single" w:color="auto" w:sz="12" w:space="0"/>
            </w:tcBorders>
            <w:vAlign w:val="center"/>
          </w:tcPr>
          <w:p w14:paraId="4707CB8B">
            <w:pPr>
              <w:pStyle w:val="27"/>
              <w:rPr>
                <w:color w:val="auto"/>
              </w:rPr>
            </w:pPr>
            <w:r>
              <w:rPr>
                <w:color w:val="auto"/>
              </w:rPr>
              <w:t>1</w:t>
            </w:r>
          </w:p>
        </w:tc>
        <w:tc>
          <w:tcPr>
            <w:tcW w:w="1470" w:type="dxa"/>
            <w:vAlign w:val="center"/>
          </w:tcPr>
          <w:p w14:paraId="1118780E">
            <w:pPr>
              <w:pStyle w:val="27"/>
              <w:rPr>
                <w:color w:val="auto"/>
              </w:rPr>
            </w:pPr>
            <w:r>
              <w:rPr>
                <w:rFonts w:hint="eastAsia"/>
                <w:color w:val="auto"/>
              </w:rPr>
              <w:t>清污机栅槽</w:t>
            </w:r>
          </w:p>
        </w:tc>
        <w:tc>
          <w:tcPr>
            <w:tcW w:w="735" w:type="dxa"/>
            <w:vAlign w:val="center"/>
          </w:tcPr>
          <w:p w14:paraId="72C25B6B">
            <w:pPr>
              <w:pStyle w:val="27"/>
              <w:rPr>
                <w:color w:val="auto"/>
              </w:rPr>
            </w:pPr>
            <w:r>
              <w:rPr>
                <w:rFonts w:hint="eastAsia"/>
                <w:color w:val="auto"/>
              </w:rPr>
              <w:t>t</w:t>
            </w:r>
          </w:p>
        </w:tc>
        <w:tc>
          <w:tcPr>
            <w:tcW w:w="690" w:type="dxa"/>
            <w:vAlign w:val="center"/>
          </w:tcPr>
          <w:p w14:paraId="253A09C4">
            <w:pPr>
              <w:pStyle w:val="27"/>
              <w:rPr>
                <w:color w:val="auto"/>
              </w:rPr>
            </w:pPr>
            <w:r>
              <w:rPr>
                <w:rFonts w:hint="eastAsia"/>
                <w:color w:val="auto"/>
              </w:rPr>
              <w:t>1</w:t>
            </w:r>
            <w:r>
              <w:rPr>
                <w:color w:val="auto"/>
              </w:rPr>
              <w:t>0</w:t>
            </w:r>
          </w:p>
        </w:tc>
        <w:tc>
          <w:tcPr>
            <w:tcW w:w="1898" w:type="dxa"/>
            <w:vAlign w:val="center"/>
          </w:tcPr>
          <w:p w14:paraId="3E955B47">
            <w:pPr>
              <w:pStyle w:val="27"/>
              <w:rPr>
                <w:color w:val="auto"/>
              </w:rPr>
            </w:pPr>
            <w:r>
              <w:rPr>
                <w:color w:val="auto"/>
              </w:rPr>
              <w:t>6.6×6.88</w:t>
            </w:r>
          </w:p>
        </w:tc>
        <w:tc>
          <w:tcPr>
            <w:tcW w:w="1181" w:type="dxa"/>
            <w:vAlign w:val="center"/>
          </w:tcPr>
          <w:p w14:paraId="02DB79AE">
            <w:pPr>
              <w:pStyle w:val="27"/>
              <w:rPr>
                <w:color w:val="auto"/>
              </w:rPr>
            </w:pPr>
            <w:r>
              <w:rPr>
                <w:rFonts w:hint="eastAsia"/>
                <w:color w:val="auto"/>
              </w:rPr>
              <w:t>1</w:t>
            </w:r>
          </w:p>
        </w:tc>
        <w:tc>
          <w:tcPr>
            <w:tcW w:w="1020" w:type="dxa"/>
            <w:vAlign w:val="center"/>
          </w:tcPr>
          <w:p w14:paraId="38D7B53E">
            <w:pPr>
              <w:pStyle w:val="27"/>
              <w:rPr>
                <w:color w:val="auto"/>
              </w:rPr>
            </w:pPr>
          </w:p>
        </w:tc>
        <w:tc>
          <w:tcPr>
            <w:tcW w:w="735" w:type="dxa"/>
            <w:vAlign w:val="center"/>
          </w:tcPr>
          <w:p w14:paraId="4650EBBC">
            <w:pPr>
              <w:pStyle w:val="27"/>
              <w:rPr>
                <w:color w:val="auto"/>
              </w:rPr>
            </w:pPr>
            <w:r>
              <w:rPr>
                <w:rFonts w:hint="eastAsia"/>
                <w:color w:val="auto"/>
              </w:rPr>
              <w:t>1</w:t>
            </w:r>
            <w:r>
              <w:rPr>
                <w:color w:val="auto"/>
              </w:rPr>
              <w:t>0</w:t>
            </w:r>
          </w:p>
        </w:tc>
        <w:tc>
          <w:tcPr>
            <w:tcW w:w="718" w:type="dxa"/>
            <w:tcBorders>
              <w:right w:val="single" w:color="auto" w:sz="12" w:space="0"/>
            </w:tcBorders>
            <w:vAlign w:val="center"/>
          </w:tcPr>
          <w:p w14:paraId="29705E78">
            <w:pPr>
              <w:pStyle w:val="27"/>
              <w:rPr>
                <w:color w:val="auto"/>
              </w:rPr>
            </w:pPr>
          </w:p>
        </w:tc>
      </w:tr>
      <w:tr w14:paraId="493755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3" w:hRule="atLeast"/>
          <w:jc w:val="center"/>
        </w:trPr>
        <w:tc>
          <w:tcPr>
            <w:tcW w:w="615" w:type="dxa"/>
            <w:tcBorders>
              <w:left w:val="single" w:color="auto" w:sz="12" w:space="0"/>
            </w:tcBorders>
            <w:vAlign w:val="center"/>
          </w:tcPr>
          <w:p w14:paraId="2760FC16">
            <w:pPr>
              <w:pStyle w:val="27"/>
              <w:rPr>
                <w:rFonts w:eastAsia="宋体"/>
                <w:color w:val="auto"/>
                <w:lang w:eastAsia="zh-CN"/>
              </w:rPr>
            </w:pPr>
            <w:r>
              <w:rPr>
                <w:rFonts w:hint="eastAsia" w:eastAsia="宋体"/>
                <w:color w:val="auto"/>
                <w:lang w:eastAsia="zh-CN"/>
              </w:rPr>
              <w:t>2</w:t>
            </w:r>
          </w:p>
        </w:tc>
        <w:tc>
          <w:tcPr>
            <w:tcW w:w="1470" w:type="dxa"/>
            <w:vAlign w:val="center"/>
          </w:tcPr>
          <w:p w14:paraId="4EB3AB3D">
            <w:pPr>
              <w:pStyle w:val="27"/>
              <w:rPr>
                <w:color w:val="auto"/>
              </w:rPr>
            </w:pPr>
            <w:r>
              <w:rPr>
                <w:rFonts w:hint="eastAsia"/>
                <w:color w:val="auto"/>
              </w:rPr>
              <w:t>进水口检修闸门门叶</w:t>
            </w:r>
          </w:p>
        </w:tc>
        <w:tc>
          <w:tcPr>
            <w:tcW w:w="735" w:type="dxa"/>
            <w:vAlign w:val="center"/>
          </w:tcPr>
          <w:p w14:paraId="5DBD156E">
            <w:pPr>
              <w:pStyle w:val="27"/>
              <w:rPr>
                <w:color w:val="auto"/>
              </w:rPr>
            </w:pPr>
            <w:r>
              <w:rPr>
                <w:rFonts w:hint="eastAsia"/>
                <w:color w:val="auto"/>
              </w:rPr>
              <w:t>t</w:t>
            </w:r>
          </w:p>
        </w:tc>
        <w:tc>
          <w:tcPr>
            <w:tcW w:w="690" w:type="dxa"/>
            <w:vAlign w:val="center"/>
          </w:tcPr>
          <w:p w14:paraId="39EC07BC">
            <w:pPr>
              <w:pStyle w:val="27"/>
              <w:rPr>
                <w:color w:val="auto"/>
              </w:rPr>
            </w:pPr>
            <w:r>
              <w:rPr>
                <w:rFonts w:hint="eastAsia"/>
                <w:color w:val="auto"/>
              </w:rPr>
              <w:t>2</w:t>
            </w:r>
          </w:p>
        </w:tc>
        <w:tc>
          <w:tcPr>
            <w:tcW w:w="1898" w:type="dxa"/>
            <w:vAlign w:val="center"/>
          </w:tcPr>
          <w:p w14:paraId="2EF18AEB">
            <w:pPr>
              <w:pStyle w:val="27"/>
              <w:rPr>
                <w:color w:val="auto"/>
              </w:rPr>
            </w:pPr>
            <w:r>
              <w:rPr>
                <w:color w:val="auto"/>
              </w:rPr>
              <w:t>10×6</w:t>
            </w:r>
          </w:p>
        </w:tc>
        <w:tc>
          <w:tcPr>
            <w:tcW w:w="1181" w:type="dxa"/>
            <w:vAlign w:val="center"/>
          </w:tcPr>
          <w:p w14:paraId="036B2820">
            <w:pPr>
              <w:pStyle w:val="27"/>
              <w:rPr>
                <w:color w:val="auto"/>
              </w:rPr>
            </w:pPr>
            <w:r>
              <w:rPr>
                <w:rFonts w:hint="eastAsia"/>
                <w:color w:val="auto"/>
              </w:rPr>
              <w:t>1</w:t>
            </w:r>
            <w:r>
              <w:rPr>
                <w:color w:val="auto"/>
              </w:rPr>
              <w:t>0</w:t>
            </w:r>
          </w:p>
        </w:tc>
        <w:tc>
          <w:tcPr>
            <w:tcW w:w="1020" w:type="dxa"/>
            <w:vAlign w:val="center"/>
          </w:tcPr>
          <w:p w14:paraId="40EF036E">
            <w:pPr>
              <w:pStyle w:val="27"/>
              <w:rPr>
                <w:color w:val="auto"/>
                <w:lang w:eastAsia="zh-CN"/>
              </w:rPr>
            </w:pPr>
            <w:r>
              <w:rPr>
                <w:rFonts w:hint="eastAsia"/>
                <w:color w:val="auto"/>
                <w:lang w:eastAsia="zh-CN"/>
              </w:rPr>
              <w:t>潜孔式平面滑动钢闸门</w:t>
            </w:r>
          </w:p>
        </w:tc>
        <w:tc>
          <w:tcPr>
            <w:tcW w:w="735" w:type="dxa"/>
            <w:vAlign w:val="center"/>
          </w:tcPr>
          <w:p w14:paraId="2C636875">
            <w:pPr>
              <w:pStyle w:val="27"/>
              <w:rPr>
                <w:color w:val="auto"/>
              </w:rPr>
            </w:pPr>
            <w:r>
              <w:rPr>
                <w:rFonts w:hint="eastAsia"/>
                <w:color w:val="auto"/>
              </w:rPr>
              <w:t>5</w:t>
            </w:r>
            <w:r>
              <w:rPr>
                <w:color w:val="auto"/>
              </w:rPr>
              <w:t>0</w:t>
            </w:r>
          </w:p>
        </w:tc>
        <w:tc>
          <w:tcPr>
            <w:tcW w:w="718" w:type="dxa"/>
            <w:tcBorders>
              <w:right w:val="single" w:color="auto" w:sz="12" w:space="0"/>
            </w:tcBorders>
            <w:vAlign w:val="center"/>
          </w:tcPr>
          <w:p w14:paraId="7CAB0DA4">
            <w:pPr>
              <w:pStyle w:val="27"/>
              <w:rPr>
                <w:color w:val="auto"/>
              </w:rPr>
            </w:pPr>
          </w:p>
        </w:tc>
      </w:tr>
      <w:tr w14:paraId="47866F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3" w:hRule="atLeast"/>
          <w:jc w:val="center"/>
        </w:trPr>
        <w:tc>
          <w:tcPr>
            <w:tcW w:w="615" w:type="dxa"/>
            <w:tcBorders>
              <w:left w:val="single" w:color="auto" w:sz="12" w:space="0"/>
            </w:tcBorders>
            <w:vAlign w:val="center"/>
          </w:tcPr>
          <w:p w14:paraId="6ACB57EB">
            <w:pPr>
              <w:pStyle w:val="27"/>
              <w:rPr>
                <w:rFonts w:eastAsia="宋体"/>
                <w:color w:val="auto"/>
                <w:lang w:eastAsia="zh-CN"/>
              </w:rPr>
            </w:pPr>
            <w:r>
              <w:rPr>
                <w:rFonts w:hint="eastAsia" w:eastAsia="宋体"/>
                <w:color w:val="auto"/>
                <w:lang w:eastAsia="zh-CN"/>
              </w:rPr>
              <w:t>3</w:t>
            </w:r>
          </w:p>
        </w:tc>
        <w:tc>
          <w:tcPr>
            <w:tcW w:w="1470" w:type="dxa"/>
            <w:vAlign w:val="center"/>
          </w:tcPr>
          <w:p w14:paraId="15F8B188">
            <w:pPr>
              <w:pStyle w:val="27"/>
              <w:rPr>
                <w:color w:val="auto"/>
              </w:rPr>
            </w:pPr>
            <w:r>
              <w:rPr>
                <w:rFonts w:hint="eastAsia"/>
                <w:color w:val="auto"/>
              </w:rPr>
              <w:t>进水口检修闸门门槽</w:t>
            </w:r>
          </w:p>
        </w:tc>
        <w:tc>
          <w:tcPr>
            <w:tcW w:w="735" w:type="dxa"/>
            <w:vAlign w:val="center"/>
          </w:tcPr>
          <w:p w14:paraId="00BF7C43">
            <w:pPr>
              <w:pStyle w:val="27"/>
              <w:rPr>
                <w:color w:val="auto"/>
              </w:rPr>
            </w:pPr>
            <w:r>
              <w:rPr>
                <w:rFonts w:hint="eastAsia"/>
                <w:color w:val="auto"/>
              </w:rPr>
              <w:t>t</w:t>
            </w:r>
          </w:p>
        </w:tc>
        <w:tc>
          <w:tcPr>
            <w:tcW w:w="690" w:type="dxa"/>
            <w:vAlign w:val="center"/>
          </w:tcPr>
          <w:p w14:paraId="4D0EBF40">
            <w:pPr>
              <w:pStyle w:val="27"/>
              <w:rPr>
                <w:color w:val="auto"/>
              </w:rPr>
            </w:pPr>
            <w:r>
              <w:rPr>
                <w:rFonts w:hint="eastAsia"/>
                <w:color w:val="auto"/>
              </w:rPr>
              <w:t>6</w:t>
            </w:r>
          </w:p>
        </w:tc>
        <w:tc>
          <w:tcPr>
            <w:tcW w:w="1898" w:type="dxa"/>
            <w:vAlign w:val="center"/>
          </w:tcPr>
          <w:p w14:paraId="49CBDAD5">
            <w:pPr>
              <w:pStyle w:val="27"/>
              <w:rPr>
                <w:color w:val="auto"/>
              </w:rPr>
            </w:pPr>
          </w:p>
        </w:tc>
        <w:tc>
          <w:tcPr>
            <w:tcW w:w="1181" w:type="dxa"/>
            <w:vAlign w:val="center"/>
          </w:tcPr>
          <w:p w14:paraId="2C9707DB">
            <w:pPr>
              <w:pStyle w:val="27"/>
              <w:rPr>
                <w:color w:val="auto"/>
              </w:rPr>
            </w:pPr>
          </w:p>
        </w:tc>
        <w:tc>
          <w:tcPr>
            <w:tcW w:w="1020" w:type="dxa"/>
            <w:vAlign w:val="center"/>
          </w:tcPr>
          <w:p w14:paraId="3915144E">
            <w:pPr>
              <w:pStyle w:val="27"/>
              <w:rPr>
                <w:color w:val="auto"/>
              </w:rPr>
            </w:pPr>
          </w:p>
        </w:tc>
        <w:tc>
          <w:tcPr>
            <w:tcW w:w="735" w:type="dxa"/>
            <w:vAlign w:val="center"/>
          </w:tcPr>
          <w:p w14:paraId="78B8D391">
            <w:pPr>
              <w:pStyle w:val="27"/>
              <w:rPr>
                <w:color w:val="auto"/>
              </w:rPr>
            </w:pPr>
            <w:r>
              <w:rPr>
                <w:rFonts w:hint="eastAsia"/>
                <w:color w:val="auto"/>
              </w:rPr>
              <w:t>6</w:t>
            </w:r>
            <w:r>
              <w:rPr>
                <w:color w:val="auto"/>
              </w:rPr>
              <w:t>0</w:t>
            </w:r>
          </w:p>
        </w:tc>
        <w:tc>
          <w:tcPr>
            <w:tcW w:w="718" w:type="dxa"/>
            <w:tcBorders>
              <w:right w:val="single" w:color="auto" w:sz="12" w:space="0"/>
            </w:tcBorders>
            <w:vAlign w:val="center"/>
          </w:tcPr>
          <w:p w14:paraId="65995CB5">
            <w:pPr>
              <w:pStyle w:val="27"/>
              <w:rPr>
                <w:color w:val="auto"/>
              </w:rPr>
            </w:pPr>
          </w:p>
        </w:tc>
      </w:tr>
      <w:tr w14:paraId="75EC22F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3" w:hRule="atLeast"/>
          <w:jc w:val="center"/>
        </w:trPr>
        <w:tc>
          <w:tcPr>
            <w:tcW w:w="615" w:type="dxa"/>
            <w:tcBorders>
              <w:left w:val="single" w:color="auto" w:sz="12" w:space="0"/>
            </w:tcBorders>
            <w:vAlign w:val="center"/>
          </w:tcPr>
          <w:p w14:paraId="0B6FB8D3">
            <w:pPr>
              <w:pStyle w:val="27"/>
              <w:rPr>
                <w:rFonts w:eastAsia="宋体"/>
                <w:color w:val="auto"/>
                <w:lang w:eastAsia="zh-CN"/>
              </w:rPr>
            </w:pPr>
            <w:r>
              <w:rPr>
                <w:rFonts w:hint="eastAsia" w:eastAsia="宋体"/>
                <w:color w:val="auto"/>
                <w:lang w:eastAsia="zh-CN"/>
              </w:rPr>
              <w:t>4</w:t>
            </w:r>
          </w:p>
        </w:tc>
        <w:tc>
          <w:tcPr>
            <w:tcW w:w="1470" w:type="dxa"/>
            <w:vAlign w:val="center"/>
          </w:tcPr>
          <w:p w14:paraId="581222C9">
            <w:pPr>
              <w:pStyle w:val="27"/>
              <w:rPr>
                <w:color w:val="auto"/>
                <w:lang w:eastAsia="zh-CN"/>
              </w:rPr>
            </w:pPr>
            <w:r>
              <w:rPr>
                <w:rFonts w:hint="eastAsia"/>
                <w:color w:val="auto"/>
                <w:lang w:eastAsia="zh-CN"/>
              </w:rPr>
              <w:t>出水口快速工作闸门门叶</w:t>
            </w:r>
          </w:p>
        </w:tc>
        <w:tc>
          <w:tcPr>
            <w:tcW w:w="735" w:type="dxa"/>
            <w:vAlign w:val="center"/>
          </w:tcPr>
          <w:p w14:paraId="4ACD5255">
            <w:pPr>
              <w:pStyle w:val="27"/>
              <w:rPr>
                <w:color w:val="auto"/>
              </w:rPr>
            </w:pPr>
            <w:r>
              <w:rPr>
                <w:rFonts w:hint="eastAsia"/>
                <w:color w:val="auto"/>
              </w:rPr>
              <w:t>t</w:t>
            </w:r>
          </w:p>
        </w:tc>
        <w:tc>
          <w:tcPr>
            <w:tcW w:w="690" w:type="dxa"/>
            <w:vAlign w:val="center"/>
          </w:tcPr>
          <w:p w14:paraId="41DC7480">
            <w:pPr>
              <w:pStyle w:val="27"/>
              <w:rPr>
                <w:color w:val="auto"/>
              </w:rPr>
            </w:pPr>
            <w:r>
              <w:rPr>
                <w:color w:val="auto"/>
              </w:rPr>
              <w:t>12</w:t>
            </w:r>
          </w:p>
        </w:tc>
        <w:tc>
          <w:tcPr>
            <w:tcW w:w="1898" w:type="dxa"/>
            <w:vAlign w:val="center"/>
          </w:tcPr>
          <w:p w14:paraId="416E2260">
            <w:pPr>
              <w:pStyle w:val="27"/>
              <w:rPr>
                <w:color w:val="auto"/>
              </w:rPr>
            </w:pPr>
            <w:r>
              <w:rPr>
                <w:rFonts w:hint="eastAsia"/>
                <w:color w:val="auto"/>
              </w:rPr>
              <w:t>4×</w:t>
            </w:r>
            <w:r>
              <w:rPr>
                <w:color w:val="auto"/>
              </w:rPr>
              <w:t>5.6</w:t>
            </w:r>
          </w:p>
        </w:tc>
        <w:tc>
          <w:tcPr>
            <w:tcW w:w="1181" w:type="dxa"/>
            <w:vAlign w:val="center"/>
          </w:tcPr>
          <w:p w14:paraId="3929887A">
            <w:pPr>
              <w:pStyle w:val="27"/>
              <w:rPr>
                <w:color w:val="auto"/>
              </w:rPr>
            </w:pPr>
            <w:r>
              <w:rPr>
                <w:rFonts w:hint="eastAsia"/>
                <w:color w:val="auto"/>
              </w:rPr>
              <w:t>1</w:t>
            </w:r>
            <w:r>
              <w:rPr>
                <w:color w:val="auto"/>
              </w:rPr>
              <w:t>2</w:t>
            </w:r>
          </w:p>
        </w:tc>
        <w:tc>
          <w:tcPr>
            <w:tcW w:w="1020" w:type="dxa"/>
            <w:vAlign w:val="center"/>
          </w:tcPr>
          <w:p w14:paraId="096594BA">
            <w:pPr>
              <w:pStyle w:val="27"/>
              <w:rPr>
                <w:color w:val="auto"/>
                <w:lang w:eastAsia="zh-CN"/>
              </w:rPr>
            </w:pPr>
            <w:r>
              <w:rPr>
                <w:rFonts w:hint="eastAsia"/>
                <w:color w:val="auto"/>
                <w:lang w:eastAsia="zh-CN"/>
              </w:rPr>
              <w:t>潜孔式带拍门平面定轮钢闸门</w:t>
            </w:r>
          </w:p>
        </w:tc>
        <w:tc>
          <w:tcPr>
            <w:tcW w:w="735" w:type="dxa"/>
            <w:vAlign w:val="center"/>
          </w:tcPr>
          <w:p w14:paraId="19076656">
            <w:pPr>
              <w:pStyle w:val="27"/>
              <w:rPr>
                <w:color w:val="auto"/>
              </w:rPr>
            </w:pPr>
            <w:r>
              <w:rPr>
                <w:rFonts w:hint="eastAsia"/>
                <w:color w:val="auto"/>
              </w:rPr>
              <w:t>420</w:t>
            </w:r>
          </w:p>
        </w:tc>
        <w:tc>
          <w:tcPr>
            <w:tcW w:w="718" w:type="dxa"/>
            <w:tcBorders>
              <w:right w:val="single" w:color="auto" w:sz="12" w:space="0"/>
            </w:tcBorders>
            <w:vAlign w:val="center"/>
          </w:tcPr>
          <w:p w14:paraId="4BED9EA6">
            <w:pPr>
              <w:pStyle w:val="27"/>
              <w:rPr>
                <w:color w:val="auto"/>
              </w:rPr>
            </w:pPr>
            <w:r>
              <w:rPr>
                <w:rFonts w:hint="eastAsia"/>
                <w:color w:val="auto"/>
              </w:rPr>
              <w:t>含配重84t</w:t>
            </w:r>
          </w:p>
        </w:tc>
      </w:tr>
      <w:tr w14:paraId="0B008F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3" w:hRule="atLeast"/>
          <w:jc w:val="center"/>
        </w:trPr>
        <w:tc>
          <w:tcPr>
            <w:tcW w:w="615" w:type="dxa"/>
            <w:tcBorders>
              <w:left w:val="single" w:color="auto" w:sz="12" w:space="0"/>
            </w:tcBorders>
            <w:vAlign w:val="center"/>
          </w:tcPr>
          <w:p w14:paraId="7F073832">
            <w:pPr>
              <w:pStyle w:val="27"/>
              <w:rPr>
                <w:rFonts w:eastAsia="宋体"/>
                <w:color w:val="auto"/>
                <w:lang w:eastAsia="zh-CN"/>
              </w:rPr>
            </w:pPr>
            <w:r>
              <w:rPr>
                <w:rFonts w:hint="eastAsia" w:eastAsia="宋体"/>
                <w:color w:val="auto"/>
                <w:lang w:eastAsia="zh-CN"/>
              </w:rPr>
              <w:t>5</w:t>
            </w:r>
          </w:p>
        </w:tc>
        <w:tc>
          <w:tcPr>
            <w:tcW w:w="1470" w:type="dxa"/>
            <w:vAlign w:val="center"/>
          </w:tcPr>
          <w:p w14:paraId="5303D2C5">
            <w:pPr>
              <w:pStyle w:val="27"/>
              <w:rPr>
                <w:color w:val="auto"/>
                <w:lang w:eastAsia="zh-CN"/>
              </w:rPr>
            </w:pPr>
            <w:r>
              <w:rPr>
                <w:rFonts w:hint="eastAsia"/>
                <w:color w:val="auto"/>
                <w:lang w:eastAsia="zh-CN"/>
              </w:rPr>
              <w:t>出水口快速工作闸门门槽</w:t>
            </w:r>
          </w:p>
        </w:tc>
        <w:tc>
          <w:tcPr>
            <w:tcW w:w="735" w:type="dxa"/>
            <w:vAlign w:val="center"/>
          </w:tcPr>
          <w:p w14:paraId="54B9AC1A">
            <w:pPr>
              <w:pStyle w:val="27"/>
              <w:rPr>
                <w:color w:val="auto"/>
                <w:lang w:eastAsia="zh-CN"/>
              </w:rPr>
            </w:pPr>
          </w:p>
        </w:tc>
        <w:tc>
          <w:tcPr>
            <w:tcW w:w="690" w:type="dxa"/>
            <w:vAlign w:val="center"/>
          </w:tcPr>
          <w:p w14:paraId="720C47CB">
            <w:pPr>
              <w:pStyle w:val="27"/>
              <w:rPr>
                <w:color w:val="auto"/>
              </w:rPr>
            </w:pPr>
            <w:r>
              <w:rPr>
                <w:rFonts w:hint="eastAsia"/>
                <w:color w:val="auto"/>
              </w:rPr>
              <w:t>12</w:t>
            </w:r>
          </w:p>
        </w:tc>
        <w:tc>
          <w:tcPr>
            <w:tcW w:w="1898" w:type="dxa"/>
            <w:vAlign w:val="center"/>
          </w:tcPr>
          <w:p w14:paraId="5C2B3B98">
            <w:pPr>
              <w:pStyle w:val="27"/>
              <w:rPr>
                <w:color w:val="auto"/>
              </w:rPr>
            </w:pPr>
          </w:p>
        </w:tc>
        <w:tc>
          <w:tcPr>
            <w:tcW w:w="1181" w:type="dxa"/>
            <w:vAlign w:val="center"/>
          </w:tcPr>
          <w:p w14:paraId="019A1203">
            <w:pPr>
              <w:pStyle w:val="27"/>
              <w:rPr>
                <w:color w:val="auto"/>
              </w:rPr>
            </w:pPr>
          </w:p>
        </w:tc>
        <w:tc>
          <w:tcPr>
            <w:tcW w:w="1020" w:type="dxa"/>
            <w:vAlign w:val="center"/>
          </w:tcPr>
          <w:p w14:paraId="0EB19DC3">
            <w:pPr>
              <w:pStyle w:val="27"/>
              <w:rPr>
                <w:color w:val="auto"/>
              </w:rPr>
            </w:pPr>
          </w:p>
        </w:tc>
        <w:tc>
          <w:tcPr>
            <w:tcW w:w="735" w:type="dxa"/>
            <w:vAlign w:val="center"/>
          </w:tcPr>
          <w:p w14:paraId="4EFDFCCF">
            <w:pPr>
              <w:pStyle w:val="27"/>
              <w:rPr>
                <w:color w:val="auto"/>
              </w:rPr>
            </w:pPr>
            <w:r>
              <w:rPr>
                <w:rFonts w:hint="eastAsia"/>
                <w:color w:val="auto"/>
              </w:rPr>
              <w:t>1</w:t>
            </w:r>
            <w:r>
              <w:rPr>
                <w:color w:val="auto"/>
              </w:rPr>
              <w:t>20</w:t>
            </w:r>
          </w:p>
        </w:tc>
        <w:tc>
          <w:tcPr>
            <w:tcW w:w="718" w:type="dxa"/>
            <w:tcBorders>
              <w:right w:val="single" w:color="auto" w:sz="12" w:space="0"/>
            </w:tcBorders>
            <w:vAlign w:val="center"/>
          </w:tcPr>
          <w:p w14:paraId="00D874AC">
            <w:pPr>
              <w:pStyle w:val="27"/>
              <w:rPr>
                <w:color w:val="auto"/>
              </w:rPr>
            </w:pPr>
          </w:p>
        </w:tc>
      </w:tr>
      <w:tr w14:paraId="33D9185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3" w:hRule="atLeast"/>
          <w:jc w:val="center"/>
        </w:trPr>
        <w:tc>
          <w:tcPr>
            <w:tcW w:w="615" w:type="dxa"/>
            <w:tcBorders>
              <w:left w:val="single" w:color="auto" w:sz="12" w:space="0"/>
            </w:tcBorders>
            <w:vAlign w:val="center"/>
          </w:tcPr>
          <w:p w14:paraId="2F93B0BE">
            <w:pPr>
              <w:pStyle w:val="27"/>
              <w:rPr>
                <w:rFonts w:eastAsia="宋体"/>
                <w:color w:val="auto"/>
                <w:lang w:eastAsia="zh-CN"/>
              </w:rPr>
            </w:pPr>
            <w:r>
              <w:rPr>
                <w:rFonts w:hint="eastAsia" w:eastAsia="宋体"/>
                <w:color w:val="auto"/>
                <w:lang w:eastAsia="zh-CN"/>
              </w:rPr>
              <w:t>6</w:t>
            </w:r>
          </w:p>
        </w:tc>
        <w:tc>
          <w:tcPr>
            <w:tcW w:w="1470" w:type="dxa"/>
            <w:vAlign w:val="center"/>
          </w:tcPr>
          <w:p w14:paraId="4FF03B68">
            <w:pPr>
              <w:pStyle w:val="27"/>
              <w:rPr>
                <w:color w:val="auto"/>
                <w:lang w:eastAsia="zh-CN"/>
              </w:rPr>
            </w:pPr>
            <w:r>
              <w:rPr>
                <w:rFonts w:hint="eastAsia"/>
                <w:color w:val="auto"/>
                <w:lang w:eastAsia="zh-CN"/>
              </w:rPr>
              <w:t>出水口快速事故闸门门叶</w:t>
            </w:r>
          </w:p>
        </w:tc>
        <w:tc>
          <w:tcPr>
            <w:tcW w:w="735" w:type="dxa"/>
            <w:vAlign w:val="center"/>
          </w:tcPr>
          <w:p w14:paraId="4E23E6D3">
            <w:pPr>
              <w:pStyle w:val="27"/>
              <w:rPr>
                <w:color w:val="auto"/>
              </w:rPr>
            </w:pPr>
            <w:r>
              <w:rPr>
                <w:rFonts w:hint="eastAsia"/>
                <w:color w:val="auto"/>
              </w:rPr>
              <w:t>t</w:t>
            </w:r>
          </w:p>
        </w:tc>
        <w:tc>
          <w:tcPr>
            <w:tcW w:w="690" w:type="dxa"/>
            <w:vAlign w:val="center"/>
          </w:tcPr>
          <w:p w14:paraId="525B0D4F">
            <w:pPr>
              <w:pStyle w:val="27"/>
              <w:rPr>
                <w:color w:val="auto"/>
              </w:rPr>
            </w:pPr>
            <w:r>
              <w:rPr>
                <w:color w:val="auto"/>
              </w:rPr>
              <w:t>12</w:t>
            </w:r>
          </w:p>
        </w:tc>
        <w:tc>
          <w:tcPr>
            <w:tcW w:w="1898" w:type="dxa"/>
            <w:vAlign w:val="center"/>
          </w:tcPr>
          <w:p w14:paraId="0A1A75AE">
            <w:pPr>
              <w:pStyle w:val="27"/>
              <w:rPr>
                <w:color w:val="auto"/>
              </w:rPr>
            </w:pPr>
            <w:r>
              <w:rPr>
                <w:rFonts w:hint="eastAsia"/>
                <w:color w:val="auto"/>
              </w:rPr>
              <w:t>4×</w:t>
            </w:r>
            <w:r>
              <w:rPr>
                <w:color w:val="auto"/>
              </w:rPr>
              <w:t>5.6</w:t>
            </w:r>
          </w:p>
        </w:tc>
        <w:tc>
          <w:tcPr>
            <w:tcW w:w="1181" w:type="dxa"/>
            <w:vAlign w:val="center"/>
          </w:tcPr>
          <w:p w14:paraId="34214FDB">
            <w:pPr>
              <w:pStyle w:val="27"/>
              <w:rPr>
                <w:color w:val="auto"/>
              </w:rPr>
            </w:pPr>
            <w:r>
              <w:rPr>
                <w:rFonts w:hint="eastAsia"/>
                <w:color w:val="auto"/>
              </w:rPr>
              <w:t>1</w:t>
            </w:r>
            <w:r>
              <w:rPr>
                <w:color w:val="auto"/>
              </w:rPr>
              <w:t>2</w:t>
            </w:r>
          </w:p>
        </w:tc>
        <w:tc>
          <w:tcPr>
            <w:tcW w:w="1020" w:type="dxa"/>
            <w:vAlign w:val="center"/>
          </w:tcPr>
          <w:p w14:paraId="7D014E82">
            <w:pPr>
              <w:pStyle w:val="27"/>
              <w:rPr>
                <w:color w:val="auto"/>
                <w:lang w:eastAsia="zh-CN"/>
              </w:rPr>
            </w:pPr>
            <w:r>
              <w:rPr>
                <w:rFonts w:hint="eastAsia"/>
                <w:color w:val="auto"/>
                <w:lang w:eastAsia="zh-CN"/>
              </w:rPr>
              <w:t>潜孔式带平面定轮钢闸门</w:t>
            </w:r>
          </w:p>
        </w:tc>
        <w:tc>
          <w:tcPr>
            <w:tcW w:w="735" w:type="dxa"/>
            <w:vAlign w:val="center"/>
          </w:tcPr>
          <w:p w14:paraId="362DDC25">
            <w:pPr>
              <w:pStyle w:val="27"/>
              <w:rPr>
                <w:color w:val="auto"/>
              </w:rPr>
            </w:pPr>
            <w:r>
              <w:rPr>
                <w:rFonts w:hint="eastAsia"/>
                <w:color w:val="auto"/>
              </w:rPr>
              <w:t>360</w:t>
            </w:r>
          </w:p>
        </w:tc>
        <w:tc>
          <w:tcPr>
            <w:tcW w:w="718" w:type="dxa"/>
            <w:tcBorders>
              <w:right w:val="single" w:color="auto" w:sz="12" w:space="0"/>
            </w:tcBorders>
            <w:vAlign w:val="center"/>
          </w:tcPr>
          <w:p w14:paraId="1863484B">
            <w:pPr>
              <w:pStyle w:val="27"/>
              <w:rPr>
                <w:color w:val="auto"/>
              </w:rPr>
            </w:pPr>
            <w:r>
              <w:rPr>
                <w:rFonts w:hint="eastAsia"/>
                <w:color w:val="auto"/>
              </w:rPr>
              <w:t>含配重96t</w:t>
            </w:r>
          </w:p>
        </w:tc>
      </w:tr>
      <w:tr w14:paraId="4FFA5D8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3" w:hRule="atLeast"/>
          <w:jc w:val="center"/>
        </w:trPr>
        <w:tc>
          <w:tcPr>
            <w:tcW w:w="615" w:type="dxa"/>
            <w:tcBorders>
              <w:left w:val="single" w:color="auto" w:sz="12" w:space="0"/>
            </w:tcBorders>
            <w:vAlign w:val="center"/>
          </w:tcPr>
          <w:p w14:paraId="2A87E387">
            <w:pPr>
              <w:pStyle w:val="27"/>
              <w:rPr>
                <w:rFonts w:eastAsia="宋体"/>
                <w:color w:val="auto"/>
                <w:lang w:eastAsia="zh-CN"/>
              </w:rPr>
            </w:pPr>
            <w:r>
              <w:rPr>
                <w:rFonts w:hint="eastAsia" w:eastAsia="宋体"/>
                <w:color w:val="auto"/>
                <w:lang w:eastAsia="zh-CN"/>
              </w:rPr>
              <w:t>7</w:t>
            </w:r>
          </w:p>
        </w:tc>
        <w:tc>
          <w:tcPr>
            <w:tcW w:w="1470" w:type="dxa"/>
          </w:tcPr>
          <w:p w14:paraId="3A3079AD">
            <w:pPr>
              <w:pStyle w:val="27"/>
              <w:rPr>
                <w:color w:val="auto"/>
                <w:lang w:eastAsia="zh-CN"/>
              </w:rPr>
            </w:pPr>
            <w:r>
              <w:rPr>
                <w:rFonts w:hint="eastAsia"/>
                <w:color w:val="auto"/>
                <w:lang w:eastAsia="zh-CN"/>
              </w:rPr>
              <w:t>出水口快速事故闸门门槽</w:t>
            </w:r>
          </w:p>
        </w:tc>
        <w:tc>
          <w:tcPr>
            <w:tcW w:w="735" w:type="dxa"/>
            <w:vAlign w:val="center"/>
          </w:tcPr>
          <w:p w14:paraId="70B8AE32">
            <w:pPr>
              <w:pStyle w:val="27"/>
              <w:rPr>
                <w:color w:val="auto"/>
                <w:lang w:eastAsia="zh-CN"/>
              </w:rPr>
            </w:pPr>
          </w:p>
        </w:tc>
        <w:tc>
          <w:tcPr>
            <w:tcW w:w="690" w:type="dxa"/>
            <w:vAlign w:val="center"/>
          </w:tcPr>
          <w:p w14:paraId="77FFB7E3">
            <w:pPr>
              <w:pStyle w:val="27"/>
              <w:rPr>
                <w:color w:val="auto"/>
              </w:rPr>
            </w:pPr>
            <w:r>
              <w:rPr>
                <w:rFonts w:hint="eastAsia"/>
                <w:color w:val="auto"/>
              </w:rPr>
              <w:t>12</w:t>
            </w:r>
          </w:p>
        </w:tc>
        <w:tc>
          <w:tcPr>
            <w:tcW w:w="1898" w:type="dxa"/>
            <w:vAlign w:val="center"/>
          </w:tcPr>
          <w:p w14:paraId="283E65E5">
            <w:pPr>
              <w:pStyle w:val="27"/>
              <w:rPr>
                <w:color w:val="auto"/>
              </w:rPr>
            </w:pPr>
          </w:p>
        </w:tc>
        <w:tc>
          <w:tcPr>
            <w:tcW w:w="1181" w:type="dxa"/>
            <w:vAlign w:val="center"/>
          </w:tcPr>
          <w:p w14:paraId="7CD7C15A">
            <w:pPr>
              <w:pStyle w:val="27"/>
              <w:rPr>
                <w:color w:val="auto"/>
              </w:rPr>
            </w:pPr>
          </w:p>
        </w:tc>
        <w:tc>
          <w:tcPr>
            <w:tcW w:w="1020" w:type="dxa"/>
            <w:vAlign w:val="center"/>
          </w:tcPr>
          <w:p w14:paraId="7C219E9D">
            <w:pPr>
              <w:pStyle w:val="27"/>
              <w:rPr>
                <w:color w:val="auto"/>
              </w:rPr>
            </w:pPr>
          </w:p>
        </w:tc>
        <w:tc>
          <w:tcPr>
            <w:tcW w:w="735" w:type="dxa"/>
            <w:vAlign w:val="center"/>
          </w:tcPr>
          <w:p w14:paraId="30CEF63B">
            <w:pPr>
              <w:pStyle w:val="27"/>
              <w:rPr>
                <w:color w:val="auto"/>
              </w:rPr>
            </w:pPr>
            <w:r>
              <w:rPr>
                <w:rFonts w:hint="eastAsia"/>
                <w:color w:val="auto"/>
              </w:rPr>
              <w:t>1</w:t>
            </w:r>
            <w:r>
              <w:rPr>
                <w:color w:val="auto"/>
              </w:rPr>
              <w:t>20</w:t>
            </w:r>
          </w:p>
        </w:tc>
        <w:tc>
          <w:tcPr>
            <w:tcW w:w="718" w:type="dxa"/>
            <w:tcBorders>
              <w:right w:val="single" w:color="auto" w:sz="12" w:space="0"/>
            </w:tcBorders>
            <w:vAlign w:val="center"/>
          </w:tcPr>
          <w:p w14:paraId="0EC8FF64">
            <w:pPr>
              <w:pStyle w:val="27"/>
              <w:rPr>
                <w:color w:val="auto"/>
              </w:rPr>
            </w:pPr>
          </w:p>
        </w:tc>
      </w:tr>
    </w:tbl>
    <w:p w14:paraId="52E28803">
      <w:pPr>
        <w:ind w:firstLine="455"/>
        <w:rPr>
          <w:color w:val="auto"/>
          <w:lang w:eastAsia="zh-CN"/>
        </w:rPr>
      </w:pPr>
      <w:r>
        <w:rPr>
          <w:color w:val="auto"/>
          <w:lang w:eastAsia="zh-CN"/>
        </w:rPr>
        <w:t>说明：各闸门孔口尺寸以施工图所示为准。</w:t>
      </w:r>
    </w:p>
    <w:p w14:paraId="5788CCF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21.1.2 承包人的责任</w:t>
      </w:r>
    </w:p>
    <w:p w14:paraId="362C96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（1）承包人应负责闸门制造详图设计，负责采购本工程闸门制造所需的全部钢材、焊接材料、连接件和涂装材料，并应按本合同的有关规定，对上述材料和连接件进行检验和验收。</w:t>
      </w:r>
    </w:p>
    <w:p w14:paraId="679B18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（2）承包人应负责本工程闸门的制造，包括按有关的规定进行闸门制造、焊接、试验、运输、涂装以及质量检查和验收等全部工作。</w:t>
      </w:r>
    </w:p>
    <w:p w14:paraId="440D45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（3）承包人应指派持有上岗证的合格焊工和无损检测人员进行焊接和检验工作，并应按有关规程规范的规定进行焊接工艺评定。</w:t>
      </w:r>
    </w:p>
    <w:p w14:paraId="4C29D4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（4）受运输条件分节的闸门，承包人应在厂内完成现场焊缝焊接坡口的制作。</w:t>
      </w:r>
    </w:p>
    <w:p w14:paraId="7BC8224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21.1.3 主要提交件</w:t>
      </w:r>
    </w:p>
    <w:p w14:paraId="47D905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（1）施工措施计划。</w:t>
      </w:r>
    </w:p>
    <w:p w14:paraId="6BA44B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承包人应在闸门工程开工前</w:t>
      </w:r>
      <w:r>
        <w:rPr>
          <w:rFonts w:hint="eastAsia" w:ascii="宋体" w:hAnsi="宋体" w:eastAsia="宋体" w:cs="宋体"/>
          <w:color w:val="auto"/>
          <w:sz w:val="24"/>
          <w:szCs w:val="24"/>
          <w:u w:val="single"/>
          <w:lang w:eastAsia="zh-CN"/>
        </w:rPr>
        <w:t>14</w:t>
      </w:r>
      <w:r>
        <w:rPr>
          <w:rFonts w:hint="eastAsia" w:ascii="宋体" w:hAnsi="宋体" w:eastAsia="宋体" w:cs="宋体"/>
          <w:color w:val="auto"/>
          <w:sz w:val="24"/>
          <w:szCs w:val="24"/>
          <w:lang w:eastAsia="zh-CN"/>
        </w:rPr>
        <w:t>天，提交一份闸门制造的措施计划报送监理人审批。其内容应包括：</w:t>
      </w:r>
    </w:p>
    <w:p w14:paraId="18ED42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1）闸门的加工车间布置。</w:t>
      </w:r>
    </w:p>
    <w:p w14:paraId="612E35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2）闸门的制造工艺设计。</w:t>
      </w:r>
    </w:p>
    <w:p w14:paraId="44C465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3）闸门的运输措施。</w:t>
      </w:r>
    </w:p>
    <w:p w14:paraId="3D797D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4）质量和安全保证措施。</w:t>
      </w:r>
    </w:p>
    <w:p w14:paraId="78C18A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5）制造进度计划。</w:t>
      </w:r>
    </w:p>
    <w:p w14:paraId="33F180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（2）材料采购计划。</w:t>
      </w:r>
    </w:p>
    <w:p w14:paraId="52D72D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承包人应根据合同进度计划和施工图纸的要求，并按本合同的有关规定提交闸门材料的采购计划报送监理人审批。</w:t>
      </w:r>
    </w:p>
    <w:p w14:paraId="240147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（3）材料检验成果报告。</w:t>
      </w:r>
    </w:p>
    <w:p w14:paraId="601296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承包人按本合同有关规定所作的钢材检验成果、焊接材料检验成果和涂装材料检验成果，均应及时报送监理人。</w:t>
      </w:r>
    </w:p>
    <w:p w14:paraId="442B54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（4）制造详图。</w:t>
      </w:r>
    </w:p>
    <w:p w14:paraId="4D66A9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承包人应按监理人提供的闸门施工图纸设计制造详图，并应在闸门制造前56 天报送监理人审批。监理人应在收到图纸28天内批复承包人。</w:t>
      </w:r>
    </w:p>
    <w:p w14:paraId="76832D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（5）焊接工艺计划。</w:t>
      </w:r>
    </w:p>
    <w:p w14:paraId="216F0F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承包人应在施焊开始前56天，编制一份焊接工艺计划报送监理人审批。监理人应在收到报告后28天内批复承包人。</w:t>
      </w:r>
    </w:p>
    <w:p w14:paraId="3CA0C1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（6）焊接工艺评定报告。</w:t>
      </w:r>
    </w:p>
    <w:p w14:paraId="7E2D62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承包人应在向监理人报送焊接工艺计划的同时，编制焊接工艺评定报告报送监理人审批。监理人应在收到报告后28天内批复承包人。</w:t>
      </w:r>
    </w:p>
    <w:p w14:paraId="2E2908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（7）结构件水密试验措施计划和试验成果报告。</w:t>
      </w:r>
    </w:p>
    <w:p w14:paraId="774504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承包人应提交一份结构件水密试验措施计划和试验成果报告，报送监理人审批。</w:t>
      </w:r>
    </w:p>
    <w:p w14:paraId="2DC7F8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（8）闸门制造的质量检查记录。</w:t>
      </w:r>
    </w:p>
    <w:p w14:paraId="6B945E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承包人应在闸门制造过程中，按监理人指示及时提交闸门制造的质量检查记录。</w:t>
      </w:r>
    </w:p>
    <w:p w14:paraId="3602C9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（9）涂装工艺措施报告和质量检验成果。</w:t>
      </w:r>
    </w:p>
    <w:p w14:paraId="23F756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承包人应提交一份闸门涂装工艺措施和涂装质量检验成果报送监理人审批。</w:t>
      </w:r>
    </w:p>
    <w:p w14:paraId="62CC091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21.1.4 引用标准</w:t>
      </w:r>
    </w:p>
    <w:p w14:paraId="4885A9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（1）《水利水电工程钢闸门制造、安装及验收规范》（GB/T 14173-2008）。</w:t>
      </w:r>
    </w:p>
    <w:p w14:paraId="4AB213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（2）《碳素结构钢》（GB/T 700-2006）。</w:t>
      </w:r>
    </w:p>
    <w:p w14:paraId="2CAB00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（3）《低合金高强度结构钢》（GB/T 1591-2018）。</w:t>
      </w:r>
    </w:p>
    <w:p w14:paraId="3739C2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（4）《优质碳素结构钢》（GB/T 699-2015）。</w:t>
      </w:r>
    </w:p>
    <w:p w14:paraId="3DD67D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（5）《热轧钢板和钢带的尺寸、外形、重量及允许偏差》（GB/T 709-2019）。</w:t>
      </w:r>
    </w:p>
    <w:p w14:paraId="68A734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（6）《热轧型钢》（GB/T 706-2016）。</w:t>
      </w:r>
    </w:p>
    <w:p w14:paraId="719787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（7）《不锈钢热轧钢板和钢带》（GB/T 4237-2015）。</w:t>
      </w:r>
    </w:p>
    <w:p w14:paraId="5D2C520E">
      <w:pPr>
        <w:widowControl w:val="0"/>
        <w:kinsoku/>
        <w:topLinePunct/>
        <w:autoSpaceDE/>
        <w:autoSpaceDN/>
        <w:spacing w:line="520" w:lineRule="exact"/>
        <w:ind w:firstLine="480" w:firstLineChars="200"/>
        <w:jc w:val="both"/>
        <w:rPr>
          <w:rFonts w:hint="eastAsia" w:ascii="宋体" w:hAnsi="宋体" w:eastAsia="宋体" w:cs="宋体"/>
          <w:color w:val="auto"/>
          <w:spacing w:val="-28"/>
          <w:sz w:val="24"/>
          <w:szCs w:val="24"/>
          <w:lang w:eastAsia="zh-CN"/>
        </w:rPr>
      </w:pPr>
      <w:r>
        <w:rPr>
          <w:rFonts w:hint="eastAsia" w:ascii="宋体" w:hAnsi="宋体" w:eastAsia="宋体" w:cs="宋体"/>
          <w:color w:val="auto"/>
          <w:sz w:val="24"/>
          <w:szCs w:val="24"/>
          <w:lang w:eastAsia="zh-CN"/>
        </w:rPr>
        <w:t>（8）</w:t>
      </w:r>
      <w:r>
        <w:rPr>
          <w:rFonts w:hint="eastAsia" w:ascii="宋体" w:hAnsi="宋体" w:eastAsia="宋体" w:cs="宋体"/>
          <w:color w:val="auto"/>
          <w:spacing w:val="-28"/>
          <w:sz w:val="24"/>
          <w:szCs w:val="24"/>
          <w:lang w:eastAsia="zh-CN"/>
        </w:rPr>
        <w:t>《钢结构用高强度大六角头螺栓、大六角螺母、垫圈技术条件》（GB/T 1231-2006）。</w:t>
      </w:r>
    </w:p>
    <w:p w14:paraId="0854B8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（9）《水工金属结构焊接通用技术条件》（SL 36-2016）。</w:t>
      </w:r>
    </w:p>
    <w:p w14:paraId="353FA9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（10）《水工金属结构防腐蚀规范》（SL 105-2007）。</w:t>
      </w:r>
    </w:p>
    <w:p w14:paraId="6643B2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（11）《焊缝无损检测焊缝磁粉检测验收等级》（GB/T 26952-2011）。</w:t>
      </w:r>
    </w:p>
    <w:p w14:paraId="4E1388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（12）《焊缝无损检测焊缝渗透检测验收等级》（GB/T 26953-2011）。</w:t>
      </w:r>
    </w:p>
    <w:p w14:paraId="5E76CA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（13）《钢结构防火涂料》（GB 14907-2018）。</w:t>
      </w:r>
    </w:p>
    <w:p w14:paraId="0E4445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（14）《冷弯薄壁型钢结构技术规范》（GB 50018-2002）。</w:t>
      </w:r>
    </w:p>
    <w:p w14:paraId="6C3102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（15）《钢结构工程施工质量验收标准》（GB 50205-2020）。</w:t>
      </w:r>
    </w:p>
    <w:p w14:paraId="2F42FC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（16）《焊接H型钢》（GB/T 33814-2017）。</w:t>
      </w:r>
    </w:p>
    <w:p w14:paraId="37D048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（17）《厚钢板超声检测方法》（GB/T 2970-2016）。</w:t>
      </w:r>
    </w:p>
    <w:p w14:paraId="4C8591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（18）《焊缝无损检测超声检测技术、检测等级和评定》（GB/T 11345-2023）。</w:t>
      </w:r>
    </w:p>
    <w:p w14:paraId="3B3646B3">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hint="eastAsia" w:ascii="宋体" w:hAnsi="宋体" w:eastAsia="宋体" w:cs="宋体"/>
          <w:color w:val="auto"/>
          <w:sz w:val="24"/>
          <w:szCs w:val="24"/>
          <w:lang w:eastAsia="zh-CN"/>
        </w:rPr>
        <w:t>（19）</w:t>
      </w:r>
      <w:r>
        <w:rPr>
          <w:rFonts w:hint="eastAsia" w:ascii="宋体" w:hAnsi="宋体" w:eastAsia="宋体" w:cs="宋体"/>
          <w:color w:val="auto"/>
          <w:spacing w:val="-20"/>
          <w:sz w:val="24"/>
          <w:szCs w:val="24"/>
          <w:lang w:eastAsia="zh-CN"/>
        </w:rPr>
        <w:t>《气焊、焊条电弧焊、气体保护焊和高能束焊的推荐坡口》（GB/T 985.1-2008）。</w:t>
      </w:r>
    </w:p>
    <w:p w14:paraId="2C431E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（20）《埋弧焊的推荐坡口》（</w:t>
      </w:r>
      <w:r>
        <w:rPr>
          <w:rFonts w:hint="eastAsia" w:ascii="宋体" w:hAnsi="宋体" w:eastAsia="宋体" w:cs="宋体"/>
          <w:color w:val="auto"/>
          <w:sz w:val="24"/>
          <w:szCs w:val="24"/>
          <w:lang w:eastAsia="zh-CN"/>
        </w:rPr>
        <w:t>GB/T 985.2-2008</w:t>
      </w:r>
      <w:r>
        <w:rPr>
          <w:rFonts w:hint="eastAsia" w:ascii="宋体" w:hAnsi="宋体" w:eastAsia="宋体" w:cs="宋体"/>
          <w:color w:val="auto"/>
          <w:sz w:val="24"/>
          <w:szCs w:val="24"/>
        </w:rPr>
        <w:t>）。</w:t>
      </w:r>
    </w:p>
    <w:p w14:paraId="2602E178">
      <w:pPr>
        <w:widowControl w:val="0"/>
        <w:kinsoku/>
        <w:topLinePunct/>
        <w:autoSpaceDE/>
        <w:autoSpaceDN/>
        <w:spacing w:line="520" w:lineRule="exact"/>
        <w:ind w:firstLine="480" w:firstLineChars="200"/>
        <w:jc w:val="both"/>
        <w:rPr>
          <w:rFonts w:hint="eastAsia" w:ascii="宋体" w:hAnsi="宋体" w:eastAsia="宋体" w:cs="宋体"/>
          <w:color w:val="auto"/>
          <w:spacing w:val="-11"/>
          <w:sz w:val="24"/>
          <w:szCs w:val="24"/>
          <w:lang w:eastAsia="zh-CN"/>
        </w:rPr>
      </w:pPr>
      <w:r>
        <w:rPr>
          <w:rFonts w:hint="eastAsia" w:ascii="宋体" w:hAnsi="宋体" w:eastAsia="宋体" w:cs="宋体"/>
          <w:color w:val="auto"/>
          <w:sz w:val="24"/>
          <w:szCs w:val="24"/>
          <w:lang w:eastAsia="zh-CN"/>
        </w:rPr>
        <w:t>（21）</w:t>
      </w:r>
      <w:r>
        <w:rPr>
          <w:rFonts w:hint="eastAsia" w:ascii="宋体" w:hAnsi="宋体" w:eastAsia="宋体" w:cs="宋体"/>
          <w:color w:val="auto"/>
          <w:spacing w:val="-11"/>
          <w:sz w:val="24"/>
          <w:szCs w:val="24"/>
          <w:lang w:eastAsia="zh-CN"/>
        </w:rPr>
        <w:t>《涂覆涂料前钢材表面处理表面清洁度的目视评定第1部分：未涂覆过的钢材表面和全面清除原有涂层后的钢材表面的锈蚀等级和处理等级》（GB/T 8923.1-2011）。</w:t>
      </w:r>
    </w:p>
    <w:p w14:paraId="579077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（22）《钢结构焊接规范》（GB 50661-2011）。</w:t>
      </w:r>
    </w:p>
    <w:p w14:paraId="5C40CC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（23）《建筑钢结构防火技术规范》（GB 51249-2017）。</w:t>
      </w:r>
    </w:p>
    <w:p w14:paraId="3CF926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（24）《钢结构防火涂料应用技术规程》（T/CECS24-2020）。</w:t>
      </w:r>
    </w:p>
    <w:p w14:paraId="3D46B692">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45" w:name="_Toc9562"/>
      <w:bookmarkStart w:id="1546" w:name="_Toc26321"/>
      <w:bookmarkStart w:id="1547" w:name="_Toc874"/>
      <w:r>
        <w:rPr>
          <w:rFonts w:hint="eastAsia" w:ascii="宋体" w:hAnsi="宋体" w:eastAsia="宋体" w:cs="宋体"/>
          <w:b/>
          <w:bCs/>
          <w:color w:val="auto"/>
          <w:sz w:val="24"/>
          <w:szCs w:val="24"/>
          <w:lang w:eastAsia="zh-CN"/>
        </w:rPr>
        <w:t>21.2 材料和外购件</w:t>
      </w:r>
      <w:bookmarkEnd w:id="1545"/>
      <w:bookmarkEnd w:id="1546"/>
      <w:bookmarkEnd w:id="1547"/>
    </w:p>
    <w:p w14:paraId="5CD6D0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（1）材料和外购件运至目的地后，应由承包人会同监理人进行检验验收。每批到货的材料和外购件应附有合格证、使用说明书及材质检验报告等。材料和外购件的检验应符合《钢结构工程施工质量验收标准》（GB 50205-2020）第4章的规定，检验验收记录应提交监理人。</w:t>
      </w:r>
    </w:p>
    <w:p w14:paraId="37FAB0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（2）按合同约定，对有特殊要求的材质需要进行复验，其复验成果应提交监理人。</w:t>
      </w:r>
    </w:p>
    <w:p w14:paraId="27538D5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（3）金属材料</w:t>
      </w:r>
    </w:p>
    <w:p w14:paraId="4B6198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制造所用的金属材料，包括黑色金属材料和有色金属材料，必须符合施工图样规定，其机械性能和化学成份必须符合现行的国家标准或部颁标准，并应具有出厂合格证。如没有出厂合格证、或标号不清、或数据不全、或对数据有疑问的，应每张或每件金属材料进行试验，试验合格并取得监理人的同意方可使用。凡钢板表面存在的缺陷超过GB/T3274的有关规定时，不得用于制造闸门的承重构件。</w:t>
      </w:r>
    </w:p>
    <w:p w14:paraId="7A1B77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（4）焊接材料</w:t>
      </w:r>
    </w:p>
    <w:p w14:paraId="0AB965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焊条型号或焊丝代号及其焊剂必须符合施工图样的规定，当施工图样没有规定时，应选用与母材强度相适应的焊接材料；焊条应符合</w:t>
      </w:r>
      <w:r>
        <w:rPr>
          <w:rFonts w:hint="eastAsia" w:ascii="宋体" w:hAnsi="宋体" w:eastAsia="宋体" w:cs="宋体"/>
          <w:color w:val="auto"/>
          <w:spacing w:val="-20"/>
          <w:sz w:val="24"/>
          <w:szCs w:val="24"/>
          <w:lang w:eastAsia="zh-CN"/>
        </w:rPr>
        <w:t>GB/T 5117、GB/T 5118、GB/T 984</w:t>
      </w:r>
      <w:r>
        <w:rPr>
          <w:rFonts w:hint="eastAsia" w:ascii="宋体" w:hAnsi="宋体" w:eastAsia="宋体" w:cs="宋体"/>
          <w:color w:val="auto"/>
          <w:sz w:val="24"/>
          <w:szCs w:val="24"/>
          <w:lang w:eastAsia="zh-CN"/>
        </w:rPr>
        <w:t>或GB/T 983的有关规定；自动焊用的钢丝应符合 GB/T1300 的规定；碳素钢埋弧自动焊用焊剂应符合GB/T 5293 的有关规定；焊接材料都必须具有产品质量合格证；焊条的贮存与保管遵照JB 3223的规定执行。</w:t>
      </w:r>
    </w:p>
    <w:p w14:paraId="056E34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（5）止水橡皮</w:t>
      </w:r>
    </w:p>
    <w:p w14:paraId="6FD63E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止水橡皮的物理机械性能应符合GB/T14173附录D的规定，其含胶量(新胶)不小于60%；闸门的顶、侧水封及底水封采用施工图样规格。止水橡皮用压模法生产，其尺寸的公差应符合施工图样的要求。止水橡皮的供货数量应比施工图样要求的数量多5%，以备安装损耗之用。</w:t>
      </w:r>
    </w:p>
    <w:p w14:paraId="093165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（6）轴承</w:t>
      </w:r>
    </w:p>
    <w:p w14:paraId="470EAF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轴承要求为铜基镶嵌自润滑轴承，以优质高强度铜合金为基体，基体上钻有若干孔，孔内镶嵌固体润滑剂。轴承工作时，固体润滑剂在轴承表面形成极薄而光滑的润滑膜，实现轴承的自润滑。轴承力学性能：抗拉强度≥540MPa；硬度HB≥110；许用载荷≥80MPa；摩擦系数≤0.15。</w:t>
      </w:r>
    </w:p>
    <w:p w14:paraId="1963DBA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（7）滑块</w:t>
      </w:r>
    </w:p>
    <w:p w14:paraId="26EE11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滑块要求摩擦系数低、自润滑免维护、耐腐蚀、耐磨损承载力大、抗老化等特性。基本性能参数须满足：抗拉强度≥70MPa，抗压强度≥120MPa，吸水率≤0.7%，净水中摩擦系数≤0.1，磨损系数≤6×10</w:t>
      </w:r>
      <w:r>
        <w:rPr>
          <w:rFonts w:hint="eastAsia" w:ascii="宋体" w:hAnsi="宋体" w:eastAsia="宋体" w:cs="宋体"/>
          <w:color w:val="auto"/>
          <w:sz w:val="24"/>
          <w:szCs w:val="24"/>
          <w:vertAlign w:val="superscript"/>
          <w:lang w:eastAsia="zh-CN"/>
        </w:rPr>
        <w:t>-7</w:t>
      </w:r>
      <w:r>
        <w:rPr>
          <w:rFonts w:hint="eastAsia" w:ascii="宋体" w:hAnsi="宋体" w:eastAsia="宋体" w:cs="宋体"/>
          <w:color w:val="auto"/>
          <w:sz w:val="24"/>
          <w:szCs w:val="24"/>
          <w:lang w:eastAsia="zh-CN"/>
        </w:rPr>
        <w:t>mg/Nm，邵氏硬度60～75。</w:t>
      </w:r>
    </w:p>
    <w:p w14:paraId="162402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（8）防腐、润滑材料</w:t>
      </w:r>
    </w:p>
    <w:p w14:paraId="7E7061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金属结构防腐材料、轴镀层材料以及转动部位所涂的工业用润滑油应符合本合同和施工图样的规定，其性能应符合有关标准。</w:t>
      </w:r>
    </w:p>
    <w:p w14:paraId="38481AD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548" w:name="_Toc6573"/>
      <w:bookmarkStart w:id="1549" w:name="_Toc5523"/>
      <w:bookmarkStart w:id="1550" w:name="_Toc29711"/>
      <w:r>
        <w:rPr>
          <w:rFonts w:hint="eastAsia" w:ascii="宋体" w:hAnsi="宋体" w:eastAsia="宋体" w:cs="宋体"/>
          <w:b/>
          <w:bCs/>
          <w:color w:val="auto"/>
          <w:sz w:val="24"/>
          <w:szCs w:val="24"/>
          <w:lang w:eastAsia="zh-CN"/>
        </w:rPr>
        <w:t>21.3 钢闸门制作技术条款</w:t>
      </w:r>
      <w:bookmarkEnd w:id="1548"/>
      <w:bookmarkEnd w:id="1549"/>
      <w:bookmarkEnd w:id="1550"/>
    </w:p>
    <w:p w14:paraId="413BAD43">
      <w:pPr>
        <w:widowControl w:val="0"/>
        <w:kinsoku/>
        <w:topLinePunct/>
        <w:autoSpaceDE/>
        <w:autoSpaceDN/>
        <w:spacing w:line="520" w:lineRule="exact"/>
        <w:ind w:firstLine="480" w:firstLineChars="200"/>
        <w:jc w:val="both"/>
        <w:outlineLvl w:val="3"/>
        <w:rPr>
          <w:rFonts w:hint="eastAsia" w:ascii="宋体" w:hAnsi="宋体" w:eastAsia="宋体" w:cs="宋体"/>
          <w:color w:val="auto"/>
          <w:sz w:val="24"/>
          <w:szCs w:val="24"/>
          <w:lang w:eastAsia="zh-CN"/>
        </w:rPr>
      </w:pPr>
      <w:bookmarkStart w:id="1551" w:name="_Toc206164693"/>
      <w:bookmarkStart w:id="1552" w:name="_Toc206148316"/>
      <w:bookmarkStart w:id="1553" w:name="_Toc1184"/>
      <w:r>
        <w:rPr>
          <w:rFonts w:hint="eastAsia" w:ascii="宋体" w:hAnsi="宋体" w:eastAsia="宋体" w:cs="宋体"/>
          <w:color w:val="auto"/>
          <w:sz w:val="24"/>
          <w:szCs w:val="24"/>
          <w:lang w:eastAsia="zh-CN"/>
        </w:rPr>
        <w:t>21.3.1闸门制造通用技术条款</w:t>
      </w:r>
      <w:bookmarkEnd w:id="1551"/>
      <w:bookmarkEnd w:id="1552"/>
      <w:bookmarkEnd w:id="1553"/>
    </w:p>
    <w:p w14:paraId="2972AB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54" w:name="_Toc206148317"/>
      <w:bookmarkStart w:id="1555" w:name="_Toc6491"/>
      <w:bookmarkStart w:id="1556" w:name="_Toc206164694"/>
      <w:bookmarkStart w:id="1557" w:name="_Toc91228151"/>
      <w:r>
        <w:rPr>
          <w:rFonts w:hint="eastAsia" w:ascii="宋体" w:hAnsi="宋体" w:eastAsia="宋体" w:cs="宋体"/>
          <w:color w:val="auto"/>
          <w:sz w:val="24"/>
          <w:szCs w:val="24"/>
          <w:lang w:eastAsia="zh-CN"/>
        </w:rPr>
        <w:t>21.3.1.1 按图制造及设计联络会</w:t>
      </w:r>
      <w:bookmarkEnd w:id="1554"/>
      <w:bookmarkEnd w:id="1555"/>
      <w:bookmarkEnd w:id="1556"/>
      <w:bookmarkEnd w:id="1557"/>
    </w:p>
    <w:p w14:paraId="2F271E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58" w:name="_Toc206148045"/>
      <w:r>
        <w:rPr>
          <w:rFonts w:hint="eastAsia" w:ascii="宋体" w:hAnsi="宋体" w:eastAsia="宋体" w:cs="宋体"/>
          <w:color w:val="auto"/>
          <w:sz w:val="24"/>
          <w:szCs w:val="24"/>
          <w:lang w:eastAsia="zh-CN"/>
        </w:rPr>
        <w:t>（1）按图制造</w:t>
      </w:r>
      <w:bookmarkEnd w:id="1558"/>
    </w:p>
    <w:p w14:paraId="0AB803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闸门制造必须按施工图样（含技术要求说明书和设计修改通知单，后同）和经审查的非标设计进行，如有修改，应取得发包人的书面同意，对修改的内容，应作详细记录，并作为绘制制造竣工图样的依据。</w:t>
      </w:r>
    </w:p>
    <w:p w14:paraId="507A9D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59" w:name="_Toc206148046"/>
      <w:r>
        <w:rPr>
          <w:rFonts w:hint="eastAsia" w:ascii="宋体" w:hAnsi="宋体" w:eastAsia="宋体" w:cs="宋体"/>
          <w:color w:val="auto"/>
          <w:sz w:val="24"/>
          <w:szCs w:val="24"/>
          <w:lang w:eastAsia="zh-CN"/>
        </w:rPr>
        <w:t>（2）设计联络会</w:t>
      </w:r>
      <w:bookmarkEnd w:id="1559"/>
    </w:p>
    <w:p w14:paraId="0AF6E0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1）总则</w:t>
      </w:r>
    </w:p>
    <w:p w14:paraId="3C1AEF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①为保证合同有效顺利地实施，发包人将与承包人通过设计联络会对合同设备的设计、制造的有关图纸、技术文件及其它方面的技术问题进行协调、讨论和审查。</w:t>
      </w:r>
    </w:p>
    <w:p w14:paraId="706CFD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②设计联络会均需签订会议纪要，该会议纪要将成为合同的正式组成部分，双方必须遵守。在设计联络会中如对合同条款、技术条款有重大修改时，须经过双方授权代表签字。</w:t>
      </w:r>
    </w:p>
    <w:p w14:paraId="2037CD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③发包人对承包人设计图纸和技术文件的讨论、审查并不免除承包人对本合同设备设计、制造的任何责任。</w:t>
      </w:r>
    </w:p>
    <w:p w14:paraId="17CFD0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2）设计联络会的要求及需提交的资料</w:t>
      </w:r>
    </w:p>
    <w:p w14:paraId="1A7897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①根据完成的合同工期要求，由承包人提出召开联络会的时间，并报监理人。发包人将会同监理人、工程设计单位、安装运行单位的有关人员出席。</w:t>
      </w:r>
    </w:p>
    <w:p w14:paraId="1F5290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设计联络会讨论并审查闸门制造工艺流程、场地、焊接工艺、制造质量保证措施、防腐方案及实施、闸门现场安装、出厂验收的有关事项，协调与土建的技术问题等。设计联络时间和联络会讨论内容可根据现场施工进度要求调整，各合同闸门供货时间在设计联络会商定。</w:t>
      </w:r>
    </w:p>
    <w:p w14:paraId="3D707D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60" w:name="_Toc91228152"/>
      <w:bookmarkStart w:id="1561" w:name="_Toc29674"/>
      <w:bookmarkStart w:id="1562" w:name="_Toc206148318"/>
      <w:bookmarkStart w:id="1563" w:name="_Toc206164695"/>
      <w:bookmarkStart w:id="1564" w:name="_Toc351469510"/>
      <w:r>
        <w:rPr>
          <w:rFonts w:hint="eastAsia" w:ascii="宋体" w:hAnsi="宋体" w:eastAsia="宋体" w:cs="宋体"/>
          <w:color w:val="auto"/>
          <w:sz w:val="24"/>
          <w:szCs w:val="24"/>
          <w:lang w:eastAsia="zh-CN"/>
        </w:rPr>
        <w:t>21.3.1.2材料</w:t>
      </w:r>
      <w:bookmarkEnd w:id="1560"/>
      <w:bookmarkEnd w:id="1561"/>
      <w:bookmarkEnd w:id="1562"/>
      <w:bookmarkEnd w:id="1563"/>
    </w:p>
    <w:p w14:paraId="1F789D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65" w:name="_Toc206148048"/>
      <w:r>
        <w:rPr>
          <w:rFonts w:hint="eastAsia" w:ascii="宋体" w:hAnsi="宋体" w:eastAsia="宋体" w:cs="宋体"/>
          <w:color w:val="auto"/>
          <w:sz w:val="24"/>
          <w:szCs w:val="24"/>
          <w:lang w:eastAsia="zh-CN"/>
        </w:rPr>
        <w:t>（1）金属材料</w:t>
      </w:r>
      <w:bookmarkEnd w:id="1564"/>
      <w:bookmarkEnd w:id="1565"/>
    </w:p>
    <w:p w14:paraId="715066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闸门制造所用的金属材料，包括黑色金属材料和有色金属材料，必须符合施工图样规定，其机械性能和化学成份必须符合现行的国家标准或部颁标准，并应具有出厂合格证。如无出厂合格证、或标号不清、或数据不全、或对数据有疑问者，应每张或每件进行试验，试验合格并取得监理人的同意才能使用。</w:t>
      </w:r>
    </w:p>
    <w:p w14:paraId="3479BD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2）凡钢板表面存在的缺陷超过GB/T 3274的有关规定时，不得用于制造闸门的承重构件。</w:t>
      </w:r>
    </w:p>
    <w:p w14:paraId="3D7078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66" w:name="_Toc206148049"/>
      <w:r>
        <w:rPr>
          <w:rFonts w:hint="eastAsia" w:ascii="宋体" w:hAnsi="宋体" w:eastAsia="宋体" w:cs="宋体"/>
          <w:color w:val="auto"/>
          <w:sz w:val="24"/>
          <w:szCs w:val="24"/>
          <w:lang w:eastAsia="zh-CN"/>
        </w:rPr>
        <w:t>（2)焊接材料</w:t>
      </w:r>
      <w:bookmarkEnd w:id="1566"/>
    </w:p>
    <w:p w14:paraId="1EC941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焊条型号或焊丝代号及其焊剂必须符合施工图样的规定，当施工图样没有规定时，应选用与母材强度相适应的焊接材料。</w:t>
      </w:r>
    </w:p>
    <w:p w14:paraId="29EDF2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焊条应符合GB/T 5117、GB/T 5118、GB/T 983或GB/T 984的有关规定。</w:t>
      </w:r>
    </w:p>
    <w:p w14:paraId="28704B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自动焊用的钢丝应符合GB/T 14957的规定。</w:t>
      </w:r>
    </w:p>
    <w:p w14:paraId="77043B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碳素钢埋弧自动焊用焊剂应符合GB/T 5293的有关规定。</w:t>
      </w:r>
    </w:p>
    <w:p w14:paraId="787B02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焊接材料都必须具有产品质量合格证。</w:t>
      </w:r>
    </w:p>
    <w:p w14:paraId="2223A1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焊条的贮存与保管遵照规定执行。</w:t>
      </w:r>
    </w:p>
    <w:p w14:paraId="4C073E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67" w:name="_Toc206148050"/>
      <w:bookmarkStart w:id="1568" w:name="_Toc351469511"/>
      <w:r>
        <w:rPr>
          <w:rFonts w:hint="eastAsia" w:ascii="宋体" w:hAnsi="宋体" w:eastAsia="宋体" w:cs="宋体"/>
          <w:color w:val="auto"/>
          <w:sz w:val="24"/>
          <w:szCs w:val="24"/>
          <w:lang w:eastAsia="zh-CN"/>
        </w:rPr>
        <w:t>(3)止水橡皮</w:t>
      </w:r>
      <w:bookmarkEnd w:id="1567"/>
      <w:bookmarkEnd w:id="1568"/>
    </w:p>
    <w:p w14:paraId="4CF508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止水橡皮的物理机械性能应符合GB/T 14173的有关规定，其含胶量(新胶)不小于60%。</w:t>
      </w:r>
    </w:p>
    <w:p w14:paraId="6F62F7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闸门的顶、侧水封及底水封采用施工图样规格。</w:t>
      </w:r>
    </w:p>
    <w:p w14:paraId="42C1DA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止水橡皮用压模法生产，其尺寸的公差应符合施工图样的要求。</w:t>
      </w:r>
    </w:p>
    <w:p w14:paraId="21F802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止水橡皮的供货数量应比施工图样要求的数量多5%，以备安装损耗之用。</w:t>
      </w:r>
    </w:p>
    <w:p w14:paraId="427830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69" w:name="_Toc206148051"/>
      <w:bookmarkStart w:id="1570" w:name="_Toc351469512"/>
      <w:r>
        <w:rPr>
          <w:rFonts w:hint="eastAsia" w:ascii="宋体" w:hAnsi="宋体" w:eastAsia="宋体" w:cs="宋体"/>
          <w:color w:val="auto"/>
          <w:sz w:val="24"/>
          <w:szCs w:val="24"/>
          <w:lang w:eastAsia="zh-CN"/>
        </w:rPr>
        <w:t>(4)防腐、润滑材料</w:t>
      </w:r>
      <w:bookmarkEnd w:id="1569"/>
      <w:bookmarkEnd w:id="1570"/>
    </w:p>
    <w:p w14:paraId="17EB27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金属结构防腐材料、轴镀层材料以及转动部位所涂的工业用润滑油应符合本合同和施工图样的规定，其性能应符合有关标准。</w:t>
      </w:r>
    </w:p>
    <w:p w14:paraId="334ACB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71" w:name="_Toc206148052"/>
      <w:r>
        <w:rPr>
          <w:rFonts w:hint="eastAsia" w:ascii="宋体" w:hAnsi="宋体" w:eastAsia="宋体" w:cs="宋体"/>
          <w:color w:val="auto"/>
          <w:sz w:val="24"/>
          <w:szCs w:val="24"/>
          <w:lang w:eastAsia="zh-CN"/>
        </w:rPr>
        <w:t>(5)材料和外购件的检验验收</w:t>
      </w:r>
      <w:bookmarkEnd w:id="1571"/>
    </w:p>
    <w:p w14:paraId="5773AB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材料和外购件运至目的地后，应由承包人会同监理人进行检验验收。每批到货的材料和外购件应附有合格证、使用说明书及材质检验报告等。材料和外购件的检验应符合GB/T 50205的规定，检验验收记录应及时提交。</w:t>
      </w:r>
    </w:p>
    <w:p w14:paraId="0B86FB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按合同约定，对有特殊要求的材质需要进行复验，其复验成果应及时提交。</w:t>
      </w:r>
    </w:p>
    <w:p w14:paraId="545FF2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72" w:name="_Toc370459288"/>
      <w:bookmarkStart w:id="1573" w:name="_Toc10668"/>
      <w:bookmarkStart w:id="1574" w:name="_Toc206148319"/>
      <w:bookmarkStart w:id="1575" w:name="_Toc206164696"/>
      <w:bookmarkStart w:id="1576" w:name="_Toc91228153"/>
      <w:bookmarkStart w:id="1577" w:name="_Toc465867075"/>
      <w:r>
        <w:rPr>
          <w:rFonts w:hint="eastAsia" w:ascii="宋体" w:hAnsi="宋体" w:eastAsia="宋体" w:cs="宋体"/>
          <w:color w:val="auto"/>
          <w:sz w:val="24"/>
          <w:szCs w:val="24"/>
          <w:lang w:eastAsia="zh-CN"/>
        </w:rPr>
        <w:t>21.3.1.3钢构件制造</w:t>
      </w:r>
      <w:bookmarkEnd w:id="1572"/>
      <w:bookmarkEnd w:id="1573"/>
      <w:bookmarkEnd w:id="1574"/>
      <w:bookmarkEnd w:id="1575"/>
      <w:bookmarkEnd w:id="1576"/>
      <w:bookmarkEnd w:id="1577"/>
    </w:p>
    <w:p w14:paraId="7FE509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78" w:name="_Toc206148054"/>
      <w:r>
        <w:rPr>
          <w:rFonts w:hint="eastAsia" w:ascii="宋体" w:hAnsi="宋体" w:eastAsia="宋体" w:cs="宋体"/>
          <w:color w:val="auto"/>
          <w:sz w:val="24"/>
          <w:szCs w:val="24"/>
          <w:lang w:eastAsia="zh-CN"/>
        </w:rPr>
        <w:t>（1）一般技术要求</w:t>
      </w:r>
      <w:bookmarkEnd w:id="1578"/>
    </w:p>
    <w:p w14:paraId="10AD70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钢构件制造和组装前，承包人应按施工图纸的要求，绘制钢构件加工详图。在钢构件制造过程中，承包人需要对构件进行局部修改时，应经批准。</w:t>
      </w:r>
    </w:p>
    <w:p w14:paraId="68CFE9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承包人应编制各工种的工艺规程。必要时，应进行主要工种的工艺试验，工艺试验的成果应及时提交。</w:t>
      </w:r>
    </w:p>
    <w:p w14:paraId="0B3C34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钢构件制造和组装的检验应遵守GB/T 50205的有关规定。</w:t>
      </w:r>
    </w:p>
    <w:p w14:paraId="1FB7DE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79" w:name="_Toc206148055"/>
      <w:r>
        <w:rPr>
          <w:rFonts w:hint="eastAsia" w:ascii="宋体" w:hAnsi="宋体" w:eastAsia="宋体" w:cs="宋体"/>
          <w:color w:val="auto"/>
          <w:sz w:val="24"/>
          <w:szCs w:val="24"/>
          <w:lang w:eastAsia="zh-CN"/>
        </w:rPr>
        <w:t>(2)零部件加工</w:t>
      </w:r>
      <w:bookmarkEnd w:id="1579"/>
    </w:p>
    <w:p w14:paraId="6BE5B5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钢零件和部件的切割、矫正和成型、边缘加工、制孔等工序要求应符合GB/T 50205的有关规定。</w:t>
      </w:r>
    </w:p>
    <w:p w14:paraId="665F0A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80" w:name="_Toc206148056"/>
      <w:r>
        <w:rPr>
          <w:rFonts w:hint="eastAsia" w:ascii="宋体" w:hAnsi="宋体" w:eastAsia="宋体" w:cs="宋体"/>
          <w:color w:val="auto"/>
          <w:sz w:val="24"/>
          <w:szCs w:val="24"/>
          <w:lang w:eastAsia="zh-CN"/>
        </w:rPr>
        <w:t>(3)专业厂家提供的外购钢构件</w:t>
      </w:r>
      <w:bookmarkEnd w:id="1580"/>
    </w:p>
    <w:p w14:paraId="672601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承包人应在外购钢构件采购前，将订货技术要求提交专业厂家。接货时，应查验专业厂家的产品合格证及检验报告，并提交监理人。</w:t>
      </w:r>
    </w:p>
    <w:p w14:paraId="3805D9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81" w:name="_Toc206148057"/>
      <w:r>
        <w:rPr>
          <w:rFonts w:hint="eastAsia" w:ascii="宋体" w:hAnsi="宋体" w:eastAsia="宋体" w:cs="宋体"/>
          <w:color w:val="auto"/>
          <w:sz w:val="24"/>
          <w:szCs w:val="24"/>
          <w:lang w:eastAsia="zh-CN"/>
        </w:rPr>
        <w:t>(4)焊接</w:t>
      </w:r>
      <w:bookmarkEnd w:id="1581"/>
    </w:p>
    <w:p w14:paraId="538646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1）焊接工艺评定报告和焊接工艺规程</w:t>
      </w:r>
    </w:p>
    <w:p w14:paraId="615990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①在钢结构制造和安装前，承包人按规定进行焊接工艺评定，并编制焊接工艺评定报告，提交监理人批准。</w:t>
      </w:r>
    </w:p>
    <w:p w14:paraId="4407C2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②承包人应按焊接工艺评定成果，编制焊接工艺规程并提交监理人。</w:t>
      </w:r>
    </w:p>
    <w:p w14:paraId="78B310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2）焊工</w:t>
      </w:r>
    </w:p>
    <w:p w14:paraId="08823C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焊工应持有上岗合格证。合格证应注明证件有效期和焊工施焊范围。</w:t>
      </w:r>
    </w:p>
    <w:p w14:paraId="0762E2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3）焊接工艺</w:t>
      </w:r>
    </w:p>
    <w:p w14:paraId="77938A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①焊接材料的选配应遵守施工图纸及GB/T 50661的有关规定。</w:t>
      </w:r>
    </w:p>
    <w:p w14:paraId="723A82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②焊接作业环境应遵守GB/T 50661的有关规定。</w:t>
      </w:r>
    </w:p>
    <w:p w14:paraId="49AE63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③焊接材料应按产品使用说明书及GB/T 50661的规定有关规定。</w:t>
      </w:r>
    </w:p>
    <w:p w14:paraId="4239E1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④焊接使用引弧板、引出板和垫板应遵守GB/T 50661的有关规定。</w:t>
      </w:r>
    </w:p>
    <w:p w14:paraId="4192079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⑤多层焊时应连续施焊，并应遵守GB/T 50661的有关规定。</w:t>
      </w:r>
    </w:p>
    <w:p w14:paraId="1A3978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⑥定位焊应由持相应合格证的焊工施焊，并应遵守GB/T 50661的有关规定。</w:t>
      </w:r>
    </w:p>
    <w:p w14:paraId="29D782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⑦对需要预热及后热的焊缝，其预热及后热温度应遵守GB/T 50661的有关规定。</w:t>
      </w:r>
    </w:p>
    <w:p w14:paraId="4BBEF9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⑧焊接工作完毕后，应清理焊缝表面，在焊缝部位旁打上焊工工号钢印。</w:t>
      </w:r>
    </w:p>
    <w:p w14:paraId="7872CA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⑨焊后消应处理的标准应遵守GB/T 50661的有关规定。</w:t>
      </w:r>
    </w:p>
    <w:p w14:paraId="66CE46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焊缝质量检验</w:t>
      </w:r>
    </w:p>
    <w:p w14:paraId="127614F3">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焊缝抽样检查合格率应遵守GB/T 50661第的有关规定。</w:t>
      </w:r>
    </w:p>
    <w:p w14:paraId="570E73CF">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焊缝外观检查应遵守GB/T 50661的有关规定。</w:t>
      </w:r>
    </w:p>
    <w:p w14:paraId="607DBB9E">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无损检测人员须持有国家专业部门签发的二级或二级以上的无损检测资格证书。</w:t>
      </w:r>
    </w:p>
    <w:p w14:paraId="52937A0F">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表面检测应按NB/T 47013.4及NB/T 47013.5的有关规定采用磁粉探伤或渗透探伤。</w:t>
      </w:r>
    </w:p>
    <w:p w14:paraId="7EBE6D3C">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采用超声波探伤的全焊透焊缝的检测应遵守GB/T 50661的有关规定。</w:t>
      </w:r>
    </w:p>
    <w:p w14:paraId="6A718431">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采用超声波探伤的焊接球节点和螺栓球节点焊缝，其缺陷分级应遵守JG/T 203的有关规定。</w:t>
      </w:r>
    </w:p>
    <w:p w14:paraId="1FE92D23">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箱型构件隔板电渣焊焊缝、圆管T、K、Y节点焊缝，其超声波探伤方法及缺焊分级应遵守GB/T 50661的有关规定。</w:t>
      </w:r>
    </w:p>
    <w:p w14:paraId="4F754951">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按合同要求须作射线探伤时，其射线探伤应遵守GB/T 50661的有关规定。</w:t>
      </w:r>
    </w:p>
    <w:p w14:paraId="618A8BB4">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上述无损检测记录应及时提交监理人。监理人有权指示承包人对可疑部位，增加探伤比例和抽查每个焊工的焊缝。</w:t>
      </w:r>
    </w:p>
    <w:p w14:paraId="1B1E6C15">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焊缝质量检验全部完成后，承包人应将焊缝质量检验报告，提交监理人。</w:t>
      </w:r>
    </w:p>
    <w:p w14:paraId="7925267C">
      <w:pPr>
        <w:widowControl w:val="0"/>
        <w:numPr>
          <w:ilvl w:val="0"/>
          <w:numId w:val="9"/>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不合格的焊缝处理次数不得超过2次。</w:t>
      </w:r>
    </w:p>
    <w:p w14:paraId="214260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5）焊缝缺陷处理</w:t>
      </w:r>
    </w:p>
    <w:p w14:paraId="0A7C04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经监理人检查确认的焊缝缺陷，应由承包人负责按GB/T 50661的有关规定进行返修，返修后的缺陷部位仍需经监理人检查。当同一部位的返修次数超过两次时，应重新制定新的返修措施，提交监理人批准。</w:t>
      </w:r>
    </w:p>
    <w:p w14:paraId="52D32B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82" w:name="_Toc206148058"/>
      <w:r>
        <w:rPr>
          <w:rFonts w:hint="eastAsia" w:ascii="宋体" w:hAnsi="宋体" w:eastAsia="宋体" w:cs="宋体"/>
          <w:color w:val="auto"/>
          <w:sz w:val="24"/>
          <w:szCs w:val="24"/>
          <w:lang w:eastAsia="zh-CN"/>
        </w:rPr>
        <w:t>(5)螺栓连接</w:t>
      </w:r>
      <w:bookmarkEnd w:id="1582"/>
    </w:p>
    <w:p w14:paraId="0A4868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螺栓的规格和材料，制孔和连接应符合施工图样和GB/T14173的有关规定。</w:t>
      </w:r>
    </w:p>
    <w:p w14:paraId="16CF95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除有特殊强度要求外，螺栓均采用不锈钢材料，各种螺栓及附件的供货数量应比设计图纸多5%，以备安装损耗之用，其费用计入报价中。</w:t>
      </w:r>
    </w:p>
    <w:p w14:paraId="34AEDA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83" w:name="_Toc206148059"/>
      <w:r>
        <w:rPr>
          <w:rFonts w:hint="eastAsia" w:ascii="宋体" w:hAnsi="宋体" w:eastAsia="宋体" w:cs="宋体"/>
          <w:color w:val="auto"/>
          <w:sz w:val="24"/>
          <w:szCs w:val="24"/>
          <w:lang w:eastAsia="zh-CN"/>
        </w:rPr>
        <w:t>(6)工艺流程和焊接工艺</w:t>
      </w:r>
      <w:bookmarkEnd w:id="1583"/>
    </w:p>
    <w:p w14:paraId="32FF79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复杂构件应按事先制造好的样板下料，拼接。各项的金属结构的加工、拚装和焊接，应按事先编制好的工艺流程和焊接工艺进行，制造过程中应随时检测，严格控制焊接变形和焊缝质量，并根据实践对工艺流程和焊接工艺进行修正。对于焊缝变形超差部分和不合格的焊缝，应逐项进行处理，直至合格后才能进行下一道工序。</w:t>
      </w:r>
    </w:p>
    <w:p w14:paraId="0DE893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84" w:name="_Toc206148060"/>
      <w:r>
        <w:rPr>
          <w:rFonts w:hint="eastAsia" w:ascii="宋体" w:hAnsi="宋体" w:eastAsia="宋体" w:cs="宋体"/>
          <w:color w:val="auto"/>
          <w:sz w:val="24"/>
          <w:szCs w:val="24"/>
          <w:lang w:eastAsia="zh-CN"/>
        </w:rPr>
        <w:t>(7)铸钢件</w:t>
      </w:r>
      <w:bookmarkEnd w:id="1584"/>
    </w:p>
    <w:p w14:paraId="2E7B53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铸钢件应符合施工图样和有关规定。</w:t>
      </w:r>
    </w:p>
    <w:p w14:paraId="4C2C08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铸钢件化学成份和机械性能应符合GB/T 11352的有关规定；热处理及硬度应符合施工图样要求。</w:t>
      </w:r>
    </w:p>
    <w:p w14:paraId="505F7B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定轮踏面硬度略低于主轨踏面硬度，其硬度值应符合产品设计图纸要求，并提供检测报告。</w:t>
      </w:r>
    </w:p>
    <w:p w14:paraId="7A1D9C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铸钢轨道、定轮等的超声波探伤及质量评定按GB/T 7233.1的有关规定执行。</w:t>
      </w:r>
    </w:p>
    <w:p w14:paraId="5D180D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当铸件的缺陷超出上述规定时，应作报废处理。如要修补必须经承包人的技术、质量检查等有关部门研究同意，制订可靠的补焊措施，并得到监理人的同意才能补焊。补焊后的质量应符合设计要求，若仍不符合设计要求，必须作报废处理。</w:t>
      </w:r>
    </w:p>
    <w:p w14:paraId="7ED25B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所有铸件缺陷的补焊，均应按照GB/T14173执行。</w:t>
      </w:r>
    </w:p>
    <w:p w14:paraId="66FCD9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85" w:name="_Toc206148061"/>
      <w:r>
        <w:rPr>
          <w:rFonts w:hint="eastAsia" w:ascii="宋体" w:hAnsi="宋体" w:eastAsia="宋体" w:cs="宋体"/>
          <w:color w:val="auto"/>
          <w:sz w:val="24"/>
          <w:szCs w:val="24"/>
          <w:lang w:eastAsia="zh-CN"/>
        </w:rPr>
        <w:t>(8)锻件</w:t>
      </w:r>
      <w:bookmarkEnd w:id="1585"/>
    </w:p>
    <w:p w14:paraId="0D41DE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锻件按施工图样锻造。</w:t>
      </w:r>
    </w:p>
    <w:p w14:paraId="32F14B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锻件的质量检查按施工图样和有关规定执行。</w:t>
      </w:r>
    </w:p>
    <w:p w14:paraId="6DE979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吊具、吊轴、轮轴、支铰轴不得补焊。</w:t>
      </w:r>
    </w:p>
    <w:p w14:paraId="30EA49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86" w:name="_Toc206148062"/>
      <w:r>
        <w:rPr>
          <w:rFonts w:hint="eastAsia" w:ascii="宋体" w:hAnsi="宋体" w:eastAsia="宋体" w:cs="宋体"/>
          <w:color w:val="auto"/>
          <w:sz w:val="24"/>
          <w:szCs w:val="24"/>
          <w:lang w:eastAsia="zh-CN"/>
        </w:rPr>
        <w:t>(9）零部件</w:t>
      </w:r>
      <w:bookmarkEnd w:id="1586"/>
    </w:p>
    <w:p w14:paraId="270EF3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滑道、充水阀、吊具及锁定装置等零部件的加工和装配按施工图样和有关规定执行。装配后应在转动部位灌注润滑脂。</w:t>
      </w:r>
    </w:p>
    <w:p w14:paraId="039D4B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87" w:name="_Toc206148063"/>
      <w:r>
        <w:rPr>
          <w:rFonts w:hint="eastAsia" w:ascii="宋体" w:hAnsi="宋体" w:eastAsia="宋体" w:cs="宋体"/>
          <w:color w:val="auto"/>
          <w:sz w:val="24"/>
          <w:szCs w:val="24"/>
          <w:lang w:eastAsia="zh-CN"/>
        </w:rPr>
        <w:t>（10）组装</w:t>
      </w:r>
      <w:bookmarkEnd w:id="1587"/>
    </w:p>
    <w:p w14:paraId="446662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钢构件组装前，应进行零、部件的检验，并作好记录，检验合格后才能投人组装。</w:t>
      </w:r>
    </w:p>
    <w:p w14:paraId="26DC37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构件组装过程中，应按批准的工艺装配。当有隐蔽焊缝时，必领先行施焊，并经检验合格后才可覆盖。</w:t>
      </w:r>
    </w:p>
    <w:p w14:paraId="694887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安装焊缝坡口的允许偏差应遵守GB/T 50205 的有关规定。焊接连接制造组装的允许偏差应参照GB/T 50205 确定。</w:t>
      </w:r>
    </w:p>
    <w:p w14:paraId="1E8701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H型钢的组装应遵守GB/T 50205的有关规定。</w:t>
      </w:r>
    </w:p>
    <w:p w14:paraId="3C5919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顶紧接触面的检查应遵守GB/T 50205的有关规定。</w:t>
      </w:r>
    </w:p>
    <w:p w14:paraId="412C80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钢桁架结构杆件轴线交点错位的允许偏差应遵守GB/T50205的有关规定。</w:t>
      </w:r>
    </w:p>
    <w:p w14:paraId="635167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钢构件端部铣平的允许偏差应遵守GB/T50205的有关规定。</w:t>
      </w:r>
    </w:p>
    <w:p w14:paraId="450266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钢构件组装的外形尺寸允许偏差应遵守GB/T 50205的有关规定。</w:t>
      </w:r>
    </w:p>
    <w:p w14:paraId="082AFC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钢构件组装的检验记录应及时提交。</w:t>
      </w:r>
    </w:p>
    <w:p w14:paraId="7436F6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88" w:name="_Toc206148064"/>
      <w:r>
        <w:rPr>
          <w:rFonts w:hint="eastAsia" w:ascii="宋体" w:hAnsi="宋体" w:eastAsia="宋体" w:cs="宋体"/>
          <w:color w:val="auto"/>
          <w:sz w:val="24"/>
          <w:szCs w:val="24"/>
          <w:lang w:eastAsia="zh-CN"/>
        </w:rPr>
        <w:t>（11）涂装</w:t>
      </w:r>
      <w:bookmarkEnd w:id="1588"/>
    </w:p>
    <w:p w14:paraId="7B91FE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1）防腐项目及防腐方法</w:t>
      </w:r>
    </w:p>
    <w:p w14:paraId="2AE6A4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闸门防腐方法采用金属热喷涂涂料保护。闸门防腐蚀应满足图纸和规范SL/T105的有关规定，承包人应按要求提前编制涂装工艺书及质量保证措施供审批。</w:t>
      </w:r>
    </w:p>
    <w:p w14:paraId="6D4F1356">
      <w:pPr>
        <w:widowControl w:val="0"/>
        <w:numPr>
          <w:ilvl w:val="0"/>
          <w:numId w:val="10"/>
        </w:numPr>
        <w:kinsoku/>
        <w:topLinePunct/>
        <w:autoSpaceDE/>
        <w:autoSpaceDN/>
        <w:spacing w:line="520" w:lineRule="exact"/>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各构件在表面预处理达到标准后，在有效时间内进行涂漆，每层厚度、涂料牌号、涂层道数、每道漆膜厚度和漆膜总厚度必须符合下表规定。</w:t>
      </w:r>
    </w:p>
    <w:p w14:paraId="0DA5C9C6">
      <w:pPr>
        <w:pStyle w:val="26"/>
        <w:rPr>
          <w:color w:val="auto"/>
        </w:rPr>
      </w:pPr>
      <w:r>
        <w:rPr>
          <w:color w:val="auto"/>
        </w:rPr>
        <w:t>金属结构防腐涂层表</w:t>
      </w:r>
    </w:p>
    <w:tbl>
      <w:tblPr>
        <w:tblStyle w:val="6"/>
        <w:tblW w:w="825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63"/>
        <w:gridCol w:w="1688"/>
        <w:gridCol w:w="2962"/>
        <w:gridCol w:w="2038"/>
      </w:tblGrid>
      <w:tr w14:paraId="4DA96D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blHeader/>
          <w:jc w:val="center"/>
        </w:trPr>
        <w:tc>
          <w:tcPr>
            <w:tcW w:w="1563" w:type="dxa"/>
            <w:vAlign w:val="center"/>
          </w:tcPr>
          <w:p w14:paraId="2C3A6A67">
            <w:pPr>
              <w:pStyle w:val="27"/>
              <w:rPr>
                <w:color w:val="auto"/>
              </w:rPr>
            </w:pPr>
            <w:r>
              <w:rPr>
                <w:color w:val="auto"/>
              </w:rPr>
              <w:t>项目</w:t>
            </w:r>
          </w:p>
        </w:tc>
        <w:tc>
          <w:tcPr>
            <w:tcW w:w="1688" w:type="dxa"/>
            <w:vAlign w:val="center"/>
          </w:tcPr>
          <w:p w14:paraId="5810B11B">
            <w:pPr>
              <w:pStyle w:val="27"/>
              <w:rPr>
                <w:color w:val="auto"/>
              </w:rPr>
            </w:pPr>
            <w:r>
              <w:rPr>
                <w:color w:val="auto"/>
              </w:rPr>
              <w:t>涂层系统</w:t>
            </w:r>
          </w:p>
        </w:tc>
        <w:tc>
          <w:tcPr>
            <w:tcW w:w="2962" w:type="dxa"/>
            <w:vAlign w:val="center"/>
          </w:tcPr>
          <w:p w14:paraId="136741C9">
            <w:pPr>
              <w:pStyle w:val="27"/>
              <w:rPr>
                <w:color w:val="auto"/>
              </w:rPr>
            </w:pPr>
            <w:r>
              <w:rPr>
                <w:color w:val="auto"/>
              </w:rPr>
              <w:t>涂料牌号及名称</w:t>
            </w:r>
          </w:p>
        </w:tc>
        <w:tc>
          <w:tcPr>
            <w:tcW w:w="2038" w:type="dxa"/>
            <w:vAlign w:val="center"/>
          </w:tcPr>
          <w:p w14:paraId="7B5381D9">
            <w:pPr>
              <w:pStyle w:val="27"/>
              <w:rPr>
                <w:color w:val="auto"/>
              </w:rPr>
            </w:pPr>
            <w:r>
              <w:rPr>
                <w:color w:val="auto"/>
              </w:rPr>
              <w:t>漆膜厚度（干膜厚）(</w:t>
            </w:r>
            <w:r>
              <w:rPr>
                <w:color w:val="auto"/>
              </w:rPr>
              <w:sym w:font="Symbol" w:char="F06D"/>
            </w:r>
            <w:r>
              <w:rPr>
                <w:color w:val="auto"/>
              </w:rPr>
              <w:t>m)</w:t>
            </w:r>
          </w:p>
        </w:tc>
      </w:tr>
      <w:tr w14:paraId="50978C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3" w:type="dxa"/>
            <w:vMerge w:val="restart"/>
            <w:vAlign w:val="center"/>
          </w:tcPr>
          <w:p w14:paraId="77CC31DF">
            <w:pPr>
              <w:pStyle w:val="27"/>
              <w:rPr>
                <w:color w:val="auto"/>
                <w:lang w:eastAsia="zh-CN"/>
              </w:rPr>
            </w:pPr>
            <w:r>
              <w:rPr>
                <w:color w:val="auto"/>
                <w:lang w:eastAsia="zh-CN"/>
              </w:rPr>
              <w:t>闸门、拦污栅及其埋件外露表面（不锈钢材料除外）</w:t>
            </w:r>
          </w:p>
        </w:tc>
        <w:tc>
          <w:tcPr>
            <w:tcW w:w="1688" w:type="dxa"/>
            <w:vAlign w:val="center"/>
          </w:tcPr>
          <w:p w14:paraId="6FA242A0">
            <w:pPr>
              <w:pStyle w:val="27"/>
              <w:rPr>
                <w:color w:val="auto"/>
              </w:rPr>
            </w:pPr>
            <w:r>
              <w:rPr>
                <w:color w:val="auto"/>
              </w:rPr>
              <w:t>金属涂层</w:t>
            </w:r>
          </w:p>
        </w:tc>
        <w:tc>
          <w:tcPr>
            <w:tcW w:w="2962" w:type="dxa"/>
            <w:vAlign w:val="center"/>
          </w:tcPr>
          <w:p w14:paraId="3EE2F5D4">
            <w:pPr>
              <w:pStyle w:val="27"/>
              <w:rPr>
                <w:color w:val="auto"/>
              </w:rPr>
            </w:pPr>
            <w:r>
              <w:rPr>
                <w:color w:val="auto"/>
              </w:rPr>
              <w:t>热喷涂铝</w:t>
            </w:r>
          </w:p>
        </w:tc>
        <w:tc>
          <w:tcPr>
            <w:tcW w:w="2038" w:type="dxa"/>
            <w:vAlign w:val="center"/>
          </w:tcPr>
          <w:p w14:paraId="23FD89AE">
            <w:pPr>
              <w:pStyle w:val="27"/>
              <w:rPr>
                <w:color w:val="auto"/>
              </w:rPr>
            </w:pPr>
            <w:r>
              <w:rPr>
                <w:color w:val="auto"/>
              </w:rPr>
              <w:t>120</w:t>
            </w:r>
          </w:p>
        </w:tc>
      </w:tr>
      <w:tr w14:paraId="024266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 w:hRule="atLeast"/>
          <w:jc w:val="center"/>
        </w:trPr>
        <w:tc>
          <w:tcPr>
            <w:tcW w:w="1563" w:type="dxa"/>
            <w:vMerge w:val="continue"/>
            <w:vAlign w:val="center"/>
          </w:tcPr>
          <w:p w14:paraId="60F64F2F">
            <w:pPr>
              <w:pStyle w:val="27"/>
              <w:rPr>
                <w:color w:val="auto"/>
              </w:rPr>
            </w:pPr>
          </w:p>
        </w:tc>
        <w:tc>
          <w:tcPr>
            <w:tcW w:w="1688" w:type="dxa"/>
            <w:vAlign w:val="center"/>
          </w:tcPr>
          <w:p w14:paraId="6448B6DB">
            <w:pPr>
              <w:pStyle w:val="27"/>
              <w:rPr>
                <w:color w:val="auto"/>
              </w:rPr>
            </w:pPr>
            <w:r>
              <w:rPr>
                <w:color w:val="auto"/>
              </w:rPr>
              <w:t>封闭层</w:t>
            </w:r>
          </w:p>
        </w:tc>
        <w:tc>
          <w:tcPr>
            <w:tcW w:w="2962" w:type="dxa"/>
            <w:vAlign w:val="center"/>
          </w:tcPr>
          <w:p w14:paraId="549BE844">
            <w:pPr>
              <w:pStyle w:val="27"/>
              <w:rPr>
                <w:color w:val="auto"/>
              </w:rPr>
            </w:pPr>
            <w:r>
              <w:rPr>
                <w:color w:val="auto"/>
              </w:rPr>
              <w:t>环氧封闭涂料</w:t>
            </w:r>
          </w:p>
        </w:tc>
        <w:tc>
          <w:tcPr>
            <w:tcW w:w="2038" w:type="dxa"/>
            <w:vAlign w:val="center"/>
          </w:tcPr>
          <w:p w14:paraId="7C2A6A71">
            <w:pPr>
              <w:pStyle w:val="27"/>
              <w:rPr>
                <w:color w:val="auto"/>
              </w:rPr>
            </w:pPr>
            <w:r>
              <w:rPr>
                <w:color w:val="auto"/>
              </w:rPr>
              <w:t>30</w:t>
            </w:r>
          </w:p>
        </w:tc>
      </w:tr>
      <w:tr w14:paraId="79300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3" w:type="dxa"/>
            <w:vMerge w:val="continue"/>
            <w:vAlign w:val="center"/>
          </w:tcPr>
          <w:p w14:paraId="4872EE35">
            <w:pPr>
              <w:pStyle w:val="27"/>
              <w:rPr>
                <w:color w:val="auto"/>
              </w:rPr>
            </w:pPr>
          </w:p>
        </w:tc>
        <w:tc>
          <w:tcPr>
            <w:tcW w:w="1688" w:type="dxa"/>
            <w:vAlign w:val="center"/>
          </w:tcPr>
          <w:p w14:paraId="7C2940DE">
            <w:pPr>
              <w:pStyle w:val="27"/>
              <w:rPr>
                <w:color w:val="auto"/>
              </w:rPr>
            </w:pPr>
            <w:r>
              <w:rPr>
                <w:color w:val="auto"/>
              </w:rPr>
              <w:t>中间层</w:t>
            </w:r>
          </w:p>
        </w:tc>
        <w:tc>
          <w:tcPr>
            <w:tcW w:w="2962" w:type="dxa"/>
            <w:vAlign w:val="center"/>
          </w:tcPr>
          <w:p w14:paraId="55AA7EC8">
            <w:pPr>
              <w:pStyle w:val="27"/>
              <w:rPr>
                <w:color w:val="auto"/>
              </w:rPr>
            </w:pPr>
            <w:r>
              <w:rPr>
                <w:color w:val="auto"/>
              </w:rPr>
              <w:t>环氧云铁中间漆</w:t>
            </w:r>
          </w:p>
        </w:tc>
        <w:tc>
          <w:tcPr>
            <w:tcW w:w="2038" w:type="dxa"/>
            <w:vAlign w:val="center"/>
          </w:tcPr>
          <w:p w14:paraId="08CE9B7F">
            <w:pPr>
              <w:pStyle w:val="27"/>
              <w:rPr>
                <w:color w:val="auto"/>
              </w:rPr>
            </w:pPr>
            <w:r>
              <w:rPr>
                <w:color w:val="auto"/>
              </w:rPr>
              <w:t>80</w:t>
            </w:r>
          </w:p>
        </w:tc>
      </w:tr>
      <w:tr w14:paraId="106C73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3" w:type="dxa"/>
            <w:vMerge w:val="continue"/>
            <w:vAlign w:val="center"/>
          </w:tcPr>
          <w:p w14:paraId="43619737">
            <w:pPr>
              <w:pStyle w:val="27"/>
              <w:rPr>
                <w:color w:val="auto"/>
              </w:rPr>
            </w:pPr>
          </w:p>
        </w:tc>
        <w:tc>
          <w:tcPr>
            <w:tcW w:w="1688" w:type="dxa"/>
            <w:vAlign w:val="center"/>
          </w:tcPr>
          <w:p w14:paraId="11F2F645">
            <w:pPr>
              <w:pStyle w:val="27"/>
              <w:rPr>
                <w:color w:val="auto"/>
              </w:rPr>
            </w:pPr>
            <w:r>
              <w:rPr>
                <w:color w:val="auto"/>
              </w:rPr>
              <w:t>面层</w:t>
            </w:r>
            <w:r>
              <w:rPr>
                <w:rFonts w:hint="eastAsia"/>
                <w:color w:val="auto"/>
              </w:rPr>
              <w:t>（厂内）</w:t>
            </w:r>
          </w:p>
        </w:tc>
        <w:tc>
          <w:tcPr>
            <w:tcW w:w="2962" w:type="dxa"/>
            <w:vAlign w:val="center"/>
          </w:tcPr>
          <w:p w14:paraId="30DE6E03">
            <w:pPr>
              <w:pStyle w:val="27"/>
              <w:rPr>
                <w:color w:val="auto"/>
              </w:rPr>
            </w:pPr>
            <w:r>
              <w:rPr>
                <w:color w:val="auto"/>
              </w:rPr>
              <w:t>改性耐磨环氧漆</w:t>
            </w:r>
          </w:p>
        </w:tc>
        <w:tc>
          <w:tcPr>
            <w:tcW w:w="2038" w:type="dxa"/>
            <w:vAlign w:val="center"/>
          </w:tcPr>
          <w:p w14:paraId="602F44BA">
            <w:pPr>
              <w:pStyle w:val="27"/>
              <w:rPr>
                <w:color w:val="auto"/>
              </w:rPr>
            </w:pPr>
            <w:r>
              <w:rPr>
                <w:color w:val="auto"/>
              </w:rPr>
              <w:t>100</w:t>
            </w:r>
          </w:p>
        </w:tc>
      </w:tr>
      <w:tr w14:paraId="6E69F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3" w:type="dxa"/>
            <w:vMerge w:val="continue"/>
            <w:vAlign w:val="center"/>
          </w:tcPr>
          <w:p w14:paraId="2B85BD1E">
            <w:pPr>
              <w:pStyle w:val="27"/>
              <w:rPr>
                <w:color w:val="auto"/>
              </w:rPr>
            </w:pPr>
          </w:p>
        </w:tc>
        <w:tc>
          <w:tcPr>
            <w:tcW w:w="1688" w:type="dxa"/>
            <w:vAlign w:val="center"/>
          </w:tcPr>
          <w:p w14:paraId="44B4FF1D">
            <w:pPr>
              <w:pStyle w:val="27"/>
              <w:rPr>
                <w:color w:val="auto"/>
              </w:rPr>
            </w:pPr>
            <w:r>
              <w:rPr>
                <w:color w:val="auto"/>
              </w:rPr>
              <w:t>面层</w:t>
            </w:r>
            <w:r>
              <w:rPr>
                <w:rFonts w:hint="eastAsia"/>
                <w:color w:val="auto"/>
              </w:rPr>
              <w:t>（现场）</w:t>
            </w:r>
          </w:p>
        </w:tc>
        <w:tc>
          <w:tcPr>
            <w:tcW w:w="2962" w:type="dxa"/>
            <w:vAlign w:val="center"/>
          </w:tcPr>
          <w:p w14:paraId="6EABE5DB">
            <w:pPr>
              <w:pStyle w:val="27"/>
              <w:rPr>
                <w:color w:val="auto"/>
              </w:rPr>
            </w:pPr>
            <w:r>
              <w:rPr>
                <w:color w:val="auto"/>
              </w:rPr>
              <w:t>改性耐磨环氧漆</w:t>
            </w:r>
          </w:p>
        </w:tc>
        <w:tc>
          <w:tcPr>
            <w:tcW w:w="2038" w:type="dxa"/>
            <w:vAlign w:val="center"/>
          </w:tcPr>
          <w:p w14:paraId="539DF918">
            <w:pPr>
              <w:pStyle w:val="27"/>
              <w:rPr>
                <w:color w:val="auto"/>
              </w:rPr>
            </w:pPr>
            <w:r>
              <w:rPr>
                <w:rFonts w:hint="eastAsia"/>
                <w:color w:val="auto"/>
              </w:rPr>
              <w:t>3</w:t>
            </w:r>
            <w:r>
              <w:rPr>
                <w:color w:val="auto"/>
              </w:rPr>
              <w:t>0</w:t>
            </w:r>
          </w:p>
        </w:tc>
      </w:tr>
      <w:tr w14:paraId="0C0579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 w:hRule="atLeast"/>
          <w:jc w:val="center"/>
        </w:trPr>
        <w:tc>
          <w:tcPr>
            <w:tcW w:w="1563" w:type="dxa"/>
            <w:vAlign w:val="center"/>
          </w:tcPr>
          <w:p w14:paraId="71F612D3">
            <w:pPr>
              <w:pStyle w:val="27"/>
              <w:rPr>
                <w:color w:val="auto"/>
              </w:rPr>
            </w:pPr>
            <w:r>
              <w:rPr>
                <w:color w:val="auto"/>
              </w:rPr>
              <w:t>埋件埋入混凝土部分</w:t>
            </w:r>
          </w:p>
        </w:tc>
        <w:tc>
          <w:tcPr>
            <w:tcW w:w="1688" w:type="dxa"/>
            <w:vAlign w:val="center"/>
          </w:tcPr>
          <w:p w14:paraId="083D0B30">
            <w:pPr>
              <w:pStyle w:val="27"/>
              <w:rPr>
                <w:color w:val="auto"/>
              </w:rPr>
            </w:pPr>
            <w:r>
              <w:rPr>
                <w:color w:val="auto"/>
              </w:rPr>
              <w:t>面  层</w:t>
            </w:r>
          </w:p>
        </w:tc>
        <w:tc>
          <w:tcPr>
            <w:tcW w:w="2962" w:type="dxa"/>
            <w:vAlign w:val="center"/>
          </w:tcPr>
          <w:p w14:paraId="28E2DE85">
            <w:pPr>
              <w:pStyle w:val="27"/>
              <w:rPr>
                <w:color w:val="auto"/>
              </w:rPr>
            </w:pPr>
            <w:r>
              <w:rPr>
                <w:color w:val="auto"/>
              </w:rPr>
              <w:t>改性水泥胶浆</w:t>
            </w:r>
          </w:p>
        </w:tc>
        <w:tc>
          <w:tcPr>
            <w:tcW w:w="2038" w:type="dxa"/>
            <w:vAlign w:val="center"/>
          </w:tcPr>
          <w:p w14:paraId="227F62FE">
            <w:pPr>
              <w:pStyle w:val="27"/>
              <w:rPr>
                <w:color w:val="auto"/>
              </w:rPr>
            </w:pPr>
            <w:r>
              <w:rPr>
                <w:color w:val="auto"/>
              </w:rPr>
              <w:t>300</w:t>
            </w:r>
            <w:r>
              <w:rPr>
                <w:rFonts w:hint="eastAsia" w:eastAsia="宋体"/>
                <w:color w:val="auto"/>
                <w:lang w:eastAsia="zh-CN"/>
              </w:rPr>
              <w:t>～</w:t>
            </w:r>
            <w:r>
              <w:rPr>
                <w:color w:val="auto"/>
              </w:rPr>
              <w:t>500</w:t>
            </w:r>
          </w:p>
        </w:tc>
      </w:tr>
    </w:tbl>
    <w:p w14:paraId="4911F0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注：涂料面层的颜色在设计联络会上确定。</w:t>
      </w:r>
    </w:p>
    <w:p w14:paraId="5046F42B">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预处理前，应将闸门表面整修完毕，并将金属表面铁锈、氧化皮、油污、积水、焊渣等附着物清除干净。</w:t>
      </w:r>
    </w:p>
    <w:p w14:paraId="4D11FB60">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表面处理采用喷射或抛射除锈，所用的磨料应清洁、干燥，用金属磨料、氧化铝（刚玉）、碳化硅和金刚砂等磨料，其粒度选择范围宜为0.5mm～1.5mm，使用人造矿物磨料和天然矿物磨料应根据表面粗糙度等级技术要求加以选择。</w:t>
      </w:r>
    </w:p>
    <w:p w14:paraId="45E55EFA">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喷射用的压缩空气应经过过滤，除去油、水。</w:t>
      </w:r>
    </w:p>
    <w:p w14:paraId="0B797324">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闸门经喷射或抛射除锈后，除锈等级应符合GB/T 8923.1标准中规定的Sa2.5级，表面粗糙度对常规防腐涂料应达到Rz40～70</w:t>
      </w:r>
      <w:r>
        <w:rPr>
          <w:rFonts w:hint="eastAsia" w:ascii="宋体" w:hAnsi="宋体" w:eastAsia="宋体" w:cs="宋体"/>
          <w:color w:val="auto"/>
          <w:sz w:val="24"/>
          <w:szCs w:val="24"/>
        </w:rPr>
        <w:t>μ</w:t>
      </w:r>
      <w:r>
        <w:rPr>
          <w:rFonts w:hint="eastAsia" w:ascii="宋体" w:hAnsi="宋体" w:eastAsia="宋体" w:cs="宋体"/>
          <w:color w:val="auto"/>
          <w:sz w:val="24"/>
          <w:szCs w:val="24"/>
          <w:lang w:eastAsia="zh-CN"/>
        </w:rPr>
        <w:t>m；对厚浆型重防腐涂料及金属热喷涂应达到Rz 60～100</w:t>
      </w:r>
      <w:r>
        <w:rPr>
          <w:rFonts w:hint="eastAsia" w:ascii="宋体" w:hAnsi="宋体" w:eastAsia="宋体" w:cs="宋体"/>
          <w:color w:val="auto"/>
          <w:sz w:val="24"/>
          <w:szCs w:val="24"/>
        </w:rPr>
        <w:t>μ</w:t>
      </w:r>
      <w:r>
        <w:rPr>
          <w:rFonts w:hint="eastAsia" w:ascii="宋体" w:hAnsi="宋体" w:eastAsia="宋体" w:cs="宋体"/>
          <w:color w:val="auto"/>
          <w:sz w:val="24"/>
          <w:szCs w:val="24"/>
          <w:lang w:eastAsia="zh-CN"/>
        </w:rPr>
        <w:t>m；用表面粗糙度专用检测量具或比较样板检修检测。</w:t>
      </w:r>
    </w:p>
    <w:p w14:paraId="4D42E925">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闸门埋件的表面，其埋入混凝土一侧除锈等级制造厂内可按GB/T8923.1中规定的Sa2级，除锈后涂刷结合力强的改性水泥胶浆，在安装前除去表面氧化皮后埋入混凝土内。其露出混凝土的表面仍按Sa</w:t>
      </w:r>
      <m:oMath>
        <m:r>
          <m:rPr>
            <m:sty m:val="p"/>
          </m:rPr>
          <w:rPr>
            <w:rFonts w:hint="eastAsia" w:ascii="Cambria Math" w:hAnsi="Cambria Math" w:eastAsia="宋体" w:cs="宋体"/>
            <w:color w:val="auto"/>
            <w:sz w:val="24"/>
            <w:szCs w:val="24"/>
            <w:lang w:eastAsia="zh-CN"/>
          </w:rPr>
          <m:t>2</m:t>
        </m:r>
        <m:r>
          <m:rPr>
            <m:sty m:val="p"/>
          </m:rPr>
          <w:rPr>
            <w:rFonts w:ascii="Cambria Math" w:hAnsi="Cambria Math" w:eastAsia="宋体"/>
            <w:color w:val="auto"/>
            <w:sz w:val="24"/>
            <w:szCs w:val="24"/>
            <w:lang w:eastAsia="zh-CN"/>
          </w:rPr>
          <m:t>½</m:t>
        </m:r>
      </m:oMath>
      <w:r>
        <w:rPr>
          <w:rFonts w:hint="eastAsia" w:ascii="宋体" w:hAnsi="宋体" w:eastAsia="宋体" w:cs="宋体"/>
          <w:color w:val="auto"/>
          <w:sz w:val="24"/>
          <w:szCs w:val="24"/>
          <w:lang w:eastAsia="zh-CN"/>
        </w:rPr>
        <w:t>级除锈等级进行。</w:t>
      </w:r>
    </w:p>
    <w:p w14:paraId="1AF70BB5">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除锈后，应用干燥的压缩空气吹净，或用吸尘器清除灰尘，涂装前若发现钢板表面污染或反锈，应重新处理到原除锈等级。</w:t>
      </w:r>
    </w:p>
    <w:p w14:paraId="1288DB60">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当空气中相对湿度大于85%，环境气温低于5℃和钢板表面温度预计低于露点以上3℃时，不得进行除锈和涂装。</w:t>
      </w:r>
    </w:p>
    <w:p w14:paraId="2754A354">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经除锈后的钢材表面宜在4h内涂装，晴天和正常天气条件下，最长不应大于12h。</w:t>
      </w:r>
    </w:p>
    <w:p w14:paraId="750AA2DB">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使用的涂料应符合图样规定，涂装层数、每层厚度、逐层涂装时间、涂料调配方法和涂装注意事项，应按专业防腐施工单位提交的已经监理人审查批复的防腐施工方案及质量保证措施进行。</w:t>
      </w:r>
    </w:p>
    <w:p w14:paraId="3416A77E">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拼装后如不立即焊接，应在待焊接头坡口两侧各50mm范围内，涂装焊接时不会对焊缝质量产生不良影响的车间底漆，以免坡口生锈。焊接时，对焊缝区进行二次除锈，用人工涂刷或小型高压喷涂机喷涂料，达到规定厚度。</w:t>
      </w:r>
    </w:p>
    <w:p w14:paraId="64245108">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闸门出厂前应涂面漆，最后一道面漆宜在安装后完成，至于安装焊缝两侧100mm～200mm范围内，也应留待安装后涂装。</w:t>
      </w:r>
    </w:p>
    <w:p w14:paraId="60458BF4">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闸门喷涂前，应对漏水孔、自由边、阴角处等不易喷涂处进行预喷涂，预涂时不得有流挂、堆积等现象。</w:t>
      </w:r>
    </w:p>
    <w:p w14:paraId="6716E6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说明：涂装环境温度，对于不同的油漆，由于其所属类型不同，具体请参阅涂料产品说明书及涂料供应商技术指导。</w:t>
      </w:r>
    </w:p>
    <w:p w14:paraId="749AAA44">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涂装时若发现漏涂、流挂、皱皮等缺欠应及时处理，并用湿膜测厚仪测定湿膜厚度。每层涂装前应对上一层外观进行检查。</w:t>
      </w:r>
    </w:p>
    <w:p w14:paraId="6C82F59A">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涂装后进行外观检查，涂层表面应光滑、颜色均匀一致，无皱皮、起泡、流挂、针孔、裂纹、漏涂等缺欠。水泥胶浆涂层，厚度应基本一致，黏着牢固，不起粉状。</w:t>
      </w:r>
    </w:p>
    <w:p w14:paraId="7714FB5F">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涂层内部质量应符合下列规定：</w:t>
      </w:r>
    </w:p>
    <w:p w14:paraId="7AFC51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a.漆膜厚度用测厚仪测定。漆膜厚度应满足SL/T105中的规定。</w:t>
      </w:r>
    </w:p>
    <w:p w14:paraId="3CBDCB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厚浆型涂料用针孔检测仪，检测可在闸门主梁与纵隔板围成的各区域中根据闸门重要程度抽查其中的10%～20%。在一个区域中应取不少于5个检测点，每处测试的检查探测距离保持300mm左右，所发现的针孔，需用砂纸或砂轮机打磨补涂。</w:t>
      </w:r>
    </w:p>
    <w:p w14:paraId="582BD9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c.漆膜厚度不足或有针孔，返工固化后，应复查。</w:t>
      </w:r>
    </w:p>
    <w:p w14:paraId="25410F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d.涂膜固化后应选用划格法或拉开法进行附着力检验。附着力检验为破坏性试验，宜做抽检或带样试验。</w:t>
      </w:r>
    </w:p>
    <w:p w14:paraId="4C061A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e.各涂层附着力按本条款要求执行。</w:t>
      </w:r>
    </w:p>
    <w:p w14:paraId="21402E4E">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漆膜的厚度按本条款要求执行。</w:t>
      </w:r>
    </w:p>
    <w:p w14:paraId="363D2068">
      <w:pPr>
        <w:widowControl w:val="0"/>
        <w:numPr>
          <w:ilvl w:val="0"/>
          <w:numId w:val="10"/>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其余应符合SL/T105的有关要求。</w:t>
      </w:r>
    </w:p>
    <w:p w14:paraId="621106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2）腐场地应在投标文件中明确，防腐环境保护措施按法律法规执行。</w:t>
      </w:r>
    </w:p>
    <w:p w14:paraId="4240C7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3）防腐材料供应商全过程技术指导，防腐施工单位应获得防腐材料供应商的书面支持。</w:t>
      </w:r>
    </w:p>
    <w:p w14:paraId="4A34CE81">
      <w:pPr>
        <w:widowControl w:val="0"/>
        <w:kinsoku/>
        <w:topLinePunct/>
        <w:autoSpaceDE/>
        <w:autoSpaceDN/>
        <w:spacing w:line="520" w:lineRule="exact"/>
        <w:ind w:firstLine="480" w:firstLineChars="200"/>
        <w:jc w:val="both"/>
        <w:outlineLvl w:val="3"/>
        <w:rPr>
          <w:rFonts w:hint="eastAsia" w:ascii="宋体" w:hAnsi="宋体" w:eastAsia="宋体" w:cs="宋体"/>
          <w:color w:val="auto"/>
          <w:sz w:val="24"/>
          <w:szCs w:val="24"/>
          <w:lang w:eastAsia="zh-CN"/>
        </w:rPr>
      </w:pPr>
      <w:bookmarkStart w:id="1589" w:name="_Toc206148322"/>
      <w:bookmarkStart w:id="1590" w:name="_Toc206164699"/>
      <w:bookmarkStart w:id="1591" w:name="_Toc9513"/>
      <w:r>
        <w:rPr>
          <w:rFonts w:hint="eastAsia" w:ascii="宋体" w:hAnsi="宋体" w:eastAsia="宋体" w:cs="宋体"/>
          <w:color w:val="auto"/>
          <w:sz w:val="24"/>
          <w:szCs w:val="24"/>
          <w:lang w:eastAsia="zh-CN"/>
        </w:rPr>
        <w:t>21.3.2闸门制造专用技术条款</w:t>
      </w:r>
      <w:bookmarkEnd w:id="1589"/>
      <w:bookmarkEnd w:id="1590"/>
      <w:bookmarkEnd w:id="1591"/>
    </w:p>
    <w:p w14:paraId="66E319F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92" w:name="_Toc206148323"/>
      <w:bookmarkStart w:id="1593" w:name="_Toc11120"/>
      <w:bookmarkStart w:id="1594" w:name="_Toc206164700"/>
      <w:bookmarkStart w:id="1595" w:name="_Toc91228157"/>
      <w:r>
        <w:rPr>
          <w:rFonts w:hint="eastAsia" w:ascii="宋体" w:hAnsi="宋体" w:eastAsia="宋体" w:cs="宋体"/>
          <w:color w:val="auto"/>
          <w:sz w:val="24"/>
          <w:szCs w:val="24"/>
          <w:lang w:eastAsia="zh-CN"/>
        </w:rPr>
        <w:t>21.3.2.1 闸门埋件制造</w:t>
      </w:r>
      <w:bookmarkEnd w:id="1592"/>
      <w:bookmarkEnd w:id="1593"/>
      <w:bookmarkEnd w:id="1594"/>
      <w:bookmarkEnd w:id="1595"/>
    </w:p>
    <w:p w14:paraId="31689A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闸门埋件制造应按图纸及GB/T 14173埋件制造的规定执行。</w:t>
      </w:r>
    </w:p>
    <w:p w14:paraId="14F59B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每套门槽应在制造厂进行预组装，各项尺寸偏差及接缝错位应符合图纸和上述规范的有关规定。检查合格后，应在组合处打上明显的标记和编号。</w:t>
      </w:r>
    </w:p>
    <w:p w14:paraId="2D4DEC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596" w:name="_Toc206148324"/>
      <w:bookmarkStart w:id="1597" w:name="_Toc91228158"/>
      <w:bookmarkStart w:id="1598" w:name="_Toc206164701"/>
      <w:bookmarkStart w:id="1599" w:name="_Toc31607"/>
      <w:r>
        <w:rPr>
          <w:rFonts w:hint="eastAsia" w:ascii="宋体" w:hAnsi="宋体" w:eastAsia="宋体" w:cs="宋体"/>
          <w:color w:val="auto"/>
          <w:sz w:val="24"/>
          <w:szCs w:val="24"/>
          <w:lang w:eastAsia="zh-CN"/>
        </w:rPr>
        <w:t>21.3.2.2平面闸门制造</w:t>
      </w:r>
      <w:bookmarkEnd w:id="1596"/>
      <w:bookmarkEnd w:id="1597"/>
      <w:bookmarkEnd w:id="1598"/>
      <w:bookmarkEnd w:id="1599"/>
    </w:p>
    <w:p w14:paraId="217E7E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平面闸门制造应按设计图和GB/T 14173平面闸门制造的规定执行。</w:t>
      </w:r>
    </w:p>
    <w:p w14:paraId="0CC5B9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闸门的滚轮或滑道组装（或组焊）时，应以止水座面为基准面进行调整，所有滚轮或滑道面应在同一平面内，其各项允许偏差参照上述规范的规定执行。</w:t>
      </w:r>
    </w:p>
    <w:p w14:paraId="1859E9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门叶上的止水螺孔止水压板的水封螺孔在工厂配钻，当门叶分节制造时，顶侧水封螺孔应在闸门组装成整体后才划线钻孔，顶水封螺孔的中心至闸门底缘的距离应符合施工图纸要求。</w:t>
      </w:r>
    </w:p>
    <w:p w14:paraId="4C66F2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不论整体或分节制造，每扇闸门都应在工厂进行组装（包括主轮或滑道、侧轮、反轮、节间连接装置、充水阀等部件）检查。各节门叶各项尺寸偏差以及闸门组装成整体后的各项尺寸偏差和接头错位、均应符合施工图纸和上述规范的规定。检查合格后，应在组合处打上明显的标记和编号，并焊上定位板。</w:t>
      </w:r>
    </w:p>
    <w:p w14:paraId="246B88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600" w:name="_Toc206148325"/>
      <w:bookmarkStart w:id="1601" w:name="_Toc91228161"/>
      <w:bookmarkStart w:id="1602" w:name="_Toc7810"/>
      <w:bookmarkStart w:id="1603" w:name="_Toc206164702"/>
      <w:r>
        <w:rPr>
          <w:rFonts w:hint="eastAsia" w:ascii="宋体" w:hAnsi="宋体" w:eastAsia="宋体" w:cs="宋体"/>
          <w:color w:val="auto"/>
          <w:sz w:val="24"/>
          <w:szCs w:val="24"/>
          <w:lang w:eastAsia="zh-CN"/>
        </w:rPr>
        <w:t>21.3.2.3闸门制造招标特性</w:t>
      </w:r>
      <w:bookmarkEnd w:id="1600"/>
      <w:bookmarkEnd w:id="1601"/>
      <w:bookmarkEnd w:id="1602"/>
      <w:bookmarkEnd w:id="1603"/>
    </w:p>
    <w:p w14:paraId="4C555795">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bookmarkStart w:id="1604" w:name="_Toc206148073"/>
      <w:r>
        <w:rPr>
          <w:rFonts w:hint="eastAsia" w:ascii="宋体" w:hAnsi="宋体" w:eastAsia="宋体" w:cs="宋体"/>
          <w:b/>
          <w:bCs/>
          <w:color w:val="auto"/>
          <w:sz w:val="24"/>
          <w:szCs w:val="24"/>
          <w:lang w:eastAsia="zh-CN"/>
        </w:rPr>
        <w:t>（1）清污机栅槽</w:t>
      </w:r>
      <w:bookmarkEnd w:id="1604"/>
    </w:p>
    <w:p w14:paraId="010DD2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1）技术参数</w:t>
      </w:r>
    </w:p>
    <w:p w14:paraId="0A4DD3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孔口尺寸(宽×高)          6.6m×6.88m</w:t>
      </w:r>
    </w:p>
    <w:p w14:paraId="66B68D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设计水头                1m</w:t>
      </w:r>
    </w:p>
    <w:p w14:paraId="046B6D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拦污栅型式              回转式清污机</w:t>
      </w:r>
    </w:p>
    <w:p w14:paraId="285465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2）材料和招标工程量</w:t>
      </w:r>
    </w:p>
    <w:p w14:paraId="48D11F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主要材料和招标工程量见下表。</w:t>
      </w:r>
    </w:p>
    <w:p w14:paraId="19A29E1C">
      <w:pPr>
        <w:pStyle w:val="26"/>
        <w:rPr>
          <w:color w:val="auto"/>
        </w:rPr>
      </w:pPr>
      <w:r>
        <w:rPr>
          <w:color w:val="auto"/>
        </w:rPr>
        <w:t>主要材料和招标工程量</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2"/>
        <w:gridCol w:w="5103"/>
      </w:tblGrid>
      <w:tr w14:paraId="44C1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top w:val="single" w:color="auto" w:sz="12" w:space="0"/>
              <w:left w:val="single" w:color="auto" w:sz="12" w:space="0"/>
            </w:tcBorders>
            <w:vAlign w:val="center"/>
          </w:tcPr>
          <w:p w14:paraId="0E98491A">
            <w:pPr>
              <w:pStyle w:val="27"/>
              <w:rPr>
                <w:color w:val="auto"/>
              </w:rPr>
            </w:pPr>
            <w:r>
              <w:rPr>
                <w:rFonts w:hint="eastAsia"/>
                <w:color w:val="auto"/>
              </w:rPr>
              <w:t>材   料</w:t>
            </w:r>
          </w:p>
        </w:tc>
        <w:tc>
          <w:tcPr>
            <w:tcW w:w="5103" w:type="dxa"/>
            <w:tcBorders>
              <w:top w:val="single" w:color="auto" w:sz="12" w:space="0"/>
              <w:right w:val="single" w:color="auto" w:sz="12" w:space="0"/>
            </w:tcBorders>
            <w:vAlign w:val="center"/>
          </w:tcPr>
          <w:p w14:paraId="03393561">
            <w:pPr>
              <w:pStyle w:val="27"/>
              <w:rPr>
                <w:color w:val="auto"/>
              </w:rPr>
            </w:pPr>
            <w:r>
              <w:rPr>
                <w:rFonts w:hint="eastAsia"/>
                <w:color w:val="auto"/>
              </w:rPr>
              <w:t>工程量</w:t>
            </w:r>
            <w:r>
              <w:rPr>
                <w:color w:val="auto"/>
              </w:rPr>
              <w:t>（</w:t>
            </w:r>
            <w:r>
              <w:rPr>
                <w:rFonts w:hint="eastAsia"/>
                <w:color w:val="auto"/>
              </w:rPr>
              <w:t>t</w:t>
            </w:r>
            <w:r>
              <w:rPr>
                <w:color w:val="auto"/>
              </w:rPr>
              <w:t>）</w:t>
            </w:r>
          </w:p>
        </w:tc>
      </w:tr>
      <w:tr w14:paraId="2E99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4BEFBEF3">
            <w:pPr>
              <w:pStyle w:val="27"/>
              <w:rPr>
                <w:color w:val="auto"/>
              </w:rPr>
            </w:pPr>
            <w:r>
              <w:rPr>
                <w:color w:val="auto"/>
              </w:rPr>
              <w:t>钢板、型钢</w:t>
            </w:r>
            <w:r>
              <w:rPr>
                <w:rFonts w:hint="eastAsia"/>
                <w:color w:val="auto"/>
              </w:rPr>
              <w:t>（</w:t>
            </w:r>
            <w:r>
              <w:rPr>
                <w:color w:val="auto"/>
              </w:rPr>
              <w:t>Q235B</w:t>
            </w:r>
            <w:r>
              <w:rPr>
                <w:rFonts w:hint="eastAsia"/>
                <w:color w:val="auto"/>
              </w:rPr>
              <w:t>）</w:t>
            </w:r>
          </w:p>
        </w:tc>
        <w:tc>
          <w:tcPr>
            <w:tcW w:w="5103" w:type="dxa"/>
            <w:tcBorders>
              <w:right w:val="single" w:color="auto" w:sz="12" w:space="0"/>
            </w:tcBorders>
            <w:vAlign w:val="center"/>
          </w:tcPr>
          <w:p w14:paraId="477D57AE">
            <w:pPr>
              <w:pStyle w:val="27"/>
              <w:rPr>
                <w:color w:val="auto"/>
              </w:rPr>
            </w:pPr>
            <w:r>
              <w:rPr>
                <w:color w:val="auto"/>
              </w:rPr>
              <w:t>0.5</w:t>
            </w:r>
          </w:p>
        </w:tc>
      </w:tr>
      <w:tr w14:paraId="38E82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5116C2A3">
            <w:pPr>
              <w:pStyle w:val="27"/>
              <w:rPr>
                <w:color w:val="auto"/>
              </w:rPr>
            </w:pPr>
            <w:r>
              <w:rPr>
                <w:color w:val="auto"/>
              </w:rPr>
              <w:t>不锈钢</w:t>
            </w:r>
            <w:r>
              <w:rPr>
                <w:rFonts w:hint="eastAsia"/>
                <w:color w:val="auto"/>
              </w:rPr>
              <w:t>（</w:t>
            </w:r>
            <w:r>
              <w:rPr>
                <w:color w:val="auto"/>
              </w:rPr>
              <w:t>022Cr17Ni12Mo2</w:t>
            </w:r>
            <w:r>
              <w:rPr>
                <w:rFonts w:hint="eastAsia"/>
                <w:color w:val="auto"/>
              </w:rPr>
              <w:t>）</w:t>
            </w:r>
          </w:p>
        </w:tc>
        <w:tc>
          <w:tcPr>
            <w:tcW w:w="5103" w:type="dxa"/>
            <w:tcBorders>
              <w:right w:val="single" w:color="auto" w:sz="12" w:space="0"/>
            </w:tcBorders>
            <w:vAlign w:val="center"/>
          </w:tcPr>
          <w:p w14:paraId="7135D2E2">
            <w:pPr>
              <w:pStyle w:val="27"/>
              <w:rPr>
                <w:color w:val="auto"/>
              </w:rPr>
            </w:pPr>
            <w:r>
              <w:rPr>
                <w:color w:val="auto"/>
              </w:rPr>
              <w:t>0.5</w:t>
            </w:r>
          </w:p>
        </w:tc>
      </w:tr>
      <w:tr w14:paraId="502BC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3D78E8D8">
            <w:pPr>
              <w:pStyle w:val="27"/>
              <w:rPr>
                <w:color w:val="auto"/>
              </w:rPr>
            </w:pPr>
            <w:r>
              <w:rPr>
                <w:color w:val="auto"/>
              </w:rPr>
              <w:t>合计</w:t>
            </w:r>
          </w:p>
        </w:tc>
        <w:tc>
          <w:tcPr>
            <w:tcW w:w="5103" w:type="dxa"/>
            <w:tcBorders>
              <w:right w:val="single" w:color="auto" w:sz="12" w:space="0"/>
            </w:tcBorders>
            <w:vAlign w:val="center"/>
          </w:tcPr>
          <w:p w14:paraId="62898121">
            <w:pPr>
              <w:pStyle w:val="27"/>
              <w:rPr>
                <w:color w:val="auto"/>
              </w:rPr>
            </w:pPr>
            <w:r>
              <w:rPr>
                <w:color w:val="auto"/>
              </w:rPr>
              <w:t>1</w:t>
            </w:r>
          </w:p>
        </w:tc>
      </w:tr>
      <w:tr w14:paraId="477F1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bottom w:val="single" w:color="auto" w:sz="12" w:space="0"/>
            </w:tcBorders>
            <w:vAlign w:val="center"/>
          </w:tcPr>
          <w:p w14:paraId="3A7C2AB3">
            <w:pPr>
              <w:pStyle w:val="27"/>
              <w:rPr>
                <w:color w:val="auto"/>
              </w:rPr>
            </w:pPr>
            <w:r>
              <w:rPr>
                <w:color w:val="auto"/>
              </w:rPr>
              <w:t>备注</w:t>
            </w:r>
          </w:p>
        </w:tc>
        <w:tc>
          <w:tcPr>
            <w:tcW w:w="5103" w:type="dxa"/>
            <w:tcBorders>
              <w:bottom w:val="single" w:color="auto" w:sz="12" w:space="0"/>
              <w:right w:val="single" w:color="auto" w:sz="12" w:space="0"/>
            </w:tcBorders>
            <w:vAlign w:val="center"/>
          </w:tcPr>
          <w:p w14:paraId="487EE760">
            <w:pPr>
              <w:pStyle w:val="27"/>
              <w:rPr>
                <w:color w:val="auto"/>
              </w:rPr>
            </w:pPr>
            <w:r>
              <w:rPr>
                <w:color w:val="auto"/>
              </w:rPr>
              <w:t>单套重量1t，共10套</w:t>
            </w:r>
          </w:p>
        </w:tc>
      </w:tr>
    </w:tbl>
    <w:p w14:paraId="71F8A21C">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rPr>
      </w:pPr>
      <w:bookmarkStart w:id="1605" w:name="_Toc206148074"/>
      <w:bookmarkStart w:id="1606" w:name="_Toc370459289"/>
      <w:r>
        <w:rPr>
          <w:rFonts w:hint="eastAsia" w:ascii="宋体" w:hAnsi="宋体" w:eastAsia="宋体" w:cs="宋体"/>
          <w:b/>
          <w:bCs/>
          <w:color w:val="auto"/>
          <w:sz w:val="24"/>
          <w:szCs w:val="24"/>
          <w:lang w:eastAsia="zh-CN"/>
        </w:rPr>
        <w:t>（2）</w:t>
      </w:r>
      <w:r>
        <w:rPr>
          <w:rFonts w:hint="eastAsia" w:ascii="宋体" w:hAnsi="宋体" w:eastAsia="宋体" w:cs="宋体"/>
          <w:b/>
          <w:bCs/>
          <w:color w:val="auto"/>
          <w:sz w:val="24"/>
          <w:szCs w:val="24"/>
        </w:rPr>
        <w:t>泵站进口检修闸门</w:t>
      </w:r>
      <w:bookmarkEnd w:id="1605"/>
    </w:p>
    <w:p w14:paraId="6A7001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技术参数</w:t>
      </w:r>
    </w:p>
    <w:p w14:paraId="65FC83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孔口尺寸(宽×高)         10m×6m</w:t>
      </w:r>
    </w:p>
    <w:p w14:paraId="233BFD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设计水头                10m</w:t>
      </w:r>
    </w:p>
    <w:p w14:paraId="4F87AC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闸门型式                潜孔式平面滑动钢闸门</w:t>
      </w:r>
    </w:p>
    <w:p w14:paraId="22F0BB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2）材料和招标工程量</w:t>
      </w:r>
    </w:p>
    <w:p w14:paraId="084E8A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主要材料和招标工程量见下表。</w:t>
      </w:r>
    </w:p>
    <w:p w14:paraId="481AE788">
      <w:pPr>
        <w:pStyle w:val="26"/>
        <w:rPr>
          <w:color w:val="auto"/>
        </w:rPr>
      </w:pPr>
      <w:r>
        <w:rPr>
          <w:color w:val="auto"/>
        </w:rPr>
        <w:t>主要材料和招标工程量</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2"/>
        <w:gridCol w:w="2552"/>
        <w:gridCol w:w="2551"/>
      </w:tblGrid>
      <w:tr w14:paraId="5686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vMerge w:val="restart"/>
            <w:tcBorders>
              <w:top w:val="single" w:color="auto" w:sz="12" w:space="0"/>
              <w:left w:val="single" w:color="auto" w:sz="12" w:space="0"/>
            </w:tcBorders>
            <w:vAlign w:val="center"/>
          </w:tcPr>
          <w:p w14:paraId="4B313947">
            <w:pPr>
              <w:pStyle w:val="27"/>
              <w:rPr>
                <w:color w:val="auto"/>
              </w:rPr>
            </w:pPr>
            <w:r>
              <w:rPr>
                <w:rFonts w:hint="eastAsia"/>
                <w:color w:val="auto"/>
              </w:rPr>
              <w:t>材   料</w:t>
            </w:r>
          </w:p>
        </w:tc>
        <w:tc>
          <w:tcPr>
            <w:tcW w:w="5103" w:type="dxa"/>
            <w:gridSpan w:val="2"/>
            <w:tcBorders>
              <w:top w:val="single" w:color="auto" w:sz="12" w:space="0"/>
              <w:right w:val="single" w:color="auto" w:sz="12" w:space="0"/>
            </w:tcBorders>
            <w:vAlign w:val="center"/>
          </w:tcPr>
          <w:p w14:paraId="3A6F2FB6">
            <w:pPr>
              <w:pStyle w:val="27"/>
              <w:rPr>
                <w:color w:val="auto"/>
              </w:rPr>
            </w:pPr>
            <w:r>
              <w:rPr>
                <w:rFonts w:hint="eastAsia"/>
                <w:color w:val="auto"/>
              </w:rPr>
              <w:t>工程量</w:t>
            </w:r>
            <w:r>
              <w:rPr>
                <w:color w:val="auto"/>
              </w:rPr>
              <w:t>（</w:t>
            </w:r>
            <w:r>
              <w:rPr>
                <w:rFonts w:hint="eastAsia"/>
                <w:color w:val="auto"/>
              </w:rPr>
              <w:t>t</w:t>
            </w:r>
            <w:r>
              <w:rPr>
                <w:color w:val="auto"/>
              </w:rPr>
              <w:t>）</w:t>
            </w:r>
          </w:p>
        </w:tc>
      </w:tr>
      <w:tr w14:paraId="2407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vMerge w:val="continue"/>
            <w:tcBorders>
              <w:left w:val="single" w:color="auto" w:sz="12" w:space="0"/>
            </w:tcBorders>
            <w:vAlign w:val="center"/>
          </w:tcPr>
          <w:p w14:paraId="73A8C655">
            <w:pPr>
              <w:pStyle w:val="27"/>
              <w:rPr>
                <w:color w:val="auto"/>
              </w:rPr>
            </w:pPr>
          </w:p>
        </w:tc>
        <w:tc>
          <w:tcPr>
            <w:tcW w:w="2552" w:type="dxa"/>
            <w:vAlign w:val="center"/>
          </w:tcPr>
          <w:p w14:paraId="2CCD90DC">
            <w:pPr>
              <w:pStyle w:val="27"/>
              <w:rPr>
                <w:color w:val="auto"/>
              </w:rPr>
            </w:pPr>
            <w:r>
              <w:rPr>
                <w:rFonts w:hint="eastAsia"/>
                <w:color w:val="auto"/>
              </w:rPr>
              <w:t>闸门门叶</w:t>
            </w:r>
          </w:p>
        </w:tc>
        <w:tc>
          <w:tcPr>
            <w:tcW w:w="2551" w:type="dxa"/>
            <w:tcBorders>
              <w:right w:val="single" w:color="auto" w:sz="12" w:space="0"/>
            </w:tcBorders>
            <w:vAlign w:val="center"/>
          </w:tcPr>
          <w:p w14:paraId="653B03A3">
            <w:pPr>
              <w:pStyle w:val="27"/>
              <w:rPr>
                <w:color w:val="auto"/>
              </w:rPr>
            </w:pPr>
            <w:r>
              <w:rPr>
                <w:rFonts w:hint="eastAsia"/>
                <w:color w:val="auto"/>
              </w:rPr>
              <w:t>闸门门槽</w:t>
            </w:r>
          </w:p>
        </w:tc>
      </w:tr>
      <w:tr w14:paraId="46DA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4E19BDEF">
            <w:pPr>
              <w:pStyle w:val="27"/>
              <w:rPr>
                <w:color w:val="auto"/>
              </w:rPr>
            </w:pPr>
            <w:r>
              <w:rPr>
                <w:color w:val="auto"/>
              </w:rPr>
              <w:t>钢板</w:t>
            </w:r>
            <w:r>
              <w:rPr>
                <w:rFonts w:hint="eastAsia"/>
                <w:color w:val="auto"/>
              </w:rPr>
              <w:t>（</w:t>
            </w:r>
            <w:r>
              <w:rPr>
                <w:color w:val="auto"/>
              </w:rPr>
              <w:t>Q</w:t>
            </w:r>
            <w:r>
              <w:rPr>
                <w:rFonts w:hint="eastAsia"/>
                <w:color w:val="auto"/>
              </w:rPr>
              <w:t>35</w:t>
            </w:r>
            <w:r>
              <w:rPr>
                <w:color w:val="auto"/>
              </w:rPr>
              <w:t>5B</w:t>
            </w:r>
            <w:r>
              <w:rPr>
                <w:rFonts w:hint="eastAsia"/>
                <w:color w:val="auto"/>
              </w:rPr>
              <w:t>）</w:t>
            </w:r>
          </w:p>
        </w:tc>
        <w:tc>
          <w:tcPr>
            <w:tcW w:w="2552" w:type="dxa"/>
            <w:vAlign w:val="center"/>
          </w:tcPr>
          <w:p w14:paraId="4C984AE5">
            <w:pPr>
              <w:pStyle w:val="27"/>
              <w:rPr>
                <w:color w:val="auto"/>
              </w:rPr>
            </w:pPr>
            <w:r>
              <w:rPr>
                <w:color w:val="auto"/>
              </w:rPr>
              <w:t>23.0</w:t>
            </w:r>
          </w:p>
        </w:tc>
        <w:tc>
          <w:tcPr>
            <w:tcW w:w="2551" w:type="dxa"/>
            <w:tcBorders>
              <w:right w:val="single" w:color="auto" w:sz="12" w:space="0"/>
            </w:tcBorders>
            <w:vAlign w:val="center"/>
          </w:tcPr>
          <w:p w14:paraId="097E2190">
            <w:pPr>
              <w:pStyle w:val="27"/>
              <w:rPr>
                <w:color w:val="auto"/>
              </w:rPr>
            </w:pPr>
            <w:r>
              <w:rPr>
                <w:color w:val="auto"/>
              </w:rPr>
              <w:t>/</w:t>
            </w:r>
          </w:p>
        </w:tc>
      </w:tr>
      <w:tr w14:paraId="1983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41C10632">
            <w:pPr>
              <w:pStyle w:val="27"/>
              <w:rPr>
                <w:color w:val="auto"/>
              </w:rPr>
            </w:pPr>
            <w:r>
              <w:rPr>
                <w:color w:val="auto"/>
              </w:rPr>
              <w:t>钢板、型钢</w:t>
            </w:r>
            <w:r>
              <w:rPr>
                <w:rFonts w:hint="eastAsia"/>
                <w:color w:val="auto"/>
              </w:rPr>
              <w:t>（</w:t>
            </w:r>
            <w:r>
              <w:rPr>
                <w:color w:val="auto"/>
              </w:rPr>
              <w:t>Q235B</w:t>
            </w:r>
            <w:r>
              <w:rPr>
                <w:rFonts w:hint="eastAsia"/>
                <w:color w:val="auto"/>
              </w:rPr>
              <w:t>）</w:t>
            </w:r>
          </w:p>
        </w:tc>
        <w:tc>
          <w:tcPr>
            <w:tcW w:w="2552" w:type="dxa"/>
            <w:vAlign w:val="center"/>
          </w:tcPr>
          <w:p w14:paraId="25179451">
            <w:pPr>
              <w:pStyle w:val="27"/>
              <w:rPr>
                <w:color w:val="auto"/>
              </w:rPr>
            </w:pPr>
            <w:r>
              <w:rPr>
                <w:color w:val="auto"/>
              </w:rPr>
              <w:t>1.0</w:t>
            </w:r>
          </w:p>
        </w:tc>
        <w:tc>
          <w:tcPr>
            <w:tcW w:w="2551" w:type="dxa"/>
            <w:tcBorders>
              <w:right w:val="single" w:color="auto" w:sz="12" w:space="0"/>
            </w:tcBorders>
            <w:vAlign w:val="center"/>
          </w:tcPr>
          <w:p w14:paraId="14A1AD56">
            <w:pPr>
              <w:pStyle w:val="27"/>
              <w:rPr>
                <w:color w:val="auto"/>
              </w:rPr>
            </w:pPr>
            <w:r>
              <w:rPr>
                <w:color w:val="auto"/>
              </w:rPr>
              <w:t>4.8</w:t>
            </w:r>
          </w:p>
        </w:tc>
      </w:tr>
      <w:tr w14:paraId="27004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65167859">
            <w:pPr>
              <w:pStyle w:val="27"/>
              <w:rPr>
                <w:color w:val="auto"/>
                <w:lang w:eastAsia="zh-CN"/>
              </w:rPr>
            </w:pPr>
            <w:r>
              <w:rPr>
                <w:rFonts w:hint="eastAsia"/>
                <w:color w:val="auto"/>
                <w:lang w:eastAsia="zh-CN"/>
              </w:rPr>
              <w:t>低</w:t>
            </w:r>
            <w:r>
              <w:rPr>
                <w:color w:val="auto"/>
                <w:lang w:eastAsia="zh-CN"/>
              </w:rPr>
              <w:t>合金结构钢</w:t>
            </w:r>
            <w:r>
              <w:rPr>
                <w:rFonts w:hint="eastAsia"/>
                <w:color w:val="auto"/>
                <w:lang w:eastAsia="zh-CN"/>
              </w:rPr>
              <w:t>（</w:t>
            </w:r>
            <w:r>
              <w:rPr>
                <w:color w:val="auto"/>
                <w:lang w:eastAsia="zh-CN"/>
              </w:rPr>
              <w:t>40Cr</w:t>
            </w:r>
            <w:r>
              <w:rPr>
                <w:rFonts w:hint="eastAsia"/>
                <w:color w:val="auto"/>
                <w:lang w:eastAsia="zh-CN"/>
              </w:rPr>
              <w:t>）</w:t>
            </w:r>
          </w:p>
        </w:tc>
        <w:tc>
          <w:tcPr>
            <w:tcW w:w="2552" w:type="dxa"/>
            <w:vAlign w:val="center"/>
          </w:tcPr>
          <w:p w14:paraId="2A13CBFE">
            <w:pPr>
              <w:pStyle w:val="27"/>
              <w:rPr>
                <w:color w:val="auto"/>
              </w:rPr>
            </w:pPr>
            <w:r>
              <w:rPr>
                <w:color w:val="auto"/>
              </w:rPr>
              <w:t>0.1</w:t>
            </w:r>
          </w:p>
        </w:tc>
        <w:tc>
          <w:tcPr>
            <w:tcW w:w="2551" w:type="dxa"/>
            <w:tcBorders>
              <w:right w:val="single" w:color="auto" w:sz="12" w:space="0"/>
            </w:tcBorders>
            <w:vAlign w:val="center"/>
          </w:tcPr>
          <w:p w14:paraId="5485AB0F">
            <w:pPr>
              <w:pStyle w:val="27"/>
              <w:rPr>
                <w:color w:val="auto"/>
              </w:rPr>
            </w:pPr>
            <w:r>
              <w:rPr>
                <w:rFonts w:hint="eastAsia"/>
                <w:color w:val="auto"/>
              </w:rPr>
              <w:t>/</w:t>
            </w:r>
          </w:p>
        </w:tc>
      </w:tr>
      <w:tr w14:paraId="6E63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516A7ECD">
            <w:pPr>
              <w:pStyle w:val="27"/>
              <w:rPr>
                <w:color w:val="auto"/>
                <w:lang w:eastAsia="zh-CN"/>
              </w:rPr>
            </w:pPr>
            <w:r>
              <w:rPr>
                <w:rFonts w:hint="eastAsia"/>
                <w:color w:val="auto"/>
                <w:lang w:eastAsia="zh-CN"/>
              </w:rPr>
              <w:t>滑块（高分子自润滑）</w:t>
            </w:r>
          </w:p>
        </w:tc>
        <w:tc>
          <w:tcPr>
            <w:tcW w:w="2552" w:type="dxa"/>
            <w:vAlign w:val="center"/>
          </w:tcPr>
          <w:p w14:paraId="7D8F566F">
            <w:pPr>
              <w:pStyle w:val="27"/>
              <w:rPr>
                <w:color w:val="auto"/>
              </w:rPr>
            </w:pPr>
            <w:r>
              <w:rPr>
                <w:color w:val="auto"/>
              </w:rPr>
              <w:t>0.1</w:t>
            </w:r>
          </w:p>
        </w:tc>
        <w:tc>
          <w:tcPr>
            <w:tcW w:w="2551" w:type="dxa"/>
            <w:tcBorders>
              <w:right w:val="single" w:color="auto" w:sz="12" w:space="0"/>
            </w:tcBorders>
            <w:vAlign w:val="center"/>
          </w:tcPr>
          <w:p w14:paraId="7EF3E9F7">
            <w:pPr>
              <w:pStyle w:val="27"/>
              <w:rPr>
                <w:color w:val="auto"/>
              </w:rPr>
            </w:pPr>
            <w:r>
              <w:rPr>
                <w:rFonts w:hint="eastAsia"/>
                <w:color w:val="auto"/>
              </w:rPr>
              <w:t>/</w:t>
            </w:r>
          </w:p>
        </w:tc>
      </w:tr>
      <w:tr w14:paraId="7B535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7E778009">
            <w:pPr>
              <w:pStyle w:val="27"/>
              <w:rPr>
                <w:color w:val="auto"/>
              </w:rPr>
            </w:pPr>
            <w:r>
              <w:rPr>
                <w:color w:val="auto"/>
              </w:rPr>
              <w:t>不锈钢</w:t>
            </w:r>
            <w:r>
              <w:rPr>
                <w:rFonts w:hint="eastAsia"/>
                <w:color w:val="auto"/>
              </w:rPr>
              <w:t>（</w:t>
            </w:r>
            <w:r>
              <w:rPr>
                <w:color w:val="auto"/>
              </w:rPr>
              <w:t>022Cr17Ni12Mo2</w:t>
            </w:r>
            <w:r>
              <w:rPr>
                <w:rFonts w:hint="eastAsia"/>
                <w:color w:val="auto"/>
              </w:rPr>
              <w:t>）</w:t>
            </w:r>
          </w:p>
        </w:tc>
        <w:tc>
          <w:tcPr>
            <w:tcW w:w="2552" w:type="dxa"/>
            <w:vAlign w:val="center"/>
          </w:tcPr>
          <w:p w14:paraId="4977D99F">
            <w:pPr>
              <w:pStyle w:val="27"/>
              <w:rPr>
                <w:color w:val="auto"/>
              </w:rPr>
            </w:pPr>
            <w:r>
              <w:rPr>
                <w:color w:val="auto"/>
              </w:rPr>
              <w:t>0.3</w:t>
            </w:r>
          </w:p>
        </w:tc>
        <w:tc>
          <w:tcPr>
            <w:tcW w:w="2551" w:type="dxa"/>
            <w:tcBorders>
              <w:right w:val="single" w:color="auto" w:sz="12" w:space="0"/>
            </w:tcBorders>
            <w:vAlign w:val="center"/>
          </w:tcPr>
          <w:p w14:paraId="15E48873">
            <w:pPr>
              <w:pStyle w:val="27"/>
              <w:rPr>
                <w:color w:val="auto"/>
              </w:rPr>
            </w:pPr>
            <w:r>
              <w:rPr>
                <w:color w:val="auto"/>
              </w:rPr>
              <w:t>5</w:t>
            </w:r>
          </w:p>
        </w:tc>
      </w:tr>
      <w:tr w14:paraId="4DECC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47050D42">
            <w:pPr>
              <w:pStyle w:val="27"/>
              <w:rPr>
                <w:color w:val="auto"/>
              </w:rPr>
            </w:pPr>
            <w:r>
              <w:rPr>
                <w:color w:val="auto"/>
              </w:rPr>
              <w:t>止水橡胶（SF6674）</w:t>
            </w:r>
          </w:p>
        </w:tc>
        <w:tc>
          <w:tcPr>
            <w:tcW w:w="2552" w:type="dxa"/>
            <w:vAlign w:val="center"/>
          </w:tcPr>
          <w:p w14:paraId="27DA8880">
            <w:pPr>
              <w:pStyle w:val="27"/>
              <w:rPr>
                <w:color w:val="auto"/>
              </w:rPr>
            </w:pPr>
            <w:r>
              <w:rPr>
                <w:color w:val="auto"/>
              </w:rPr>
              <w:t>0.2</w:t>
            </w:r>
          </w:p>
        </w:tc>
        <w:tc>
          <w:tcPr>
            <w:tcW w:w="2551" w:type="dxa"/>
            <w:tcBorders>
              <w:right w:val="single" w:color="auto" w:sz="12" w:space="0"/>
            </w:tcBorders>
            <w:vAlign w:val="center"/>
          </w:tcPr>
          <w:p w14:paraId="05B36315">
            <w:pPr>
              <w:pStyle w:val="27"/>
              <w:rPr>
                <w:color w:val="auto"/>
              </w:rPr>
            </w:pPr>
            <w:r>
              <w:rPr>
                <w:rFonts w:hint="eastAsia"/>
                <w:color w:val="auto"/>
              </w:rPr>
              <w:t>/</w:t>
            </w:r>
          </w:p>
        </w:tc>
      </w:tr>
      <w:tr w14:paraId="4E68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0EE1C58A">
            <w:pPr>
              <w:pStyle w:val="27"/>
              <w:rPr>
                <w:color w:val="auto"/>
              </w:rPr>
            </w:pPr>
            <w:r>
              <w:rPr>
                <w:color w:val="auto"/>
              </w:rPr>
              <w:t>标准件</w:t>
            </w:r>
          </w:p>
        </w:tc>
        <w:tc>
          <w:tcPr>
            <w:tcW w:w="2552" w:type="dxa"/>
            <w:vAlign w:val="center"/>
          </w:tcPr>
          <w:p w14:paraId="0663F16A">
            <w:pPr>
              <w:pStyle w:val="27"/>
              <w:rPr>
                <w:color w:val="auto"/>
              </w:rPr>
            </w:pPr>
            <w:r>
              <w:rPr>
                <w:color w:val="auto"/>
              </w:rPr>
              <w:t>0.3</w:t>
            </w:r>
          </w:p>
        </w:tc>
        <w:tc>
          <w:tcPr>
            <w:tcW w:w="2551" w:type="dxa"/>
            <w:tcBorders>
              <w:right w:val="single" w:color="auto" w:sz="12" w:space="0"/>
            </w:tcBorders>
            <w:vAlign w:val="center"/>
          </w:tcPr>
          <w:p w14:paraId="43311E6A">
            <w:pPr>
              <w:pStyle w:val="27"/>
              <w:rPr>
                <w:color w:val="auto"/>
              </w:rPr>
            </w:pPr>
            <w:r>
              <w:rPr>
                <w:color w:val="auto"/>
              </w:rPr>
              <w:t>0.2</w:t>
            </w:r>
          </w:p>
        </w:tc>
      </w:tr>
      <w:tr w14:paraId="2A747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1D79D568">
            <w:pPr>
              <w:pStyle w:val="27"/>
              <w:rPr>
                <w:color w:val="auto"/>
              </w:rPr>
            </w:pPr>
            <w:r>
              <w:rPr>
                <w:color w:val="auto"/>
              </w:rPr>
              <w:t>合计</w:t>
            </w:r>
          </w:p>
        </w:tc>
        <w:tc>
          <w:tcPr>
            <w:tcW w:w="2552" w:type="dxa"/>
            <w:vAlign w:val="center"/>
          </w:tcPr>
          <w:p w14:paraId="65FCAE27">
            <w:pPr>
              <w:pStyle w:val="27"/>
              <w:rPr>
                <w:color w:val="auto"/>
              </w:rPr>
            </w:pPr>
            <w:r>
              <w:rPr>
                <w:color w:val="auto"/>
              </w:rPr>
              <w:t>25</w:t>
            </w:r>
          </w:p>
        </w:tc>
        <w:tc>
          <w:tcPr>
            <w:tcW w:w="2551" w:type="dxa"/>
            <w:tcBorders>
              <w:right w:val="single" w:color="auto" w:sz="12" w:space="0"/>
            </w:tcBorders>
            <w:vAlign w:val="center"/>
          </w:tcPr>
          <w:p w14:paraId="29B1F0ED">
            <w:pPr>
              <w:pStyle w:val="27"/>
              <w:rPr>
                <w:color w:val="auto"/>
              </w:rPr>
            </w:pPr>
            <w:r>
              <w:rPr>
                <w:color w:val="auto"/>
              </w:rPr>
              <w:t>10</w:t>
            </w:r>
          </w:p>
        </w:tc>
      </w:tr>
      <w:tr w14:paraId="78565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bottom w:val="single" w:color="auto" w:sz="12" w:space="0"/>
            </w:tcBorders>
            <w:vAlign w:val="center"/>
          </w:tcPr>
          <w:p w14:paraId="5106696F">
            <w:pPr>
              <w:pStyle w:val="27"/>
              <w:rPr>
                <w:color w:val="auto"/>
              </w:rPr>
            </w:pPr>
            <w:r>
              <w:rPr>
                <w:color w:val="auto"/>
              </w:rPr>
              <w:t>备注</w:t>
            </w:r>
          </w:p>
        </w:tc>
        <w:tc>
          <w:tcPr>
            <w:tcW w:w="2552" w:type="dxa"/>
            <w:tcBorders>
              <w:bottom w:val="single" w:color="auto" w:sz="12" w:space="0"/>
            </w:tcBorders>
            <w:vAlign w:val="center"/>
          </w:tcPr>
          <w:p w14:paraId="7E079BC4">
            <w:pPr>
              <w:pStyle w:val="27"/>
              <w:rPr>
                <w:color w:val="auto"/>
              </w:rPr>
            </w:pPr>
            <w:r>
              <w:rPr>
                <w:color w:val="auto"/>
              </w:rPr>
              <w:t>单扇重量25t，共2扇</w:t>
            </w:r>
          </w:p>
        </w:tc>
        <w:tc>
          <w:tcPr>
            <w:tcW w:w="2551" w:type="dxa"/>
            <w:tcBorders>
              <w:bottom w:val="single" w:color="auto" w:sz="12" w:space="0"/>
              <w:right w:val="single" w:color="auto" w:sz="12" w:space="0"/>
            </w:tcBorders>
            <w:vAlign w:val="center"/>
          </w:tcPr>
          <w:p w14:paraId="04EFA33F">
            <w:pPr>
              <w:pStyle w:val="27"/>
              <w:rPr>
                <w:color w:val="auto"/>
              </w:rPr>
            </w:pPr>
            <w:r>
              <w:rPr>
                <w:color w:val="auto"/>
              </w:rPr>
              <w:t>单套重量10t，共6套</w:t>
            </w:r>
          </w:p>
        </w:tc>
      </w:tr>
    </w:tbl>
    <w:p w14:paraId="22696291">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bookmarkStart w:id="1607" w:name="_Toc206148075"/>
      <w:r>
        <w:rPr>
          <w:rFonts w:hint="eastAsia" w:ascii="宋体" w:hAnsi="宋体" w:eastAsia="宋体" w:cs="宋体"/>
          <w:b/>
          <w:bCs/>
          <w:color w:val="auto"/>
          <w:sz w:val="24"/>
          <w:szCs w:val="24"/>
          <w:lang w:eastAsia="zh-CN"/>
        </w:rPr>
        <w:t>（3）泵站出口快速工作闸门</w:t>
      </w:r>
      <w:bookmarkEnd w:id="1607"/>
    </w:p>
    <w:p w14:paraId="3FF709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1）技术参数</w:t>
      </w:r>
    </w:p>
    <w:p w14:paraId="032E8F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孔口尺寸(宽×高)         4m×5.6m</w:t>
      </w:r>
    </w:p>
    <w:p w14:paraId="2C4E5C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设计水头                12m</w:t>
      </w:r>
    </w:p>
    <w:p w14:paraId="5548DF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闸门型式                潜孔式平面定轮钢闸门</w:t>
      </w:r>
    </w:p>
    <w:p w14:paraId="67B734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2）材料和招标工程量</w:t>
      </w:r>
    </w:p>
    <w:p w14:paraId="7A63CB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主要材料和招标工程量见下表。</w:t>
      </w:r>
    </w:p>
    <w:p w14:paraId="619282F5">
      <w:pPr>
        <w:pStyle w:val="26"/>
        <w:rPr>
          <w:color w:val="auto"/>
        </w:rPr>
      </w:pPr>
      <w:r>
        <w:rPr>
          <w:color w:val="auto"/>
        </w:rPr>
        <w:t>主要材料和招标工程量</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2"/>
        <w:gridCol w:w="2552"/>
        <w:gridCol w:w="2551"/>
      </w:tblGrid>
      <w:tr w14:paraId="4CE0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vMerge w:val="restart"/>
            <w:tcBorders>
              <w:top w:val="single" w:color="auto" w:sz="12" w:space="0"/>
              <w:left w:val="single" w:color="auto" w:sz="12" w:space="0"/>
            </w:tcBorders>
            <w:vAlign w:val="center"/>
          </w:tcPr>
          <w:p w14:paraId="4CB6DEA0">
            <w:pPr>
              <w:pStyle w:val="27"/>
              <w:rPr>
                <w:color w:val="auto"/>
              </w:rPr>
            </w:pPr>
            <w:r>
              <w:rPr>
                <w:rFonts w:hint="eastAsia"/>
                <w:color w:val="auto"/>
              </w:rPr>
              <w:t>材   料</w:t>
            </w:r>
          </w:p>
        </w:tc>
        <w:tc>
          <w:tcPr>
            <w:tcW w:w="5103" w:type="dxa"/>
            <w:gridSpan w:val="2"/>
            <w:tcBorders>
              <w:top w:val="single" w:color="auto" w:sz="12" w:space="0"/>
              <w:right w:val="single" w:color="auto" w:sz="12" w:space="0"/>
            </w:tcBorders>
            <w:vAlign w:val="center"/>
          </w:tcPr>
          <w:p w14:paraId="1E877000">
            <w:pPr>
              <w:pStyle w:val="27"/>
              <w:rPr>
                <w:color w:val="auto"/>
              </w:rPr>
            </w:pPr>
            <w:r>
              <w:rPr>
                <w:rFonts w:hint="eastAsia"/>
                <w:color w:val="auto"/>
              </w:rPr>
              <w:t>工程量</w:t>
            </w:r>
            <w:r>
              <w:rPr>
                <w:color w:val="auto"/>
              </w:rPr>
              <w:t>（</w:t>
            </w:r>
            <w:r>
              <w:rPr>
                <w:rFonts w:hint="eastAsia"/>
                <w:color w:val="auto"/>
              </w:rPr>
              <w:t>t</w:t>
            </w:r>
            <w:r>
              <w:rPr>
                <w:color w:val="auto"/>
              </w:rPr>
              <w:t>）</w:t>
            </w:r>
          </w:p>
        </w:tc>
      </w:tr>
      <w:tr w14:paraId="1E1A8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vMerge w:val="continue"/>
            <w:tcBorders>
              <w:left w:val="single" w:color="auto" w:sz="12" w:space="0"/>
            </w:tcBorders>
            <w:vAlign w:val="center"/>
          </w:tcPr>
          <w:p w14:paraId="5AF2A759">
            <w:pPr>
              <w:pStyle w:val="27"/>
              <w:rPr>
                <w:color w:val="auto"/>
              </w:rPr>
            </w:pPr>
          </w:p>
        </w:tc>
        <w:tc>
          <w:tcPr>
            <w:tcW w:w="2552" w:type="dxa"/>
            <w:vAlign w:val="center"/>
          </w:tcPr>
          <w:p w14:paraId="2A0AEA75">
            <w:pPr>
              <w:pStyle w:val="27"/>
              <w:rPr>
                <w:color w:val="auto"/>
              </w:rPr>
            </w:pPr>
            <w:r>
              <w:rPr>
                <w:rFonts w:hint="eastAsia"/>
                <w:color w:val="auto"/>
              </w:rPr>
              <w:t>闸门门叶</w:t>
            </w:r>
          </w:p>
        </w:tc>
        <w:tc>
          <w:tcPr>
            <w:tcW w:w="2551" w:type="dxa"/>
            <w:tcBorders>
              <w:right w:val="single" w:color="auto" w:sz="12" w:space="0"/>
            </w:tcBorders>
            <w:vAlign w:val="center"/>
          </w:tcPr>
          <w:p w14:paraId="7FD15E45">
            <w:pPr>
              <w:pStyle w:val="27"/>
              <w:rPr>
                <w:color w:val="auto"/>
              </w:rPr>
            </w:pPr>
            <w:r>
              <w:rPr>
                <w:rFonts w:hint="eastAsia"/>
                <w:color w:val="auto"/>
              </w:rPr>
              <w:t>闸门门槽</w:t>
            </w:r>
          </w:p>
        </w:tc>
      </w:tr>
      <w:tr w14:paraId="1EA79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79B1CCE5">
            <w:pPr>
              <w:pStyle w:val="27"/>
              <w:rPr>
                <w:color w:val="auto"/>
              </w:rPr>
            </w:pPr>
            <w:r>
              <w:rPr>
                <w:color w:val="auto"/>
              </w:rPr>
              <w:t>钢板</w:t>
            </w:r>
            <w:r>
              <w:rPr>
                <w:rFonts w:hint="eastAsia"/>
                <w:color w:val="auto"/>
              </w:rPr>
              <w:t>（</w:t>
            </w:r>
            <w:r>
              <w:rPr>
                <w:color w:val="auto"/>
              </w:rPr>
              <w:t>Q</w:t>
            </w:r>
            <w:r>
              <w:rPr>
                <w:rFonts w:hint="eastAsia"/>
                <w:color w:val="auto"/>
              </w:rPr>
              <w:t>35</w:t>
            </w:r>
            <w:r>
              <w:rPr>
                <w:color w:val="auto"/>
              </w:rPr>
              <w:t>5B</w:t>
            </w:r>
            <w:r>
              <w:rPr>
                <w:rFonts w:hint="eastAsia"/>
                <w:color w:val="auto"/>
              </w:rPr>
              <w:t>）</w:t>
            </w:r>
          </w:p>
        </w:tc>
        <w:tc>
          <w:tcPr>
            <w:tcW w:w="2552" w:type="dxa"/>
            <w:vAlign w:val="center"/>
          </w:tcPr>
          <w:p w14:paraId="350E70C4">
            <w:pPr>
              <w:pStyle w:val="27"/>
              <w:rPr>
                <w:color w:val="auto"/>
              </w:rPr>
            </w:pPr>
            <w:r>
              <w:rPr>
                <w:color w:val="auto"/>
              </w:rPr>
              <w:t>25</w:t>
            </w:r>
          </w:p>
        </w:tc>
        <w:tc>
          <w:tcPr>
            <w:tcW w:w="2551" w:type="dxa"/>
            <w:tcBorders>
              <w:right w:val="single" w:color="auto" w:sz="12" w:space="0"/>
            </w:tcBorders>
            <w:vAlign w:val="center"/>
          </w:tcPr>
          <w:p w14:paraId="0608E78C">
            <w:pPr>
              <w:pStyle w:val="27"/>
              <w:rPr>
                <w:color w:val="auto"/>
              </w:rPr>
            </w:pPr>
            <w:r>
              <w:rPr>
                <w:color w:val="auto"/>
              </w:rPr>
              <w:t>2.3</w:t>
            </w:r>
          </w:p>
        </w:tc>
      </w:tr>
      <w:tr w14:paraId="073C8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1F955FB3">
            <w:pPr>
              <w:pStyle w:val="27"/>
              <w:rPr>
                <w:color w:val="auto"/>
              </w:rPr>
            </w:pPr>
            <w:r>
              <w:rPr>
                <w:rFonts w:hint="eastAsia"/>
                <w:color w:val="auto"/>
              </w:rPr>
              <w:t>配重（</w:t>
            </w:r>
            <w:r>
              <w:rPr>
                <w:color w:val="auto"/>
              </w:rPr>
              <w:t>Q235B</w:t>
            </w:r>
            <w:r>
              <w:rPr>
                <w:rFonts w:hint="eastAsia"/>
                <w:color w:val="auto"/>
              </w:rPr>
              <w:t>）</w:t>
            </w:r>
          </w:p>
        </w:tc>
        <w:tc>
          <w:tcPr>
            <w:tcW w:w="2552" w:type="dxa"/>
            <w:vAlign w:val="center"/>
          </w:tcPr>
          <w:p w14:paraId="40851CC3">
            <w:pPr>
              <w:pStyle w:val="27"/>
              <w:rPr>
                <w:color w:val="auto"/>
              </w:rPr>
            </w:pPr>
            <w:r>
              <w:rPr>
                <w:color w:val="auto"/>
              </w:rPr>
              <w:t>7</w:t>
            </w:r>
          </w:p>
        </w:tc>
        <w:tc>
          <w:tcPr>
            <w:tcW w:w="2551" w:type="dxa"/>
            <w:tcBorders>
              <w:right w:val="single" w:color="auto" w:sz="12" w:space="0"/>
            </w:tcBorders>
            <w:vAlign w:val="center"/>
          </w:tcPr>
          <w:p w14:paraId="4DAD2A4C">
            <w:pPr>
              <w:pStyle w:val="27"/>
              <w:rPr>
                <w:color w:val="auto"/>
              </w:rPr>
            </w:pPr>
            <w:r>
              <w:rPr>
                <w:color w:val="auto"/>
              </w:rPr>
              <w:t>/</w:t>
            </w:r>
          </w:p>
        </w:tc>
      </w:tr>
      <w:tr w14:paraId="5C63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3922B73B">
            <w:pPr>
              <w:pStyle w:val="27"/>
              <w:rPr>
                <w:color w:val="auto"/>
                <w:lang w:eastAsia="zh-CN"/>
              </w:rPr>
            </w:pPr>
            <w:r>
              <w:rPr>
                <w:rFonts w:hint="eastAsia"/>
                <w:color w:val="auto"/>
                <w:lang w:eastAsia="zh-CN"/>
              </w:rPr>
              <w:t>低</w:t>
            </w:r>
            <w:r>
              <w:rPr>
                <w:color w:val="auto"/>
                <w:lang w:eastAsia="zh-CN"/>
              </w:rPr>
              <w:t>合金结构钢</w:t>
            </w:r>
            <w:r>
              <w:rPr>
                <w:rFonts w:hint="eastAsia"/>
                <w:color w:val="auto"/>
                <w:lang w:eastAsia="zh-CN"/>
              </w:rPr>
              <w:t>（</w:t>
            </w:r>
            <w:r>
              <w:rPr>
                <w:color w:val="auto"/>
                <w:lang w:eastAsia="zh-CN"/>
              </w:rPr>
              <w:t>40Cr</w:t>
            </w:r>
            <w:r>
              <w:rPr>
                <w:rFonts w:hint="eastAsia"/>
                <w:color w:val="auto"/>
                <w:lang w:eastAsia="zh-CN"/>
              </w:rPr>
              <w:t>）</w:t>
            </w:r>
          </w:p>
        </w:tc>
        <w:tc>
          <w:tcPr>
            <w:tcW w:w="2552" w:type="dxa"/>
            <w:vAlign w:val="center"/>
          </w:tcPr>
          <w:p w14:paraId="03DC2DDA">
            <w:pPr>
              <w:pStyle w:val="27"/>
              <w:rPr>
                <w:color w:val="auto"/>
              </w:rPr>
            </w:pPr>
            <w:r>
              <w:rPr>
                <w:color w:val="auto"/>
              </w:rPr>
              <w:t>0.1</w:t>
            </w:r>
          </w:p>
        </w:tc>
        <w:tc>
          <w:tcPr>
            <w:tcW w:w="2551" w:type="dxa"/>
            <w:tcBorders>
              <w:right w:val="single" w:color="auto" w:sz="12" w:space="0"/>
            </w:tcBorders>
            <w:vAlign w:val="center"/>
          </w:tcPr>
          <w:p w14:paraId="30D7A863">
            <w:pPr>
              <w:pStyle w:val="27"/>
              <w:rPr>
                <w:color w:val="auto"/>
              </w:rPr>
            </w:pPr>
            <w:r>
              <w:rPr>
                <w:rFonts w:hint="eastAsia"/>
                <w:color w:val="auto"/>
              </w:rPr>
              <w:t>/</w:t>
            </w:r>
          </w:p>
        </w:tc>
      </w:tr>
      <w:tr w14:paraId="515DF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77055D39">
            <w:pPr>
              <w:pStyle w:val="27"/>
              <w:rPr>
                <w:color w:val="auto"/>
              </w:rPr>
            </w:pPr>
            <w:r>
              <w:rPr>
                <w:rFonts w:hint="eastAsia"/>
                <w:color w:val="auto"/>
              </w:rPr>
              <w:t>合金铸钢（</w:t>
            </w:r>
            <w:r>
              <w:rPr>
                <w:color w:val="auto"/>
              </w:rPr>
              <w:t>ZG</w:t>
            </w:r>
            <w:r>
              <w:rPr>
                <w:rFonts w:hint="eastAsia"/>
                <w:color w:val="auto"/>
              </w:rPr>
              <w:t>40M2）</w:t>
            </w:r>
          </w:p>
        </w:tc>
        <w:tc>
          <w:tcPr>
            <w:tcW w:w="2552" w:type="dxa"/>
            <w:vAlign w:val="center"/>
          </w:tcPr>
          <w:p w14:paraId="23D64899">
            <w:pPr>
              <w:pStyle w:val="27"/>
              <w:rPr>
                <w:color w:val="auto"/>
              </w:rPr>
            </w:pPr>
            <w:r>
              <w:rPr>
                <w:color w:val="auto"/>
              </w:rPr>
              <w:t>2.2</w:t>
            </w:r>
          </w:p>
        </w:tc>
        <w:tc>
          <w:tcPr>
            <w:tcW w:w="2551" w:type="dxa"/>
            <w:tcBorders>
              <w:right w:val="single" w:color="auto" w:sz="12" w:space="0"/>
            </w:tcBorders>
            <w:vAlign w:val="center"/>
          </w:tcPr>
          <w:p w14:paraId="6EABD6D8">
            <w:pPr>
              <w:pStyle w:val="27"/>
              <w:rPr>
                <w:color w:val="auto"/>
              </w:rPr>
            </w:pPr>
            <w:r>
              <w:rPr>
                <w:rFonts w:hint="eastAsia"/>
                <w:color w:val="auto"/>
              </w:rPr>
              <w:t>/</w:t>
            </w:r>
          </w:p>
        </w:tc>
      </w:tr>
      <w:tr w14:paraId="0156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1DF298AF">
            <w:pPr>
              <w:pStyle w:val="27"/>
              <w:rPr>
                <w:color w:val="auto"/>
              </w:rPr>
            </w:pPr>
            <w:r>
              <w:rPr>
                <w:color w:val="auto"/>
              </w:rPr>
              <w:t>不锈钢</w:t>
            </w:r>
            <w:r>
              <w:rPr>
                <w:rFonts w:hint="eastAsia"/>
                <w:color w:val="auto"/>
              </w:rPr>
              <w:t>（</w:t>
            </w:r>
            <w:r>
              <w:rPr>
                <w:color w:val="auto"/>
              </w:rPr>
              <w:t>022Cr17Ni12Mo2</w:t>
            </w:r>
            <w:r>
              <w:rPr>
                <w:rFonts w:hint="eastAsia"/>
                <w:color w:val="auto"/>
              </w:rPr>
              <w:t>）</w:t>
            </w:r>
          </w:p>
        </w:tc>
        <w:tc>
          <w:tcPr>
            <w:tcW w:w="2552" w:type="dxa"/>
            <w:vAlign w:val="center"/>
          </w:tcPr>
          <w:p w14:paraId="7ED845F1">
            <w:pPr>
              <w:pStyle w:val="27"/>
              <w:rPr>
                <w:color w:val="auto"/>
              </w:rPr>
            </w:pPr>
            <w:r>
              <w:rPr>
                <w:color w:val="auto"/>
              </w:rPr>
              <w:t>0.2</w:t>
            </w:r>
          </w:p>
        </w:tc>
        <w:tc>
          <w:tcPr>
            <w:tcW w:w="2551" w:type="dxa"/>
            <w:tcBorders>
              <w:right w:val="single" w:color="auto" w:sz="12" w:space="0"/>
            </w:tcBorders>
            <w:vAlign w:val="center"/>
          </w:tcPr>
          <w:p w14:paraId="4A001C9F">
            <w:pPr>
              <w:pStyle w:val="27"/>
              <w:rPr>
                <w:color w:val="auto"/>
              </w:rPr>
            </w:pPr>
            <w:r>
              <w:rPr>
                <w:color w:val="auto"/>
              </w:rPr>
              <w:t>3.5</w:t>
            </w:r>
          </w:p>
        </w:tc>
      </w:tr>
      <w:tr w14:paraId="61BE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7AEF85BC">
            <w:pPr>
              <w:pStyle w:val="27"/>
              <w:rPr>
                <w:color w:val="auto"/>
                <w:lang w:eastAsia="zh-CN"/>
              </w:rPr>
            </w:pPr>
            <w:r>
              <w:rPr>
                <w:rFonts w:hint="eastAsia"/>
                <w:color w:val="auto"/>
                <w:lang w:eastAsia="zh-CN"/>
              </w:rPr>
              <w:t>铜基</w:t>
            </w:r>
            <w:r>
              <w:rPr>
                <w:color w:val="auto"/>
                <w:lang w:eastAsia="zh-CN"/>
              </w:rPr>
              <w:t>镶嵌型自润滑轴承</w:t>
            </w:r>
          </w:p>
        </w:tc>
        <w:tc>
          <w:tcPr>
            <w:tcW w:w="2552" w:type="dxa"/>
            <w:vAlign w:val="center"/>
          </w:tcPr>
          <w:p w14:paraId="51EA8631">
            <w:pPr>
              <w:pStyle w:val="27"/>
              <w:rPr>
                <w:color w:val="auto"/>
              </w:rPr>
            </w:pPr>
            <w:r>
              <w:rPr>
                <w:color w:val="auto"/>
              </w:rPr>
              <w:t>0.1</w:t>
            </w:r>
          </w:p>
        </w:tc>
        <w:tc>
          <w:tcPr>
            <w:tcW w:w="2551" w:type="dxa"/>
            <w:tcBorders>
              <w:right w:val="single" w:color="auto" w:sz="12" w:space="0"/>
            </w:tcBorders>
            <w:vAlign w:val="center"/>
          </w:tcPr>
          <w:p w14:paraId="2D2AE5C9">
            <w:pPr>
              <w:pStyle w:val="27"/>
              <w:rPr>
                <w:color w:val="auto"/>
              </w:rPr>
            </w:pPr>
            <w:r>
              <w:rPr>
                <w:rFonts w:hint="eastAsia"/>
                <w:color w:val="auto"/>
              </w:rPr>
              <w:t>/</w:t>
            </w:r>
          </w:p>
        </w:tc>
      </w:tr>
      <w:tr w14:paraId="0082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558423AC">
            <w:pPr>
              <w:pStyle w:val="27"/>
              <w:rPr>
                <w:color w:val="auto"/>
              </w:rPr>
            </w:pPr>
            <w:r>
              <w:rPr>
                <w:color w:val="auto"/>
              </w:rPr>
              <w:t>止水橡胶（SF6674）</w:t>
            </w:r>
          </w:p>
        </w:tc>
        <w:tc>
          <w:tcPr>
            <w:tcW w:w="2552" w:type="dxa"/>
            <w:vAlign w:val="center"/>
          </w:tcPr>
          <w:p w14:paraId="49596A6E">
            <w:pPr>
              <w:pStyle w:val="27"/>
              <w:rPr>
                <w:color w:val="auto"/>
              </w:rPr>
            </w:pPr>
            <w:r>
              <w:rPr>
                <w:color w:val="auto"/>
              </w:rPr>
              <w:t>0.2</w:t>
            </w:r>
          </w:p>
        </w:tc>
        <w:tc>
          <w:tcPr>
            <w:tcW w:w="2551" w:type="dxa"/>
            <w:tcBorders>
              <w:right w:val="single" w:color="auto" w:sz="12" w:space="0"/>
            </w:tcBorders>
            <w:vAlign w:val="center"/>
          </w:tcPr>
          <w:p w14:paraId="0654DBDA">
            <w:pPr>
              <w:pStyle w:val="27"/>
              <w:rPr>
                <w:color w:val="auto"/>
              </w:rPr>
            </w:pPr>
            <w:r>
              <w:rPr>
                <w:rFonts w:hint="eastAsia"/>
                <w:color w:val="auto"/>
              </w:rPr>
              <w:t>/</w:t>
            </w:r>
          </w:p>
        </w:tc>
      </w:tr>
      <w:tr w14:paraId="0A02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3791ABED">
            <w:pPr>
              <w:pStyle w:val="27"/>
              <w:rPr>
                <w:color w:val="auto"/>
              </w:rPr>
            </w:pPr>
            <w:r>
              <w:rPr>
                <w:rFonts w:hint="eastAsia"/>
                <w:color w:val="auto"/>
              </w:rPr>
              <w:t>轨道钢（U</w:t>
            </w:r>
            <w:r>
              <w:rPr>
                <w:color w:val="auto"/>
              </w:rPr>
              <w:t>71M</w:t>
            </w:r>
            <w:r>
              <w:rPr>
                <w:rFonts w:hint="eastAsia"/>
                <w:color w:val="auto"/>
              </w:rPr>
              <w:t>n）</w:t>
            </w:r>
          </w:p>
        </w:tc>
        <w:tc>
          <w:tcPr>
            <w:tcW w:w="2552" w:type="dxa"/>
            <w:vAlign w:val="center"/>
          </w:tcPr>
          <w:p w14:paraId="6A7D858D">
            <w:pPr>
              <w:pStyle w:val="27"/>
              <w:rPr>
                <w:color w:val="auto"/>
              </w:rPr>
            </w:pPr>
            <w:r>
              <w:rPr>
                <w:rFonts w:hint="eastAsia"/>
                <w:color w:val="auto"/>
              </w:rPr>
              <w:t>/</w:t>
            </w:r>
          </w:p>
        </w:tc>
        <w:tc>
          <w:tcPr>
            <w:tcW w:w="2551" w:type="dxa"/>
            <w:tcBorders>
              <w:right w:val="single" w:color="auto" w:sz="12" w:space="0"/>
            </w:tcBorders>
            <w:vAlign w:val="center"/>
          </w:tcPr>
          <w:p w14:paraId="6C797173">
            <w:pPr>
              <w:pStyle w:val="27"/>
              <w:rPr>
                <w:color w:val="auto"/>
              </w:rPr>
            </w:pPr>
            <w:r>
              <w:rPr>
                <w:color w:val="auto"/>
              </w:rPr>
              <w:t>4</w:t>
            </w:r>
          </w:p>
        </w:tc>
      </w:tr>
      <w:tr w14:paraId="4303D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11697CF5">
            <w:pPr>
              <w:pStyle w:val="27"/>
              <w:rPr>
                <w:color w:val="auto"/>
              </w:rPr>
            </w:pPr>
            <w:r>
              <w:rPr>
                <w:color w:val="auto"/>
              </w:rPr>
              <w:t>标准件</w:t>
            </w:r>
          </w:p>
        </w:tc>
        <w:tc>
          <w:tcPr>
            <w:tcW w:w="2552" w:type="dxa"/>
            <w:vAlign w:val="center"/>
          </w:tcPr>
          <w:p w14:paraId="16EB6CF7">
            <w:pPr>
              <w:pStyle w:val="27"/>
              <w:rPr>
                <w:color w:val="auto"/>
              </w:rPr>
            </w:pPr>
            <w:r>
              <w:rPr>
                <w:color w:val="auto"/>
              </w:rPr>
              <w:t>0.2</w:t>
            </w:r>
          </w:p>
        </w:tc>
        <w:tc>
          <w:tcPr>
            <w:tcW w:w="2551" w:type="dxa"/>
            <w:tcBorders>
              <w:right w:val="single" w:color="auto" w:sz="12" w:space="0"/>
            </w:tcBorders>
            <w:vAlign w:val="center"/>
          </w:tcPr>
          <w:p w14:paraId="60C00EC7">
            <w:pPr>
              <w:pStyle w:val="27"/>
              <w:rPr>
                <w:color w:val="auto"/>
              </w:rPr>
            </w:pPr>
            <w:r>
              <w:rPr>
                <w:color w:val="auto"/>
              </w:rPr>
              <w:t>0.2</w:t>
            </w:r>
          </w:p>
        </w:tc>
      </w:tr>
      <w:tr w14:paraId="3BB1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05DBDA41">
            <w:pPr>
              <w:pStyle w:val="27"/>
              <w:rPr>
                <w:color w:val="auto"/>
              </w:rPr>
            </w:pPr>
            <w:r>
              <w:rPr>
                <w:color w:val="auto"/>
              </w:rPr>
              <w:t>合计</w:t>
            </w:r>
          </w:p>
        </w:tc>
        <w:tc>
          <w:tcPr>
            <w:tcW w:w="2552" w:type="dxa"/>
            <w:vAlign w:val="center"/>
          </w:tcPr>
          <w:p w14:paraId="5E50AE40">
            <w:pPr>
              <w:pStyle w:val="27"/>
              <w:rPr>
                <w:color w:val="auto"/>
              </w:rPr>
            </w:pPr>
            <w:r>
              <w:rPr>
                <w:color w:val="auto"/>
              </w:rPr>
              <w:t>35</w:t>
            </w:r>
          </w:p>
        </w:tc>
        <w:tc>
          <w:tcPr>
            <w:tcW w:w="2551" w:type="dxa"/>
            <w:tcBorders>
              <w:right w:val="single" w:color="auto" w:sz="12" w:space="0"/>
            </w:tcBorders>
            <w:vAlign w:val="center"/>
          </w:tcPr>
          <w:p w14:paraId="5839C7C2">
            <w:pPr>
              <w:pStyle w:val="27"/>
              <w:rPr>
                <w:color w:val="auto"/>
              </w:rPr>
            </w:pPr>
            <w:r>
              <w:rPr>
                <w:color w:val="auto"/>
              </w:rPr>
              <w:t>10</w:t>
            </w:r>
          </w:p>
        </w:tc>
      </w:tr>
      <w:tr w14:paraId="183C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bottom w:val="single" w:color="auto" w:sz="12" w:space="0"/>
            </w:tcBorders>
            <w:vAlign w:val="center"/>
          </w:tcPr>
          <w:p w14:paraId="188A1144">
            <w:pPr>
              <w:pStyle w:val="27"/>
              <w:rPr>
                <w:color w:val="auto"/>
              </w:rPr>
            </w:pPr>
            <w:r>
              <w:rPr>
                <w:color w:val="auto"/>
              </w:rPr>
              <w:t>备注</w:t>
            </w:r>
          </w:p>
        </w:tc>
        <w:tc>
          <w:tcPr>
            <w:tcW w:w="2552" w:type="dxa"/>
            <w:tcBorders>
              <w:bottom w:val="single" w:color="auto" w:sz="12" w:space="0"/>
            </w:tcBorders>
            <w:vAlign w:val="center"/>
          </w:tcPr>
          <w:p w14:paraId="03C50F76">
            <w:pPr>
              <w:pStyle w:val="27"/>
              <w:rPr>
                <w:color w:val="auto"/>
              </w:rPr>
            </w:pPr>
            <w:r>
              <w:rPr>
                <w:color w:val="auto"/>
              </w:rPr>
              <w:t>单扇重量35t，共12扇</w:t>
            </w:r>
          </w:p>
        </w:tc>
        <w:tc>
          <w:tcPr>
            <w:tcW w:w="2551" w:type="dxa"/>
            <w:tcBorders>
              <w:bottom w:val="single" w:color="auto" w:sz="12" w:space="0"/>
              <w:right w:val="single" w:color="auto" w:sz="12" w:space="0"/>
            </w:tcBorders>
            <w:vAlign w:val="center"/>
          </w:tcPr>
          <w:p w14:paraId="39EEC65C">
            <w:pPr>
              <w:pStyle w:val="27"/>
              <w:rPr>
                <w:color w:val="auto"/>
              </w:rPr>
            </w:pPr>
            <w:r>
              <w:rPr>
                <w:color w:val="auto"/>
              </w:rPr>
              <w:t>单套重量10t，共12套</w:t>
            </w:r>
          </w:p>
        </w:tc>
      </w:tr>
    </w:tbl>
    <w:p w14:paraId="63814C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608" w:name="_Toc206148076"/>
      <w:r>
        <w:rPr>
          <w:rFonts w:hint="eastAsia" w:ascii="宋体" w:hAnsi="宋体" w:eastAsia="宋体" w:cs="宋体"/>
          <w:color w:val="auto"/>
          <w:sz w:val="24"/>
          <w:szCs w:val="24"/>
          <w:lang w:eastAsia="zh-CN"/>
        </w:rPr>
        <w:t>（4）泵站出口快速事故闸门</w:t>
      </w:r>
      <w:bookmarkEnd w:id="1608"/>
    </w:p>
    <w:p w14:paraId="726D7D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1）技术参数</w:t>
      </w:r>
    </w:p>
    <w:p w14:paraId="6D7EA1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孔口尺寸(宽×高)         4m×5.6m</w:t>
      </w:r>
    </w:p>
    <w:p w14:paraId="2E0FD2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设计水头                12m</w:t>
      </w:r>
    </w:p>
    <w:p w14:paraId="30021E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闸门型式                潜孔式平面定轮钢闸门</w:t>
      </w:r>
    </w:p>
    <w:p w14:paraId="5C6806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2）材料和招标工程量</w:t>
      </w:r>
    </w:p>
    <w:p w14:paraId="1DD863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主要材料和招标工程量见下表。</w:t>
      </w:r>
    </w:p>
    <w:p w14:paraId="11662923">
      <w:pPr>
        <w:pStyle w:val="26"/>
        <w:rPr>
          <w:color w:val="auto"/>
        </w:rPr>
      </w:pPr>
      <w:r>
        <w:rPr>
          <w:color w:val="auto"/>
        </w:rPr>
        <w:t>主要材料和招标工程量</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2"/>
        <w:gridCol w:w="2552"/>
        <w:gridCol w:w="2551"/>
      </w:tblGrid>
      <w:tr w14:paraId="32EB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vMerge w:val="restart"/>
            <w:tcBorders>
              <w:top w:val="single" w:color="auto" w:sz="12" w:space="0"/>
              <w:left w:val="single" w:color="auto" w:sz="12" w:space="0"/>
            </w:tcBorders>
            <w:vAlign w:val="center"/>
          </w:tcPr>
          <w:p w14:paraId="1744E4FB">
            <w:pPr>
              <w:pStyle w:val="27"/>
              <w:rPr>
                <w:color w:val="auto"/>
              </w:rPr>
            </w:pPr>
            <w:r>
              <w:rPr>
                <w:rFonts w:hint="eastAsia"/>
                <w:color w:val="auto"/>
              </w:rPr>
              <w:t>材   料</w:t>
            </w:r>
          </w:p>
        </w:tc>
        <w:tc>
          <w:tcPr>
            <w:tcW w:w="5103" w:type="dxa"/>
            <w:gridSpan w:val="2"/>
            <w:tcBorders>
              <w:top w:val="single" w:color="auto" w:sz="12" w:space="0"/>
              <w:right w:val="single" w:color="auto" w:sz="12" w:space="0"/>
            </w:tcBorders>
            <w:vAlign w:val="center"/>
          </w:tcPr>
          <w:p w14:paraId="49112CAD">
            <w:pPr>
              <w:pStyle w:val="27"/>
              <w:rPr>
                <w:color w:val="auto"/>
              </w:rPr>
            </w:pPr>
            <w:r>
              <w:rPr>
                <w:rFonts w:hint="eastAsia"/>
                <w:color w:val="auto"/>
              </w:rPr>
              <w:t>工程量</w:t>
            </w:r>
            <w:r>
              <w:rPr>
                <w:color w:val="auto"/>
              </w:rPr>
              <w:t>（</w:t>
            </w:r>
            <w:r>
              <w:rPr>
                <w:rFonts w:hint="eastAsia"/>
                <w:color w:val="auto"/>
              </w:rPr>
              <w:t>t</w:t>
            </w:r>
            <w:r>
              <w:rPr>
                <w:color w:val="auto"/>
              </w:rPr>
              <w:t>）</w:t>
            </w:r>
          </w:p>
        </w:tc>
      </w:tr>
      <w:tr w14:paraId="2FC2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vMerge w:val="continue"/>
            <w:tcBorders>
              <w:left w:val="single" w:color="auto" w:sz="12" w:space="0"/>
            </w:tcBorders>
            <w:vAlign w:val="center"/>
          </w:tcPr>
          <w:p w14:paraId="1AE05CDE">
            <w:pPr>
              <w:pStyle w:val="27"/>
              <w:rPr>
                <w:color w:val="auto"/>
              </w:rPr>
            </w:pPr>
          </w:p>
        </w:tc>
        <w:tc>
          <w:tcPr>
            <w:tcW w:w="2552" w:type="dxa"/>
            <w:vAlign w:val="center"/>
          </w:tcPr>
          <w:p w14:paraId="2C578099">
            <w:pPr>
              <w:pStyle w:val="27"/>
              <w:rPr>
                <w:color w:val="auto"/>
              </w:rPr>
            </w:pPr>
            <w:r>
              <w:rPr>
                <w:rFonts w:hint="eastAsia"/>
                <w:color w:val="auto"/>
              </w:rPr>
              <w:t>闸门门叶</w:t>
            </w:r>
          </w:p>
        </w:tc>
        <w:tc>
          <w:tcPr>
            <w:tcW w:w="2551" w:type="dxa"/>
            <w:tcBorders>
              <w:right w:val="single" w:color="auto" w:sz="12" w:space="0"/>
            </w:tcBorders>
            <w:vAlign w:val="center"/>
          </w:tcPr>
          <w:p w14:paraId="33ED4027">
            <w:pPr>
              <w:pStyle w:val="27"/>
              <w:rPr>
                <w:color w:val="auto"/>
              </w:rPr>
            </w:pPr>
            <w:r>
              <w:rPr>
                <w:rFonts w:hint="eastAsia"/>
                <w:color w:val="auto"/>
              </w:rPr>
              <w:t>闸门门槽</w:t>
            </w:r>
          </w:p>
        </w:tc>
      </w:tr>
      <w:tr w14:paraId="39230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65C23D46">
            <w:pPr>
              <w:pStyle w:val="27"/>
              <w:rPr>
                <w:color w:val="auto"/>
              </w:rPr>
            </w:pPr>
            <w:r>
              <w:rPr>
                <w:color w:val="auto"/>
              </w:rPr>
              <w:t>钢板</w:t>
            </w:r>
            <w:r>
              <w:rPr>
                <w:rFonts w:hint="eastAsia"/>
                <w:color w:val="auto"/>
              </w:rPr>
              <w:t>（</w:t>
            </w:r>
            <w:r>
              <w:rPr>
                <w:color w:val="auto"/>
              </w:rPr>
              <w:t>Q</w:t>
            </w:r>
            <w:r>
              <w:rPr>
                <w:rFonts w:hint="eastAsia"/>
                <w:color w:val="auto"/>
              </w:rPr>
              <w:t>35</w:t>
            </w:r>
            <w:r>
              <w:rPr>
                <w:color w:val="auto"/>
              </w:rPr>
              <w:t>5B</w:t>
            </w:r>
            <w:r>
              <w:rPr>
                <w:rFonts w:hint="eastAsia"/>
                <w:color w:val="auto"/>
              </w:rPr>
              <w:t>）</w:t>
            </w:r>
          </w:p>
        </w:tc>
        <w:tc>
          <w:tcPr>
            <w:tcW w:w="2552" w:type="dxa"/>
            <w:vAlign w:val="center"/>
          </w:tcPr>
          <w:p w14:paraId="67B59D0A">
            <w:pPr>
              <w:pStyle w:val="27"/>
              <w:rPr>
                <w:color w:val="auto"/>
              </w:rPr>
            </w:pPr>
            <w:r>
              <w:rPr>
                <w:color w:val="auto"/>
              </w:rPr>
              <w:t>19</w:t>
            </w:r>
          </w:p>
        </w:tc>
        <w:tc>
          <w:tcPr>
            <w:tcW w:w="2551" w:type="dxa"/>
            <w:tcBorders>
              <w:right w:val="single" w:color="auto" w:sz="12" w:space="0"/>
            </w:tcBorders>
            <w:vAlign w:val="center"/>
          </w:tcPr>
          <w:p w14:paraId="3D567714">
            <w:pPr>
              <w:pStyle w:val="27"/>
              <w:rPr>
                <w:color w:val="auto"/>
              </w:rPr>
            </w:pPr>
            <w:r>
              <w:rPr>
                <w:color w:val="auto"/>
              </w:rPr>
              <w:t>2.3</w:t>
            </w:r>
          </w:p>
        </w:tc>
      </w:tr>
      <w:tr w14:paraId="03BDD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1045F2D0">
            <w:pPr>
              <w:pStyle w:val="27"/>
              <w:rPr>
                <w:color w:val="auto"/>
              </w:rPr>
            </w:pPr>
            <w:r>
              <w:rPr>
                <w:rFonts w:hint="eastAsia"/>
                <w:color w:val="auto"/>
              </w:rPr>
              <w:t>配重（</w:t>
            </w:r>
            <w:r>
              <w:rPr>
                <w:color w:val="auto"/>
              </w:rPr>
              <w:t>Q235B</w:t>
            </w:r>
            <w:r>
              <w:rPr>
                <w:rFonts w:hint="eastAsia"/>
                <w:color w:val="auto"/>
              </w:rPr>
              <w:t>）</w:t>
            </w:r>
          </w:p>
        </w:tc>
        <w:tc>
          <w:tcPr>
            <w:tcW w:w="2552" w:type="dxa"/>
            <w:vAlign w:val="center"/>
          </w:tcPr>
          <w:p w14:paraId="6680D7B9">
            <w:pPr>
              <w:pStyle w:val="27"/>
              <w:rPr>
                <w:color w:val="auto"/>
              </w:rPr>
            </w:pPr>
            <w:r>
              <w:rPr>
                <w:color w:val="auto"/>
              </w:rPr>
              <w:t>8</w:t>
            </w:r>
          </w:p>
        </w:tc>
        <w:tc>
          <w:tcPr>
            <w:tcW w:w="2551" w:type="dxa"/>
            <w:tcBorders>
              <w:right w:val="single" w:color="auto" w:sz="12" w:space="0"/>
            </w:tcBorders>
            <w:vAlign w:val="center"/>
          </w:tcPr>
          <w:p w14:paraId="77E0BCF4">
            <w:pPr>
              <w:pStyle w:val="27"/>
              <w:rPr>
                <w:color w:val="auto"/>
              </w:rPr>
            </w:pPr>
            <w:r>
              <w:rPr>
                <w:color w:val="auto"/>
              </w:rPr>
              <w:t>/</w:t>
            </w:r>
          </w:p>
        </w:tc>
      </w:tr>
      <w:tr w14:paraId="7B203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256C609D">
            <w:pPr>
              <w:pStyle w:val="27"/>
              <w:rPr>
                <w:color w:val="auto"/>
                <w:lang w:eastAsia="zh-CN"/>
              </w:rPr>
            </w:pPr>
            <w:r>
              <w:rPr>
                <w:rFonts w:hint="eastAsia"/>
                <w:color w:val="auto"/>
                <w:lang w:eastAsia="zh-CN"/>
              </w:rPr>
              <w:t>低</w:t>
            </w:r>
            <w:r>
              <w:rPr>
                <w:color w:val="auto"/>
                <w:lang w:eastAsia="zh-CN"/>
              </w:rPr>
              <w:t>合金结构钢</w:t>
            </w:r>
            <w:r>
              <w:rPr>
                <w:rFonts w:hint="eastAsia"/>
                <w:color w:val="auto"/>
                <w:lang w:eastAsia="zh-CN"/>
              </w:rPr>
              <w:t>（</w:t>
            </w:r>
            <w:r>
              <w:rPr>
                <w:color w:val="auto"/>
                <w:lang w:eastAsia="zh-CN"/>
              </w:rPr>
              <w:t>40Cr</w:t>
            </w:r>
            <w:r>
              <w:rPr>
                <w:rFonts w:hint="eastAsia"/>
                <w:color w:val="auto"/>
                <w:lang w:eastAsia="zh-CN"/>
              </w:rPr>
              <w:t>）</w:t>
            </w:r>
          </w:p>
        </w:tc>
        <w:tc>
          <w:tcPr>
            <w:tcW w:w="2552" w:type="dxa"/>
            <w:vAlign w:val="center"/>
          </w:tcPr>
          <w:p w14:paraId="49C33A0E">
            <w:pPr>
              <w:pStyle w:val="27"/>
              <w:rPr>
                <w:color w:val="auto"/>
              </w:rPr>
            </w:pPr>
            <w:r>
              <w:rPr>
                <w:color w:val="auto"/>
              </w:rPr>
              <w:t>0.1</w:t>
            </w:r>
          </w:p>
        </w:tc>
        <w:tc>
          <w:tcPr>
            <w:tcW w:w="2551" w:type="dxa"/>
            <w:tcBorders>
              <w:right w:val="single" w:color="auto" w:sz="12" w:space="0"/>
            </w:tcBorders>
            <w:vAlign w:val="center"/>
          </w:tcPr>
          <w:p w14:paraId="61970ED0">
            <w:pPr>
              <w:pStyle w:val="27"/>
              <w:rPr>
                <w:color w:val="auto"/>
              </w:rPr>
            </w:pPr>
            <w:r>
              <w:rPr>
                <w:rFonts w:hint="eastAsia"/>
                <w:color w:val="auto"/>
              </w:rPr>
              <w:t>/</w:t>
            </w:r>
          </w:p>
        </w:tc>
      </w:tr>
      <w:tr w14:paraId="66E0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1E2BFD87">
            <w:pPr>
              <w:pStyle w:val="27"/>
              <w:rPr>
                <w:color w:val="auto"/>
              </w:rPr>
            </w:pPr>
            <w:r>
              <w:rPr>
                <w:rFonts w:hint="eastAsia"/>
                <w:color w:val="auto"/>
              </w:rPr>
              <w:t>合金铸钢（</w:t>
            </w:r>
            <w:r>
              <w:rPr>
                <w:color w:val="auto"/>
              </w:rPr>
              <w:t>ZG</w:t>
            </w:r>
            <w:r>
              <w:rPr>
                <w:rFonts w:hint="eastAsia"/>
                <w:color w:val="auto"/>
              </w:rPr>
              <w:t>40M2）</w:t>
            </w:r>
          </w:p>
        </w:tc>
        <w:tc>
          <w:tcPr>
            <w:tcW w:w="2552" w:type="dxa"/>
            <w:vAlign w:val="center"/>
          </w:tcPr>
          <w:p w14:paraId="18A9D712">
            <w:pPr>
              <w:pStyle w:val="27"/>
              <w:rPr>
                <w:color w:val="auto"/>
              </w:rPr>
            </w:pPr>
            <w:r>
              <w:rPr>
                <w:color w:val="auto"/>
              </w:rPr>
              <w:t>2.2</w:t>
            </w:r>
          </w:p>
        </w:tc>
        <w:tc>
          <w:tcPr>
            <w:tcW w:w="2551" w:type="dxa"/>
            <w:tcBorders>
              <w:right w:val="single" w:color="auto" w:sz="12" w:space="0"/>
            </w:tcBorders>
            <w:vAlign w:val="center"/>
          </w:tcPr>
          <w:p w14:paraId="46AC9BC4">
            <w:pPr>
              <w:pStyle w:val="27"/>
              <w:rPr>
                <w:color w:val="auto"/>
              </w:rPr>
            </w:pPr>
            <w:r>
              <w:rPr>
                <w:rFonts w:hint="eastAsia"/>
                <w:color w:val="auto"/>
              </w:rPr>
              <w:t>/</w:t>
            </w:r>
          </w:p>
        </w:tc>
      </w:tr>
      <w:tr w14:paraId="2521A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4CB377FB">
            <w:pPr>
              <w:pStyle w:val="27"/>
              <w:rPr>
                <w:color w:val="auto"/>
              </w:rPr>
            </w:pPr>
            <w:r>
              <w:rPr>
                <w:color w:val="auto"/>
              </w:rPr>
              <w:t>不锈钢</w:t>
            </w:r>
            <w:r>
              <w:rPr>
                <w:rFonts w:hint="eastAsia"/>
                <w:color w:val="auto"/>
              </w:rPr>
              <w:t>（</w:t>
            </w:r>
            <w:r>
              <w:rPr>
                <w:color w:val="auto"/>
              </w:rPr>
              <w:t>022Cr17Ni12Mo2</w:t>
            </w:r>
            <w:r>
              <w:rPr>
                <w:rFonts w:hint="eastAsia"/>
                <w:color w:val="auto"/>
              </w:rPr>
              <w:t>）</w:t>
            </w:r>
          </w:p>
        </w:tc>
        <w:tc>
          <w:tcPr>
            <w:tcW w:w="2552" w:type="dxa"/>
            <w:vAlign w:val="center"/>
          </w:tcPr>
          <w:p w14:paraId="1C0EB912">
            <w:pPr>
              <w:pStyle w:val="27"/>
              <w:rPr>
                <w:color w:val="auto"/>
              </w:rPr>
            </w:pPr>
            <w:r>
              <w:rPr>
                <w:color w:val="auto"/>
              </w:rPr>
              <w:t>0.2</w:t>
            </w:r>
          </w:p>
        </w:tc>
        <w:tc>
          <w:tcPr>
            <w:tcW w:w="2551" w:type="dxa"/>
            <w:tcBorders>
              <w:right w:val="single" w:color="auto" w:sz="12" w:space="0"/>
            </w:tcBorders>
            <w:vAlign w:val="center"/>
          </w:tcPr>
          <w:p w14:paraId="7BDE95B1">
            <w:pPr>
              <w:pStyle w:val="27"/>
              <w:rPr>
                <w:color w:val="auto"/>
              </w:rPr>
            </w:pPr>
            <w:r>
              <w:rPr>
                <w:color w:val="auto"/>
              </w:rPr>
              <w:t>3.5</w:t>
            </w:r>
          </w:p>
        </w:tc>
      </w:tr>
      <w:tr w14:paraId="53F0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1682D8DB">
            <w:pPr>
              <w:pStyle w:val="27"/>
              <w:rPr>
                <w:color w:val="auto"/>
                <w:lang w:eastAsia="zh-CN"/>
              </w:rPr>
            </w:pPr>
            <w:r>
              <w:rPr>
                <w:rFonts w:hint="eastAsia"/>
                <w:color w:val="auto"/>
                <w:lang w:eastAsia="zh-CN"/>
              </w:rPr>
              <w:t>铜基</w:t>
            </w:r>
            <w:r>
              <w:rPr>
                <w:color w:val="auto"/>
                <w:lang w:eastAsia="zh-CN"/>
              </w:rPr>
              <w:t>镶嵌型自润滑轴承</w:t>
            </w:r>
          </w:p>
        </w:tc>
        <w:tc>
          <w:tcPr>
            <w:tcW w:w="2552" w:type="dxa"/>
            <w:vAlign w:val="center"/>
          </w:tcPr>
          <w:p w14:paraId="34C60427">
            <w:pPr>
              <w:pStyle w:val="27"/>
              <w:rPr>
                <w:color w:val="auto"/>
              </w:rPr>
            </w:pPr>
            <w:r>
              <w:rPr>
                <w:color w:val="auto"/>
              </w:rPr>
              <w:t>0.1</w:t>
            </w:r>
          </w:p>
        </w:tc>
        <w:tc>
          <w:tcPr>
            <w:tcW w:w="2551" w:type="dxa"/>
            <w:tcBorders>
              <w:right w:val="single" w:color="auto" w:sz="12" w:space="0"/>
            </w:tcBorders>
            <w:vAlign w:val="center"/>
          </w:tcPr>
          <w:p w14:paraId="2B9A27A8">
            <w:pPr>
              <w:pStyle w:val="27"/>
              <w:rPr>
                <w:color w:val="auto"/>
              </w:rPr>
            </w:pPr>
            <w:r>
              <w:rPr>
                <w:rFonts w:hint="eastAsia"/>
                <w:color w:val="auto"/>
              </w:rPr>
              <w:t>/</w:t>
            </w:r>
          </w:p>
        </w:tc>
      </w:tr>
      <w:tr w14:paraId="7F205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3F76F80A">
            <w:pPr>
              <w:pStyle w:val="27"/>
              <w:rPr>
                <w:color w:val="auto"/>
              </w:rPr>
            </w:pPr>
            <w:r>
              <w:rPr>
                <w:color w:val="auto"/>
              </w:rPr>
              <w:t>止水橡胶（SF6674）</w:t>
            </w:r>
          </w:p>
        </w:tc>
        <w:tc>
          <w:tcPr>
            <w:tcW w:w="2552" w:type="dxa"/>
            <w:vAlign w:val="center"/>
          </w:tcPr>
          <w:p w14:paraId="52166E19">
            <w:pPr>
              <w:pStyle w:val="27"/>
              <w:rPr>
                <w:color w:val="auto"/>
              </w:rPr>
            </w:pPr>
            <w:r>
              <w:rPr>
                <w:color w:val="auto"/>
              </w:rPr>
              <w:t>0.2</w:t>
            </w:r>
          </w:p>
        </w:tc>
        <w:tc>
          <w:tcPr>
            <w:tcW w:w="2551" w:type="dxa"/>
            <w:tcBorders>
              <w:right w:val="single" w:color="auto" w:sz="12" w:space="0"/>
            </w:tcBorders>
            <w:vAlign w:val="center"/>
          </w:tcPr>
          <w:p w14:paraId="418AA673">
            <w:pPr>
              <w:pStyle w:val="27"/>
              <w:rPr>
                <w:color w:val="auto"/>
              </w:rPr>
            </w:pPr>
            <w:r>
              <w:rPr>
                <w:rFonts w:hint="eastAsia"/>
                <w:color w:val="auto"/>
              </w:rPr>
              <w:t>/</w:t>
            </w:r>
          </w:p>
        </w:tc>
      </w:tr>
      <w:tr w14:paraId="17B4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1794E1D7">
            <w:pPr>
              <w:pStyle w:val="27"/>
              <w:rPr>
                <w:color w:val="auto"/>
              </w:rPr>
            </w:pPr>
            <w:r>
              <w:rPr>
                <w:rFonts w:hint="eastAsia"/>
                <w:color w:val="auto"/>
              </w:rPr>
              <w:t>轨道钢（U</w:t>
            </w:r>
            <w:r>
              <w:rPr>
                <w:color w:val="auto"/>
              </w:rPr>
              <w:t>71M</w:t>
            </w:r>
            <w:r>
              <w:rPr>
                <w:rFonts w:hint="eastAsia"/>
                <w:color w:val="auto"/>
              </w:rPr>
              <w:t>n）</w:t>
            </w:r>
          </w:p>
        </w:tc>
        <w:tc>
          <w:tcPr>
            <w:tcW w:w="2552" w:type="dxa"/>
            <w:vAlign w:val="center"/>
          </w:tcPr>
          <w:p w14:paraId="45A8C5F4">
            <w:pPr>
              <w:pStyle w:val="27"/>
              <w:rPr>
                <w:color w:val="auto"/>
              </w:rPr>
            </w:pPr>
            <w:r>
              <w:rPr>
                <w:rFonts w:hint="eastAsia"/>
                <w:color w:val="auto"/>
              </w:rPr>
              <w:t>/</w:t>
            </w:r>
          </w:p>
        </w:tc>
        <w:tc>
          <w:tcPr>
            <w:tcW w:w="2551" w:type="dxa"/>
            <w:tcBorders>
              <w:right w:val="single" w:color="auto" w:sz="12" w:space="0"/>
            </w:tcBorders>
            <w:vAlign w:val="center"/>
          </w:tcPr>
          <w:p w14:paraId="76BEFB1A">
            <w:pPr>
              <w:pStyle w:val="27"/>
              <w:rPr>
                <w:color w:val="auto"/>
              </w:rPr>
            </w:pPr>
            <w:r>
              <w:rPr>
                <w:color w:val="auto"/>
              </w:rPr>
              <w:t>4</w:t>
            </w:r>
          </w:p>
        </w:tc>
      </w:tr>
      <w:tr w14:paraId="4EC0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71D6BE11">
            <w:pPr>
              <w:pStyle w:val="27"/>
              <w:rPr>
                <w:color w:val="auto"/>
              </w:rPr>
            </w:pPr>
            <w:r>
              <w:rPr>
                <w:color w:val="auto"/>
              </w:rPr>
              <w:t>标准件</w:t>
            </w:r>
          </w:p>
        </w:tc>
        <w:tc>
          <w:tcPr>
            <w:tcW w:w="2552" w:type="dxa"/>
            <w:vAlign w:val="center"/>
          </w:tcPr>
          <w:p w14:paraId="56468BDC">
            <w:pPr>
              <w:pStyle w:val="27"/>
              <w:rPr>
                <w:color w:val="auto"/>
              </w:rPr>
            </w:pPr>
            <w:r>
              <w:rPr>
                <w:color w:val="auto"/>
              </w:rPr>
              <w:t>0.2</w:t>
            </w:r>
          </w:p>
        </w:tc>
        <w:tc>
          <w:tcPr>
            <w:tcW w:w="2551" w:type="dxa"/>
            <w:tcBorders>
              <w:right w:val="single" w:color="auto" w:sz="12" w:space="0"/>
            </w:tcBorders>
            <w:vAlign w:val="center"/>
          </w:tcPr>
          <w:p w14:paraId="6B705029">
            <w:pPr>
              <w:pStyle w:val="27"/>
              <w:rPr>
                <w:color w:val="auto"/>
              </w:rPr>
            </w:pPr>
            <w:r>
              <w:rPr>
                <w:color w:val="auto"/>
              </w:rPr>
              <w:t>0.2</w:t>
            </w:r>
          </w:p>
        </w:tc>
      </w:tr>
      <w:tr w14:paraId="7A967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tcBorders>
            <w:vAlign w:val="center"/>
          </w:tcPr>
          <w:p w14:paraId="3AED9E01">
            <w:pPr>
              <w:pStyle w:val="27"/>
              <w:rPr>
                <w:color w:val="auto"/>
              </w:rPr>
            </w:pPr>
            <w:r>
              <w:rPr>
                <w:color w:val="auto"/>
              </w:rPr>
              <w:t>合计</w:t>
            </w:r>
          </w:p>
        </w:tc>
        <w:tc>
          <w:tcPr>
            <w:tcW w:w="2552" w:type="dxa"/>
            <w:vAlign w:val="center"/>
          </w:tcPr>
          <w:p w14:paraId="48D36587">
            <w:pPr>
              <w:pStyle w:val="27"/>
              <w:rPr>
                <w:color w:val="auto"/>
              </w:rPr>
            </w:pPr>
            <w:r>
              <w:rPr>
                <w:color w:val="auto"/>
              </w:rPr>
              <w:t>30</w:t>
            </w:r>
          </w:p>
        </w:tc>
        <w:tc>
          <w:tcPr>
            <w:tcW w:w="2551" w:type="dxa"/>
            <w:tcBorders>
              <w:right w:val="single" w:color="auto" w:sz="12" w:space="0"/>
            </w:tcBorders>
            <w:vAlign w:val="center"/>
          </w:tcPr>
          <w:p w14:paraId="70EACBB9">
            <w:pPr>
              <w:pStyle w:val="27"/>
              <w:rPr>
                <w:color w:val="auto"/>
              </w:rPr>
            </w:pPr>
            <w:r>
              <w:rPr>
                <w:color w:val="auto"/>
              </w:rPr>
              <w:t>10</w:t>
            </w:r>
          </w:p>
        </w:tc>
      </w:tr>
      <w:tr w14:paraId="2F14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972" w:type="dxa"/>
            <w:tcBorders>
              <w:left w:val="single" w:color="auto" w:sz="12" w:space="0"/>
              <w:bottom w:val="single" w:color="auto" w:sz="12" w:space="0"/>
            </w:tcBorders>
            <w:vAlign w:val="center"/>
          </w:tcPr>
          <w:p w14:paraId="795408CA">
            <w:pPr>
              <w:pStyle w:val="27"/>
              <w:rPr>
                <w:color w:val="auto"/>
              </w:rPr>
            </w:pPr>
            <w:r>
              <w:rPr>
                <w:color w:val="auto"/>
              </w:rPr>
              <w:t>备注</w:t>
            </w:r>
          </w:p>
        </w:tc>
        <w:tc>
          <w:tcPr>
            <w:tcW w:w="2552" w:type="dxa"/>
            <w:tcBorders>
              <w:bottom w:val="single" w:color="auto" w:sz="12" w:space="0"/>
            </w:tcBorders>
            <w:vAlign w:val="center"/>
          </w:tcPr>
          <w:p w14:paraId="27E218E8">
            <w:pPr>
              <w:pStyle w:val="27"/>
              <w:rPr>
                <w:color w:val="auto"/>
              </w:rPr>
            </w:pPr>
            <w:r>
              <w:rPr>
                <w:color w:val="auto"/>
              </w:rPr>
              <w:t>单扇重量30t，共12扇</w:t>
            </w:r>
          </w:p>
        </w:tc>
        <w:tc>
          <w:tcPr>
            <w:tcW w:w="2551" w:type="dxa"/>
            <w:tcBorders>
              <w:bottom w:val="single" w:color="auto" w:sz="12" w:space="0"/>
              <w:right w:val="single" w:color="auto" w:sz="12" w:space="0"/>
            </w:tcBorders>
            <w:vAlign w:val="center"/>
          </w:tcPr>
          <w:p w14:paraId="27E248EF">
            <w:pPr>
              <w:pStyle w:val="27"/>
              <w:rPr>
                <w:color w:val="auto"/>
              </w:rPr>
            </w:pPr>
            <w:r>
              <w:rPr>
                <w:color w:val="auto"/>
              </w:rPr>
              <w:t>单套重量10t，共12套</w:t>
            </w:r>
          </w:p>
        </w:tc>
      </w:tr>
      <w:bookmarkEnd w:id="1606"/>
    </w:tbl>
    <w:p w14:paraId="4BD74175">
      <w:pPr>
        <w:widowControl w:val="0"/>
        <w:kinsoku/>
        <w:topLinePunct/>
        <w:autoSpaceDE/>
        <w:autoSpaceDN/>
        <w:spacing w:line="520" w:lineRule="exact"/>
        <w:jc w:val="both"/>
        <w:rPr>
          <w:rFonts w:hint="eastAsia" w:ascii="宋体" w:hAnsi="宋体" w:eastAsia="宋体" w:cs="宋体"/>
          <w:b/>
          <w:bCs/>
          <w:color w:val="auto"/>
          <w:sz w:val="24"/>
          <w:szCs w:val="24"/>
          <w:lang w:eastAsia="zh-CN"/>
        </w:rPr>
      </w:pPr>
    </w:p>
    <w:p w14:paraId="1BF6FE85">
      <w:pPr>
        <w:widowControl w:val="0"/>
        <w:kinsoku/>
        <w:topLinePunct/>
        <w:autoSpaceDE/>
        <w:autoSpaceDN/>
        <w:spacing w:line="520" w:lineRule="exact"/>
        <w:jc w:val="both"/>
        <w:outlineLvl w:val="2"/>
        <w:rPr>
          <w:rFonts w:hint="eastAsia" w:ascii="宋体" w:hAnsi="宋体" w:eastAsia="宋体" w:cs="宋体"/>
          <w:b/>
          <w:bCs/>
          <w:color w:val="auto"/>
          <w:sz w:val="24"/>
          <w:szCs w:val="24"/>
        </w:rPr>
      </w:pPr>
      <w:bookmarkStart w:id="1609" w:name="_Toc992"/>
      <w:bookmarkStart w:id="1610" w:name="_Toc12384"/>
      <w:bookmarkStart w:id="1611" w:name="_Toc10551"/>
      <w:r>
        <w:rPr>
          <w:rFonts w:hint="eastAsia" w:ascii="宋体" w:hAnsi="宋体" w:eastAsia="宋体" w:cs="宋体"/>
          <w:b/>
          <w:bCs/>
          <w:color w:val="auto"/>
          <w:sz w:val="24"/>
          <w:szCs w:val="24"/>
        </w:rPr>
        <w:t>21.4</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rPr>
        <w:t>钢闸门工程验收</w:t>
      </w:r>
      <w:bookmarkEnd w:id="1609"/>
      <w:bookmarkEnd w:id="1610"/>
      <w:bookmarkEnd w:id="1611"/>
    </w:p>
    <w:p w14:paraId="6D8F061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21.4.1 钢闸门材料和外购件验收</w:t>
      </w:r>
    </w:p>
    <w:p w14:paraId="22E874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用于钢闸门工程的钢材、压型金属板、外购件、焊接材料和涂装材料等，均应由监理人按本技术条款和本章21.2款的规定进行检验和验收。</w:t>
      </w:r>
    </w:p>
    <w:p w14:paraId="4ABD863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21.4.2 钢闸门验收</w:t>
      </w:r>
    </w:p>
    <w:p w14:paraId="63D3AC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钢闸门制造完成后，承包人应向监理人申请进行检查、验收，并同时提交以下验收资料：</w:t>
      </w:r>
    </w:p>
    <w:p w14:paraId="4A82ED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（1）钢闸门或其组合件的验收清单。</w:t>
      </w:r>
    </w:p>
    <w:p w14:paraId="1BD5D6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（2）钢闸门加工详图。</w:t>
      </w:r>
    </w:p>
    <w:p w14:paraId="759488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（3）焊接工艺评定报告和焊缝质量检验记录。</w:t>
      </w:r>
    </w:p>
    <w:p w14:paraId="5E3A40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（4）钢闸门各项材料和外购件的质量合格证和使用说明书。</w:t>
      </w:r>
    </w:p>
    <w:p w14:paraId="7BD4F9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（5）涂装防腐质量检查记录。</w:t>
      </w:r>
    </w:p>
    <w:p w14:paraId="3482D4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（6）钢闸门组装及预拼装的质量检查和评定记录。</w:t>
      </w:r>
    </w:p>
    <w:p w14:paraId="1A1D24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（7）监理人要求提交的其他验收资料。</w:t>
      </w:r>
    </w:p>
    <w:p w14:paraId="6AFF01F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21.4.3 完工验收</w:t>
      </w:r>
    </w:p>
    <w:p w14:paraId="53FB38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钢闸门工程全部完成后，承包人可申请对钢闸门工程完工验收，并提交以下完工资料：</w:t>
      </w:r>
    </w:p>
    <w:p w14:paraId="67B808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（1）材料的材质证明和试验报告。</w:t>
      </w:r>
    </w:p>
    <w:p w14:paraId="1A1D72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（2）焊缝质量检查记录与无损探伤检验报告。</w:t>
      </w:r>
    </w:p>
    <w:p w14:paraId="76B3B5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（3）钢结构安装的各项材料和标准件的质量合格证、使用说明书及检验报告。</w:t>
      </w:r>
    </w:p>
    <w:p w14:paraId="67364E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（4）制造过程和最终组装状态的检测记录和调试报告。</w:t>
      </w:r>
    </w:p>
    <w:p w14:paraId="296E72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（5）各安装工序的检测记录和验收资料。</w:t>
      </w:r>
    </w:p>
    <w:p w14:paraId="0D1CDF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（6）焊缝质量检查和检验验收资料。</w:t>
      </w:r>
    </w:p>
    <w:p w14:paraId="27A90D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（7）总拼就位的质量检查和验收资料。</w:t>
      </w:r>
    </w:p>
    <w:p w14:paraId="1B70C0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（8）钢闸门涂装防腐的质量检查和验收资料。</w:t>
      </w:r>
    </w:p>
    <w:p w14:paraId="4FA26E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（9）水密试验报告。</w:t>
      </w:r>
    </w:p>
    <w:p w14:paraId="25682E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（10）重大缺陷和质量事故处理报告。</w:t>
      </w:r>
    </w:p>
    <w:p w14:paraId="28DA17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（11）监理人要求提交的其他完工资料。</w:t>
      </w:r>
    </w:p>
    <w:p w14:paraId="51C5173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12" w:name="_Toc22950"/>
      <w:bookmarkStart w:id="1613" w:name="_Toc19580"/>
      <w:bookmarkStart w:id="1614" w:name="_Toc9630"/>
      <w:r>
        <w:rPr>
          <w:rFonts w:hint="eastAsia" w:ascii="宋体" w:hAnsi="宋体" w:eastAsia="宋体" w:cs="宋体"/>
          <w:b/>
          <w:bCs/>
          <w:color w:val="auto"/>
          <w:sz w:val="24"/>
          <w:szCs w:val="24"/>
          <w:lang w:eastAsia="zh-CN"/>
        </w:rPr>
        <w:t>21.5 计量和支付</w:t>
      </w:r>
      <w:bookmarkEnd w:id="1612"/>
      <w:bookmarkEnd w:id="1613"/>
      <w:bookmarkEnd w:id="1614"/>
    </w:p>
    <w:p w14:paraId="11197B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闸门、拦污栅、埋件的计量和支付，应按设计图纸所示的本体材料（不包括制造定额中已列的材料）及附件，以吨（t）为单位进行计量，并按《工程量清单》所列项目的每吨单价支付。其单价中应包括材料采购，钢闸门等制造（含防腐）、检验和试验，以及质量检查和验收等所需的全部人工、材料、使用设备和辅助设施等的一切费用。</w:t>
      </w:r>
    </w:p>
    <w:p w14:paraId="19ADEA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涂装防腐所需的材料采购、涂刷、试验和养护等工作所需的人工、材料、使用设备和辅助设施等一切费用，均包含在《工程量清单》钢闸门、拦污栅、埋件等相应项目有效工程量的每吨工程单价中，发包人不另行支付。</w:t>
      </w:r>
    </w:p>
    <w:p w14:paraId="40105B24">
      <w:pPr>
        <w:widowControl w:val="0"/>
        <w:kinsoku/>
        <w:topLinePunct/>
        <w:autoSpaceDE/>
        <w:autoSpaceDN/>
        <w:spacing w:line="520" w:lineRule="exact"/>
        <w:jc w:val="both"/>
        <w:rPr>
          <w:rFonts w:ascii="Times New Roman" w:hAnsi="Times New Roman" w:eastAsia="Times New Roman" w:cs="Times New Roman"/>
          <w:b/>
          <w:bCs/>
          <w:color w:val="auto"/>
          <w:sz w:val="28"/>
          <w:szCs w:val="28"/>
          <w:lang w:eastAsia="zh-CN"/>
        </w:rPr>
      </w:pPr>
      <w:r>
        <w:rPr>
          <w:rFonts w:ascii="Times New Roman" w:hAnsi="Times New Roman" w:eastAsia="Times New Roman" w:cs="Times New Roman"/>
          <w:b/>
          <w:bCs/>
          <w:color w:val="auto"/>
          <w:sz w:val="28"/>
          <w:szCs w:val="28"/>
          <w:lang w:eastAsia="zh-CN"/>
        </w:rPr>
        <w:br w:type="page"/>
      </w:r>
    </w:p>
    <w:p w14:paraId="4E8556AF">
      <w:pPr>
        <w:widowControl w:val="0"/>
        <w:kinsoku/>
        <w:topLinePunct/>
        <w:autoSpaceDE/>
        <w:autoSpaceDN/>
        <w:spacing w:line="520" w:lineRule="exact"/>
        <w:jc w:val="center"/>
        <w:outlineLvl w:val="1"/>
        <w:rPr>
          <w:rFonts w:hint="eastAsia" w:ascii="宋体" w:hAnsi="宋体" w:eastAsia="宋体" w:cs="宋体"/>
          <w:b/>
          <w:bCs/>
          <w:color w:val="auto"/>
          <w:sz w:val="28"/>
          <w:szCs w:val="28"/>
          <w:lang w:eastAsia="zh-CN"/>
        </w:rPr>
      </w:pPr>
      <w:bookmarkStart w:id="1615" w:name="_Toc1101"/>
      <w:bookmarkStart w:id="1616" w:name="_Toc1741"/>
      <w:bookmarkStart w:id="1617" w:name="_Toc26894"/>
      <w:r>
        <w:rPr>
          <w:rFonts w:hint="eastAsia" w:ascii="宋体" w:hAnsi="宋体" w:eastAsia="宋体" w:cs="宋体"/>
          <w:b/>
          <w:bCs/>
          <w:color w:val="auto"/>
          <w:sz w:val="28"/>
          <w:szCs w:val="28"/>
          <w:lang w:eastAsia="zh-CN"/>
        </w:rPr>
        <w:t>22 钢闸门及启闭机安装</w:t>
      </w:r>
      <w:bookmarkEnd w:id="1615"/>
      <w:bookmarkEnd w:id="1616"/>
      <w:bookmarkEnd w:id="1617"/>
    </w:p>
    <w:p w14:paraId="6C5B52E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18" w:name="_Toc28510"/>
      <w:bookmarkStart w:id="1619" w:name="_Toc26476"/>
      <w:bookmarkStart w:id="1620" w:name="_Toc11703"/>
      <w:r>
        <w:rPr>
          <w:rFonts w:hint="eastAsia" w:ascii="宋体" w:hAnsi="宋体" w:eastAsia="宋体" w:cs="宋体"/>
          <w:b/>
          <w:bCs/>
          <w:color w:val="auto"/>
          <w:sz w:val="24"/>
          <w:szCs w:val="24"/>
          <w:lang w:eastAsia="zh-CN"/>
        </w:rPr>
        <w:t>22.1 一般规定</w:t>
      </w:r>
      <w:bookmarkEnd w:id="1618"/>
      <w:bookmarkEnd w:id="1619"/>
      <w:bookmarkEnd w:id="1620"/>
    </w:p>
    <w:p w14:paraId="06889E9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22.1.1 应用范围</w:t>
      </w:r>
    </w:p>
    <w:p w14:paraId="423901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本章规定适用于本合同各种钢闸门及启闭机的安装。其安装项目包括各类钢闸门、拦污栅及其门（栅）槽，以及各种型式启闭机设备及其承载平台和基础埋件等。安装项目见工程量清单。</w:t>
      </w:r>
    </w:p>
    <w:p w14:paraId="1FEAA67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22.1.2 承包人责任</w:t>
      </w:r>
    </w:p>
    <w:p w14:paraId="080113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（l）承包人应负责接收发包人提供的设备，根据供货合同和设备到货清单进行检查和验收，并负责设备的运输、保管和贮存。</w:t>
      </w:r>
    </w:p>
    <w:p w14:paraId="2C5206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（2）承包人应负责本合同全部项目的现场安装工作，包括设备试验和试运转，以及提供安装所需的人工、材料、设备和检测器具。</w:t>
      </w:r>
    </w:p>
    <w:p w14:paraId="61D6CD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（3）在设备安装和维修期内，承包人应承担全部安装设备的维护保养和缺陷修复工作。</w:t>
      </w:r>
    </w:p>
    <w:p w14:paraId="0893996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22.1.3 主要提交件</w:t>
      </w:r>
    </w:p>
    <w:p w14:paraId="216FDC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（l）安装措施计划。</w:t>
      </w:r>
    </w:p>
    <w:p w14:paraId="5B6558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承包人应在钢闸门及启闭机安装前，将本合同项目的安装措施计划提交监理人批准。其内容包括：</w:t>
      </w:r>
    </w:p>
    <w:p w14:paraId="5A0C0D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1）安装场地及主要临时建筑设施布置及说明。</w:t>
      </w:r>
    </w:p>
    <w:p w14:paraId="1B5CC8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2）设备运输和吊装方案。</w:t>
      </w:r>
    </w:p>
    <w:p w14:paraId="51969C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3）闸门和启闭机的安装方法和质量控制措施。</w:t>
      </w:r>
    </w:p>
    <w:p w14:paraId="19FE9C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4）闸门和启闭机的试验和试运转工作大纲。</w:t>
      </w:r>
    </w:p>
    <w:p w14:paraId="57B8C9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5）安装进度计划。</w:t>
      </w:r>
    </w:p>
    <w:p w14:paraId="6705C5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6）监理人要求提交的其他资料。</w:t>
      </w:r>
    </w:p>
    <w:p w14:paraId="637687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（2）设备交货计划。</w:t>
      </w:r>
    </w:p>
    <w:p w14:paraId="5544CE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承包人应按监理人批准的安装进度计划，并根据本合同设备安装进度要求，编制一份要求发包人提供的设备交货计划，提交监理人批准。</w:t>
      </w:r>
    </w:p>
    <w:p w14:paraId="4BB462C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22.1.4 引用标准</w:t>
      </w:r>
    </w:p>
    <w:p w14:paraId="623DE2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eastAsia="宋体" w:cs="宋体"/>
          <w:color w:val="auto"/>
          <w:spacing w:val="-23"/>
          <w:sz w:val="24"/>
          <w:szCs w:val="24"/>
          <w:lang w:eastAsia="zh-CN"/>
        </w:rPr>
        <w:t>《钢结构用高强度大六角头螺栓、大六角螺母、垫圈技术条件》（GB/T 1231-2006）。</w:t>
      </w:r>
    </w:p>
    <w:p w14:paraId="7B34A3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（2）《金属熔化焊对接接头射线检测技术和质量分级》（DL/T 821-2017）。</w:t>
      </w:r>
    </w:p>
    <w:p w14:paraId="2D6CA6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（3）《无损检测人员资格鉴定与认证》（GB/T 9445-2024）。</w:t>
      </w:r>
    </w:p>
    <w:p w14:paraId="3C3A0D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（4）《液压传动油液固体颗粒污染等级代号》（GB/T 14039-2002）。</w:t>
      </w:r>
    </w:p>
    <w:p w14:paraId="1A288A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（5）《金属和其他无机覆盖层热喷涂操作安全》（GB/T 11375-1999）。</w:t>
      </w:r>
    </w:p>
    <w:p w14:paraId="20578F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（6）《现场设备、工业管道焊接工程施工质量验收规范》（GB 50683-2011）。</w:t>
      </w:r>
    </w:p>
    <w:p w14:paraId="5A26F4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（7）《起重设备安装工程施工及验收规范》（GB 50278-2010）。</w:t>
      </w:r>
    </w:p>
    <w:p w14:paraId="238E691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（8）《电气装置安装工程起重机电气装置施工及验收规范》（GB 50256-2014）。</w:t>
      </w:r>
    </w:p>
    <w:p w14:paraId="29622D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（9）《焊缝无损检测超声检测技术、检测等级和评定》（GB/T  11345-2023）。</w:t>
      </w:r>
    </w:p>
    <w:p w14:paraId="367F71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（l0）</w:t>
      </w:r>
      <w:r>
        <w:rPr>
          <w:rFonts w:hint="eastAsia" w:ascii="宋体" w:hAnsi="宋体" w:eastAsia="宋体" w:cs="宋体"/>
          <w:color w:val="auto"/>
          <w:spacing w:val="-11"/>
          <w:sz w:val="24"/>
          <w:szCs w:val="24"/>
          <w:lang w:eastAsia="zh-CN"/>
        </w:rPr>
        <w:t>《涂覆涂料前钢材表面处理表面清洁度的目视评定第1部分：未涂覆过的钢材表面和全面清除原有涂层后的钢材表面的锈蚀等级和处理等级》（GB/T 8923.1-2011）。</w:t>
      </w:r>
    </w:p>
    <w:p w14:paraId="522CA7A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（11）《水利水电工程钢闸门制造、安装及验收规范》（GB/T 14173-2008）。</w:t>
      </w:r>
    </w:p>
    <w:p w14:paraId="16283A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（12）《水工金属结构焊接通用技术条件》（SL 36-2016）。</w:t>
      </w:r>
    </w:p>
    <w:p w14:paraId="2067D7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（13）《水工金属结构防腐蚀规范》（SL 105-2007））。</w:t>
      </w:r>
    </w:p>
    <w:p w14:paraId="4AB1FD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（14）《水利水电工程启闭机制造安装及验收规范》（SL/T 381-2021）。</w:t>
      </w:r>
    </w:p>
    <w:p w14:paraId="295A6A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（15）《水利水电工程机电设备安装安全技术规程》（SL 400-2016）。</w:t>
      </w:r>
    </w:p>
    <w:p w14:paraId="0CC648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（16）《焊缝无损检测焊缝磁粉检测验收等级》（GB/T 26952-2011）。</w:t>
      </w:r>
    </w:p>
    <w:p w14:paraId="2DE35D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（17）《焊缝无损检测焊缝渗透检测验收等级》（GB/T 26953-2011）。</w:t>
      </w:r>
    </w:p>
    <w:p w14:paraId="0674A1C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22.1.5 图纸和技术文件</w:t>
      </w:r>
    </w:p>
    <w:p w14:paraId="436DEB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（1）图纸。</w:t>
      </w:r>
    </w:p>
    <w:p w14:paraId="6AFC52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1）发包人提供的施工安装图纸，包括安装控制点位置图、闸门及启闭设备布置图、设备安装图、部件零件图、埋设件图等及相关的水工建筑物图纸。</w:t>
      </w:r>
    </w:p>
    <w:p w14:paraId="6CFE33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2）设备供货商根据供货合同承包人提供的设备安装图纸。</w:t>
      </w:r>
    </w:p>
    <w:p w14:paraId="6F0ECE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（2）技术文件。</w:t>
      </w:r>
    </w:p>
    <w:p w14:paraId="261C79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1）本合同技术条款。</w:t>
      </w:r>
    </w:p>
    <w:p w14:paraId="2D70E0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2）本合同引用的国家标准和行业标准。</w:t>
      </w:r>
    </w:p>
    <w:p w14:paraId="5E5EC8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3）随设备交货时提交的发货清单、设备出厂合格证、质量证明书。安装、运行和维护说明书，以及其他有关的技术文件和资料（以下统称供货商技术文件）。</w:t>
      </w:r>
    </w:p>
    <w:p w14:paraId="7542CA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4）履行合同中监理人的指示，以及监理人批准的承包人提交件。</w:t>
      </w:r>
    </w:p>
    <w:p w14:paraId="1E6676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（3）图纸和技术文件的提交和批准。</w:t>
      </w:r>
    </w:p>
    <w:p w14:paraId="5BD893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l）由发包人向承包人提供的图纸和技术文件（包括履行合同中监理人的指示和监理人批准的承包人提交件），均应在该项设备安装前，由监理人签发给承包人。</w:t>
      </w:r>
    </w:p>
    <w:p w14:paraId="1E9F5F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2）监理人和承包人有权根据安装工作的需要，要求发包人指示供货商提交补充的图纸和技术文件。</w:t>
      </w:r>
    </w:p>
    <w:p w14:paraId="6326694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22.1.6 基准线和基准点</w:t>
      </w:r>
    </w:p>
    <w:p w14:paraId="53A2C0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发包人应在承包人开始安装工作前，将安装用基准线和基准点的有关资料和控制点位置图提交给承包人。</w:t>
      </w:r>
    </w:p>
    <w:p w14:paraId="25ADE5E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22.1.7 安装材料</w:t>
      </w:r>
    </w:p>
    <w:p w14:paraId="1B5A61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（l）每批安装材料均应附有生产厂家的产品质量证书、使用说明和检验报告等。</w:t>
      </w:r>
    </w:p>
    <w:p w14:paraId="755F4D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（2）每批材料均应按本合同技术条款规定进行抽样检验。抽样检验成果应提交监理人。</w:t>
      </w:r>
    </w:p>
    <w:p w14:paraId="641DB77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22.1.8 安装前设备检查</w:t>
      </w:r>
    </w:p>
    <w:p w14:paraId="6313FB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设备安装前，承包人应逐项检查拟安装设备及其构件与零部件的缺损情况，并作好记录提交监理人。对检查中发现的缺损设备，应明确相应责任，及时进行修复或补齐。</w:t>
      </w:r>
    </w:p>
    <w:p w14:paraId="10A8966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22.1.9 安装前土建工作面清理</w:t>
      </w:r>
    </w:p>
    <w:p w14:paraId="2E9E6A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承包人应会同监理人对其他承包人提供的土建工作面，按隐蔽工程的验收要求进行检查和验收，确认混凝土浇筑和埋件埋设质量达到施工安装图纸要求后，才能开始安装。</w:t>
      </w:r>
    </w:p>
    <w:p w14:paraId="0E73E03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22.1.10 钢闸门及启闭机的安装、试验和验收</w:t>
      </w:r>
    </w:p>
    <w:p w14:paraId="0E6E4C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承包人完成钢闸门及启闭机安装后，应由监理人会同承包人和供货商代表，共同进行检查验收，检查验收报告应提交监理人。</w:t>
      </w:r>
    </w:p>
    <w:p w14:paraId="387E15A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21" w:name="_Toc31364"/>
      <w:bookmarkStart w:id="1622" w:name="_Toc13136"/>
      <w:bookmarkStart w:id="1623" w:name="_Toc2213"/>
      <w:r>
        <w:rPr>
          <w:rFonts w:hint="eastAsia" w:ascii="宋体" w:hAnsi="宋体" w:eastAsia="宋体" w:cs="宋体"/>
          <w:b/>
          <w:bCs/>
          <w:color w:val="auto"/>
          <w:sz w:val="24"/>
          <w:szCs w:val="24"/>
          <w:lang w:eastAsia="zh-CN"/>
        </w:rPr>
        <w:t>22.2 一般技术要求</w:t>
      </w:r>
      <w:bookmarkEnd w:id="1621"/>
      <w:bookmarkEnd w:id="1622"/>
      <w:bookmarkEnd w:id="1623"/>
    </w:p>
    <w:p w14:paraId="5812643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22.2.1 计量器具和检测仪表</w:t>
      </w:r>
    </w:p>
    <w:p w14:paraId="549C62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使用的各种计量器具和检测仪表均应具有产品质量证书，并应经具备校验资质的专业检测单位进行率定和标定。承包人应保证全部计量器具和检测仪表在其有效期内的检测精度等级不低于被检测对象的精度等级。</w:t>
      </w:r>
    </w:p>
    <w:p w14:paraId="0E7DDF1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（2）安装过程中，监理人认为有必要时，有权要求承包人应对其使用的计量器具和检测仪表进行校测复验，发现不合格的计量器具和检测仪表应及时更换。</w:t>
      </w:r>
    </w:p>
    <w:p w14:paraId="0DE458B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22.2.2 焊接</w:t>
      </w:r>
    </w:p>
    <w:p w14:paraId="0C2C12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（1）焊工和无损检测人员。</w:t>
      </w:r>
    </w:p>
    <w:p w14:paraId="11CB2D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1）焊工资格应遵守</w:t>
      </w:r>
      <w:r>
        <w:rPr>
          <w:rFonts w:hint="eastAsia" w:ascii="宋体" w:hAnsi="宋体" w:eastAsia="宋体" w:cs="宋体"/>
          <w:color w:val="auto"/>
          <w:spacing w:val="-11"/>
          <w:sz w:val="24"/>
          <w:szCs w:val="24"/>
          <w:lang w:eastAsia="zh-CN"/>
        </w:rPr>
        <w:t>《水利水电工程启闭机制造安装及验收规范》（SL/T 381-2021）</w:t>
      </w:r>
      <w:r>
        <w:rPr>
          <w:rFonts w:hint="eastAsia" w:ascii="宋体" w:hAnsi="宋体" w:eastAsia="宋体" w:cs="宋体"/>
          <w:color w:val="auto"/>
          <w:sz w:val="24"/>
          <w:szCs w:val="24"/>
          <w:lang w:eastAsia="zh-CN"/>
        </w:rPr>
        <w:t>第4.7.1条的规定。</w:t>
      </w:r>
    </w:p>
    <w:p w14:paraId="3A93A15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2）无损检测人员资格应遵守</w:t>
      </w:r>
      <w:r>
        <w:rPr>
          <w:rFonts w:hint="eastAsia" w:ascii="宋体" w:hAnsi="宋体" w:eastAsia="宋体" w:cs="宋体"/>
          <w:color w:val="auto"/>
          <w:spacing w:val="28"/>
          <w:sz w:val="24"/>
          <w:szCs w:val="24"/>
          <w:lang w:eastAsia="zh-CN"/>
        </w:rPr>
        <w:t>《水利水电工程启闭机制造安装及验收规范》</w:t>
      </w:r>
      <w:r>
        <w:rPr>
          <w:rFonts w:hint="eastAsia" w:ascii="宋体" w:hAnsi="宋体" w:eastAsia="宋体" w:cs="宋体"/>
          <w:color w:val="auto"/>
          <w:sz w:val="24"/>
          <w:szCs w:val="24"/>
          <w:lang w:eastAsia="zh-CN"/>
        </w:rPr>
        <w:t>（SL/T 381-2021）第4.8.1条的规定。</w:t>
      </w:r>
    </w:p>
    <w:p w14:paraId="4CA0EC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（2）焊接材料的保管和烘焙应遵守《水利水电工程钢闸门制造、安装及验收规范》（GB/T 14173-2008）的有关规定。</w:t>
      </w:r>
    </w:p>
    <w:p w14:paraId="54992F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（3）承包人应按《水工金属结构焊接通用技术条件》（SL 36-2016）第4.5节的规定进行焊接工艺评定，并编制焊接作业指导书，提交监理人批准。</w:t>
      </w:r>
    </w:p>
    <w:p w14:paraId="13BCB7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（4）焊接质量检验。</w:t>
      </w:r>
    </w:p>
    <w:p w14:paraId="49E1E3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1）所有焊缝均应按《水工金属结构焊接通用技术条件》（SL 36-2016）第8.2节的规定进行外观检查。</w:t>
      </w:r>
    </w:p>
    <w:p w14:paraId="79EAC3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2）焊缝的无损应遵守《水工金属结构焊接通用技术条件》（SL 36-2016）第8节的规定。</w:t>
      </w:r>
    </w:p>
    <w:p w14:paraId="3E4F20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（5）焊缝缺陷的返修和处理应遵守</w:t>
      </w:r>
      <w:r>
        <w:rPr>
          <w:rFonts w:hint="eastAsia" w:ascii="宋体" w:hAnsi="宋体" w:eastAsia="宋体" w:cs="宋体"/>
          <w:color w:val="auto"/>
          <w:spacing w:val="-20"/>
          <w:sz w:val="24"/>
          <w:szCs w:val="24"/>
          <w:lang w:eastAsia="zh-CN"/>
        </w:rPr>
        <w:t>《水工金属结构焊接通用技术条件》（SL 36-2016）</w:t>
      </w:r>
      <w:r>
        <w:rPr>
          <w:rFonts w:hint="eastAsia" w:ascii="宋体" w:hAnsi="宋体" w:eastAsia="宋体" w:cs="宋体"/>
          <w:color w:val="auto"/>
          <w:sz w:val="24"/>
          <w:szCs w:val="24"/>
          <w:lang w:eastAsia="zh-CN"/>
        </w:rPr>
        <w:t>第9.1～9.2节的规定。</w:t>
      </w:r>
    </w:p>
    <w:p w14:paraId="7C9D64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（6）焊后消应处理应符合《水工金属结构焊接通用技术条件》（SL 36-2016）</w:t>
      </w:r>
    </w:p>
    <w:p w14:paraId="3D19D2BE">
      <w:pPr>
        <w:widowControl w:val="0"/>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第7章的有关规定。</w:t>
      </w:r>
    </w:p>
    <w:p w14:paraId="22B6912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22.2.3 螺栓连接</w:t>
      </w:r>
    </w:p>
    <w:p w14:paraId="50EC30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（1）螺栓、螺母和垫圈应分类存放，妥善保管。分箱保管的高强度螺栓连接副在使用前严禁任意开箱。</w:t>
      </w:r>
    </w:p>
    <w:p w14:paraId="0FFF58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（2）普通螺栓、高强度螺栓连接应遵守《水利水电工程启闭机制造安装及验收规范》（SL/T 381-2021）第4.9节的规定。</w:t>
      </w:r>
    </w:p>
    <w:p w14:paraId="51F1144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22.2.4 涂装施工</w:t>
      </w:r>
    </w:p>
    <w:p w14:paraId="28A40C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（1）涂装表面预处理施工、质量评定及喷射清理的安全与防护，应符合施工安装图纸和《水工金属结构防腐蚀规范》（SL 105-2007）第3.2～3.4节的规定。</w:t>
      </w:r>
    </w:p>
    <w:p w14:paraId="3882B4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（2）涂料涂装。</w:t>
      </w:r>
    </w:p>
    <w:p w14:paraId="0947D1B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1）除合同另有约定外，涂装材料的品种、性能和颜色应与设备供货商使用的涂装材料一致。</w:t>
      </w:r>
    </w:p>
    <w:p w14:paraId="2345DE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2）涂料涂装应按施工图纸的要求进行施工，并应遵守《水工金属结构防腐蚀规范》（SL 105-2007）第4.3节和第4.5节的规定。</w:t>
      </w:r>
    </w:p>
    <w:p w14:paraId="4A76DAF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3）涂料涂装的质量检查，应遵守《水工金属结构防腐蚀规范》（SL 105-2007）第4.4节的规定。</w:t>
      </w:r>
    </w:p>
    <w:p w14:paraId="4CBA8A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（3）金属热喷涂涂装。</w:t>
      </w:r>
    </w:p>
    <w:p w14:paraId="2B5D2B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1）金属涂复合保护系统中金属涂层材料、厚度及配套涂料，应满足施工安装图纸的要求，并遵守《水工金属结构防腐蚀规范》（SL 105-2007）第5.2节和5.3节的规定。</w:t>
      </w:r>
    </w:p>
    <w:p w14:paraId="305B88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2）金属热喷涂施工应满足施工图纸的要求，并应遵守《水工金属结构防腐蚀规范》（SL 105-2007）第5.4节的规定。</w:t>
      </w:r>
    </w:p>
    <w:p w14:paraId="429BE1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3）金属热喷涂的质量检查应遵守《水工金属结构防腐蚀规范》（SL 105-2007）第5.5节的规定。</w:t>
      </w:r>
    </w:p>
    <w:p w14:paraId="7118CC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4）金属喷涂的操作安全还应遵守</w:t>
      </w:r>
      <w:r>
        <w:rPr>
          <w:rFonts w:hint="eastAsia" w:ascii="宋体" w:hAnsi="宋体" w:eastAsia="宋体" w:cs="宋体"/>
          <w:color w:val="auto"/>
          <w:spacing w:val="20"/>
          <w:sz w:val="24"/>
          <w:szCs w:val="24"/>
          <w:lang w:eastAsia="zh-CN"/>
        </w:rPr>
        <w:t>《金属和其他无机覆盖层热喷涂操作安全》</w:t>
      </w:r>
      <w:r>
        <w:rPr>
          <w:rFonts w:hint="eastAsia" w:ascii="宋体" w:hAnsi="宋体" w:eastAsia="宋体" w:cs="宋体"/>
          <w:color w:val="auto"/>
          <w:sz w:val="24"/>
          <w:szCs w:val="24"/>
          <w:lang w:eastAsia="zh-CN"/>
        </w:rPr>
        <w:t>（GB/T 11375-1999）的规定。</w:t>
      </w:r>
    </w:p>
    <w:p w14:paraId="5F5E2A6C">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22.2.5 橡胶粘合</w:t>
      </w:r>
    </w:p>
    <w:p w14:paraId="3A8E5B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（1）所有闸门橡胶水封接头的粘结工艺，应由承包人通过试验选定。橡胶粘结试验及其工艺报告应提交监理人批准。</w:t>
      </w:r>
    </w:p>
    <w:p w14:paraId="024A0D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（2）采用热胶合时，应按橡胶水封供货商提供的操作规程进行粘结和硫化，并应提供与橡胶水封形状和断面一致的加热压模。</w:t>
      </w:r>
    </w:p>
    <w:p w14:paraId="6E040A6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（3）采用冷粘结时，承包人应编写冷粘结工艺措施报告，提交监理人批准。</w:t>
      </w:r>
    </w:p>
    <w:p w14:paraId="2C0F96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（4）橡胶水封的安装应满足施工安装图纸的要求，并应遵守《水利水电工程钢闸门制造、安装及验收规范》（GB/T 14173-2008）的有关规定。</w:t>
      </w:r>
    </w:p>
    <w:p w14:paraId="6D085E4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24" w:name="_Toc16531"/>
      <w:bookmarkStart w:id="1625" w:name="_Toc6867"/>
      <w:bookmarkStart w:id="1626" w:name="_Toc25081"/>
      <w:r>
        <w:rPr>
          <w:rFonts w:hint="eastAsia" w:ascii="宋体" w:hAnsi="宋体" w:eastAsia="宋体" w:cs="宋体"/>
          <w:b/>
          <w:bCs/>
          <w:color w:val="auto"/>
          <w:sz w:val="24"/>
          <w:szCs w:val="24"/>
          <w:lang w:eastAsia="zh-CN"/>
        </w:rPr>
        <w:t>22.3 闸门和拦污栅的安装</w:t>
      </w:r>
      <w:bookmarkEnd w:id="1624"/>
      <w:bookmarkEnd w:id="1625"/>
      <w:bookmarkEnd w:id="1626"/>
    </w:p>
    <w:p w14:paraId="7514AFB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22.3.1 埋件安装</w:t>
      </w:r>
    </w:p>
    <w:p w14:paraId="35A6D4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（l）闸门和拦污栅埋件的安装应遵守《水利水电工程钢闸门制造、安装及验收规范》（GB/T 14173-2008）的有关规定。</w:t>
      </w:r>
    </w:p>
    <w:p w14:paraId="5C323F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浮箱闸门水封埋件的安装，应使每一个孔口的底水封座板埋件表面与两侧侧水封座板埋件表面（包括两相邻孔口共用的侧水封座板埋件）在同一平面上，其平面度偏差应小于2mm。底水封座板与侧水封座板的接头焊缝表面应打磨平整。孔口底部支承闸门的支承墩埋件表面应平整，其高差不得大于2mm，支承面应与两侧水封埋件工作面垂直，其垂直度偏差不大于2/1000 。</w:t>
      </w:r>
    </w:p>
    <w:p w14:paraId="0EA919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（3）所有埋件工作面上的连接焊缝，应在安装工作完毕和二期混凝土浇注后，仔细进行打磨，其表面平整度和粗糙度应与焊接构件一致。</w:t>
      </w:r>
    </w:p>
    <w:p w14:paraId="08491B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（4）采用充压水封的工作弧门门槽埋件安装就位后，待弧门安装完成，应做划弧试验。在达到施工安装图纸要求后再焊接固定，并经监理人检查合格后，才能回填二期混凝土。</w:t>
      </w:r>
    </w:p>
    <w:p w14:paraId="77BB05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（5）埋件安装完毕后，应对埋件的安装精度进行复测。清理和复测记录应提交监理人。</w:t>
      </w:r>
    </w:p>
    <w:p w14:paraId="5CD743A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22.3.2 平面闸门安装</w:t>
      </w:r>
    </w:p>
    <w:p w14:paraId="494C29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（1）安装技术要求。</w:t>
      </w:r>
    </w:p>
    <w:p w14:paraId="09F325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1）充压水封的安装应符合施工安装图纸的规定。</w:t>
      </w:r>
    </w:p>
    <w:p w14:paraId="4FEEA2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2）平面闸门的安装应遵守</w:t>
      </w:r>
      <w:r>
        <w:rPr>
          <w:rFonts w:hint="eastAsia" w:ascii="宋体" w:hAnsi="宋体" w:eastAsia="宋体" w:cs="宋体"/>
          <w:color w:val="auto"/>
          <w:spacing w:val="62"/>
          <w:sz w:val="24"/>
          <w:szCs w:val="24"/>
          <w:lang w:eastAsia="zh-CN"/>
        </w:rPr>
        <w:t>《水利水电工程钢闸门制造、安装及验收规范》</w:t>
      </w:r>
      <w:r>
        <w:rPr>
          <w:rFonts w:hint="eastAsia" w:ascii="宋体" w:hAnsi="宋体" w:eastAsia="宋体" w:cs="宋体"/>
          <w:color w:val="auto"/>
          <w:sz w:val="24"/>
          <w:szCs w:val="24"/>
          <w:lang w:eastAsia="zh-CN"/>
        </w:rPr>
        <w:t>（GB/T 14173-2008）的有关规定。</w:t>
      </w:r>
    </w:p>
    <w:p w14:paraId="10CEB1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3）闸门主支承部件的安装应在门叶结构焊接完毕，经测量校正合格后进行。所有主支承面应当调整到同一平面上，其误差不得大于施工安装图纸的规定。</w:t>
      </w:r>
    </w:p>
    <w:p w14:paraId="647453E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4）平面链轮闸门门叶安装后，单个链轮及整体链轮应转动灵活，不允许有卡阻和过松、过紧现象，并应满足门叶垂直吊起底部链轮上缘与底部走道之间间隙为20～30mm。</w:t>
      </w:r>
    </w:p>
    <w:p w14:paraId="5DC38D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5）平面链轮闸门安装后在门槽内升降时，链条与链轮应无卡阻现象，与轨道接触侧应保证80%以上的链轮处于受力状况，不接触链轮的允许间隙不应大于0.lmm。</w:t>
      </w:r>
    </w:p>
    <w:p w14:paraId="321C07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6）充水装置和自动挂脱梁定位装置的安装，应注意与自动挂脱梁的配合，以确保安全可靠地对准并完成挂脱钩动作。</w:t>
      </w:r>
    </w:p>
    <w:p w14:paraId="7862B4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7）闸门安装完毕后，应清除所有杂物，在滑动、滚动部位涂抹或灌注润滑脂。</w:t>
      </w:r>
    </w:p>
    <w:p w14:paraId="7DA926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（2）试验。</w:t>
      </w:r>
    </w:p>
    <w:p w14:paraId="5D4851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1）静平衡试验：将闸门吊离地面100mm，测量闸门上、下游与左、右方向的倾斜，其测量值应遵守</w:t>
      </w:r>
      <w:r>
        <w:rPr>
          <w:rFonts w:hint="eastAsia" w:ascii="宋体" w:hAnsi="宋体" w:eastAsia="宋体" w:cs="宋体"/>
          <w:color w:val="auto"/>
          <w:spacing w:val="-11"/>
          <w:sz w:val="24"/>
          <w:szCs w:val="24"/>
          <w:lang w:eastAsia="zh-CN"/>
        </w:rPr>
        <w:t>《水利水电工程钢闸门制造、安装及验收规范》（GB/T 14173-2008）</w:t>
      </w:r>
      <w:r>
        <w:rPr>
          <w:rFonts w:hint="eastAsia" w:ascii="宋体" w:hAnsi="宋体" w:eastAsia="宋体" w:cs="宋体"/>
          <w:color w:val="auto"/>
          <w:sz w:val="24"/>
          <w:szCs w:val="24"/>
          <w:lang w:eastAsia="zh-CN"/>
        </w:rPr>
        <w:t>的有关规定。</w:t>
      </w:r>
    </w:p>
    <w:p w14:paraId="3A716C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无水情况下全行程启闭试验：试验过程检查滑道或滚轮的运行应无卡阻现象；双吊点闸门的同步应达到施工安装图纸要求；水封橡皮无损伤；闸门在全关位置，漏光检查合格、止水应严密。在全过程试验中，必须对水封橡皮与不锈钢水封座板的接触面采用清水冲淋润滑，以防损坏水封橡皮。</w:t>
      </w:r>
    </w:p>
    <w:p w14:paraId="2C6E8F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3）静水情况下的全行程启闭试验：试验应在无水试验合格后进行。试验、检查内容与无水试验相同（水封装置漏光检查改为渗漏量检查）。</w:t>
      </w:r>
    </w:p>
    <w:p w14:paraId="28871C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4）动水启闭试验：事故闸门、工作闸门应按施工安装图纸要求，进行动水条件下的启闭试验，试验水头应尽量与设计水头一致。</w:t>
      </w:r>
    </w:p>
    <w:p w14:paraId="624AE4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5）通用性试验：对一门多槽使用的平面闸门，必须分别在每个门槽中进行无水情况下的全程启闭试验合格。</w:t>
      </w:r>
    </w:p>
    <w:p w14:paraId="6E253AC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22.3.3 弧形闸门安装（略）</w:t>
      </w:r>
    </w:p>
    <w:p w14:paraId="254DF31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22.3.5 人字闸门安装（略）</w:t>
      </w:r>
    </w:p>
    <w:p w14:paraId="3A727AF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22.3.6 浮箱闸门安装（略）</w:t>
      </w:r>
    </w:p>
    <w:p w14:paraId="54E41A8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22.3.7 拦污栅安装</w:t>
      </w:r>
    </w:p>
    <w:p w14:paraId="4DDA0A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（1）安装技术要求。</w:t>
      </w:r>
    </w:p>
    <w:p w14:paraId="40C075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1）拦污栅、应按施工安装图纸进行安装，并应遵守《水利水电工程钢闸门制造、安装及验收规范》（GB/T 14173-2008）的有关规定。</w:t>
      </w:r>
    </w:p>
    <w:p w14:paraId="325E30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2）拦污栅栅叶为多节结构时，其节间的连接，除框架边柱应对齐外，栅条的最大错位应小于栅条厚度的0.5倍。</w:t>
      </w:r>
    </w:p>
    <w:p w14:paraId="62767C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（2）试验。</w:t>
      </w:r>
    </w:p>
    <w:p w14:paraId="7687C6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1）活动式拦污栅栅体吊入栅槽后，应作升降试验，检查栅体在槽中应无卡阻现象，各节连接可靠。</w:t>
      </w:r>
    </w:p>
    <w:p w14:paraId="51D562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2）采用自动挂脱梁起吊的活动式潜孔拦污栅，应逐孔进行挂脱动作试验，确保挂脱动作可靠。</w:t>
      </w:r>
    </w:p>
    <w:p w14:paraId="022152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3）使用清污机清污的拦污栅，应按施工安装图纸要求进行清污试验。</w:t>
      </w:r>
    </w:p>
    <w:p w14:paraId="5379A20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27" w:name="_Toc29209"/>
      <w:bookmarkStart w:id="1628" w:name="_Toc24724"/>
      <w:bookmarkStart w:id="1629" w:name="_Toc19507"/>
      <w:r>
        <w:rPr>
          <w:rFonts w:hint="eastAsia" w:ascii="宋体" w:hAnsi="宋体" w:eastAsia="宋体" w:cs="宋体"/>
          <w:b/>
          <w:bCs/>
          <w:color w:val="auto"/>
          <w:sz w:val="24"/>
          <w:szCs w:val="24"/>
          <w:lang w:eastAsia="zh-CN"/>
        </w:rPr>
        <w:t>22.4 启闭机安装</w:t>
      </w:r>
      <w:bookmarkEnd w:id="1627"/>
      <w:bookmarkEnd w:id="1628"/>
      <w:bookmarkEnd w:id="1629"/>
    </w:p>
    <w:p w14:paraId="7C4ACD6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22.4.1 固定卷扬式启闭机安装（略）</w:t>
      </w:r>
    </w:p>
    <w:p w14:paraId="5CB5C7F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22.4.2 移动式启闭机（含清污机）安装</w:t>
      </w:r>
    </w:p>
    <w:p w14:paraId="44C65F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（1）轨道安装技术要求。</w:t>
      </w:r>
    </w:p>
    <w:p w14:paraId="095121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1）大车轨道吊装前，应测量和标定轨道的安装基准线。</w:t>
      </w:r>
    </w:p>
    <w:p w14:paraId="08889B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2）小车轨道安装应符合施工安装图纸和《水利水电工程启闭机制造安装及验收规范》（SL 381-2021）第8.2.3条的规定。</w:t>
      </w:r>
    </w:p>
    <w:p w14:paraId="7BC3E0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3）小车轨道安装应遵守</w:t>
      </w:r>
      <w:r>
        <w:rPr>
          <w:rFonts w:hint="eastAsia" w:ascii="宋体" w:hAnsi="宋体" w:eastAsia="宋体" w:cs="宋体"/>
          <w:color w:val="auto"/>
          <w:spacing w:val="-20"/>
          <w:sz w:val="24"/>
          <w:szCs w:val="24"/>
          <w:lang w:eastAsia="zh-CN"/>
        </w:rPr>
        <w:t>《水利水电工程启闭机制造安装及验收规范》（SL 381-2021）</w:t>
      </w:r>
      <w:r>
        <w:rPr>
          <w:rFonts w:hint="eastAsia" w:ascii="宋体" w:hAnsi="宋体" w:eastAsia="宋体" w:cs="宋体"/>
          <w:color w:val="auto"/>
          <w:sz w:val="24"/>
          <w:szCs w:val="24"/>
          <w:lang w:eastAsia="zh-CN"/>
        </w:rPr>
        <w:t>第8.2.2条的规定。</w:t>
      </w:r>
    </w:p>
    <w:p w14:paraId="24822F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4）同跨同端的两车挡与缓冲器应接触良好，有偏差时应进行调整。</w:t>
      </w:r>
    </w:p>
    <w:p w14:paraId="3176DF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（2）设备安装技术要求。</w:t>
      </w:r>
    </w:p>
    <w:p w14:paraId="3873FF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移动式启闭机包括单向、双向门式启闭机、桥式启闭机、台车式启闭机及清污机。</w:t>
      </w:r>
    </w:p>
    <w:p w14:paraId="552491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l）门架、桥架的安装，应遵守</w:t>
      </w:r>
      <w:r>
        <w:rPr>
          <w:rFonts w:hint="eastAsia" w:ascii="宋体" w:hAnsi="宋体" w:eastAsia="宋体" w:cs="宋体"/>
          <w:color w:val="auto"/>
          <w:spacing w:val="20"/>
          <w:sz w:val="24"/>
          <w:szCs w:val="24"/>
          <w:lang w:eastAsia="zh-CN"/>
        </w:rPr>
        <w:t>《水利水电工程启闭机制造安装及验收规范》</w:t>
      </w:r>
      <w:r>
        <w:rPr>
          <w:rFonts w:hint="eastAsia" w:ascii="宋体" w:hAnsi="宋体" w:eastAsia="宋体" w:cs="宋体"/>
          <w:color w:val="auto"/>
          <w:sz w:val="24"/>
          <w:szCs w:val="24"/>
          <w:lang w:eastAsia="zh-CN"/>
        </w:rPr>
        <w:t>（SL 381-2021）第8.2.1条的规定。</w:t>
      </w:r>
    </w:p>
    <w:p w14:paraId="7701D1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2）运行机构的安装，应遵守</w:t>
      </w:r>
      <w:r>
        <w:rPr>
          <w:rFonts w:hint="eastAsia" w:ascii="宋体" w:hAnsi="宋体" w:eastAsia="宋体" w:cs="宋体"/>
          <w:color w:val="auto"/>
          <w:spacing w:val="23"/>
          <w:sz w:val="24"/>
          <w:szCs w:val="24"/>
          <w:lang w:eastAsia="zh-CN"/>
        </w:rPr>
        <w:t>《水利水电工程启闭机制造安装及验收规范》</w:t>
      </w:r>
      <w:r>
        <w:rPr>
          <w:rFonts w:hint="eastAsia" w:ascii="宋体" w:hAnsi="宋体" w:eastAsia="宋体" w:cs="宋体"/>
          <w:color w:val="auto"/>
          <w:sz w:val="24"/>
          <w:szCs w:val="24"/>
          <w:lang w:eastAsia="zh-CN"/>
        </w:rPr>
        <w:t>（SL 381-2021）第8.2.4条的规定。</w:t>
      </w:r>
    </w:p>
    <w:p w14:paraId="1BBD01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3）电气设备的安装，应遵守</w:t>
      </w:r>
      <w:r>
        <w:rPr>
          <w:rFonts w:hint="eastAsia" w:ascii="宋体" w:hAnsi="宋体" w:eastAsia="宋体" w:cs="宋体"/>
          <w:color w:val="auto"/>
          <w:spacing w:val="28"/>
          <w:sz w:val="24"/>
          <w:szCs w:val="24"/>
          <w:lang w:eastAsia="zh-CN"/>
        </w:rPr>
        <w:t>《水利水电工程启闭机制造安装及验收规范》</w:t>
      </w:r>
      <w:r>
        <w:rPr>
          <w:rFonts w:hint="eastAsia" w:ascii="宋体" w:hAnsi="宋体" w:eastAsia="宋体" w:cs="宋体"/>
          <w:color w:val="auto"/>
          <w:sz w:val="24"/>
          <w:szCs w:val="24"/>
          <w:lang w:eastAsia="zh-CN"/>
        </w:rPr>
        <w:t>（SL 381-2021）第82.5条的规定。</w:t>
      </w:r>
    </w:p>
    <w:p w14:paraId="3CE559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4）每台启闭机安装完毕，应对启闭机进行清理，修补损坏的油漆涂层表面，并灌注润滑油、脂。</w:t>
      </w:r>
    </w:p>
    <w:p w14:paraId="459BE3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5）清污机的安装应参照移动式启闭机相关部件的安装技术要求执行。</w:t>
      </w:r>
    </w:p>
    <w:p w14:paraId="087E12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（3）试验。</w:t>
      </w:r>
    </w:p>
    <w:p w14:paraId="67987D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1）移动式启闭机设备试运转前的检查，应遵守《水利水电工程启闭机制造安装及验收规范》（SL 381-2021）第8.3.2条的规定。</w:t>
      </w:r>
    </w:p>
    <w:p w14:paraId="601C68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2）起升机构和运行机构空载试验的检查，应遵守《水利水电工程启闭机制造安装及验收规范》（SL 381-2021）第8.3.3条的规定。</w:t>
      </w:r>
    </w:p>
    <w:p w14:paraId="3CEEEE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3）静载试验，应遵守</w:t>
      </w:r>
      <w:r>
        <w:rPr>
          <w:rFonts w:hint="eastAsia" w:ascii="宋体" w:hAnsi="宋体" w:eastAsia="宋体" w:cs="宋体"/>
          <w:color w:val="auto"/>
          <w:spacing w:val="-11"/>
          <w:sz w:val="24"/>
          <w:szCs w:val="24"/>
          <w:lang w:eastAsia="zh-CN"/>
        </w:rPr>
        <w:t>《水利水电工程启闭机制造安装及验收规范》（SL 381-2021）</w:t>
      </w:r>
      <w:r>
        <w:rPr>
          <w:rFonts w:hint="eastAsia" w:ascii="宋体" w:hAnsi="宋体" w:eastAsia="宋体" w:cs="宋体"/>
          <w:color w:val="auto"/>
          <w:sz w:val="24"/>
          <w:szCs w:val="24"/>
          <w:lang w:eastAsia="zh-CN"/>
        </w:rPr>
        <w:t>第8.3.4条的规定。</w:t>
      </w:r>
    </w:p>
    <w:p w14:paraId="3536E7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r>
        <w:rPr>
          <w:rFonts w:hint="eastAsia" w:ascii="宋体" w:hAnsi="宋体" w:eastAsia="宋体" w:cs="宋体"/>
          <w:color w:val="auto"/>
          <w:spacing w:val="-11"/>
          <w:sz w:val="24"/>
          <w:szCs w:val="24"/>
          <w:lang w:eastAsia="zh-CN"/>
        </w:rPr>
        <w:t>动载试验，应遵守《水利水电工程启闭机制造安装及验收规范》（SL 381-2021）</w:t>
      </w:r>
      <w:r>
        <w:rPr>
          <w:rFonts w:hint="eastAsia" w:ascii="宋体" w:hAnsi="宋体" w:eastAsia="宋体" w:cs="宋体"/>
          <w:color w:val="auto"/>
          <w:sz w:val="24"/>
          <w:szCs w:val="24"/>
          <w:lang w:eastAsia="zh-CN"/>
        </w:rPr>
        <w:t>第8.3.5条的规定。</w:t>
      </w:r>
    </w:p>
    <w:p w14:paraId="165D6E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5）各项试验结束后，全面检查设备应运行正常。</w:t>
      </w:r>
    </w:p>
    <w:p w14:paraId="195B74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6）清污机的试验应按移动式启闭机相关部件的试运转条款执行。耙斗式清污机应试验耙斗的运行动作，检查其灵活性。</w:t>
      </w:r>
    </w:p>
    <w:p w14:paraId="6488984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22.4.3 螺杆启闭机安装（略）</w:t>
      </w:r>
    </w:p>
    <w:p w14:paraId="674645B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22.4.4 液压启闭机安装</w:t>
      </w:r>
    </w:p>
    <w:p w14:paraId="0DEC5A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（1）安装技术要求。</w:t>
      </w:r>
    </w:p>
    <w:p w14:paraId="3F61CA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1）液压启闭机的安装包括液压缸总成、液压站及液压控制系统设备、管道及附件、液压缸承载结构及基础埋件和电气设备等。</w:t>
      </w:r>
    </w:p>
    <w:p w14:paraId="259F48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2）液压缸支承机架的安装，应遵守《水利水电工程启闭机制造安装及验收规范》（SL 381-2021）第7.4.2条的规定。</w:t>
      </w:r>
    </w:p>
    <w:p w14:paraId="6AB9E4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3）机架钢梁与推力支座组合面的安装，应遵守《水利水电工程启闭机制造安装及验收规范》（SL 381-2021）第7.4.3条的规定。</w:t>
      </w:r>
    </w:p>
    <w:p w14:paraId="78869D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4）承包人应按施工安装图纸要求进行配管，管路布置应尽量减少阻力。</w:t>
      </w:r>
    </w:p>
    <w:p w14:paraId="5F5EFE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5）液压管路系统安装完毕后，应按《水利水电工程启闭机制造安装及验收规范》（SL 381-2021）第7.4.5条的规定，对管路系统与液压缸、阀组、泵组隔离（或短接）后进行循环冲洗。</w:t>
      </w:r>
    </w:p>
    <w:p w14:paraId="5A4EE6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6）液压系统注入的液压油，应遵守《水利水电工程启闭机制造安装及验收规范》（SL 381-2021）第7.4.7条的规定。</w:t>
      </w:r>
    </w:p>
    <w:p w14:paraId="1FF379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（2）试验与检测。</w:t>
      </w:r>
    </w:p>
    <w:p w14:paraId="5A7E50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1）液压管路耐压试验：试验压力：P</w:t>
      </w:r>
      <w:r>
        <w:rPr>
          <w:rFonts w:hint="eastAsia" w:ascii="宋体" w:hAnsi="宋体" w:eastAsia="宋体" w:cs="宋体"/>
          <w:color w:val="auto"/>
          <w:sz w:val="12"/>
          <w:szCs w:val="12"/>
          <w:lang w:eastAsia="zh-CN"/>
        </w:rPr>
        <w:t>额</w:t>
      </w:r>
      <w:r>
        <w:rPr>
          <w:rFonts w:hint="eastAsia" w:ascii="宋体" w:hAnsi="宋体" w:eastAsia="宋体" w:cs="宋体"/>
          <w:color w:val="auto"/>
          <w:sz w:val="24"/>
          <w:szCs w:val="24"/>
          <w:lang w:eastAsia="zh-CN"/>
        </w:rPr>
        <w:t>＜16MPa时，P</w:t>
      </w:r>
      <w:r>
        <w:rPr>
          <w:rFonts w:hint="eastAsia" w:ascii="宋体" w:hAnsi="宋体" w:eastAsia="宋体" w:cs="宋体"/>
          <w:color w:val="auto"/>
          <w:sz w:val="12"/>
          <w:szCs w:val="12"/>
          <w:lang w:eastAsia="zh-CN"/>
        </w:rPr>
        <w:t>试</w:t>
      </w:r>
      <w:r>
        <w:rPr>
          <w:rFonts w:hint="eastAsia" w:ascii="宋体" w:hAnsi="宋体" w:eastAsia="宋体" w:cs="宋体"/>
          <w:color w:val="auto"/>
          <w:sz w:val="24"/>
          <w:szCs w:val="24"/>
          <w:lang w:eastAsia="zh-CN"/>
        </w:rPr>
        <w:t>＝1.5P</w:t>
      </w:r>
      <w:r>
        <w:rPr>
          <w:rFonts w:hint="eastAsia" w:ascii="宋体" w:hAnsi="宋体" w:eastAsia="宋体" w:cs="宋体"/>
          <w:color w:val="auto"/>
          <w:sz w:val="12"/>
          <w:szCs w:val="12"/>
          <w:lang w:eastAsia="zh-CN"/>
        </w:rPr>
        <w:t>额</w:t>
      </w:r>
      <w:r>
        <w:rPr>
          <w:rFonts w:hint="eastAsia" w:ascii="宋体" w:hAnsi="宋体" w:eastAsia="宋体" w:cs="宋体"/>
          <w:color w:val="auto"/>
          <w:sz w:val="24"/>
          <w:szCs w:val="24"/>
          <w:lang w:eastAsia="zh-CN"/>
        </w:rPr>
        <w:t>；P</w:t>
      </w:r>
      <w:r>
        <w:rPr>
          <w:rFonts w:hint="eastAsia" w:ascii="宋体" w:hAnsi="宋体" w:eastAsia="宋体" w:cs="宋体"/>
          <w:color w:val="auto"/>
          <w:sz w:val="12"/>
          <w:szCs w:val="12"/>
          <w:lang w:eastAsia="zh-CN"/>
        </w:rPr>
        <w:t>额</w:t>
      </w:r>
      <w:r>
        <w:rPr>
          <w:rFonts w:hint="eastAsia" w:ascii="宋体" w:hAnsi="宋体" w:eastAsia="宋体" w:cs="宋体"/>
          <w:color w:val="auto"/>
          <w:sz w:val="24"/>
          <w:szCs w:val="24"/>
          <w:lang w:eastAsia="zh-CN"/>
        </w:rPr>
        <w:t>＞16MPa时，P</w:t>
      </w:r>
      <w:r>
        <w:rPr>
          <w:rFonts w:hint="eastAsia" w:ascii="宋体" w:hAnsi="宋体" w:eastAsia="宋体" w:cs="宋体"/>
          <w:color w:val="auto"/>
          <w:sz w:val="12"/>
          <w:szCs w:val="12"/>
          <w:lang w:eastAsia="zh-CN"/>
        </w:rPr>
        <w:t>试</w:t>
      </w:r>
      <w:r>
        <w:rPr>
          <w:rFonts w:hint="eastAsia" w:ascii="宋体" w:hAnsi="宋体" w:eastAsia="宋体" w:cs="宋体"/>
          <w:color w:val="auto"/>
          <w:sz w:val="24"/>
          <w:szCs w:val="24"/>
          <w:lang w:eastAsia="zh-CN"/>
        </w:rPr>
        <w:t>＝1.25P</w:t>
      </w:r>
      <w:r>
        <w:rPr>
          <w:rFonts w:hint="eastAsia" w:ascii="宋体" w:hAnsi="宋体" w:eastAsia="宋体" w:cs="宋体"/>
          <w:color w:val="auto"/>
          <w:sz w:val="12"/>
          <w:szCs w:val="12"/>
          <w:lang w:eastAsia="zh-CN"/>
        </w:rPr>
        <w:t>额</w:t>
      </w:r>
      <w:r>
        <w:rPr>
          <w:rFonts w:hint="eastAsia" w:ascii="宋体" w:hAnsi="宋体" w:eastAsia="宋体" w:cs="宋体"/>
          <w:color w:val="auto"/>
          <w:sz w:val="24"/>
          <w:szCs w:val="24"/>
          <w:lang w:eastAsia="zh-CN"/>
        </w:rPr>
        <w:t>；在各试验压力下保压10分钟，管路系统不得有泄漏现象．试验合格后，按施工安装图纸的要求整定各压力阀的工作压力。</w:t>
      </w:r>
    </w:p>
    <w:p w14:paraId="3ADF71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2）液压启闭机的试验与检测，还应遵守《水利水电工程启闭机制造安装及验收规范》（SL 381-2021）第7.5节的有关规定。</w:t>
      </w:r>
    </w:p>
    <w:p w14:paraId="290AC1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3）各项试验结束后，全面检查设备应运行正常。</w:t>
      </w:r>
    </w:p>
    <w:p w14:paraId="1CA0229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30" w:name="_Toc14801"/>
      <w:bookmarkStart w:id="1631" w:name="_Toc16630"/>
      <w:bookmarkStart w:id="1632" w:name="_Toc27269"/>
      <w:r>
        <w:rPr>
          <w:rFonts w:hint="eastAsia" w:ascii="宋体" w:hAnsi="宋体" w:eastAsia="宋体" w:cs="宋体"/>
          <w:b/>
          <w:bCs/>
          <w:color w:val="auto"/>
          <w:sz w:val="24"/>
          <w:szCs w:val="24"/>
          <w:lang w:eastAsia="zh-CN"/>
        </w:rPr>
        <w:t>22.5 质量检查和验收</w:t>
      </w:r>
      <w:bookmarkEnd w:id="1630"/>
      <w:bookmarkEnd w:id="1631"/>
      <w:bookmarkEnd w:id="1632"/>
    </w:p>
    <w:p w14:paraId="465C1AF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22.5.1 埋件的质量检查和验收</w:t>
      </w:r>
    </w:p>
    <w:p w14:paraId="5683C9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（1）埋件安装前，应对安装基准线和基准点进行复核检查，检查合格后，才能进行安装。</w:t>
      </w:r>
    </w:p>
    <w:p w14:paraId="18C3F4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（2）埋件安装就位后，应在混凝土浇筑前，对埋件的安装位置和尺寸进行测量检查，经监理人确认合格后，才能进行混凝土浇筑。测量记录应提交监理人。</w:t>
      </w:r>
    </w:p>
    <w:p w14:paraId="307751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（3）混凝土浇筑后，应对埋件的安装位置和尺寸进行复测检查，若经检查发现埋件的安装质量不合格，应按监理人的指示进行处理。</w:t>
      </w:r>
    </w:p>
    <w:p w14:paraId="6C75B22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22.5.2 闸门及启闭机安装质量的检查和验收</w:t>
      </w:r>
    </w:p>
    <w:p w14:paraId="7A3FBC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（1）承包人应会同监理人对本合同所有闸门及启闭机的安装焊接、表面涂装、安装偏差以及试验成果等进行检查，并作好记录。质量检查记录应提交监理人。</w:t>
      </w:r>
    </w:p>
    <w:p w14:paraId="7A1D7E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（2）闸门及启闭机安装完成后，应由监理人组织进行各项设备的检查和验收。承包人应向监理人提交以下资料：</w:t>
      </w:r>
    </w:p>
    <w:p w14:paraId="588B27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1）闸门和启闭机及其埋件的安装质量检查记录。</w:t>
      </w:r>
    </w:p>
    <w:p w14:paraId="6D8896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2）闸门试验和检测成果及启闭机试验和试运转记录。</w:t>
      </w:r>
    </w:p>
    <w:p w14:paraId="2C095F4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22.5.3 完工验收</w:t>
      </w:r>
    </w:p>
    <w:p w14:paraId="7E9957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全部闸门及启闭机安装完毕，并经试运转合格，承包人应向监理人申请完工验收，并提交以下完工资料：</w:t>
      </w:r>
    </w:p>
    <w:p w14:paraId="5BCC01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（1）完工项目清单。</w:t>
      </w:r>
    </w:p>
    <w:p w14:paraId="3C751E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（2）安装竣工图纸。</w:t>
      </w:r>
    </w:p>
    <w:p w14:paraId="74313A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（3）主要材料和外购件的产品质量证明书和使用说明书。</w:t>
      </w:r>
    </w:p>
    <w:p w14:paraId="1F9F16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（4）焊接工艺评定报告。</w:t>
      </w:r>
    </w:p>
    <w:p w14:paraId="35255A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（5）安装焊缝质量检验报告。</w:t>
      </w:r>
    </w:p>
    <w:p w14:paraId="750FFA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（6）闸门、启闭设备及其埋件的安装质量检验记录。</w:t>
      </w:r>
    </w:p>
    <w:p w14:paraId="01086A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（7）闸门和启闭机的调试及试验报告。</w:t>
      </w:r>
    </w:p>
    <w:p w14:paraId="3AF9879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（8）重大缺陷和质量事故处理报告。</w:t>
      </w:r>
    </w:p>
    <w:p w14:paraId="11D29E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（9）监理人要求提交的其他完工资料。</w:t>
      </w:r>
    </w:p>
    <w:p w14:paraId="580D8A4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33" w:name="_Toc32581"/>
      <w:bookmarkStart w:id="1634" w:name="_Toc20349"/>
      <w:bookmarkStart w:id="1635" w:name="_Toc22989"/>
      <w:r>
        <w:rPr>
          <w:rFonts w:hint="eastAsia" w:ascii="宋体" w:hAnsi="宋体" w:eastAsia="宋体" w:cs="宋体"/>
          <w:b/>
          <w:bCs/>
          <w:color w:val="auto"/>
          <w:sz w:val="24"/>
          <w:szCs w:val="24"/>
          <w:lang w:eastAsia="zh-CN"/>
        </w:rPr>
        <w:t>22.6 计量和支付</w:t>
      </w:r>
      <w:bookmarkEnd w:id="1633"/>
      <w:bookmarkEnd w:id="1634"/>
      <w:bookmarkEnd w:id="1635"/>
    </w:p>
    <w:p w14:paraId="1A7F03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钢闸门安装工程按施工图纸所示尺寸计算的闸门本体有效重量以吨为单位计量，由发包人按《工程量清单》相应项目的每吨工程单价支付。钢闸门附件安装、附属装置安装钢闸门本体及附件涂装、试验检测和调试校正等工作所需费用，包含在《工程量清单》相应钢闸门安装项目有效工程量的每吨工程单价中，发包人不另行支付。</w:t>
      </w:r>
    </w:p>
    <w:p w14:paraId="15B96F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门槽（楣）安装工程按施工图纸所示尺寸计算的有效重量以吨为单位计量，由发包人按《工程量清单》相应项目的每吨工程单价支付。二次埋件、附件安装、涂装、调试校正等工作所需费用，均包含在《工程量清单》相应门槽（楣）安装项目有效工程量的每吨工程单价中，发包人不另行支付。</w:t>
      </w:r>
    </w:p>
    <w:p w14:paraId="05E447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启闭机安装工程按施工图纸所示启闭机数量以台为单位计量，由发包人按《工程量清单》相应启闭机安装项目每台工程单价支付。除合同另有约定外，基础埋件安装、附属设备（起吊梁或平衡梁、供电系统、控制操作系统、液压启闭机的液压系统等）安装、与闸门连接和调试校正等工作所需费用，均包含在《工程量清单》相应启闭机安装项目每台工程单价中，发包人不另行支付。</w:t>
      </w:r>
    </w:p>
    <w:p w14:paraId="218CD842">
      <w:pPr>
        <w:widowControl w:val="0"/>
        <w:kinsoku/>
        <w:topLinePunct/>
        <w:autoSpaceDE/>
        <w:autoSpaceDN/>
        <w:spacing w:line="520" w:lineRule="exact"/>
        <w:jc w:val="both"/>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br w:type="page"/>
      </w:r>
    </w:p>
    <w:p w14:paraId="33511632">
      <w:pPr>
        <w:widowControl w:val="0"/>
        <w:kinsoku/>
        <w:topLinePunct/>
        <w:autoSpaceDE/>
        <w:autoSpaceDN/>
        <w:spacing w:line="520" w:lineRule="exact"/>
        <w:jc w:val="center"/>
        <w:outlineLvl w:val="1"/>
        <w:rPr>
          <w:rFonts w:hint="eastAsia" w:ascii="宋体" w:hAnsi="宋体" w:eastAsia="宋体" w:cs="宋体"/>
          <w:b/>
          <w:bCs/>
          <w:color w:val="auto"/>
          <w:sz w:val="28"/>
          <w:szCs w:val="28"/>
          <w:lang w:eastAsia="zh-CN"/>
        </w:rPr>
      </w:pPr>
      <w:bookmarkStart w:id="1636" w:name="_Toc5708"/>
      <w:bookmarkStart w:id="1637" w:name="_Toc2668"/>
      <w:bookmarkStart w:id="1638" w:name="_Toc13446"/>
      <w:r>
        <w:rPr>
          <w:rFonts w:hint="eastAsia" w:ascii="宋体" w:hAnsi="宋体" w:eastAsia="宋体" w:cs="宋体"/>
          <w:b/>
          <w:bCs/>
          <w:color w:val="auto"/>
          <w:sz w:val="28"/>
          <w:szCs w:val="28"/>
          <w:lang w:eastAsia="zh-CN"/>
        </w:rPr>
        <w:t>23 预埋件埋设</w:t>
      </w:r>
      <w:bookmarkEnd w:id="1636"/>
      <w:bookmarkEnd w:id="1637"/>
      <w:bookmarkEnd w:id="1638"/>
    </w:p>
    <w:p w14:paraId="48CD5B2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39" w:name="_Toc32616"/>
      <w:bookmarkStart w:id="1640" w:name="_Toc798"/>
      <w:bookmarkStart w:id="1641" w:name="_Toc31502"/>
      <w:r>
        <w:rPr>
          <w:rFonts w:hint="eastAsia" w:ascii="宋体" w:hAnsi="宋体" w:eastAsia="宋体" w:cs="宋体"/>
          <w:b/>
          <w:bCs/>
          <w:color w:val="auto"/>
          <w:sz w:val="24"/>
          <w:szCs w:val="24"/>
          <w:lang w:eastAsia="zh-CN"/>
        </w:rPr>
        <w:t>23.1 一般规定</w:t>
      </w:r>
      <w:bookmarkEnd w:id="1639"/>
      <w:bookmarkEnd w:id="1640"/>
      <w:bookmarkEnd w:id="1641"/>
    </w:p>
    <w:p w14:paraId="092F8D1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23.1.1 应用范围</w:t>
      </w:r>
    </w:p>
    <w:p w14:paraId="00455B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本章规定适用于本合同的水力机械辅助设备系统、通风与空气调节系统、建筑给排水系统、消防系统、各类电缆和接地装置，以及其他设施和设备的预埋管道和预埋件的埋设。</w:t>
      </w:r>
    </w:p>
    <w:p w14:paraId="7FC54F9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23.1.2 承包人责任</w:t>
      </w:r>
    </w:p>
    <w:p w14:paraId="4F8BF8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（1）承包人应负责预埋件材料的采购、运输、保管、加工、埋设、检查和试验。</w:t>
      </w:r>
    </w:p>
    <w:p w14:paraId="47DB66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（2）承包人应按监理人提供的施工安装图纸和监理人的指示，负责埋设在混凝土、地下、水中、基岩和其他砌体中的上述预埋件，并对其漏埋、错埋或其他原因造成的损坏负责。</w:t>
      </w:r>
    </w:p>
    <w:p w14:paraId="4705F0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（3）承包人在完成单元工程，或分部位项目的预埋件，并经自检合格后，应由监理人组织进行预埋件的检查验收。</w:t>
      </w:r>
    </w:p>
    <w:p w14:paraId="49DB913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23.1.3 主要提交件</w:t>
      </w:r>
    </w:p>
    <w:p w14:paraId="075DCA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承包人应根据监理人提供的工程布置图、设备安装图及预埋件等施工安装图纸，编制各单元工程或分部位项目的预埋件一览表和材料采购清单，提交监理人。</w:t>
      </w:r>
    </w:p>
    <w:p w14:paraId="341C8ED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23.1.4 引用标准</w:t>
      </w:r>
    </w:p>
    <w:p w14:paraId="469FAF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（1）《给水排水管道工程施工及验收规范》（GB 50268-2008）。</w:t>
      </w:r>
    </w:p>
    <w:p w14:paraId="77248D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（2）《电气装置安装工程接地装置施工及验收规范》（GB 50169-2016）。</w:t>
      </w:r>
    </w:p>
    <w:p w14:paraId="5043B4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（3）《电气装置安装工程电缆线路施工及验收标准》（GB 50168-2018）。</w:t>
      </w:r>
    </w:p>
    <w:p w14:paraId="5061A3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（4）《生活饮用水卫生标准》（GB 5749-2022）。</w:t>
      </w:r>
    </w:p>
    <w:p w14:paraId="4CCC9B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（5）《金属熔化焊对接接头射线检测技术和质量分级》（DL/T 821-2017）。</w:t>
      </w:r>
    </w:p>
    <w:p w14:paraId="60814B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（6）《水轮发电机组安装技术规范》（GB/T 8564-2023）。</w:t>
      </w:r>
    </w:p>
    <w:p w14:paraId="5B274F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（7）《建筑给水排水及采暖工程施工质量验收规范》（GB 50242-2002）。</w:t>
      </w:r>
    </w:p>
    <w:p w14:paraId="0E14C4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w:t>
      </w:r>
      <w:r>
        <w:rPr>
          <w:rFonts w:hint="eastAsia" w:ascii="宋体" w:hAnsi="宋体" w:eastAsia="宋体" w:cs="宋体"/>
          <w:color w:val="auto"/>
          <w:spacing w:val="-11"/>
          <w:sz w:val="24"/>
          <w:szCs w:val="24"/>
          <w:lang w:eastAsia="zh-CN"/>
        </w:rPr>
        <w:t>《生活饮用水输配水设备及防护材料的安全性评价标准》（GB/T 17219-1998）。</w:t>
      </w:r>
    </w:p>
    <w:p w14:paraId="4DB0AB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（9）《焊缝无损检测超声检测技术、检测等级和评定》（GB/T 11345-2023）。</w:t>
      </w:r>
    </w:p>
    <w:p w14:paraId="0DACD2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（10）《焊缝无损检测焊缝磁粉检测验收等级》（GB/T 26952-2011）。</w:t>
      </w:r>
    </w:p>
    <w:p w14:paraId="3A2005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（11）《焊缝无损检测焊缝渗透检测验收等级》（GB/T 26953-2011）。</w:t>
      </w:r>
    </w:p>
    <w:p w14:paraId="79895337">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42" w:name="_Toc28525"/>
      <w:bookmarkStart w:id="1643" w:name="_Toc1158"/>
      <w:bookmarkStart w:id="1644" w:name="_Toc4109"/>
      <w:r>
        <w:rPr>
          <w:rFonts w:hint="eastAsia" w:ascii="宋体" w:hAnsi="宋体" w:eastAsia="宋体" w:cs="宋体"/>
          <w:b/>
          <w:bCs/>
          <w:color w:val="auto"/>
          <w:sz w:val="24"/>
          <w:szCs w:val="24"/>
          <w:lang w:eastAsia="zh-CN"/>
        </w:rPr>
        <w:t>23.2 预埋件埋设的一般技术要求</w:t>
      </w:r>
      <w:bookmarkEnd w:id="1642"/>
      <w:bookmarkEnd w:id="1643"/>
      <w:bookmarkEnd w:id="1644"/>
    </w:p>
    <w:p w14:paraId="244A55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（1）承包人选用的所有预埋件材料及配件，其品种、型号、规格、性能应满足施工安装图纸要求和国家（行业）的现行有关标准。</w:t>
      </w:r>
    </w:p>
    <w:p w14:paraId="52B449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（2）预埋件埋设前应进行清理，清除其内、外表面被沾染的污物。</w:t>
      </w:r>
    </w:p>
    <w:p w14:paraId="697256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（3）承包人需要局部更改预埋件的埋设位置，应经监理人批准，修改后的预埋件埋设位置应避免与其他埋件干扰，修改后的埋设记录应提交监理人。</w:t>
      </w:r>
    </w:p>
    <w:p w14:paraId="6279061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45" w:name="_Toc20482"/>
      <w:bookmarkStart w:id="1646" w:name="_Toc4413"/>
      <w:bookmarkStart w:id="1647" w:name="_Toc12680"/>
      <w:r>
        <w:rPr>
          <w:rFonts w:hint="eastAsia" w:ascii="宋体" w:hAnsi="宋体" w:eastAsia="宋体" w:cs="宋体"/>
          <w:b/>
          <w:bCs/>
          <w:color w:val="auto"/>
          <w:sz w:val="24"/>
          <w:szCs w:val="24"/>
          <w:lang w:eastAsia="zh-CN"/>
        </w:rPr>
        <w:t>23.3 预埋管道的安装和埋设</w:t>
      </w:r>
      <w:bookmarkEnd w:id="1645"/>
      <w:bookmarkEnd w:id="1646"/>
      <w:bookmarkEnd w:id="1647"/>
    </w:p>
    <w:p w14:paraId="57EC41E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23.3.1 管道加工和安装</w:t>
      </w:r>
    </w:p>
    <w:p w14:paraId="1DA829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（l）钢管。</w:t>
      </w:r>
    </w:p>
    <w:p w14:paraId="5740BE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1）钢管切割和坡口应满足施工安装图纸的要求，并遵守《水轮发电机组安装技术规范》（GB/T 8564-2023）第12.1.5条的规定。</w:t>
      </w:r>
    </w:p>
    <w:p w14:paraId="69E29A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2）热弯钢管加工可参照《水轮发电机组安装技术规范》（GB/T 8564-2023）第12章表36的规定执行。</w:t>
      </w:r>
    </w:p>
    <w:p w14:paraId="355F35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3）电缆管道弯曲半径不应小于穿入电缆的最小允许弯曲半径，电缆的最小弯曲半径详见《电气装置安装工程电缆线路施工及验收标准》（GB 50168-2018）表6.1.7的规定。</w:t>
      </w:r>
    </w:p>
    <w:p w14:paraId="20A34E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4）电缆管之间采用套管焊接，连接时两管口对准、点焊连接牢固、密封良好；连接套管长度不小于电缆管外径的</w:t>
      </w:r>
      <w:r>
        <w:rPr>
          <w:rFonts w:hint="eastAsia" w:ascii="宋体" w:hAnsi="宋体" w:eastAsia="宋体" w:cs="宋体"/>
          <w:color w:val="auto"/>
          <w:sz w:val="24"/>
          <w:szCs w:val="24"/>
          <w:u w:val="single"/>
          <w:lang w:eastAsia="zh-CN"/>
        </w:rPr>
        <w:t>2.2</w:t>
      </w:r>
      <w:r>
        <w:rPr>
          <w:rFonts w:hint="eastAsia" w:ascii="宋体" w:hAnsi="宋体" w:eastAsia="宋体" w:cs="宋体"/>
          <w:color w:val="auto"/>
          <w:sz w:val="24"/>
          <w:szCs w:val="24"/>
          <w:lang w:eastAsia="zh-CN"/>
        </w:rPr>
        <w:t>倍。</w:t>
      </w:r>
    </w:p>
    <w:p w14:paraId="3418F2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5）输送介质的管道弯制后的截面最大、最小外径差：当输送压力小于10MPa时，不应超过管道外径的</w:t>
      </w:r>
      <w:r>
        <w:rPr>
          <w:rFonts w:hint="eastAsia" w:ascii="宋体" w:hAnsi="宋体" w:eastAsia="宋体" w:cs="宋体"/>
          <w:color w:val="auto"/>
          <w:sz w:val="24"/>
          <w:szCs w:val="24"/>
          <w:u w:val="single"/>
          <w:lang w:eastAsia="zh-CN"/>
        </w:rPr>
        <w:t>8%</w:t>
      </w:r>
      <w:r>
        <w:rPr>
          <w:rFonts w:hint="eastAsia" w:ascii="宋体" w:hAnsi="宋体" w:eastAsia="宋体" w:cs="宋体"/>
          <w:color w:val="auto"/>
          <w:sz w:val="24"/>
          <w:szCs w:val="24"/>
          <w:lang w:eastAsia="zh-CN"/>
        </w:rPr>
        <w:t xml:space="preserve">；电缆管道弯制后的截面最大与最小外径差不应超过管道外径的 </w:t>
      </w:r>
      <w:r>
        <w:rPr>
          <w:rFonts w:hint="eastAsia" w:ascii="宋体" w:hAnsi="宋体" w:eastAsia="宋体" w:cs="宋体"/>
          <w:color w:val="auto"/>
          <w:sz w:val="24"/>
          <w:szCs w:val="24"/>
          <w:u w:val="single"/>
          <w:lang w:eastAsia="zh-CN"/>
        </w:rPr>
        <w:t>10%</w:t>
      </w:r>
      <w:r>
        <w:rPr>
          <w:rFonts w:hint="eastAsia" w:ascii="宋体" w:hAnsi="宋体" w:eastAsia="宋体" w:cs="宋体"/>
          <w:color w:val="auto"/>
          <w:sz w:val="24"/>
          <w:szCs w:val="24"/>
          <w:lang w:eastAsia="zh-CN"/>
        </w:rPr>
        <w:t>。</w:t>
      </w:r>
    </w:p>
    <w:p w14:paraId="3C25C9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6）采用钢管加工的风管不应采用焊制和褶皱弯头。</w:t>
      </w:r>
    </w:p>
    <w:p w14:paraId="10B3091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7）管道任何位置不应有十字形焊缝及在焊缝处开孔。</w:t>
      </w:r>
    </w:p>
    <w:p w14:paraId="3F704E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8）预埋管道采用焊接连接的管道时，应对焊面及坡口两侧</w:t>
      </w:r>
      <w:r>
        <w:rPr>
          <w:rFonts w:hint="eastAsia" w:ascii="宋体" w:hAnsi="宋体" w:eastAsia="宋体" w:cs="宋体"/>
          <w:color w:val="auto"/>
          <w:sz w:val="24"/>
          <w:szCs w:val="24"/>
          <w:u w:val="single"/>
          <w:lang w:eastAsia="zh-CN"/>
        </w:rPr>
        <w:t>30mm</w:t>
      </w:r>
      <w:r>
        <w:rPr>
          <w:rFonts w:hint="eastAsia" w:ascii="宋体" w:hAnsi="宋体" w:eastAsia="宋体" w:cs="宋体"/>
          <w:color w:val="auto"/>
          <w:sz w:val="24"/>
          <w:szCs w:val="24"/>
          <w:lang w:eastAsia="zh-CN"/>
        </w:rPr>
        <w:t>范围内清除油污、铁锈、毛刺等，焊接后清除管道内外壁焊疤，焊缝表面应无裂纹、夹渣、凹陷及过烧等缺陷。</w:t>
      </w:r>
    </w:p>
    <w:p w14:paraId="526F70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9）碳素钢管采用电弧焊焊接、不锈钢管采用氢弧焊焊接。机组的油、气系统及有特殊要求的水系统管道及薄壁口径小的测压管道对口焊接，应符合《水轮发电机组安装技术规范》（GB/T 8564-2023）第12.2节的有关规定。</w:t>
      </w:r>
    </w:p>
    <w:p w14:paraId="1843D9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（2）铸铁管。</w:t>
      </w:r>
    </w:p>
    <w:p w14:paraId="7DEC6B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1）安装铸铁管前，应清除其表面的粘沙、飞刺、沥青块及承插部位的沥青涂层。</w:t>
      </w:r>
    </w:p>
    <w:p w14:paraId="71F42B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2）安装铸铁管接口用的橡胶圈不应有气孔、裂缝、重皮或老化等缺陷。</w:t>
      </w:r>
    </w:p>
    <w:p w14:paraId="3F44EC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3）承插铸铁管的给水与排水管道捻口安装，应遵守《建筑给水排水及采暖工程施工质量验收规范》（GB 50242-2002）第9.2.12条、第9.2.13条和第10.2.4条的规定。</w:t>
      </w:r>
    </w:p>
    <w:p w14:paraId="52262B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（3）塑料管、复合管。</w:t>
      </w:r>
    </w:p>
    <w:p w14:paraId="1D6693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1）管道切割、加工应使用专用工具。</w:t>
      </w:r>
    </w:p>
    <w:p w14:paraId="0328B4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2）加工后管道端面应平整垂直于轴线，或按相应管道工程技术规程要求的切割面，并不应有裂纹、毛刺等缺陷，接口内外应清理干净。</w:t>
      </w:r>
    </w:p>
    <w:p w14:paraId="4B9267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3）冬季安装应采取保温防冻措施，不得使用冻硬的橡胶圈。</w:t>
      </w:r>
    </w:p>
    <w:p w14:paraId="4AA0E3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4）塑料管、复合管与金属管件的连接应使用专用连结管件。</w:t>
      </w:r>
    </w:p>
    <w:p w14:paraId="1935E3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5）用硬塑料管作电缆管，在套接或插接时，插入深度为管道内径1.1～1.8倍，在插接面上涂以胶合剂粘牢密封；采用套接时，套管两端应采取密封措施。</w:t>
      </w:r>
    </w:p>
    <w:p w14:paraId="4360757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23.3.2 管道埋设</w:t>
      </w:r>
    </w:p>
    <w:p w14:paraId="668690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（1）预埋管道通过沉降缝或伸缩缝时，必须按施工安装图纸要求做过缝处理。</w:t>
      </w:r>
    </w:p>
    <w:p w14:paraId="536707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（2）预埋管道安装就位后，应采用支撑固定，防止混凝土浇筑或回填过程中发生变形或位移，钢支撑可留在混凝土内，预埋钢管用支撑焊接固定时，不应烧伤管道内壁。</w:t>
      </w:r>
    </w:p>
    <w:p w14:paraId="32945D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（3）埋设在沟槽内的管道，沟槽底面应按施工安装图纸要求进行填平夯实后才能铺设。</w:t>
      </w:r>
    </w:p>
    <w:p w14:paraId="00DA8C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（4）预埋管道管口伸出墙、柱、梁、板面距离，应按施工安装图纸要求和监理人指示，以及有关规范的规定进行埋设。管道埋设施工间断时，应及时暂封管口。</w:t>
      </w:r>
    </w:p>
    <w:p w14:paraId="5B4B8A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（5）电气管道的埋设，还应遵守《电气装置安装工程电缆线路施工及验收标准》（GB 50168-2018）第6章的有关规定，当电气管道终端设置在明装的管道盒或设备上，应采用模板固定管道，以保持正确位置。</w:t>
      </w:r>
    </w:p>
    <w:p w14:paraId="7C0084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（6）机组排水、排油管道坡度，应遵守</w:t>
      </w:r>
      <w:r>
        <w:rPr>
          <w:rFonts w:hint="eastAsia" w:ascii="宋体" w:hAnsi="宋体" w:eastAsia="宋体" w:cs="宋体"/>
          <w:color w:val="auto"/>
          <w:spacing w:val="57"/>
          <w:sz w:val="24"/>
          <w:szCs w:val="24"/>
          <w:lang w:eastAsia="zh-CN"/>
        </w:rPr>
        <w:t>《水轮发电机组安装技术规范》</w:t>
      </w:r>
      <w:r>
        <w:rPr>
          <w:rFonts w:hint="eastAsia" w:ascii="宋体" w:hAnsi="宋体" w:eastAsia="宋体" w:cs="宋体"/>
          <w:color w:val="auto"/>
          <w:sz w:val="24"/>
          <w:szCs w:val="24"/>
          <w:lang w:eastAsia="zh-CN"/>
        </w:rPr>
        <w:t>（GB/T 8564-2023）第12.3.3条的规定；生活污水铸铁管、塑料管的坡度，应参照《建筑给水排水及采暖工程施工质量验收规范》（GB 50242-2002）表5.2.2、表5.2.3的数据选定；地下埋设雨水管道的最小坡度，应参照《建筑给水排水及采暖工程施工质量验收规范》（GB 50242-2002）表5.3.3的数据选定；电缆管道的埋设坡度应不小于0.1%。</w:t>
      </w:r>
    </w:p>
    <w:p w14:paraId="3AF21C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（7）测压管道应考虑排空，测压孔符合施工图纸要求。图纸未表明的预埋管道应减少拐弯，管线最短。</w:t>
      </w:r>
    </w:p>
    <w:p w14:paraId="75470C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各类穿越墙壁和梁柱的管道，应加设相应的防护套管；穿过屋面的管道应有污水肩和防雨帽，并根据需要采用防水材料嵌填密实；防爆和防火管道，应采用不燃且对人体无害的柔性材料封堵；风管与混凝土、砖风道的连接口，应顺气流方向插入，并采用密封措施。</w:t>
      </w:r>
    </w:p>
    <w:p w14:paraId="41C606F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23.3.3 金属管道焊缝检验和缺陷处理</w:t>
      </w:r>
    </w:p>
    <w:p w14:paraId="65068C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（1）焊缝外观检查。</w:t>
      </w:r>
    </w:p>
    <w:p w14:paraId="475252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1）不得有熔化金属流到焊缝处未熔化的母材上。</w:t>
      </w:r>
    </w:p>
    <w:p w14:paraId="3C3D88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2）焊缝和热影响区表面不得有裂纹、气孔、孤坑和灰渣等缺陷。</w:t>
      </w:r>
    </w:p>
    <w:p w14:paraId="1F97A3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3）管缝表面光顺、均匀，焊道与母材应平缓过渡，并应焊满。</w:t>
      </w:r>
    </w:p>
    <w:p w14:paraId="1755DF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（2）焊缝无损检测：管道焊缝进行无损检测的方法，应按施工安装图纸或监理人的指示执行。</w:t>
      </w:r>
    </w:p>
    <w:p w14:paraId="545A75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（3）不合格焊缝应及时返修，同一部位的返修次数超过二次后，应重新制订返修措施，提交监理人批准。返修后应再次检验至合格。</w:t>
      </w:r>
    </w:p>
    <w:p w14:paraId="2D68D3C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23.3.4 管道试验</w:t>
      </w:r>
    </w:p>
    <w:p w14:paraId="2991B5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（1）管道埋设完毕，承包人应在混凝土浇筑、工程回填或砌体砌筑前，按施工安装图纸要求进行管道试验，试验记录应提交监理人。</w:t>
      </w:r>
    </w:p>
    <w:p w14:paraId="55F8C6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（2）给水管道的强度耐压试验和严密性耐压试验的试验压力和试验持续时间，应符合《建筑给水排水及采暖工程施工质量验收规范》（GB 50242-2002）的规定；机组辅助设备系统管路的试验压力和试验持续时间，应符合《水轮发电机组安装技术规范》（GB/T 8564-2023）第12.5节的规定。</w:t>
      </w:r>
    </w:p>
    <w:p w14:paraId="43EBAE9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（3）排水、雨水管道等无压管道应作灌水试验。排水管灌满水持续15分钟后，再灌满水观察5分钟；雨水管灌水持续时间1小时；敞口水箱满水试验静止24小时，均以不渗漏为合格。</w:t>
      </w:r>
    </w:p>
    <w:p w14:paraId="4395064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23.3.5 管道的冲洗和防腐</w:t>
      </w:r>
    </w:p>
    <w:p w14:paraId="471FD4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（l）用水冲洗的管道，应按系统达到的压力和流量进行，直至出口处的水色和透明度与入口处目测一致为合格。输送生活饮用水的管道通水水质应遵守《生活饮用水卫生标准》（GB 5749-2022）的规定。</w:t>
      </w:r>
    </w:p>
    <w:p w14:paraId="2B2517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（2）输气管道采用压缩空气吹扫，管内空气流速</w:t>
      </w:r>
      <w:r>
        <w:rPr>
          <w:rFonts w:hint="eastAsia" w:ascii="宋体" w:hAnsi="宋体" w:eastAsia="宋体" w:cs="宋体"/>
          <w:color w:val="auto"/>
          <w:sz w:val="24"/>
          <w:szCs w:val="24"/>
          <w:u w:val="single"/>
          <w:lang w:eastAsia="zh-CN"/>
        </w:rPr>
        <w:t>5～10m/s</w:t>
      </w:r>
      <w:r>
        <w:rPr>
          <w:rFonts w:hint="eastAsia" w:ascii="宋体" w:hAnsi="宋体" w:eastAsia="宋体" w:cs="宋体"/>
          <w:color w:val="auto"/>
          <w:sz w:val="24"/>
          <w:szCs w:val="24"/>
          <w:lang w:eastAsia="zh-CN"/>
        </w:rPr>
        <w:t>，在气体排出口的白纸上未发现脏物和水分为合格。</w:t>
      </w:r>
    </w:p>
    <w:p w14:paraId="48FA51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油系统管道应采用与运行相同牌号的油料，以每8小时为循环周期进行冲洗，在温度40～70℃范围内反复升降油温2～3次；管道经油循环冲洗后，用200目滤网检查，目测每平方厘米内残存的污物不超过3颗粒为合格。</w:t>
      </w:r>
    </w:p>
    <w:p w14:paraId="462818E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（4）调速器液压管道的冲洗，应按施工安装图纸、供货商技术文件和《水轮发电机组安装技术规范》（GB/T 8564-2023）附录D的要求进行。</w:t>
      </w:r>
    </w:p>
    <w:p w14:paraId="0B50F08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（5）埋地敷设管道的防腐处理应遵守以下规定：</w:t>
      </w:r>
    </w:p>
    <w:p w14:paraId="3B290A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l）钢管的防腐应遵守《给水排水管道工程施工及验收规范》（GB 50268-2008）的规定。</w:t>
      </w:r>
    </w:p>
    <w:p w14:paraId="30808E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2）采用水泥接口的铸铁管，在有侵蚀性地下水时，应在接口处涂沥青防腐层。</w:t>
      </w:r>
    </w:p>
    <w:p w14:paraId="4EF5D4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3）采用橡胶接口的埋设管道，在土壤或地下水对橡胶圈有腐蚀的地段，应用沥青胶泥、沥青麻丝或沥青锯末等材料做好封闭橡胶接口。</w:t>
      </w:r>
    </w:p>
    <w:p w14:paraId="47D6FA8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23.3.6 预埋管道的交付验收</w:t>
      </w:r>
    </w:p>
    <w:p w14:paraId="1D5519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（1）预埋管道的交付验收应在该土建工程项目施工前，由监理人会同承包人，按隐蔽工程验收程序进行检查和验收。检查验收记录应提交监理人。</w:t>
      </w:r>
    </w:p>
    <w:p w14:paraId="64CE9F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（2）预埋管道交付验收时，承包人应向监理人提交以下检查验收资料：</w:t>
      </w:r>
    </w:p>
    <w:p w14:paraId="65CDF9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1）预埋管道埋设竣工图（含管道实际走线图）。</w:t>
      </w:r>
    </w:p>
    <w:p w14:paraId="29E823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2）预埋管道材料及配件等的产品合格证、安装使用说明书和材料试验报告。</w:t>
      </w:r>
    </w:p>
    <w:p w14:paraId="499CF9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3）预埋管道安装埋设的质量检查记录和隐蔽工程验收记录。</w:t>
      </w:r>
    </w:p>
    <w:p w14:paraId="26219C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4）监理人要求提交的其他检查验收资料。</w:t>
      </w:r>
    </w:p>
    <w:p w14:paraId="72728DB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48" w:name="_Toc8018"/>
      <w:bookmarkStart w:id="1649" w:name="_Toc2019"/>
      <w:bookmarkStart w:id="1650" w:name="_Toc14375"/>
      <w:r>
        <w:rPr>
          <w:rFonts w:hint="eastAsia" w:ascii="宋体" w:hAnsi="宋体" w:eastAsia="宋体" w:cs="宋体"/>
          <w:b/>
          <w:bCs/>
          <w:color w:val="auto"/>
          <w:sz w:val="24"/>
          <w:szCs w:val="24"/>
          <w:lang w:eastAsia="zh-CN"/>
        </w:rPr>
        <w:t>23.4 固定件埋设</w:t>
      </w:r>
      <w:bookmarkEnd w:id="1648"/>
      <w:bookmarkEnd w:id="1649"/>
      <w:bookmarkEnd w:id="1650"/>
    </w:p>
    <w:p w14:paraId="2FB3BE5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23.4.1 固定件的加工和安装埋设</w:t>
      </w:r>
    </w:p>
    <w:p w14:paraId="1D99B1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采用焊接固定时，不得烧伤固定件的工作面，无显著变形和位移；采用支架固定时，支架应有足够的强度和刚度。在浇筑混凝土、砖砌或回填土时，固定件应保持位置正确、牢固可靠。固定件的安装偏差应符合施工安装图纸和供货商技术文件的要求。</w:t>
      </w:r>
    </w:p>
    <w:p w14:paraId="2C42EC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（2）照明设备专用盒的埋设件的四周应无缝隙，并紧贴饰面。</w:t>
      </w:r>
    </w:p>
    <w:p w14:paraId="1E7042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（3）电气部分的固定件埋设应满足施工安装图纸的要求，并遵守《电气装置安装工程电缆线路施工及验收标准》（GB 50168-2018）第7章的有关规定。</w:t>
      </w:r>
    </w:p>
    <w:p w14:paraId="53BCC3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（4）固定件不得跨沉降缝和伸缩缝埋设。</w:t>
      </w:r>
    </w:p>
    <w:p w14:paraId="0BB6D83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23.4.2 预埋固定件的交付验收</w:t>
      </w:r>
    </w:p>
    <w:p w14:paraId="009259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（1）预埋固定件埋设完成后，应由监理人会同承包人，按隐蔽工程验收程序进行检查和验收。检查验收记录应提交监理人。</w:t>
      </w:r>
    </w:p>
    <w:p w14:paraId="097301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（2）预埋固定件验收时，承包人应向监理人提交以下验收资料：</w:t>
      </w:r>
    </w:p>
    <w:p w14:paraId="1C0BF2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1）预埋固定件埋设竣工图。</w:t>
      </w:r>
    </w:p>
    <w:p w14:paraId="1174F7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2）预埋固定件材料产品合格证、安装使用说明书等。</w:t>
      </w:r>
    </w:p>
    <w:p w14:paraId="4F35FB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3）预埋固定件加工和安装的质量检查验收记录。</w:t>
      </w:r>
    </w:p>
    <w:p w14:paraId="6509123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51" w:name="_Toc13555"/>
      <w:bookmarkStart w:id="1652" w:name="_Toc29476"/>
      <w:bookmarkStart w:id="1653" w:name="_Toc2456"/>
      <w:r>
        <w:rPr>
          <w:rFonts w:hint="eastAsia" w:ascii="宋体" w:hAnsi="宋体" w:eastAsia="宋体" w:cs="宋体"/>
          <w:b/>
          <w:bCs/>
          <w:color w:val="auto"/>
          <w:sz w:val="24"/>
          <w:szCs w:val="24"/>
          <w:lang w:eastAsia="zh-CN"/>
        </w:rPr>
        <w:t>23.5 接地装置埋设</w:t>
      </w:r>
      <w:bookmarkEnd w:id="1651"/>
      <w:bookmarkEnd w:id="1652"/>
      <w:bookmarkEnd w:id="1653"/>
    </w:p>
    <w:p w14:paraId="280DA9F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23.5.1 接地装置的安装与埋设</w:t>
      </w:r>
    </w:p>
    <w:p w14:paraId="2F3D5F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（1）接地体（线）采用搭接焊接，其焊缝长度和质量要求，应满足施工安装图纸的要求，应遵守《电气装置安装工程接地装置施工及验收规范》（GB 50169-2016）第4.3.1～4.3.5条的规定，焊接后应将焊缝清理干净，并作防腐处理。</w:t>
      </w:r>
    </w:p>
    <w:p w14:paraId="6075B5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（2）埋设的接地装置应从施工安装图纸规定的地点引出，其引出位置应作明显标记，并采取防腐与保护措施。</w:t>
      </w:r>
    </w:p>
    <w:p w14:paraId="1EBACF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（3）接地线通过建筑物沉降缝和伸缩缝时，应按施工安装图纸要求采取过缝处理。</w:t>
      </w:r>
    </w:p>
    <w:p w14:paraId="7FB570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（4）所有金属设备和构件，均应按施工安装图纸的要求可靠接地。利用各种金属管道、金属构件等作接地线时，保证有可靠的电气连接。</w:t>
      </w:r>
    </w:p>
    <w:p w14:paraId="6EB7419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（5）承包人在施工期间应妥善保护好已敷设的接地装置。在交付验收前造成接地装置的损坏或丢失，应由承包人负责修复或重置。</w:t>
      </w:r>
    </w:p>
    <w:p w14:paraId="075D564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23.5.2 接地装置的交付验收</w:t>
      </w:r>
    </w:p>
    <w:p w14:paraId="22C433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（1）接地装置的隐蔽部位应在土建工程施工进程中进行安装埋设，并由监理人会同承包人进行检查及验收。隐蔽部位交付验收后，才能进行混凝土浇筑或其他砌筑回填作业。</w:t>
      </w:r>
    </w:p>
    <w:p w14:paraId="5BF938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（2）接地装置埋设全部完成后，应由监理人会同承包人进行接地装置的检查和验收，承包人应向监理人提交以下验收资料：</w:t>
      </w:r>
    </w:p>
    <w:p w14:paraId="02FD4A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1）接地装置埋设竣工图。</w:t>
      </w:r>
    </w:p>
    <w:p w14:paraId="4A11BA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2）接地装置材料及外购件的产品合格证和使用说明书。</w:t>
      </w:r>
    </w:p>
    <w:p w14:paraId="2520BA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3）接地装置隐蔽工程质量检查和验收记录。</w:t>
      </w:r>
    </w:p>
    <w:p w14:paraId="7399E349">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54" w:name="_Toc28903"/>
      <w:bookmarkStart w:id="1655" w:name="_Toc29838"/>
      <w:bookmarkStart w:id="1656" w:name="_Toc1185"/>
      <w:r>
        <w:rPr>
          <w:rFonts w:hint="eastAsia" w:ascii="宋体" w:hAnsi="宋体" w:eastAsia="宋体" w:cs="宋体"/>
          <w:b/>
          <w:bCs/>
          <w:color w:val="auto"/>
          <w:sz w:val="24"/>
          <w:szCs w:val="24"/>
          <w:lang w:eastAsia="zh-CN"/>
        </w:rPr>
        <w:t>23.6 预埋件埋设的验收</w:t>
      </w:r>
      <w:bookmarkEnd w:id="1654"/>
      <w:bookmarkEnd w:id="1655"/>
      <w:bookmarkEnd w:id="1656"/>
    </w:p>
    <w:p w14:paraId="71B16A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本工程预埋管道、预埋固定件和接地装置等预埋件，应在各相关机电设备安装前，由监理人会同承包人进行分项验收。其验收资料应列入各单项工程的完工验收资料中。</w:t>
      </w:r>
    </w:p>
    <w:p w14:paraId="3E4F511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57" w:name="_Toc21035"/>
      <w:bookmarkStart w:id="1658" w:name="_Toc23944"/>
      <w:bookmarkStart w:id="1659" w:name="_Toc15457"/>
      <w:r>
        <w:rPr>
          <w:rFonts w:hint="eastAsia" w:ascii="宋体" w:hAnsi="宋体" w:eastAsia="宋体" w:cs="宋体"/>
          <w:b/>
          <w:bCs/>
          <w:color w:val="auto"/>
          <w:sz w:val="24"/>
          <w:szCs w:val="24"/>
          <w:lang w:eastAsia="zh-CN"/>
        </w:rPr>
        <w:t>23.7 计量和支付</w:t>
      </w:r>
      <w:bookmarkEnd w:id="1657"/>
      <w:bookmarkEnd w:id="1658"/>
      <w:bookmarkEnd w:id="1659"/>
    </w:p>
    <w:p w14:paraId="03E6E0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（l）除合同另有约定外，预埋管道按施工图纸所示尺寸计算有效长度（重量）以米（或吨）为单位计量，由发包人按《工程量清单》相应项目有效工程量的每米（或吨）工程单价支付。</w:t>
      </w:r>
    </w:p>
    <w:p w14:paraId="4B3241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除合同另有约定外，永久设备预埋件的安装费用包含在《工程量清单》相应设备安装项目有效工程量的工程单价中，发包人不另行支付。除此之外，其他预埋件安装按施工图纸所示尺寸计算的预埋件有效重量以吨为单位计量，由发包人按《工程量清单》相应项目有效工程量的每吨工程单价支付。</w:t>
      </w:r>
    </w:p>
    <w:p w14:paraId="620AF6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（3）接地系统的预埋件按施工图纸所示接地装置的尺寸计算有效重量（长度）以吨（或米）为单位计量，由发包人按《工程量清单》相应项目有效工程量的每吨（或米）工程单价支付。</w:t>
      </w:r>
    </w:p>
    <w:p w14:paraId="5996D304">
      <w:pPr>
        <w:widowControl w:val="0"/>
        <w:kinsoku/>
        <w:topLinePunct/>
        <w:autoSpaceDE/>
        <w:autoSpaceDN/>
        <w:spacing w:line="520" w:lineRule="exact"/>
        <w:ind w:firstLine="562" w:firstLineChars="200"/>
        <w:jc w:val="both"/>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br w:type="page"/>
      </w:r>
    </w:p>
    <w:p w14:paraId="0A2A1666">
      <w:pPr>
        <w:widowControl w:val="0"/>
        <w:kinsoku/>
        <w:topLinePunct/>
        <w:autoSpaceDE/>
        <w:autoSpaceDN/>
        <w:spacing w:line="520" w:lineRule="exact"/>
        <w:jc w:val="center"/>
        <w:outlineLvl w:val="1"/>
        <w:rPr>
          <w:rFonts w:hint="eastAsia" w:ascii="宋体" w:hAnsi="宋体" w:eastAsia="宋体" w:cs="宋体"/>
          <w:b/>
          <w:bCs/>
          <w:color w:val="auto"/>
          <w:sz w:val="28"/>
          <w:szCs w:val="28"/>
          <w:lang w:eastAsia="zh-CN"/>
        </w:rPr>
      </w:pPr>
      <w:bookmarkStart w:id="1660" w:name="_Toc12351"/>
      <w:bookmarkStart w:id="1661" w:name="_Toc12586"/>
      <w:bookmarkStart w:id="1662" w:name="_Toc5921"/>
      <w:r>
        <w:rPr>
          <w:rFonts w:hint="eastAsia" w:ascii="宋体" w:hAnsi="宋体" w:eastAsia="宋体" w:cs="宋体"/>
          <w:b/>
          <w:bCs/>
          <w:color w:val="auto"/>
          <w:sz w:val="28"/>
          <w:szCs w:val="28"/>
          <w:lang w:eastAsia="zh-CN"/>
        </w:rPr>
        <w:t>24 机电设备安装</w:t>
      </w:r>
      <w:bookmarkEnd w:id="1660"/>
      <w:bookmarkEnd w:id="1661"/>
      <w:bookmarkEnd w:id="1662"/>
    </w:p>
    <w:p w14:paraId="0BAA07A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63" w:name="_Toc27882"/>
      <w:bookmarkStart w:id="1664" w:name="_Toc3226"/>
      <w:bookmarkStart w:id="1665" w:name="_Toc9765"/>
      <w:r>
        <w:rPr>
          <w:rFonts w:hint="eastAsia" w:ascii="宋体" w:hAnsi="宋体" w:eastAsia="宋体" w:cs="宋体"/>
          <w:b/>
          <w:bCs/>
          <w:color w:val="auto"/>
          <w:sz w:val="24"/>
          <w:szCs w:val="24"/>
          <w:lang w:eastAsia="zh-CN"/>
        </w:rPr>
        <w:t>24.1 一般规定</w:t>
      </w:r>
      <w:bookmarkEnd w:id="1663"/>
      <w:bookmarkEnd w:id="1664"/>
      <w:bookmarkEnd w:id="1665"/>
    </w:p>
    <w:p w14:paraId="14F40E7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 应用范围</w:t>
      </w:r>
    </w:p>
    <w:p w14:paraId="71DB0C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本章规定适用于水利水电工程永久机电设备的安装以及机组启动试运行等工作。安装项目《机电设备及安装工程分类分项工程量清单》。</w:t>
      </w:r>
    </w:p>
    <w:p w14:paraId="7B7C33B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24.1.2 承包人责任</w:t>
      </w:r>
    </w:p>
    <w:p w14:paraId="66D9C9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负责接收发包人交付安装的全部永久机电设备、备品备件、安装专用工器具以及用于安装的各项材料，在合同约定的交货地点进行机电设备的交货验收，并由发包人会同机电设备供货商（以下简称供货商）与承包人正式办理设备交接手续。</w:t>
      </w:r>
    </w:p>
    <w:p w14:paraId="4C0F61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（2）承包人应负责上述机电设备和材料的接货卸车、清点交接、损伤签证、仓储管理、开箱检验，以及从交货地点至安装现场的运输工作。</w:t>
      </w:r>
    </w:p>
    <w:p w14:paraId="051BA4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按合同约定，承包人负责的机电设备安装工作应包括零部件加工制作；管路、埋件与接地线等的现场制作安装；二期混凝土浇筑；机电设备系统安装后的调试、试验和启动试运行；质量检查和验收，以及施工安装期和缺陷责任期的试运行、维护保养和缺陷修复等全部工作。</w:t>
      </w:r>
    </w:p>
    <w:p w14:paraId="107BA2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（4）除合同约定由发包人提供的设备、材料外，承包人应负责提供为安装工作所需的材料、设备、检测器具和临时设施等。</w:t>
      </w:r>
    </w:p>
    <w:p w14:paraId="720A522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24.1.3 主要提交件</w:t>
      </w:r>
    </w:p>
    <w:p w14:paraId="10FE4A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（l）机电设备安装进度计划</w:t>
      </w:r>
    </w:p>
    <w:p w14:paraId="067EFF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承包人应在机电设备安装开始前</w:t>
      </w:r>
      <w:r>
        <w:rPr>
          <w:rFonts w:hint="eastAsia" w:ascii="宋体" w:hAnsi="宋体" w:eastAsia="宋体" w:cs="宋体"/>
          <w:color w:val="auto"/>
          <w:sz w:val="24"/>
          <w:szCs w:val="24"/>
          <w:u w:val="single"/>
          <w:lang w:eastAsia="zh-CN"/>
        </w:rPr>
        <w:t>14</w:t>
      </w:r>
      <w:r>
        <w:rPr>
          <w:rFonts w:hint="eastAsia" w:ascii="宋体" w:hAnsi="宋体" w:eastAsia="宋体" w:cs="宋体"/>
          <w:color w:val="auto"/>
          <w:sz w:val="24"/>
          <w:szCs w:val="24"/>
          <w:lang w:eastAsia="zh-CN"/>
        </w:rPr>
        <w:t>天，按监理人批准的工程施工总进度计划，编制本工程机电设备安装进度计划提交监理人批准。</w:t>
      </w:r>
    </w:p>
    <w:p w14:paraId="512944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安装工程进度计划应满足合同约定的完工日期要求。网络图的编制应提供下列各项数据和内容，以及与相关土建工程施工计划的接点关系。网络图应标明：</w:t>
      </w:r>
    </w:p>
    <w:p w14:paraId="3734DB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1）作业和相应节点编号。</w:t>
      </w:r>
    </w:p>
    <w:p w14:paraId="01DD6B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2）作业持续时间。</w:t>
      </w:r>
    </w:p>
    <w:p w14:paraId="265E93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3）各节点的最早开始及最早完成安装的日期。</w:t>
      </w:r>
    </w:p>
    <w:p w14:paraId="155FA1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4）各节点的最迟开始及最迟完成安装的日期。</w:t>
      </w:r>
    </w:p>
    <w:p w14:paraId="10BFFD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5）各项安装工作开始前要求完成的土建工程面貌。</w:t>
      </w:r>
    </w:p>
    <w:p w14:paraId="306C24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6）附资源配置及其说明（以按月所需的人工、材料、设备等资源数据）。</w:t>
      </w:r>
    </w:p>
    <w:p w14:paraId="3FBACA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（2）主要机电设备安装方案和工艺措施报告。</w:t>
      </w:r>
    </w:p>
    <w:p w14:paraId="7BE8905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承包人应在机电设备安装开始前，编制主要机电设备安装方案和工艺措施报告，提交监理人批准，其内容包括：</w:t>
      </w:r>
    </w:p>
    <w:p w14:paraId="23F5BF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1）安装场地和临时设施的布置及说明。</w:t>
      </w:r>
    </w:p>
    <w:p w14:paraId="25C196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2）本合同范围内主要及大型设备的运输、吊装方案。</w:t>
      </w:r>
    </w:p>
    <w:p w14:paraId="0EAA36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3）机组的主要部件（包括主要埋入部件）的安装程序和工艺措施等。</w:t>
      </w:r>
    </w:p>
    <w:p w14:paraId="32FAA3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4）机电设备的安装、检查、试验及试运行工作计划。</w:t>
      </w:r>
    </w:p>
    <w:p w14:paraId="5451B4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5）机电设备安装过程的质量控制措施。</w:t>
      </w:r>
    </w:p>
    <w:p w14:paraId="5D96FD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6）施工安全及环境保护措施。</w:t>
      </w:r>
    </w:p>
    <w:p w14:paraId="047F7F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7）监理人要求提交的其他资料。</w:t>
      </w:r>
    </w:p>
    <w:p w14:paraId="2A489B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（3）承包人要求发包人提交的机电设备和材料交货计划。</w:t>
      </w:r>
    </w:p>
    <w:p w14:paraId="3E8AA5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承包人应根据机电设备安装进度的需要，编制一份要求发包人向承包人交付机电设备和材料的计划，提交监理人确认后，作为发包人交货的依据。</w:t>
      </w:r>
    </w:p>
    <w:p w14:paraId="680A7F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（4）安装工作进度实施报告。</w:t>
      </w:r>
    </w:p>
    <w:p w14:paraId="75D8BE1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和监理人的指示，定期（周、月、年）向监理人提交安装工作进度实施报告。报告内容应说明安装计划完成的形象进度、质量控制和安全施工情况、下阶段安装计划安排，以及要求发包人（或监理人）协调解决的问题。</w:t>
      </w:r>
    </w:p>
    <w:p w14:paraId="1701730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24.1.4 引用标准（不限于）</w:t>
      </w:r>
    </w:p>
    <w:p w14:paraId="2DA621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（1）《电力变压器第11部分：干式变压器》（GB/T 1094.11-2022）。</w:t>
      </w:r>
    </w:p>
    <w:p w14:paraId="59570C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（2）《火灾自动报警系统施工及验收标准》（GB 50166-2019）。</w:t>
      </w:r>
    </w:p>
    <w:p w14:paraId="7B7889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pacing w:val="-20"/>
          <w:sz w:val="24"/>
          <w:szCs w:val="24"/>
          <w:lang w:eastAsia="zh-CN"/>
        </w:rPr>
        <w:t>《同步电机励磁系统大、中型同步发电机励磁系统技术要求》（GB/T 7409.3-2007）。</w:t>
      </w:r>
    </w:p>
    <w:p w14:paraId="5A3753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（4）《电气装置安装工程电气设备交接试验标准》（GB 50150-2016）。</w:t>
      </w:r>
    </w:p>
    <w:p w14:paraId="178515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（5）《电气装置安装工程电缆线路施工及验收标准》（GB 50168-2018）。</w:t>
      </w:r>
    </w:p>
    <w:p w14:paraId="67A375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（6）《电气装置安装工程接地装置施工及验收规范》（GB 50169-2016）。</w:t>
      </w:r>
    </w:p>
    <w:p w14:paraId="04DCC9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（7）《通信管道工程施工及验收标准》（GB/T 50374-2018）。</w:t>
      </w:r>
    </w:p>
    <w:p w14:paraId="25351E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（8）《建筑电气工程施工质量验收规范》（GB 50303-2015）。</w:t>
      </w:r>
    </w:p>
    <w:p w14:paraId="01E593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（9）《接地系统的土壤电阻率、接地阻抗和地面电位测量导则第1部分：常规测量》（GB/T 17949.1-2000）。</w:t>
      </w:r>
    </w:p>
    <w:p w14:paraId="5F6612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（10）《金属封闭母线》（GB/T  8349-2000）。</w:t>
      </w:r>
    </w:p>
    <w:p w14:paraId="69D9C4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（11）《电气装置安装工程低压电器施工及验收规范》（GB 50254-2014）。</w:t>
      </w:r>
    </w:p>
    <w:p w14:paraId="6261FA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w:t>
      </w:r>
      <w:r>
        <w:rPr>
          <w:rFonts w:hint="eastAsia" w:ascii="宋体" w:hAnsi="宋体" w:eastAsia="宋体" w:cs="宋体"/>
          <w:color w:val="auto"/>
          <w:spacing w:val="-20"/>
          <w:sz w:val="24"/>
          <w:szCs w:val="24"/>
          <w:lang w:eastAsia="zh-CN"/>
        </w:rPr>
        <w:t>《电气装置安装工程起重机电气装置施工及验收规范》（GB 50256-2014）。</w:t>
      </w:r>
    </w:p>
    <w:p w14:paraId="63C36F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w:t>
      </w:r>
      <w:r>
        <w:rPr>
          <w:rFonts w:hint="eastAsia" w:ascii="宋体" w:hAnsi="宋体" w:eastAsia="宋体" w:cs="宋体"/>
          <w:color w:val="auto"/>
          <w:spacing w:val="20"/>
          <w:sz w:val="24"/>
          <w:szCs w:val="24"/>
          <w:lang w:eastAsia="zh-CN"/>
        </w:rPr>
        <w:t>《电气装置安装工程爆炸和火灾危险环境电气装置施工及验收规范》</w:t>
      </w:r>
      <w:r>
        <w:rPr>
          <w:rFonts w:hint="eastAsia" w:ascii="宋体" w:hAnsi="宋体" w:eastAsia="宋体" w:cs="宋体"/>
          <w:color w:val="auto"/>
          <w:sz w:val="24"/>
          <w:szCs w:val="24"/>
          <w:lang w:eastAsia="zh-CN"/>
        </w:rPr>
        <w:t>（GB 50257-2014）。</w:t>
      </w:r>
    </w:p>
    <w:p w14:paraId="5BA083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（14）《建筑电气照明装置施工与验收规范》（GB 50617-2010）。</w:t>
      </w:r>
    </w:p>
    <w:p w14:paraId="37CFD0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（15）《六氟化硫电气设备中气体管理和检测导则》（GB/T 8905-2012）。</w:t>
      </w:r>
    </w:p>
    <w:p w14:paraId="3A893A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（16）《民用闭路监视电视系统工程技术规范》（GB 50198-2011）。</w:t>
      </w:r>
    </w:p>
    <w:p w14:paraId="3D8FB9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w:t>
      </w:r>
      <w:r>
        <w:rPr>
          <w:rFonts w:hint="eastAsia" w:ascii="宋体" w:hAnsi="宋体" w:eastAsia="宋体" w:cs="宋体"/>
          <w:color w:val="auto"/>
          <w:spacing w:val="-20"/>
          <w:sz w:val="24"/>
          <w:szCs w:val="24"/>
          <w:lang w:eastAsia="zh-CN"/>
        </w:rPr>
        <w:t>《电气装置安装工程盘、柜及二次回路接线施工及验收规范》（GB 50171-2012）。</w:t>
      </w:r>
    </w:p>
    <w:p w14:paraId="4DBDF0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（18）《电气装置安装工程蓄电池施工及验收规范》（GB 50172-2012）。</w:t>
      </w:r>
    </w:p>
    <w:p w14:paraId="0AB473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（19）《电气装置安装工程电力变压器、油浸电抗器、互感器施工及验收规范》（GB  50148-2010）。</w:t>
      </w:r>
    </w:p>
    <w:p w14:paraId="47BBE39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（20）《电气装置安装工程高压电器施工及验收规范》（GB 50147-2010）。</w:t>
      </w:r>
    </w:p>
    <w:p w14:paraId="0E1752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（21）《电气装置安装工程母线装置施工及验收规范》（GB 50149-2010）。</w:t>
      </w:r>
    </w:p>
    <w:p w14:paraId="2FCD83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（22）《电工流体变压器和开关用的未使用过的矿物绝缘油》（GB 2536-2011）。</w:t>
      </w:r>
    </w:p>
    <w:p w14:paraId="7A4864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（23）《高压开关设备六氟化硫气体密封试验方法》（GB/T 11023-2018）。</w:t>
      </w:r>
    </w:p>
    <w:p w14:paraId="4632BA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（24）《工业电视系统工程设计标准》（GB/T 50115-2019）。</w:t>
      </w:r>
    </w:p>
    <w:p w14:paraId="232FB5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（25）《水电厂计算机监控系统基本技术条件》（DL/T  578-2023）。</w:t>
      </w:r>
    </w:p>
    <w:p w14:paraId="7863C28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（26）《大中型水轮发电机静止整流励磁系统试验规程》（DL/T 489-2018）。</w:t>
      </w:r>
    </w:p>
    <w:p w14:paraId="2629B4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（27）《大中型水轮发电机微机励磁调节器试验导则》（DL/T 1013-2018）。</w:t>
      </w:r>
    </w:p>
    <w:p w14:paraId="28FFFE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（28）《大中型水轮发电机静止整流励磁系统技术条件》（DL/T 583-2018）。</w:t>
      </w:r>
    </w:p>
    <w:p w14:paraId="7FDB20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（29）《电力光纤通信工程验收规范》（DL/T 5344-2018）。</w:t>
      </w:r>
    </w:p>
    <w:p w14:paraId="148611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（30）《接地装置特性参数测量导则》（DL/T 475-2017）。</w:t>
      </w:r>
    </w:p>
    <w:p w14:paraId="7648B2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（31）《气体绝缘金属封闭输电线路技术条件》（DL/T 978-2018）。</w:t>
      </w:r>
    </w:p>
    <w:p w14:paraId="5DEA56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w:t>
      </w:r>
      <w:r>
        <w:rPr>
          <w:rFonts w:hint="eastAsia" w:ascii="宋体" w:hAnsi="宋体" w:eastAsia="宋体" w:cs="宋体"/>
          <w:color w:val="auto"/>
          <w:spacing w:val="-20"/>
          <w:sz w:val="24"/>
          <w:szCs w:val="24"/>
          <w:lang w:eastAsia="zh-CN"/>
        </w:rPr>
        <w:t>《气体绝缘金属封闭开关设备现场耐压及绝缘试验导则》（DL/T 555-2004）。</w:t>
      </w:r>
    </w:p>
    <w:p w14:paraId="01F607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（33）《水电厂计算机监控系统试验验收规程》（DL/T 822-2024）。</w:t>
      </w:r>
    </w:p>
    <w:p w14:paraId="567E1A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（34）《继电保护和安全自动装置通用技术条件》（DL/T 478-2013）。</w:t>
      </w:r>
    </w:p>
    <w:p w14:paraId="3EBCE9C3">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hint="eastAsia" w:ascii="宋体" w:hAnsi="宋体" w:eastAsia="宋体" w:cs="宋体"/>
          <w:color w:val="auto"/>
          <w:sz w:val="24"/>
          <w:szCs w:val="24"/>
          <w:lang w:eastAsia="zh-CN"/>
        </w:rPr>
        <w:t>（35）</w:t>
      </w:r>
      <w:r>
        <w:rPr>
          <w:rFonts w:hint="eastAsia" w:ascii="宋体" w:hAnsi="宋体" w:eastAsia="宋体" w:cs="宋体"/>
          <w:color w:val="auto"/>
          <w:spacing w:val="-20"/>
          <w:sz w:val="24"/>
          <w:szCs w:val="24"/>
          <w:lang w:eastAsia="zh-CN"/>
        </w:rPr>
        <w:t>《电力系统继电保护及安全自动装置柜（屏）通用技术条件》（DL/T 720-2013）。</w:t>
      </w:r>
    </w:p>
    <w:p w14:paraId="7060A7CB">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hint="eastAsia" w:ascii="宋体" w:hAnsi="宋体" w:eastAsia="宋体" w:cs="宋体"/>
          <w:color w:val="auto"/>
          <w:sz w:val="24"/>
          <w:szCs w:val="24"/>
          <w:lang w:eastAsia="zh-CN"/>
        </w:rPr>
        <w:t>（36）</w:t>
      </w:r>
      <w:r>
        <w:rPr>
          <w:rFonts w:hint="eastAsia" w:ascii="宋体" w:hAnsi="宋体" w:eastAsia="宋体" w:cs="宋体"/>
          <w:color w:val="auto"/>
          <w:spacing w:val="-20"/>
          <w:sz w:val="24"/>
          <w:szCs w:val="24"/>
          <w:lang w:eastAsia="zh-CN"/>
        </w:rPr>
        <w:t>《电力系统用蓄电池直流电源装置运行与维护技术规程》（DL/T 724-2021）。</w:t>
      </w:r>
    </w:p>
    <w:p w14:paraId="4711FB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（37）《气体绝缘金属封闭开关设备现场交接试验规程》（DL/T 618-2022）。</w:t>
      </w:r>
    </w:p>
    <w:p w14:paraId="17E289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（38）</w:t>
      </w:r>
      <w:r>
        <w:rPr>
          <w:rFonts w:hint="eastAsia" w:ascii="宋体" w:hAnsi="宋体" w:eastAsia="宋体" w:cs="宋体"/>
          <w:color w:val="auto"/>
          <w:spacing w:val="-20"/>
          <w:sz w:val="24"/>
          <w:szCs w:val="24"/>
          <w:lang w:eastAsia="zh-CN"/>
        </w:rPr>
        <w:t>《水电厂机组自动化元件及系统运行维护与检验试验规程》（DL/T 619-2024）。</w:t>
      </w:r>
    </w:p>
    <w:p w14:paraId="68CE16C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（39）《电力系统继电保护及安全自动装置运行评价规程》（DL/T 623-2010）。</w:t>
      </w:r>
    </w:p>
    <w:p w14:paraId="454BBF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（40）《继电保护微机型试验装置技术条件》（DL/T 624-2023）。</w:t>
      </w:r>
    </w:p>
    <w:p w14:paraId="05F701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（41）《水力发电厂计算机监控系统设计规范》（NB/T  10879-2021）。</w:t>
      </w:r>
    </w:p>
    <w:p w14:paraId="6FFAE6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（42）《电力设备典型消防规程》（DL 5027-2015）。</w:t>
      </w:r>
    </w:p>
    <w:p w14:paraId="075F42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（43）《国内卫星通信地球站设备安装工程验收规范》（YD/T 5017-2005）。</w:t>
      </w:r>
    </w:p>
    <w:p w14:paraId="6C924C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（44）《通信电源设备安装工程验收规范》（GB 51199-2016）。</w:t>
      </w:r>
    </w:p>
    <w:p w14:paraId="438119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（45）《固定电话交换网工程验收规范》（YD 5077-2014）。</w:t>
      </w:r>
    </w:p>
    <w:p w14:paraId="4AB9B5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（46）《同步数字体系（SDH）光纤传输系统工程验收规范》（YD 5044-2014）。</w:t>
      </w:r>
    </w:p>
    <w:p w14:paraId="51720B56">
      <w:pPr>
        <w:pStyle w:val="8"/>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（47）</w:t>
      </w:r>
      <w:r>
        <w:rPr>
          <w:rFonts w:hint="eastAsia" w:ascii="宋体" w:hAnsi="宋体" w:eastAsia="宋体" w:cs="宋体"/>
          <w:color w:val="auto"/>
          <w:spacing w:val="-23"/>
          <w:sz w:val="24"/>
          <w:szCs w:val="24"/>
          <w:lang w:eastAsia="zh-CN"/>
        </w:rPr>
        <w:t>《水轮发电机组自动化元件（装置）及其系统基本技术条件》（GB/T 11805-2019）</w:t>
      </w:r>
      <w:r>
        <w:rPr>
          <w:rFonts w:hint="eastAsia" w:ascii="宋体" w:hAnsi="宋体" w:eastAsia="宋体" w:cs="宋体"/>
          <w:color w:val="auto"/>
          <w:spacing w:val="-28"/>
          <w:sz w:val="24"/>
          <w:szCs w:val="24"/>
          <w:lang w:eastAsia="zh-CN"/>
        </w:rPr>
        <w:t>。</w:t>
      </w:r>
    </w:p>
    <w:p w14:paraId="1F29BB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（48）《给水排水管道工程施工及验收规范》（GB 50268-2008）。</w:t>
      </w:r>
    </w:p>
    <w:p w14:paraId="1F1B83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（49）《给水排水构筑物工程施工及验收规范》（GB 50141-2008）。</w:t>
      </w:r>
    </w:p>
    <w:p w14:paraId="7D92E6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（50）《气体灭火系统施工及验收规范》（GB 50263-2007）。</w:t>
      </w:r>
    </w:p>
    <w:p w14:paraId="07A4AF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（51）《自动化仪表工程施工及质量验收规范》（GB 50093-2013）。</w:t>
      </w:r>
    </w:p>
    <w:p w14:paraId="53F1A04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（52）《自动喷水灭火系统施工及验收规范》（GB 50261-2017）。</w:t>
      </w:r>
    </w:p>
    <w:p w14:paraId="779DBA5F">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hint="eastAsia" w:ascii="宋体" w:hAnsi="宋体" w:eastAsia="宋体" w:cs="宋体"/>
          <w:color w:val="auto"/>
          <w:sz w:val="24"/>
          <w:szCs w:val="24"/>
          <w:lang w:eastAsia="zh-CN"/>
        </w:rPr>
        <w:t>（53）</w:t>
      </w:r>
      <w:r>
        <w:rPr>
          <w:rFonts w:hint="eastAsia" w:ascii="宋体" w:hAnsi="宋体" w:eastAsia="宋体" w:cs="宋体"/>
          <w:color w:val="auto"/>
          <w:spacing w:val="-20"/>
          <w:sz w:val="24"/>
          <w:szCs w:val="24"/>
          <w:lang w:eastAsia="zh-CN"/>
        </w:rPr>
        <w:t>《起重机车轮及大车和小车轨道公差第1部分：总则》（GB/T 10183.1-2018）。</w:t>
      </w:r>
    </w:p>
    <w:p w14:paraId="7903C9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（54）《水轮发电机组安装技术规范》（GB/T 8564-2023）。</w:t>
      </w:r>
    </w:p>
    <w:p w14:paraId="21605C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（55）《建筑给水排水及采暖工程施工质量验收规范》（GB 50242-2002）。</w:t>
      </w:r>
    </w:p>
    <w:p w14:paraId="08D388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（56）《通风与空调工程施工质量验收规范》（GB 50243-2016）。</w:t>
      </w:r>
    </w:p>
    <w:p w14:paraId="3630D9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（57）《现场设备、工业管道焊接工程施工质量验收规范》（GB 50683-2011）。</w:t>
      </w:r>
    </w:p>
    <w:p w14:paraId="0B16E6D8">
      <w:pPr>
        <w:widowControl w:val="0"/>
        <w:kinsoku/>
        <w:topLinePunct/>
        <w:autoSpaceDE/>
        <w:autoSpaceDN/>
        <w:spacing w:line="520" w:lineRule="exact"/>
        <w:ind w:firstLine="480" w:firstLineChars="200"/>
        <w:jc w:val="both"/>
        <w:rPr>
          <w:rFonts w:hint="eastAsia" w:ascii="宋体" w:hAnsi="宋体" w:eastAsia="宋体" w:cs="宋体"/>
          <w:color w:val="auto"/>
          <w:spacing w:val="-20"/>
          <w:sz w:val="24"/>
          <w:szCs w:val="24"/>
          <w:lang w:eastAsia="zh-CN"/>
        </w:rPr>
      </w:pPr>
      <w:r>
        <w:rPr>
          <w:rFonts w:hint="eastAsia" w:ascii="宋体" w:hAnsi="宋体" w:eastAsia="宋体" w:cs="宋体"/>
          <w:color w:val="auto"/>
          <w:sz w:val="24"/>
          <w:szCs w:val="24"/>
          <w:lang w:eastAsia="zh-CN"/>
        </w:rPr>
        <w:t>（58）</w:t>
      </w:r>
      <w:r>
        <w:rPr>
          <w:rFonts w:hint="eastAsia" w:ascii="宋体" w:hAnsi="宋体" w:eastAsia="宋体" w:cs="宋体"/>
          <w:color w:val="auto"/>
          <w:spacing w:val="-20"/>
          <w:sz w:val="24"/>
          <w:szCs w:val="24"/>
          <w:lang w:eastAsia="zh-CN"/>
        </w:rPr>
        <w:t>《制冷设备、空气分离设备安装工程施工及验收规范》（GB 50274-2010）。</w:t>
      </w:r>
    </w:p>
    <w:p w14:paraId="08A2A0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（59）《风机、压缩机、泵安装工程施工及验收规范》（GB 50275-2010）。</w:t>
      </w:r>
    </w:p>
    <w:p w14:paraId="61E778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（60）《机械设备安装工程施工及验收通用规范》（GB 50231-2009）。</w:t>
      </w:r>
    </w:p>
    <w:p w14:paraId="07FB09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（61）《起重设备安装工程施工及验收规范》（GB 50278-2010）。</w:t>
      </w:r>
    </w:p>
    <w:p w14:paraId="44AA5B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（62）《工业金属管道工程施工规范》（GB 50235-2010）。</w:t>
      </w:r>
    </w:p>
    <w:p w14:paraId="5695C7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（63）《水轮机调速系统试验》（GB/T 9652.2-2019）。</w:t>
      </w:r>
    </w:p>
    <w:p w14:paraId="4B0E88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（64）《水轮机、蓄能泵和水泵水轮机模型验收试验》（GB/T 15613-2023）。</w:t>
      </w:r>
    </w:p>
    <w:p w14:paraId="07A187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（65）《涡轮机油》（GB 11120-2011）。</w:t>
      </w:r>
    </w:p>
    <w:p w14:paraId="5AD201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（66）《水轮发电机组启动试验规程》（DL/T 507-2014）。</w:t>
      </w:r>
    </w:p>
    <w:p w14:paraId="457E3D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（67）《水轮机电液调节系统及装置调整试验导则》（DL/T 496-2016）。</w:t>
      </w:r>
    </w:p>
    <w:p w14:paraId="16F783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（68）《水轮机金属蜗壳现场制造安装及焊接工艺导则》（DL/T 5070-2012）。</w:t>
      </w:r>
    </w:p>
    <w:p w14:paraId="3073A6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（69）《混流式水轮机转轮现场制造工艺导则》（DL/T 5071-2012）。</w:t>
      </w:r>
    </w:p>
    <w:p w14:paraId="5FB87B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（70）《转桨式转轮组装与试验工艺导则》（DL/T 5036-2020）。</w:t>
      </w:r>
    </w:p>
    <w:p w14:paraId="435E3D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（71）《轴流式水轮机埋件安装工艺导则》（DL/T 5805-2020）。</w:t>
      </w:r>
    </w:p>
    <w:p w14:paraId="116417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（72）《通风管道技术规程》（JGJ/T 141-2017）。</w:t>
      </w:r>
    </w:p>
    <w:p w14:paraId="47ED6F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（73）《水利水电建设工程验收规程》（SL/T 223-2025）。</w:t>
      </w:r>
    </w:p>
    <w:p w14:paraId="7AE287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（74）《水利水电工程机电设备安装安全技术规程》（SL 400-2016）。</w:t>
      </w:r>
    </w:p>
    <w:p w14:paraId="5F8788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（75）《防火封堵材料》（</w:t>
      </w:r>
      <w:r>
        <w:rPr>
          <w:rFonts w:hint="eastAsia" w:ascii="宋体" w:hAnsi="宋体" w:eastAsia="宋体" w:cs="宋体"/>
          <w:color w:val="auto"/>
          <w:sz w:val="24"/>
          <w:szCs w:val="24"/>
          <w:lang w:eastAsia="zh-CN"/>
        </w:rPr>
        <w:t xml:space="preserve">GB </w:t>
      </w:r>
      <w:r>
        <w:rPr>
          <w:rFonts w:hint="eastAsia" w:ascii="宋体" w:hAnsi="宋体" w:eastAsia="宋体" w:cs="宋体"/>
          <w:color w:val="auto"/>
          <w:sz w:val="24"/>
          <w:szCs w:val="24"/>
        </w:rPr>
        <w:t>23864-2023）。</w:t>
      </w:r>
    </w:p>
    <w:p w14:paraId="6D82874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24.1.5 安装技术文件</w:t>
      </w:r>
    </w:p>
    <w:p w14:paraId="438C26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（1）安装技术文件内容。</w:t>
      </w:r>
    </w:p>
    <w:p w14:paraId="72A44A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1）发包人提供的机电设备布置总图、机电设备安装布置图、机电设计系统图、设备加工图及相关的水工建筑物施工图纸、设计说明书等（以下统称施工安装图纸）。</w:t>
      </w:r>
    </w:p>
    <w:p w14:paraId="23CA13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2）本合同引用的国家标准和行业标准。</w:t>
      </w:r>
    </w:p>
    <w:p w14:paraId="1A55F0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3）供货商提供的图纸、安装技术标准、安装作业指导书、运行维护说明书，以及其他有关的技术文件和资料（以下统称供货商技术文件）。</w:t>
      </w:r>
    </w:p>
    <w:p w14:paraId="6DF6CD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4）履行合同中监理人发出的指示和监理人批准的承包人提交件。</w:t>
      </w:r>
    </w:p>
    <w:p w14:paraId="303AC5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（2）安装技术文件的提交和批准。</w:t>
      </w:r>
    </w:p>
    <w:p w14:paraId="59B19B8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1）按合同约定，由发包人提供的施工安装图纸，应在该项设备安装前，由监理人签发给承包人和（或）供货商现场代表（以下简称供货商代表）。</w:t>
      </w:r>
    </w:p>
    <w:p w14:paraId="0DA987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2）为保证机电设备安装的质量和安全，供货商应向发包人提交每项机电设备的上述第（1）项的全部安装技术文件。监理人和承包人还应有权根据安装工作需要，要求供货商代表提交补充的安装技术文件。</w:t>
      </w:r>
    </w:p>
    <w:p w14:paraId="3BC30F4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24.1.6 供货商代表</w:t>
      </w:r>
    </w:p>
    <w:p w14:paraId="452F1B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（1）供货商代表应参加设备到货的清点检查，在交货验收文件及开箱检验报告上签字见证。若配置的零部件数量不足或产品存在质量问题，应由供货商代表负责处理。</w:t>
      </w:r>
    </w:p>
    <w:p w14:paraId="3B4564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供货商代表应指导承包人的安装作业；参加监理人组织的机电设备安装质量的检查、试验和试运行，检查和试验记录应由供货商代表签证。承包人应允许供货商代表进入设备安装现场检查安装质量，并查阅承包人的安装记录和检测资料。</w:t>
      </w:r>
    </w:p>
    <w:p w14:paraId="7028E7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（3）承包人在设备安装中需要调用备品备件，应经监理人审批和供货商代表签认。若备品备件不足，需要补充供货时，应由发包人责成供货商代表解决。</w:t>
      </w:r>
    </w:p>
    <w:p w14:paraId="6C4DD8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（4）定期向监理人提交现场工作报告。承包人可根据安装工作的需要，要求供货商代表补充提交相关的技术文件和资料。</w:t>
      </w:r>
    </w:p>
    <w:p w14:paraId="016482B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24.1.7 机电设备的交付和接收</w:t>
      </w:r>
    </w:p>
    <w:p w14:paraId="07F6A28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供货商产地机电设备的交付和接收。按合同约定，在供货商产地就地交付的产品及有关的技术文件等，应由发包人会同承包人，根据供货商的供货清单，与供货商共同清点无误后，就地办理交付和接收手续。承包人还应对上述设备、材料等的装卸、运输、保管直至运抵工地储存的全过程负责。</w:t>
      </w:r>
    </w:p>
    <w:p w14:paraId="1BC61A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（2）工地现场机电设备的交付和接收。按合同约定，在现场交付的产品及其技术文件，应由监理人会同供货商代表和承包人，根据供货商的供货清单，共同检查清点无误后，在现场办理交付和接收手续。</w:t>
      </w:r>
    </w:p>
    <w:p w14:paraId="19EA866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24.1.8 机电设备的现场运输和仓储管理</w:t>
      </w:r>
    </w:p>
    <w:p w14:paraId="5532B1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（1）承包人在接收机电设备后，应对接收的产品及其技术文件的到货卸车、损伤签证、沿程保护，吊运入库、现场运输和仓储保管承担责任。</w:t>
      </w:r>
    </w:p>
    <w:p w14:paraId="14C359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（2）对有保温（或恒温）、防潮和防锈蚀要求的设备、部件和特殊材料，承包人应按供货商技术文件要求，采取特殊保护措施。</w:t>
      </w:r>
    </w:p>
    <w:p w14:paraId="255275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（3）对露天存放或在安装场地临时存放的设备和部件，应由承包人进行覆盖保护和采取存放场地的排水措施。</w:t>
      </w:r>
    </w:p>
    <w:p w14:paraId="675FFA2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24.1.9 机电设备安装场地和辅助设施</w:t>
      </w:r>
    </w:p>
    <w:p w14:paraId="680BE8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（1）承包人应按监理人批准的机电设备安装工艺措施报告的要求，统一布置机电设备安装专用场地与设备临时储存场所。</w:t>
      </w:r>
    </w:p>
    <w:p w14:paraId="2BEFFE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按监理人批准的机电设备安装进度计划，提出机电设备安装使用场内桥机、桅杆、门机、缆机、电梯等起重、运输设备，以及对混凝土浇筑、供电、供水、供风、试验、修配加工、照明、通信等辅助设施的使用计划提交监理人，由监理人组织协调解决土建施工与机电设备安装使用场地和辅助设施的矛盾。</w:t>
      </w:r>
    </w:p>
    <w:p w14:paraId="30F908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安装场地的温度不宜低于5℃,湿度不宜高于85%。主厂房安装场地内的发电机定子和转子组装工位范围内，承包人应采取有效的防潮、防尘、保温及防火等措施，以形成适应于发电机定子和转子组装技术要求的良好环境。</w:t>
      </w:r>
    </w:p>
    <w:p w14:paraId="5CD68B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（4）机电设备部件的组装和总装配场地在安装全过程都必须保持清洁。安装完毕后，必须对机组各部位进行清扫和检查，不允许残留灰尘、油污、杂物等不洁物。</w:t>
      </w:r>
    </w:p>
    <w:p w14:paraId="2DBA952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24.1.10 机电设备安装前开箱清点和检查</w:t>
      </w:r>
    </w:p>
    <w:p w14:paraId="69F85F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机电设备安装前，应由监理人会同承包人和供货商代表进行机电设备的开箱清点和检查，清点检查记录应由各方签认。到货设备（包括零部件、材料、安装工器具及随机技术文件等）应符合供货清单所列的型号、规格和数量，以及其他相关技术文件。</w:t>
      </w:r>
    </w:p>
    <w:p w14:paraId="78790C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（2）安装前需要进行检测和试验的设备及部件，应由承包人会同监理人和供货商代表进行检测和试验，经检侧试验合格，才可进行安装。检侧和试验成果应提交监理人。</w:t>
      </w:r>
    </w:p>
    <w:p w14:paraId="56E3B3D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24.1.11 机电设备的缺陷处理</w:t>
      </w:r>
    </w:p>
    <w:p w14:paraId="787672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过程中发现的设备缺陷，应由监理人会同承包人和供货商代表共同进行复查，经复查确认设备缺陷属于制造原因，应由供货商负责修复。凡能在现场修复的，应由供货商或委托承包人负责，修复费用由供货商承担。</w:t>
      </w:r>
    </w:p>
    <w:p w14:paraId="7311AC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（2）缺陷修复后，承包人应协助供货商代表编写“设备缺陷检查和修复报告”，经监理人、承包人和供货商代表共同签字后作为机电设备质量验收的附件。</w:t>
      </w:r>
    </w:p>
    <w:p w14:paraId="0824B3D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24.1.12 机电设备安装的检查、试验和验收</w:t>
      </w:r>
    </w:p>
    <w:p w14:paraId="0313A5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完成各单项机电设备安装后，经自检合格，应按批准格式做好记录提交监理人。由监理人会同承包人和供货商代表（或其他有关单位），按施工安装图纸、供货商技术文件和相关技术规范，进行检查、试验和验收。检查、试验和验收报告作为机组启动试运行前的验收资料。</w:t>
      </w:r>
    </w:p>
    <w:p w14:paraId="23CE943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66" w:name="_Toc865"/>
      <w:bookmarkStart w:id="1667" w:name="_Toc29618"/>
      <w:bookmarkStart w:id="1668" w:name="_Toc573"/>
      <w:r>
        <w:rPr>
          <w:rFonts w:hint="eastAsia" w:ascii="宋体" w:hAnsi="宋体" w:eastAsia="宋体" w:cs="宋体"/>
          <w:b/>
          <w:bCs/>
          <w:color w:val="auto"/>
          <w:sz w:val="24"/>
          <w:szCs w:val="24"/>
          <w:lang w:eastAsia="zh-CN"/>
        </w:rPr>
        <w:t>24.2 一般技术要求</w:t>
      </w:r>
      <w:bookmarkEnd w:id="1666"/>
      <w:bookmarkEnd w:id="1667"/>
      <w:bookmarkEnd w:id="1668"/>
    </w:p>
    <w:p w14:paraId="471974D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24.2.1 安装作业安全</w:t>
      </w:r>
    </w:p>
    <w:p w14:paraId="36A3A7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（l）承包人应在设备安装开始前，按本技术条款“3施工安全措施”及《水利水电工程机电设备安装安全技术规程》（SL 400-2016）的规定，编制一份“机电设备安装工程安全措施文件”，提交监理人批准。其内容包括：</w:t>
      </w:r>
    </w:p>
    <w:p w14:paraId="3F6C4B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1）机电设备安装作业安全规定。</w:t>
      </w:r>
    </w:p>
    <w:p w14:paraId="38A451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2）机电设备运输和装卸作业安全措施。</w:t>
      </w:r>
    </w:p>
    <w:p w14:paraId="12CB58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3）重大设备部件吊装作业安全措施。</w:t>
      </w:r>
    </w:p>
    <w:p w14:paraId="1E1DA3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4）现场用电作业安全措施。</w:t>
      </w:r>
    </w:p>
    <w:p w14:paraId="721C17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5）机修作业安全措施。</w:t>
      </w:r>
    </w:p>
    <w:p w14:paraId="3ABBC8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6）现场焊接作业安全措施。</w:t>
      </w:r>
    </w:p>
    <w:p w14:paraId="50F592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7）高空作业安全措施。</w:t>
      </w:r>
    </w:p>
    <w:p w14:paraId="77F3D0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8）涂装作业安全措施。</w:t>
      </w:r>
    </w:p>
    <w:p w14:paraId="5F9E60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9）压缩空气作业安全措施。</w:t>
      </w:r>
    </w:p>
    <w:p w14:paraId="59E33D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10）油处理作业安全措施。</w:t>
      </w:r>
    </w:p>
    <w:p w14:paraId="7DC3EB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11）机动车驾驶安全规定。</w:t>
      </w:r>
    </w:p>
    <w:p w14:paraId="601C38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12）安全警示标志。</w:t>
      </w:r>
    </w:p>
    <w:p w14:paraId="35C167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13）安全防护用品使用规定。</w:t>
      </w:r>
    </w:p>
    <w:p w14:paraId="57B896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14）防火、防爆、防汛及安全措施等。</w:t>
      </w:r>
    </w:p>
    <w:p w14:paraId="5F7F8E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（2）承包人应编制“机电设备安装作业安全手册”提交监理人批准。作业安全手册应发给安装作业人员人手一册。全部安装人员应经过安全培训和考核，考核不合格者不准上岗。</w:t>
      </w:r>
    </w:p>
    <w:p w14:paraId="3B940AA8">
      <w:pPr>
        <w:widowControl w:val="0"/>
        <w:kinsoku/>
        <w:topLinePunct/>
        <w:autoSpaceDE/>
        <w:autoSpaceDN/>
        <w:spacing w:line="52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24.2.2 计量器具、检测仪表和自动化元件</w:t>
      </w:r>
    </w:p>
    <w:p w14:paraId="39699D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（l）各种计量器具均应具有产品合格证，并应经具备校验资质证书的专业检测单位检验和标定。全部计量器具在有效期内的检测精度不低于被测对象要求的精度。</w:t>
      </w:r>
    </w:p>
    <w:p w14:paraId="23D1181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（2）承包人应对使用的计量器具和检测仪表进行校测复验，不合格的器具和仪表应及时更换。</w:t>
      </w:r>
    </w:p>
    <w:p w14:paraId="2795BB5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（3）机组、电气设备的检测仪表和自动化元件，均应按供货商技术文件及《自动化仪表工程施工及质量验收规范》（GB 50093-2013）、《水轮发电机组自动化元件（装置）及其系统基本技术条件》（GB/T 11805-2019）的规定进行检验合格后，才能安装使用。</w:t>
      </w:r>
    </w:p>
    <w:p w14:paraId="3641C18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24.2.3 预埋件埋设</w:t>
      </w:r>
    </w:p>
    <w:p w14:paraId="13AAB4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（1）预埋件的埋设按本技术条款第23条规定执行。</w:t>
      </w:r>
    </w:p>
    <w:p w14:paraId="16D7DB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（2）机电设备预埋件埋设完成后，应由监理人会同承包人按施工安装图纸要求进行检查验收，并共同在检查验收单上签字。</w:t>
      </w:r>
    </w:p>
    <w:p w14:paraId="720C1ED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24.2.4 设备和零部件的现场制作</w:t>
      </w:r>
    </w:p>
    <w:p w14:paraId="560886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按合同约定在现场制作的设备和零部件，应由承包人按施工安装图纸和（或）监理人批准的加工图进行制作，并在安装前，由监理人负责检查和验收。经监理人检验合格并签认后，才能投入使用。</w:t>
      </w:r>
    </w:p>
    <w:p w14:paraId="20127B2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24.2.5 焊接</w:t>
      </w:r>
    </w:p>
    <w:p w14:paraId="000B21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（l）承包人的焊工应持有国家或行业颁发相应的合格证书。当供货合同中规定有特殊焊接要求时，承包人应对焊工进行专项培训与试焊考核，考核合格者才准上岗。</w:t>
      </w:r>
    </w:p>
    <w:p w14:paraId="4623E8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（2）承包人从事焊缝无损检测的人员应持有国家或行业颁发的专业合格证书，才能从事相应的焊缝检测工作。</w:t>
      </w:r>
    </w:p>
    <w:p w14:paraId="6A8E53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（3）重要设备和部件的焊接，承包人应按焊接工艺评定或供货商技术文件制订的焊接工艺进行。</w:t>
      </w:r>
    </w:p>
    <w:p w14:paraId="712243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重要设备和部件的焊接焊缝，承包人应按供货商安装技术文件的规定进行外观检查和无损检测。焊缝质量经评定合格，并按规定的格式做好焊缝外观检查记录和无损检测报告提交监理人。经监理人、承包人和供货商代表签认后，作为设备安装验收资料。</w:t>
      </w:r>
    </w:p>
    <w:p w14:paraId="4A8DF27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24.2.6 安装偏差</w:t>
      </w:r>
    </w:p>
    <w:p w14:paraId="429BB7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机电设备安装及其基础预埋件，以及电缆桥架和管道等支吊架的安装的偏差均应控制在施工安装图纸和供货商技术文件规定的允许范围内。</w:t>
      </w:r>
    </w:p>
    <w:p w14:paraId="6AE0E47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24.2.7 机电设备的安装试验</w:t>
      </w:r>
    </w:p>
    <w:p w14:paraId="50A8C9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机电设备均应按施工安装图纸、供货商技术文件的要求和相关规范的规定进行安装试验。其中主要机电设备的安装、调试、试验应在供货商代表的指导下进行。承包人在完成每项机电设备的安装试验后，应按批准的格式和内容编写项目安装试验报告提交监理人。</w:t>
      </w:r>
    </w:p>
    <w:p w14:paraId="76431BC1">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24.2.8 耐压试验与渗漏试验</w:t>
      </w:r>
    </w:p>
    <w:p w14:paraId="078CA2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（1）机组承压设备及连接件的耐压试验与渗漏试验，其试验要求应遵守《水轮发电机组安装技术规范》（GB/T 8564-2023）第12.5节的规定。</w:t>
      </w:r>
    </w:p>
    <w:p w14:paraId="394EEE6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（2）建筑给排水系统和消防系统的耐压试验与渗漏试验应遵守《建筑给水排水及采暖工程施工质量验收规范》（GB 50242-2002）的有关规定。</w:t>
      </w:r>
    </w:p>
    <w:p w14:paraId="241C2A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（3）试验结束后，承包人应将试验记录提交监理人。</w:t>
      </w:r>
    </w:p>
    <w:p w14:paraId="678CB9E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24.2.9 涂装</w:t>
      </w:r>
    </w:p>
    <w:p w14:paraId="1CC3B9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（1）承包人接收机电设备时，应对设备表面涂装的保护层质量进行检查，若发现有损伤部位应由供货商负责处理。</w:t>
      </w:r>
    </w:p>
    <w:p w14:paraId="1BA364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（2）需由承包人涂装的设备、管道和附件，其表层的除锈等级和涂装要求、应符合施工安装图纸和供货商技术文件的要求。</w:t>
      </w:r>
    </w:p>
    <w:p w14:paraId="6656B0A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（3）各项设备和附件的涂装颜色应与其电站厂房和设备房间的建筑装饰相协调，并符合设备及附件的标识要求。</w:t>
      </w:r>
    </w:p>
    <w:p w14:paraId="26C3A83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24.2.10 运行标识</w:t>
      </w:r>
    </w:p>
    <w:p w14:paraId="3B1862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全部机电设备安装完毕后，承包人应协助发包人完成全厂的运行标识工作，其主要内容包括：</w:t>
      </w:r>
    </w:p>
    <w:p w14:paraId="3186B3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（l）设备安全标识。</w:t>
      </w:r>
    </w:p>
    <w:p w14:paraId="17AB51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（2）设备操作指示。</w:t>
      </w:r>
    </w:p>
    <w:p w14:paraId="22513A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（3）管路识别标示。</w:t>
      </w:r>
    </w:p>
    <w:p w14:paraId="2136D9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（4）管路介质流向标识。</w:t>
      </w:r>
    </w:p>
    <w:p w14:paraId="504A31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（5）消防安全标识。</w:t>
      </w:r>
    </w:p>
    <w:p w14:paraId="4966FD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（6）人身安全警示。</w:t>
      </w:r>
    </w:p>
    <w:p w14:paraId="0F15A6F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（7）通行安全指示。</w:t>
      </w:r>
    </w:p>
    <w:p w14:paraId="4CB29C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（8）发包人要求提供的其他标识。</w:t>
      </w:r>
    </w:p>
    <w:p w14:paraId="7B2628D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24.3 泵组及其附属设备安装</w:t>
      </w:r>
    </w:p>
    <w:p w14:paraId="01FA17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本节规定适用于混流式水轮机组和轴流式水轮机组，其他型式的机组可参照执行。</w:t>
      </w:r>
    </w:p>
    <w:p w14:paraId="7262721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24.3.1 水泵</w:t>
      </w:r>
    </w:p>
    <w:p w14:paraId="45C0AC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（l）埋入部件：</w:t>
      </w:r>
    </w:p>
    <w:p w14:paraId="0BA5FB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l）埋入部件安装应定位准确；基础板、拉紧器等固定件应加固牢靠；</w:t>
      </w:r>
    </w:p>
    <w:p w14:paraId="79BA7A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2）埋入部件与混凝土结合的外表面应无污染和严重锈蚀、埋入部件的过流面焊缝应磨光，埋入部件与混凝土连接的过流表面应平滑过渡；</w:t>
      </w:r>
    </w:p>
    <w:p w14:paraId="020A0B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3）埋入部件的安装程序、工艺要求和允许偏差，应遵守供货商技术文件和相关规范的规定；</w:t>
      </w:r>
    </w:p>
    <w:p w14:paraId="5663F7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（2）主轴、转轮、转轮室安装：</w:t>
      </w:r>
    </w:p>
    <w:p w14:paraId="542B68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主轴、转轮、转轮室安装，应遵守供货商技术文件和相关规范的规定；</w:t>
      </w:r>
    </w:p>
    <w:p w14:paraId="204CAE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（3）受油器安装：</w:t>
      </w:r>
    </w:p>
    <w:p w14:paraId="38DED3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受油器的严密性耐压试验及安装，应遵守供货商技术文件和相关规范的规定。</w:t>
      </w:r>
    </w:p>
    <w:p w14:paraId="5770FB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（4）主轴装配：</w:t>
      </w:r>
    </w:p>
    <w:p w14:paraId="246B54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主轴装配、吊装、调整及部件安装应遵守供货商技术文件和相关规范的规定。</w:t>
      </w:r>
    </w:p>
    <w:p w14:paraId="449B576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（5）水泵的检查、试验和验收，应按相关规范及本章第23.1.12条的规定进行。</w:t>
      </w:r>
    </w:p>
    <w:p w14:paraId="16749789">
      <w:pPr>
        <w:widowControl w:val="0"/>
        <w:kinsoku/>
        <w:topLinePunct/>
        <w:autoSpaceDE/>
        <w:autoSpaceDN/>
        <w:spacing w:line="520" w:lineRule="exact"/>
        <w:ind w:firstLine="482" w:firstLineChars="200"/>
        <w:jc w:val="both"/>
        <w:rPr>
          <w:rFonts w:hint="eastAsia" w:ascii="宋体" w:hAnsi="宋体" w:eastAsia="宋体" w:cs="宋体"/>
          <w:color w:val="auto"/>
          <w:sz w:val="24"/>
          <w:lang w:eastAsia="zh-CN"/>
        </w:rPr>
      </w:pPr>
      <w:r>
        <w:rPr>
          <w:rFonts w:hint="eastAsia" w:ascii="宋体" w:hAnsi="宋体" w:eastAsia="宋体" w:cs="宋体"/>
          <w:b/>
          <w:bCs/>
          <w:color w:val="auto"/>
          <w:sz w:val="24"/>
          <w:szCs w:val="24"/>
          <w:lang w:eastAsia="zh-CN"/>
        </w:rPr>
        <w:t>24.3.2 电动机</w:t>
      </w:r>
    </w:p>
    <w:p w14:paraId="11E60E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（1）基础：</w:t>
      </w:r>
    </w:p>
    <w:p w14:paraId="41B6EE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机安装的基础必须是坚固的，能承受电机外形图所提供的动静负荷。基础的刚度以及电动机的底板与基础面接触的良好程度都会影响电动机运行时的振动，应使用熟悉基础设计的工程师设计及监督安装工作，设计和用材应符合有关标准。电机安装基础必须按有关标准进行检查验收。大型电机的基础一般都预埋基础钢板，校好水平，以便电机调整中心之用。</w:t>
      </w:r>
    </w:p>
    <w:p w14:paraId="21EE71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w:t>
      </w:r>
    </w:p>
    <w:p w14:paraId="537BBC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吊运时要按装箱时所指示的位置挂吊，以免翻箱甩坏电机。起吊电机时，吊钩必须挂在电机底板4个吊攀、吊装孔或机座的吊耳上，并且要找正重心，保持底板平衡方能起吊，切忌电机在倾斜的情况下吊运，同时要注意吊钩、吊索不要损坏电机的外罩、冷却器和出线盒等。 </w:t>
      </w:r>
    </w:p>
    <w:p w14:paraId="4D041D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2）将电机吊放在基础上，并将电机底板的地脚孔套入基础上的地脚螺栓。为便于前后左右移动调整电机的位置，地脚螺栓一般都放在约为120×120没有灌浆的水泥方孔内。</w:t>
      </w:r>
    </w:p>
    <w:p w14:paraId="31FC54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3）调整中心</w:t>
      </w:r>
    </w:p>
    <w:p w14:paraId="384393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a) 先将水泵和电机的安装基础校好水平，画好设备的轴向中心线，然后把水泵的轴按轴向中心线的位置调好并固定；以水泵轴的联轴器（法兰）为基准调整电机轴，使两轴中心线对准。也可采用先调整电机轴再调整水泵轴的方法。 </w:t>
      </w:r>
    </w:p>
    <w:p w14:paraId="1380D0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b) 粗调 </w:t>
      </w:r>
    </w:p>
    <w:p w14:paraId="4FDD12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移动电机，使电机半联轴器与水泵半联轴器之间预留3～5mm距离，然后用一把刀口尺接触两个半联轴器最大外径表面，对两轴的中心线进行粗调。目测刀口尺的刀口与两个半联轴器外表面之间的间隙，上、下、左、右测量4点。移动电机（在没有固定且需移动范围较大时，可用吊车吊起来移动），使两半联轴器表面与刀口之间间隙均匀，基本平行。此时可以在电机底板与基础之间垫上垫板，粗略确定垫板厚度，用基础螺栓把电机固紧到90%程度，再用刀口尺按上述方法检查，如果偏移超过5mm需继续调整。 </w:t>
      </w:r>
    </w:p>
    <w:p w14:paraId="6F0B89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c) 中调 </w:t>
      </w:r>
    </w:p>
    <w:p w14:paraId="28AB52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粗调后，电机已有一定程度紧固时，可用顶起螺栓或带有斜面的调整垫铁对电机中心高度继续调整。而左右调整可用重磅铁锤撞击（撞击部位应在电机底板四个角的筋板上，并要注意防止筋板变形）；或在基础板或垫板外侧焊上螺母，用螺栓顶推。若调节误差小于±1mm时，再拧紧地脚螺栓，使固紧程度达到95%以上，即可转入细调。 </w:t>
      </w:r>
    </w:p>
    <w:p w14:paraId="4F75E7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d) 细调 </w:t>
      </w:r>
    </w:p>
    <w:p w14:paraId="794D4B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用千分表和塞规测量两半边联轴器的偏差情况，将带有磁性底座的千分表放在电机端联轴器的表面上，千分表的触头接触在主机端联轴器的表面上。为减小因接触变形而产生的误差，表架要有足够的刚度，接触压力要小。然后调整千分表的读数为零，盘动电机转轴，使之缓慢转动，就可从表中看出其偏差值。如果是向右偏，即将电机向左平移，反之，向右移，如果上、下偏，则将电机垫高或降低。用塞规测量两半联轴器端面之间的间隙，测量位置是上、下、左、右4点，其测量值4点应基本一致。如果右边大，则电机尾部向右移，或电机前端向左移；若左边大，则电机尾端向左移，或电机前端向右移；若上大下小，则将电机尾部垫高，或前部降低，若上小下大，则相反。电机移动方法与中调时相同。细调完成后则将所有地脚螺栓拧紧固定，退出顶推螺栓，再检查测量。</w:t>
      </w:r>
    </w:p>
    <w:p w14:paraId="255080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4）二次灌浆</w:t>
      </w:r>
    </w:p>
    <w:p w14:paraId="1C5ADE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为了便于安装时电机位置调整，大型卧式电机基础螺栓孔一般都预留120×120的方孔。电机调正后，电机底板与基础之间的空隙和水泥基础的方孔都必须用水泥浆充分填满（二次灌浆）。水泥桨用清洁的砂子和高标号的水泥按1：1的比例调制。整个灌浆要一气呵成，不要断续浇注，以保证新旧水泥充分粘合，形成坚固的整体。 </w:t>
      </w:r>
    </w:p>
    <w:p w14:paraId="652955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5）电机安装调整的要求 </w:t>
      </w:r>
    </w:p>
    <w:p w14:paraId="7DB43F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a) 电机的安装质量对电机轴承运行、电机使用寿命、振动和噪声等都有很大的影响，因此必须由有安装经验的专业人员安装，并有供货商技术人员指导和监理人监督，以保证安装质量。 </w:t>
      </w:r>
    </w:p>
    <w:p w14:paraId="070794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b) 安装使用的水平仪、千分表等测量工具必须是经过校验合格的产品。调节电机中心高的垫板厚度一般用50、20、10、5、2、0.5、0.2和0.1mm，宽度为100～200mm，长度要比电机4边底板宽出30mm。尽量靠近基础螺栓处放置垫板，最好将垫板钻孔套在基础螺栓上，一般每隔500～600mm放一处。垫板材料用钢板，厚度小于0.1mm可用铜皮，垫板表面应无高出平面的毛刺。 </w:t>
      </w:r>
    </w:p>
    <w:p w14:paraId="48E024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 电机和水泵的转轴在正常运行时会因发热膨胀而伸长，电机轴伸端面与水泵轴伸端之间必须留3～5mm的间隙，以防止因轴的膨胀伸长而损坏轴承和使转子产生轴向偏移，造成定、转子磁场中心偏移。</w:t>
      </w:r>
    </w:p>
    <w:p w14:paraId="59EE49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d）电动机主引出线与相关设备应按施工安装图纸的要求进行连接，并应遵守GB 50168的规定。</w:t>
      </w:r>
    </w:p>
    <w:p w14:paraId="258ED0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电动机的检查、试验和验收，应按SL317《泵站安装及验收规范》、GB/T1029《三相同步电动机试验方法》、GB 50150《电气装置安装工程电气设备交接试验标准》和参照GB 11805《水轮发电机组自动化元件(装置)及其系统基本技术条件》等规范及本章第24.1.12条的规定进行。</w:t>
      </w:r>
    </w:p>
    <w:p w14:paraId="72D891E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24.3.3 叶片调节机构及其操作系统</w:t>
      </w:r>
    </w:p>
    <w:p w14:paraId="796307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（l）叶片调节机构及其操作系统设备应按施工安装图纸的要求进行安装，并应遵守GB/T 8564的规定。</w:t>
      </w:r>
    </w:p>
    <w:p w14:paraId="6711F1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（2）液压站试验及其管道的制作、冲洗、安装及试验，应施工安装图纸的要求进行，并应遵守GB/T 8564的规定。</w:t>
      </w:r>
    </w:p>
    <w:p w14:paraId="3670B0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（3）系统用油牌号和各项指标，应满足供货商技术文件的要求，</w:t>
      </w:r>
      <w:r>
        <w:rPr>
          <w:rFonts w:hint="eastAsia" w:ascii="宋体" w:hAnsi="宋体" w:eastAsia="宋体" w:cs="宋体"/>
          <w:color w:val="auto"/>
          <w:spacing w:val="-20"/>
          <w:sz w:val="24"/>
          <w:szCs w:val="24"/>
          <w:lang w:eastAsia="zh-CN"/>
        </w:rPr>
        <w:t>并应遵守GB 11120</w:t>
      </w:r>
      <w:r>
        <w:rPr>
          <w:rFonts w:hint="eastAsia" w:ascii="宋体" w:hAnsi="宋体" w:eastAsia="宋体" w:cs="宋体"/>
          <w:color w:val="auto"/>
          <w:sz w:val="24"/>
          <w:szCs w:val="24"/>
          <w:lang w:eastAsia="zh-CN"/>
        </w:rPr>
        <w:t>的规定。</w:t>
      </w:r>
    </w:p>
    <w:p w14:paraId="1C40F1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（4）叶片调节机构及其操作系统的检查、试验和验收，应按</w:t>
      </w:r>
      <w:r>
        <w:rPr>
          <w:rFonts w:hint="eastAsia" w:ascii="宋体" w:hAnsi="宋体" w:eastAsia="宋体" w:cs="宋体"/>
          <w:color w:val="auto"/>
          <w:spacing w:val="-17"/>
          <w:sz w:val="24"/>
          <w:szCs w:val="24"/>
          <w:lang w:eastAsia="zh-CN"/>
        </w:rPr>
        <w:t>GB/T 8564、GB 50150</w:t>
      </w:r>
      <w:r>
        <w:rPr>
          <w:rFonts w:hint="eastAsia" w:ascii="宋体" w:hAnsi="宋体" w:eastAsia="宋体" w:cs="宋体"/>
          <w:color w:val="auto"/>
          <w:sz w:val="24"/>
          <w:szCs w:val="24"/>
          <w:lang w:eastAsia="zh-CN"/>
        </w:rPr>
        <w:t>、DL/T 496、GB/T 9652.2等规范及本章第24.1.12条的规定进行。</w:t>
      </w:r>
    </w:p>
    <w:p w14:paraId="027DC78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24.3.4 励磁系统</w:t>
      </w:r>
    </w:p>
    <w:p w14:paraId="2E5CE5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（1）励磁系统的安装，应遵守</w:t>
      </w:r>
      <w:r>
        <w:rPr>
          <w:rFonts w:hint="eastAsia" w:ascii="宋体" w:hAnsi="宋体" w:eastAsia="宋体" w:cs="宋体"/>
          <w:color w:val="auto"/>
          <w:spacing w:val="-20"/>
          <w:sz w:val="24"/>
          <w:szCs w:val="24"/>
          <w:lang w:eastAsia="zh-CN"/>
        </w:rPr>
        <w:t>《水轮发电机组安装技术规范》（GB/T 8564-2023）</w:t>
      </w:r>
      <w:r>
        <w:rPr>
          <w:rFonts w:hint="eastAsia" w:ascii="宋体" w:hAnsi="宋体" w:eastAsia="宋体" w:cs="宋体"/>
          <w:color w:val="auto"/>
          <w:sz w:val="24"/>
          <w:szCs w:val="24"/>
          <w:lang w:eastAsia="zh-CN"/>
        </w:rPr>
        <w:t>、《同步电机励磁系统大、中型同步发电机励磁系统技术要求》（GB/T 7409.3-2007）的规定。</w:t>
      </w:r>
    </w:p>
    <w:p w14:paraId="3CE22B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（2）励磁系统电缆敷设及盘内配线，应遵守《电气装置安装工程电缆线路施工及验收标准》（GB 50168-2018）和《电气装置安装工程盘、柜及二次回路接线施工及验收规范》（GB 50171-2012）的规定。</w:t>
      </w:r>
    </w:p>
    <w:p w14:paraId="4BBC1D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（3）励磁系统的检查、试验和验收，应按</w:t>
      </w:r>
      <w:r>
        <w:rPr>
          <w:rFonts w:hint="eastAsia" w:ascii="宋体" w:hAnsi="宋体" w:eastAsia="宋体" w:cs="宋体"/>
          <w:color w:val="auto"/>
          <w:spacing w:val="45"/>
          <w:sz w:val="24"/>
          <w:szCs w:val="24"/>
          <w:lang w:eastAsia="zh-CN"/>
        </w:rPr>
        <w:t>《水轮发电机组安装技术规范》</w:t>
      </w:r>
      <w:r>
        <w:rPr>
          <w:rFonts w:hint="eastAsia" w:ascii="宋体" w:hAnsi="宋体" w:eastAsia="宋体" w:cs="宋体"/>
          <w:color w:val="auto"/>
          <w:sz w:val="24"/>
          <w:szCs w:val="24"/>
          <w:lang w:eastAsia="zh-CN"/>
        </w:rPr>
        <w:t>（GB/T 8564-2023）附录A.2、《同步电机励磁系统大、中型同步发电机励磁系统技术要求》（GB/T 7409.3-2007）、</w:t>
      </w:r>
      <w:r>
        <w:rPr>
          <w:rFonts w:hint="eastAsia" w:ascii="宋体" w:hAnsi="宋体" w:eastAsia="宋体" w:cs="宋体"/>
          <w:color w:val="auto"/>
          <w:spacing w:val="28"/>
          <w:sz w:val="24"/>
          <w:szCs w:val="24"/>
          <w:lang w:eastAsia="zh-CN"/>
        </w:rPr>
        <w:t>《大中型水轮发电机静止整流励磁系统试验规程》</w:t>
      </w:r>
      <w:r>
        <w:rPr>
          <w:rFonts w:hint="eastAsia" w:ascii="宋体" w:hAnsi="宋体" w:eastAsia="宋体" w:cs="宋体"/>
          <w:color w:val="auto"/>
          <w:sz w:val="24"/>
          <w:szCs w:val="24"/>
          <w:lang w:eastAsia="zh-CN"/>
        </w:rPr>
        <w:t>（DL/T 489-2018）、</w:t>
      </w:r>
      <w:r>
        <w:rPr>
          <w:rFonts w:hint="eastAsia" w:ascii="宋体" w:hAnsi="宋体" w:eastAsia="宋体" w:cs="宋体"/>
          <w:color w:val="auto"/>
          <w:spacing w:val="34"/>
          <w:sz w:val="24"/>
          <w:szCs w:val="24"/>
          <w:lang w:eastAsia="zh-CN"/>
        </w:rPr>
        <w:t>《大中型水轮发电机静止整流励磁系统技术条件》</w:t>
      </w:r>
      <w:r>
        <w:rPr>
          <w:rFonts w:hint="eastAsia" w:ascii="宋体" w:hAnsi="宋体" w:eastAsia="宋体" w:cs="宋体"/>
          <w:color w:val="auto"/>
          <w:sz w:val="24"/>
          <w:szCs w:val="24"/>
          <w:lang w:eastAsia="zh-CN"/>
        </w:rPr>
        <w:t>（DL/T 583-2018）、</w:t>
      </w:r>
      <w:r>
        <w:rPr>
          <w:rFonts w:hint="eastAsia" w:ascii="宋体" w:hAnsi="宋体" w:eastAsia="宋体" w:cs="宋体"/>
          <w:color w:val="auto"/>
          <w:spacing w:val="-20"/>
          <w:sz w:val="24"/>
          <w:szCs w:val="24"/>
          <w:lang w:eastAsia="zh-CN"/>
        </w:rPr>
        <w:t>《大中型水轮发电机微机励磁调节器试验导则》（DL/T 1013-2018）</w:t>
      </w:r>
      <w:r>
        <w:rPr>
          <w:rFonts w:hint="eastAsia" w:ascii="宋体" w:hAnsi="宋体" w:eastAsia="宋体" w:cs="宋体"/>
          <w:color w:val="auto"/>
          <w:sz w:val="24"/>
          <w:szCs w:val="24"/>
          <w:lang w:eastAsia="zh-CN"/>
        </w:rPr>
        <w:t>、《电气装置安装工程盘、柜及二次回路接线施工及验收规范》（GB 50171-2012）等规范及本章第24.1.12项的规定进行。</w:t>
      </w:r>
    </w:p>
    <w:p w14:paraId="0AB75D4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69" w:name="_Toc27164"/>
      <w:bookmarkStart w:id="1670" w:name="_Toc23758"/>
      <w:r>
        <w:rPr>
          <w:rFonts w:hint="eastAsia" w:ascii="宋体" w:hAnsi="宋体" w:eastAsia="宋体" w:cs="宋体"/>
          <w:b/>
          <w:bCs/>
          <w:color w:val="auto"/>
          <w:sz w:val="24"/>
          <w:szCs w:val="24"/>
          <w:lang w:eastAsia="zh-CN"/>
        </w:rPr>
        <w:t>24.4 水力机械辅助设备系统安装</w:t>
      </w:r>
      <w:bookmarkEnd w:id="1669"/>
      <w:bookmarkEnd w:id="1670"/>
    </w:p>
    <w:p w14:paraId="378132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水力机械辅助设备系统包括技术供水系统、排水系统、全厂压缩空气系统、透平油系统、绝缘油系统、电站水力监视测量系统等。</w:t>
      </w:r>
    </w:p>
    <w:p w14:paraId="727363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（1）承包人应协助监理人按本章第24.2.3项的规定，对即将被隐蔽的各项埋设管路、埋件及基础进行检查验收。</w:t>
      </w:r>
    </w:p>
    <w:p w14:paraId="4FBC1F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（2）由承包人在现场配置的各种容器、管道和管件、设备基础等的制作安装应满足施工安装图纸要求，并遵守《工业金属管道工程施工规范》（GB 50235-2010）、《现场设备、工业管道焊接工程施工质量验收规范》（GB 50683-2011）、《水轮发电机组安装技术规范》（GB/T 8564-2023）第12章的规定。</w:t>
      </w:r>
    </w:p>
    <w:p w14:paraId="7F09C1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（3）油、气系统及有特殊要求的水系统的钢管对口焊接，应采用氨弧焊封底，电弧焊盖面的焊接工艺；管道外径D≤50mm的对口焊接采用全氩弧焊。</w:t>
      </w:r>
    </w:p>
    <w:p w14:paraId="343F5D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（4）设备与电动机联轴器的径向位移、端面间隙、轴线倾斜等均应满足供货商技术文件的要求，并遵守</w:t>
      </w:r>
      <w:r>
        <w:rPr>
          <w:rFonts w:hint="eastAsia" w:ascii="宋体" w:hAnsi="宋体" w:eastAsia="宋体" w:cs="宋体"/>
          <w:color w:val="auto"/>
          <w:spacing w:val="-20"/>
          <w:sz w:val="24"/>
          <w:szCs w:val="24"/>
          <w:lang w:eastAsia="zh-CN"/>
        </w:rPr>
        <w:t>《风机、压缩机、泵安装工程施工及验收规范》（GB 50275-2010）</w:t>
      </w:r>
      <w:r>
        <w:rPr>
          <w:rFonts w:hint="eastAsia" w:ascii="宋体" w:hAnsi="宋体" w:eastAsia="宋体" w:cs="宋体"/>
          <w:color w:val="auto"/>
          <w:sz w:val="24"/>
          <w:szCs w:val="24"/>
          <w:lang w:eastAsia="zh-CN"/>
        </w:rPr>
        <w:t>、《机械设备安装工程施工及验收通用规范》（GB 50231-2009）的规定。</w:t>
      </w:r>
    </w:p>
    <w:p w14:paraId="7E04DBE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（5）各项辅助设备电气装置的安装，应遵守《电气装置安装工程低压电器施工及验收规范》（GB 50254-2014）的规定。</w:t>
      </w:r>
    </w:p>
    <w:p w14:paraId="1B75A4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（6）透平油的各项质量指标，应遵守《涡轮机油》（GB 11120-2011）的规定；绝缘油的各项质量指标及对混合油的要求，应遵守《电气装置安装工程电气设备交接试验标准》（GB 50150-2016）第19.0.1～19.0.3条的规定。</w:t>
      </w:r>
    </w:p>
    <w:p w14:paraId="0B39A1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（7）油系统的滤油、验油和充油，应遵守《涡轮机油》（GB  11120-2011）、《电工流体变压器和开关用的未使用过的矿物绝缘油》（GB 2536-2011）和《电气装置安装工程电气设备交接试验标准》（GB 50150-2016）的规定。</w:t>
      </w:r>
    </w:p>
    <w:p w14:paraId="3D015C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（8）水力机械辅助设备系统安装完毕后，应按本章第24.1.12项的规定进行检查、试验和验收。各系统运行应正常，各项参数满足设计要求，设备无有害振动和不良噪声。</w:t>
      </w:r>
    </w:p>
    <w:p w14:paraId="7848DC6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71" w:name="_Toc25402"/>
      <w:bookmarkStart w:id="1672" w:name="_Toc7683"/>
      <w:bookmarkStart w:id="1673" w:name="_Toc24765"/>
      <w:r>
        <w:rPr>
          <w:rFonts w:hint="eastAsia" w:ascii="宋体" w:hAnsi="宋体" w:eastAsia="宋体" w:cs="宋体"/>
          <w:b/>
          <w:bCs/>
          <w:color w:val="auto"/>
          <w:sz w:val="24"/>
          <w:szCs w:val="24"/>
          <w:lang w:eastAsia="zh-CN"/>
        </w:rPr>
        <w:t>24.5 电动机电压配电设备安装</w:t>
      </w:r>
      <w:bookmarkEnd w:id="1671"/>
      <w:bookmarkEnd w:id="1672"/>
      <w:bookmarkEnd w:id="1673"/>
    </w:p>
    <w:p w14:paraId="1E3C17F6">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24.5.1 电动机断路器及其附属设备</w:t>
      </w:r>
    </w:p>
    <w:p w14:paraId="027009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（1）安装前应检查所有部位和附件应齐全，无损伤变形及锈蚀；绝缘部件应无裂缝、无剥落或破损，绝缘良好。基础及所有组件就位正确、安装牢固、接地可靠．</w:t>
      </w:r>
    </w:p>
    <w:p w14:paraId="1F1E5C7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（2）组件按规定编号顺序进行组装，并按供货商技术文件要求选用吊装器具、吊点以及吊装程序。</w:t>
      </w:r>
    </w:p>
    <w:p w14:paraId="6ACD56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（3）与封闭母线连接时不应使母线及外壳受到机械应力。</w:t>
      </w:r>
    </w:p>
    <w:p w14:paraId="62807D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（4）导电接触面无氧化层，清洗干净。电气连接应可靠且接触良好，断路器及其操作机构的联动应正常。</w:t>
      </w:r>
    </w:p>
    <w:p w14:paraId="765403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（5）调整后操作机构的联合动作的各项参数，应符合供货商技术文件的规定。</w:t>
      </w:r>
    </w:p>
    <w:p w14:paraId="10063B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（6）电动机断路器及其附属设备的检查，试验和验收，应按GB 50150、GB50147、GB 50171等规范及本章第24.1.12项的规定进行。</w:t>
      </w:r>
    </w:p>
    <w:p w14:paraId="5A29652D">
      <w:pPr>
        <w:widowControl w:val="0"/>
        <w:kinsoku/>
        <w:topLinePunct/>
        <w:autoSpaceDE/>
        <w:autoSpaceDN/>
        <w:spacing w:line="52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24.5.2 电动机主引出线及相关设备</w:t>
      </w:r>
    </w:p>
    <w:p w14:paraId="011B4E3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（1）主引出线：</w:t>
      </w:r>
    </w:p>
    <w:p w14:paraId="0F941F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1）电缆支架的安装应固定牢固、无显著变形，全长应有良好接地。</w:t>
      </w:r>
    </w:p>
    <w:p w14:paraId="40872A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2）当采用机械敷设电缆时，应控制电缆承受的拉力、敷设速度不超过GB 50168《电气装置安装工程电缆线路施工及验收规范》规定的限值。</w:t>
      </w:r>
    </w:p>
    <w:p w14:paraId="1C6C32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3）在复杂条件下用机械敷设大截面电缆时，应编制施工措施，确定敷设方法、线盘架设位置、电缆牵引方向，校核牵引力和侧压力，配备敷设人员和机具。</w:t>
      </w:r>
    </w:p>
    <w:p w14:paraId="7DDEF8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4）其它要求见高压电缆节。</w:t>
      </w:r>
    </w:p>
    <w:p w14:paraId="6DFB675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（2）励磁变压器及各类组合柜：</w:t>
      </w:r>
    </w:p>
    <w:p w14:paraId="60B7C4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1）变压器本体及所有附件应齐全，无锈蚀、无损坏，绝缘良好；</w:t>
      </w:r>
    </w:p>
    <w:p w14:paraId="04F76B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2）基础埋件应正确；</w:t>
      </w:r>
    </w:p>
    <w:p w14:paraId="22DF43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3）与母线的连接不应使母线及外壳受到机械应力。软连接部分不得有折损、表面凹陷及锈蚀；</w:t>
      </w:r>
    </w:p>
    <w:p w14:paraId="6A3328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4）互感器的变比分接头位置和极性应正确；</w:t>
      </w:r>
    </w:p>
    <w:p w14:paraId="479AE2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5）二次接线端子应连接牢固，绝缘良好，标志清晰。</w:t>
      </w:r>
    </w:p>
    <w:p w14:paraId="1BE7BA4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（3）电动机引出线及相关设备的检查、试验和验收，应按《电气装置安装工程高压电器施工及验收规范》（GB 50147-2010）、《电气装置安装工程电力变压器、油浸电抗器、互感器施工及验收规范》（GB 50148-2010）、GB50149《电气装置安装工程母线装置施工及验收规范》、GB 50171</w:t>
      </w:r>
      <w:r>
        <w:rPr>
          <w:rFonts w:hint="eastAsia" w:ascii="宋体" w:hAnsi="宋体" w:eastAsia="宋体" w:cs="宋体"/>
          <w:color w:val="auto"/>
          <w:spacing w:val="34"/>
          <w:sz w:val="24"/>
          <w:szCs w:val="24"/>
          <w:lang w:eastAsia="zh-CN"/>
        </w:rPr>
        <w:t>《电气装置安装工程盘、柜及二次回路结线施工及验收规范》</w:t>
      </w:r>
      <w:r>
        <w:rPr>
          <w:rFonts w:hint="eastAsia" w:ascii="宋体" w:hAnsi="宋体" w:eastAsia="宋体" w:cs="宋体"/>
          <w:color w:val="auto"/>
          <w:sz w:val="24"/>
          <w:szCs w:val="24"/>
          <w:lang w:eastAsia="zh-CN"/>
        </w:rPr>
        <w:t>、GB 50169《电气装置安装工程接地装置施工及验收规范》、GB 50168《电气装置安装工程电缆线路施工及验收规范》、GB 1208《电流互感器》、GB 50150《电气装置安装工程电气设备交接试验标准》等规范及本章第6.1.12条的规定进行。</w:t>
      </w:r>
    </w:p>
    <w:p w14:paraId="23E0F7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24.5 高压电缆</w:t>
      </w:r>
    </w:p>
    <w:p w14:paraId="088E4E8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（1）电缆支架的安装应固定牢固、无显著变形，全长应有良好接地。</w:t>
      </w:r>
    </w:p>
    <w:p w14:paraId="56687F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（2）当采用机械敷设电缆时，应控制电缆承受的拉力、敷设速度不超过GB 50168规定的限值。</w:t>
      </w:r>
    </w:p>
    <w:p w14:paraId="01EDF4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（3）在复杂条件下用机械敷设大截面电缆时，应编制施工措施，确定敷设方法、线盘架设位置、电缆牵引方向，校核牵引力和侧压力，配备敷设人员和机具。</w:t>
      </w:r>
    </w:p>
    <w:p w14:paraId="20C70C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（4）电缆终端安装，应遵守GB 50168的要求，电缆终端、接头均不应有渗漏。</w:t>
      </w:r>
    </w:p>
    <w:p w14:paraId="0F413E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（5）高压电缆的检查、试验和验收，应按</w:t>
      </w:r>
      <w:r>
        <w:rPr>
          <w:rFonts w:hint="eastAsia" w:ascii="宋体" w:hAnsi="宋体" w:eastAsia="宋体" w:cs="宋体"/>
          <w:color w:val="auto"/>
          <w:spacing w:val="20"/>
          <w:sz w:val="24"/>
          <w:szCs w:val="24"/>
          <w:lang w:eastAsia="zh-CN"/>
        </w:rPr>
        <w:t>GB 50168、GB 50150</w:t>
      </w:r>
      <w:r>
        <w:rPr>
          <w:rFonts w:hint="eastAsia" w:ascii="宋体" w:hAnsi="宋体" w:eastAsia="宋体" w:cs="宋体"/>
          <w:color w:val="auto"/>
          <w:sz w:val="24"/>
          <w:szCs w:val="24"/>
          <w:lang w:eastAsia="zh-CN"/>
        </w:rPr>
        <w:t>等规范及本章第24.1.12项的规定进行。</w:t>
      </w:r>
    </w:p>
    <w:p w14:paraId="5504C52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74" w:name="_Toc14718"/>
      <w:bookmarkStart w:id="1675" w:name="_Toc1146"/>
      <w:r>
        <w:rPr>
          <w:rFonts w:hint="eastAsia" w:ascii="宋体" w:hAnsi="宋体" w:eastAsia="宋体" w:cs="宋体"/>
          <w:b/>
          <w:bCs/>
          <w:color w:val="auto"/>
          <w:sz w:val="24"/>
          <w:szCs w:val="24"/>
          <w:lang w:eastAsia="zh-CN"/>
        </w:rPr>
        <w:t>24.6 电力变压器及其附属设备安装</w:t>
      </w:r>
      <w:bookmarkEnd w:id="1674"/>
      <w:bookmarkEnd w:id="1675"/>
    </w:p>
    <w:p w14:paraId="330D00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（l）承包人应按《电气装置安装工程电力变压器、油浸电抗器、互感器施工及验收规范》（GB 50148-2010）第2.4.1～2.4.5条要求，对变压器器身进行检查。检查完毕后，必须用合格的变压器油进行冲洗，并清洗油箱底部，不得有遗留杂物。</w:t>
      </w:r>
    </w:p>
    <w:p w14:paraId="14CD8E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（2）变压器干燥条件，应遵守《电气装置安装工程电力变压器、油浸电抗器、互感器施工及验收规范》（GB 50148-2010）第2.5节的要求。</w:t>
      </w:r>
    </w:p>
    <w:p w14:paraId="2CEE11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（3）变压器的高压侧和高压开关（或架空线）的连接、以及低压侧和母线的连接，应按供货商技术文件对消除相互连接中心线偏差的要求，进行调整至合格为止。</w:t>
      </w:r>
    </w:p>
    <w:p w14:paraId="441D2A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（4）变压器本体及附件的就位安装，应遵守《电气装置安装工程电力变压器、油浸电抗器、互感器施工及验收规范》（GB 50148-2010）第2.6节的规定。</w:t>
      </w:r>
    </w:p>
    <w:p w14:paraId="2DF910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（5）对220kV及以上的变压器应做真空处理后进行真空注油。</w:t>
      </w:r>
    </w:p>
    <w:p w14:paraId="46E960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（6）承包人应按《电气装置安装工程电力变压器、油浸电抗器、互感器施工及验收规范》（GB 50148-2010）第2.8.1～2.8.4 条的规定进行热油循环补油和静置。</w:t>
      </w:r>
    </w:p>
    <w:p w14:paraId="022C79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（7）变压器的整体密封试验，应遵守《电气装置安装工程电力变压器、油浸电抗器、互感器施工及验收规范》（GB 50148-2010）第2.9.1条的规定。</w:t>
      </w:r>
    </w:p>
    <w:p w14:paraId="7F3BE1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（8）变压器中性点设备安装，应遵守《电气装置安装工程高压电器施工及验收规范》（GB 50147-2010）的规定。</w:t>
      </w:r>
    </w:p>
    <w:p w14:paraId="374328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（9）变压器轨道及埋件安装，应遵守本章第23.14.1项的规定。</w:t>
      </w:r>
    </w:p>
    <w:p w14:paraId="266A20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（10）变压器及其附属设备的检查、试验和验收，应按《电气装置安装工程高压电器施工及验收规范》（GB 50147-2010）、《电气装置安装工程电力变压器、油浸电抗器、互感器施工及验收规范》（GB 50148-2010）、《电气装置安装工程电气设备交接试验标准》（GB 50150-2016）、</w:t>
      </w:r>
      <w:r>
        <w:rPr>
          <w:rFonts w:hint="eastAsia" w:ascii="宋体" w:hAnsi="宋体" w:eastAsia="宋体" w:cs="宋体"/>
          <w:color w:val="auto"/>
          <w:spacing w:val="20"/>
          <w:sz w:val="24"/>
          <w:szCs w:val="24"/>
          <w:lang w:eastAsia="zh-CN"/>
        </w:rPr>
        <w:t>《电气装置安装工程接地装置施工及验收规范》</w:t>
      </w:r>
      <w:r>
        <w:rPr>
          <w:rFonts w:hint="eastAsia" w:ascii="宋体" w:hAnsi="宋体" w:eastAsia="宋体" w:cs="宋体"/>
          <w:color w:val="auto"/>
          <w:sz w:val="24"/>
          <w:szCs w:val="24"/>
          <w:lang w:eastAsia="zh-CN"/>
        </w:rPr>
        <w:t>（GB 50169-2016）、</w:t>
      </w:r>
      <w:r>
        <w:rPr>
          <w:rFonts w:hint="eastAsia" w:ascii="宋体" w:hAnsi="宋体" w:eastAsia="宋体" w:cs="宋体"/>
          <w:color w:val="auto"/>
          <w:spacing w:val="20"/>
          <w:sz w:val="24"/>
          <w:szCs w:val="24"/>
          <w:lang w:eastAsia="zh-CN"/>
        </w:rPr>
        <w:t>《电气装置安装工程盘、柜及二次回路接线施工及验收规范》</w:t>
      </w:r>
      <w:r>
        <w:rPr>
          <w:rFonts w:hint="eastAsia" w:ascii="宋体" w:hAnsi="宋体" w:eastAsia="宋体" w:cs="宋体"/>
          <w:color w:val="auto"/>
          <w:sz w:val="24"/>
          <w:szCs w:val="24"/>
          <w:lang w:eastAsia="zh-CN"/>
        </w:rPr>
        <w:t>（GB 50171-2012）等规范及本章第24.1.12项的规定进行。</w:t>
      </w:r>
    </w:p>
    <w:p w14:paraId="505FE955">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76" w:name="_Toc21981"/>
      <w:bookmarkStart w:id="1677" w:name="_Toc27628"/>
      <w:bookmarkStart w:id="1678" w:name="_Toc25412"/>
      <w:r>
        <w:rPr>
          <w:rFonts w:hint="eastAsia" w:ascii="宋体" w:hAnsi="宋体" w:eastAsia="宋体" w:cs="宋体"/>
          <w:b/>
          <w:bCs/>
          <w:color w:val="auto"/>
          <w:sz w:val="24"/>
          <w:szCs w:val="24"/>
          <w:lang w:eastAsia="zh-CN"/>
        </w:rPr>
        <w:t>24.7 开关站及其进（出）线设备安装</w:t>
      </w:r>
      <w:bookmarkEnd w:id="1676"/>
      <w:bookmarkEnd w:id="1677"/>
      <w:bookmarkEnd w:id="1678"/>
    </w:p>
    <w:p w14:paraId="0A873D1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24.7.1 气体绝缘金属封闭开关设备（GIS）</w:t>
      </w:r>
    </w:p>
    <w:p w14:paraId="013E91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（1）GIS 各元件的装配必须按供货商技术文件规定的图样、编号和程序进行，编号不得混淆，接线与图样相符。</w:t>
      </w:r>
    </w:p>
    <w:p w14:paraId="5854BA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（2）机械闭锁及电气闭锁和联锁应进行多次试验，每次试验均应做好记录。</w:t>
      </w:r>
    </w:p>
    <w:p w14:paraId="457EC9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（3）GIS 设备的安装和调整，应遵守《电气装置安装工程高压电器施工及验收规范》（GB 50147-2010）第5.2节的规定。</w:t>
      </w:r>
    </w:p>
    <w:p w14:paraId="2C1248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（4）SF6 气体管理和充注，应遵守《电气装置安装工程高压电器施工及验收规范》（GB 50147-2010）第5.3节的规定。</w:t>
      </w:r>
    </w:p>
    <w:p w14:paraId="5461DE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（5）各间隔的接地连线，以及GIS 接地装置与接地网的连接牢固、可靠。</w:t>
      </w:r>
    </w:p>
    <w:p w14:paraId="49B029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（6）GIS 设备的检查、试验和验收，应按《电气装置安装工程电气设备交接试验标准》（GB 50150-2016）、</w:t>
      </w:r>
      <w:r>
        <w:rPr>
          <w:rFonts w:hint="eastAsia" w:ascii="宋体" w:hAnsi="宋体" w:eastAsia="宋体" w:cs="宋体"/>
          <w:color w:val="auto"/>
          <w:spacing w:val="34"/>
          <w:sz w:val="24"/>
          <w:szCs w:val="24"/>
          <w:lang w:eastAsia="zh-CN"/>
        </w:rPr>
        <w:t>《电气装置安装工程高压电器施工及验收规范》</w:t>
      </w:r>
      <w:r>
        <w:rPr>
          <w:rFonts w:hint="eastAsia" w:ascii="宋体" w:hAnsi="宋体" w:eastAsia="宋体" w:cs="宋体"/>
          <w:color w:val="auto"/>
          <w:sz w:val="24"/>
          <w:szCs w:val="24"/>
          <w:lang w:eastAsia="zh-CN"/>
        </w:rPr>
        <w:t>（GB 50147-2010）、</w:t>
      </w:r>
      <w:r>
        <w:rPr>
          <w:rFonts w:hint="eastAsia" w:ascii="宋体" w:hAnsi="宋体" w:eastAsia="宋体" w:cs="宋体"/>
          <w:color w:val="auto"/>
          <w:spacing w:val="-20"/>
          <w:sz w:val="24"/>
          <w:szCs w:val="24"/>
          <w:lang w:eastAsia="zh-CN"/>
        </w:rPr>
        <w:t>《高压开关设备六氟化硫气体密封试验方法》（GB/T 11023-2018）</w:t>
      </w:r>
      <w:r>
        <w:rPr>
          <w:rFonts w:hint="eastAsia" w:ascii="宋体" w:hAnsi="宋体" w:eastAsia="宋体" w:cs="宋体"/>
          <w:color w:val="auto"/>
          <w:sz w:val="24"/>
          <w:szCs w:val="24"/>
          <w:lang w:eastAsia="zh-CN"/>
        </w:rPr>
        <w:t>、《气体绝缘金属封闭开关设备现场耐压及绝缘试验导则》（DL/T 555-2004）、《高压交流断路器参数选用导则》（DL/T 615-2013）等规范及本章第24.1.12项的规定进行。</w:t>
      </w:r>
    </w:p>
    <w:p w14:paraId="062BF324">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24.7.2 气体绝缘输电管道母线（GIL）</w:t>
      </w:r>
    </w:p>
    <w:p w14:paraId="5F1B72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（1）法兰连接结构。</w:t>
      </w:r>
    </w:p>
    <w:p w14:paraId="3B161A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1）法兰连接结构的就位和组装，应清洁整个管道内壁，并在导体触头上和O型密封圈涂润滑脂。</w:t>
      </w:r>
    </w:p>
    <w:p w14:paraId="5A0D8B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2）在法兰对角孔上，将导向杆插入对接后，将螺栓紧固到预定力矩。随后安装基础座上的导向限制块或固定支座的固定螺栓。</w:t>
      </w:r>
    </w:p>
    <w:p w14:paraId="549C2D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3）完成一个完整气隔段安装后，抽真空及充SF6气体，并检测泄漏。</w:t>
      </w:r>
    </w:p>
    <w:p w14:paraId="069958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4）GIL 外壳接地方式采用全连式多点接地。短路排与明敷地面接地铜排采用铜铝过渡方式相连，接地铜排与全厂接地网相接。短路排处及所有钢支撑座均可靠接地。</w:t>
      </w:r>
    </w:p>
    <w:p w14:paraId="43D964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5）未在工厂进行试验的压力释放阀，到现场后应进行试验与调整。</w:t>
      </w:r>
    </w:p>
    <w:p w14:paraId="05E725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（2）焊接连接结构，承包人应配合供货商代表进行以下现场对口焊接的辅助工作。</w:t>
      </w:r>
    </w:p>
    <w:p w14:paraId="0F87C9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1）埋设在混凝土内的GIL设备基础埋件。</w:t>
      </w:r>
    </w:p>
    <w:p w14:paraId="673C2A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2）安装GIL专用接地铜母线、该铜母线与电站接地系统的连接。</w:t>
      </w:r>
    </w:p>
    <w:p w14:paraId="0A322C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3）现地信号汇接箱与电站计算机监控系统连接。</w:t>
      </w:r>
    </w:p>
    <w:p w14:paraId="41D452A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（3）GIL 管道母线的检查、试验和验收，应按《高压开关设备六氟化硫气体密封试验方法》（GB/T 11023-2018）、</w:t>
      </w:r>
      <w:r>
        <w:rPr>
          <w:rFonts w:hint="eastAsia" w:ascii="宋体" w:hAnsi="宋体" w:eastAsia="宋体" w:cs="宋体"/>
          <w:color w:val="auto"/>
          <w:spacing w:val="20"/>
          <w:sz w:val="24"/>
          <w:szCs w:val="24"/>
          <w:lang w:eastAsia="zh-CN"/>
        </w:rPr>
        <w:t>《电气装置安装工程电气设备交接试验标准》</w:t>
      </w:r>
      <w:r>
        <w:rPr>
          <w:rFonts w:hint="eastAsia" w:ascii="宋体" w:hAnsi="宋体" w:eastAsia="宋体" w:cs="宋体"/>
          <w:color w:val="auto"/>
          <w:sz w:val="24"/>
          <w:szCs w:val="24"/>
          <w:lang w:eastAsia="zh-CN"/>
        </w:rPr>
        <w:t>（GB 50150-2016）、</w:t>
      </w:r>
      <w:r>
        <w:rPr>
          <w:rFonts w:hint="eastAsia" w:ascii="宋体" w:hAnsi="宋体" w:eastAsia="宋体" w:cs="宋体"/>
          <w:color w:val="auto"/>
          <w:spacing w:val="23"/>
          <w:sz w:val="24"/>
          <w:szCs w:val="24"/>
          <w:lang w:eastAsia="zh-CN"/>
        </w:rPr>
        <w:t>《气体绝缘金属封闭开关设备现场耐压及绝缘试验导则》</w:t>
      </w:r>
      <w:r>
        <w:rPr>
          <w:rFonts w:hint="eastAsia" w:ascii="宋体" w:hAnsi="宋体" w:eastAsia="宋体" w:cs="宋体"/>
          <w:color w:val="auto"/>
          <w:sz w:val="24"/>
          <w:szCs w:val="24"/>
          <w:lang w:eastAsia="zh-CN"/>
        </w:rPr>
        <w:t>（DL/T 555-2004）、</w:t>
      </w:r>
      <w:r>
        <w:rPr>
          <w:rFonts w:hint="eastAsia" w:ascii="宋体" w:hAnsi="宋体" w:eastAsia="宋体" w:cs="宋体"/>
          <w:color w:val="auto"/>
          <w:spacing w:val="-20"/>
          <w:sz w:val="24"/>
          <w:szCs w:val="24"/>
          <w:lang w:eastAsia="zh-CN"/>
        </w:rPr>
        <w:t>《气体绝缘金属封闭开关设备现场交接试验规程》（DL/T 618-2011）</w:t>
      </w:r>
      <w:r>
        <w:rPr>
          <w:rFonts w:hint="eastAsia" w:ascii="宋体" w:hAnsi="宋体" w:eastAsia="宋体" w:cs="宋体"/>
          <w:color w:val="auto"/>
          <w:sz w:val="24"/>
          <w:szCs w:val="24"/>
          <w:lang w:eastAsia="zh-CN"/>
        </w:rPr>
        <w:t>、《气体绝缘金属封闭输电线路技术条件》（DL/T 978-2018）等规范及本章第24.1.12项的规定进行。</w:t>
      </w:r>
    </w:p>
    <w:p w14:paraId="0974520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24.7.3 高压电缆</w:t>
      </w:r>
    </w:p>
    <w:p w14:paraId="4E7C6D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（1）电缆支架的安装应固定牢固、无显著变形，全长应有良好接地。</w:t>
      </w:r>
    </w:p>
    <w:p w14:paraId="168A4A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（2）当采用机械敷设电缆时，应控制电缆承受的拉力、敷设速度不超过《电气装置安装工程电缆线路施工及验收标准》（GB 50168-2018）第6.1节规定的限值。</w:t>
      </w:r>
    </w:p>
    <w:p w14:paraId="5257A5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（3）在复杂条件下用机械敷设大截面电缆时，应编制施工措施，确定敷设方法、线盘架设位置、电缆牵引方向，校核牵引力和侧压力，配备敷设人员和机具。</w:t>
      </w:r>
    </w:p>
    <w:p w14:paraId="0775ED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（4）电缆终端安装，应遵守</w:t>
      </w:r>
      <w:r>
        <w:rPr>
          <w:rFonts w:hint="eastAsia" w:ascii="宋体" w:hAnsi="宋体" w:eastAsia="宋体" w:cs="宋体"/>
          <w:color w:val="auto"/>
          <w:spacing w:val="20"/>
          <w:sz w:val="24"/>
          <w:szCs w:val="24"/>
          <w:lang w:eastAsia="zh-CN"/>
        </w:rPr>
        <w:t>《电气装置安装工程电缆线路施工及验收标准》</w:t>
      </w:r>
      <w:r>
        <w:rPr>
          <w:rFonts w:hint="eastAsia" w:ascii="宋体" w:hAnsi="宋体" w:eastAsia="宋体" w:cs="宋体"/>
          <w:color w:val="auto"/>
          <w:sz w:val="24"/>
          <w:szCs w:val="24"/>
          <w:lang w:eastAsia="zh-CN"/>
        </w:rPr>
        <w:t>（GB 50168-2018）第7.2节的要求，电缆终端、接头均不应有渗漏。</w:t>
      </w:r>
    </w:p>
    <w:p w14:paraId="5234AA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（5）高压电缆的检查、试验和验收，应按《电气装置安装工程电缆线路施工及验收标准》（GB 50168-2018）、</w:t>
      </w:r>
      <w:r>
        <w:rPr>
          <w:rFonts w:hint="eastAsia" w:ascii="宋体" w:hAnsi="宋体" w:eastAsia="宋体" w:cs="宋体"/>
          <w:color w:val="auto"/>
          <w:spacing w:val="-20"/>
          <w:sz w:val="24"/>
          <w:szCs w:val="24"/>
          <w:lang w:eastAsia="zh-CN"/>
        </w:rPr>
        <w:t>《气体绝缘金属封闭输电线路技术条件》（DL/T 618-2022）</w:t>
      </w:r>
      <w:r>
        <w:rPr>
          <w:rFonts w:hint="eastAsia" w:ascii="宋体" w:hAnsi="宋体" w:eastAsia="宋体" w:cs="宋体"/>
          <w:color w:val="auto"/>
          <w:sz w:val="24"/>
          <w:szCs w:val="24"/>
          <w:lang w:eastAsia="zh-CN"/>
        </w:rPr>
        <w:t>等规范及本章第24.1.12项的规定进行。</w:t>
      </w:r>
    </w:p>
    <w:p w14:paraId="4970A84F">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24.7.4 敞开式电气设备</w:t>
      </w:r>
    </w:p>
    <w:p w14:paraId="01F5A8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（1）断路器及其操作机构应按施工安装图纸和本章第24.5.1项的有关规定进行安装。</w:t>
      </w:r>
    </w:p>
    <w:p w14:paraId="483FD4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（2）隔离开关。</w:t>
      </w:r>
    </w:p>
    <w:p w14:paraId="53B9BD2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l）隔离开关的组装，其相间距离的误差、支柱绝缘子垂直度、传动装置的安装与调整应符合供货商技术文件及</w:t>
      </w:r>
      <w:r>
        <w:rPr>
          <w:rFonts w:hint="eastAsia" w:ascii="宋体" w:hAnsi="宋体" w:eastAsia="宋体" w:cs="宋体"/>
          <w:color w:val="auto"/>
          <w:spacing w:val="28"/>
          <w:sz w:val="24"/>
          <w:szCs w:val="24"/>
          <w:lang w:eastAsia="zh-CN"/>
        </w:rPr>
        <w:t>《电气装置安装工程高压电器施工及验收规范》</w:t>
      </w:r>
      <w:r>
        <w:rPr>
          <w:rFonts w:hint="eastAsia" w:ascii="宋体" w:hAnsi="宋体" w:eastAsia="宋体" w:cs="宋体"/>
          <w:color w:val="auto"/>
          <w:sz w:val="24"/>
          <w:szCs w:val="24"/>
          <w:lang w:eastAsia="zh-CN"/>
        </w:rPr>
        <w:t>（GB 50147-2010）规定，相间连杆应在同一水平线上。</w:t>
      </w:r>
    </w:p>
    <w:p w14:paraId="179B20E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2）隔离开关触头应接触紧密良好。合闸时三相不同期值、相间距离及分闸时触头打开角度和距离应符合产品技术标准的要求。</w:t>
      </w:r>
    </w:p>
    <w:p w14:paraId="3549B7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3）操动机构、传动装置、辅助开关及闭锁装置应安装牢固，动作灵活可靠，位置指示正确，无渗漏。隔离开关触头及操动机构的金属传动部件应有防锈措施。</w:t>
      </w:r>
    </w:p>
    <w:p w14:paraId="681EE4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（3）电容式电压互感器。</w:t>
      </w:r>
    </w:p>
    <w:p w14:paraId="0437FA2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1）互感器必须根据产品成套供应的组件编号进行安装。各组件连接接触面应无氧化层，并涂以电力复合脂。</w:t>
      </w:r>
    </w:p>
    <w:p w14:paraId="72843E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2）起吊分压电容器及电磁单元时，必须利用电磁单元油箱上的吊耳起吊。互感器与基础紧固应注意因螺栓局部过紧造成底盖变形而引起的绝缘油渗漏。</w:t>
      </w:r>
    </w:p>
    <w:p w14:paraId="566BE9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3）互感器整体倾斜度不得大于高度的2‰。</w:t>
      </w:r>
    </w:p>
    <w:p w14:paraId="04F3E3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4）互感器安装，还应遵守《电气装置安装工程电力变压器、油浸电抗器、互感器施工及验收规范》（GB 50148-2010）的规定。</w:t>
      </w:r>
    </w:p>
    <w:p w14:paraId="1B6914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（4）避雷器。</w:t>
      </w:r>
    </w:p>
    <w:p w14:paraId="293ECA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1）避雷器各元件分件，组装编号；避雷器垂直度应与设备供货商技术文件相符。</w:t>
      </w:r>
    </w:p>
    <w:p w14:paraId="68F0B8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2）每台避雷器的支撑绝缘子应受力均匀，并注意放好绝缘套及绝缘垫。</w:t>
      </w:r>
    </w:p>
    <w:p w14:paraId="75DF95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3）避雷器各连接处接触面去除氧化膜，涂敷电力复合脂，接触良好。</w:t>
      </w:r>
    </w:p>
    <w:p w14:paraId="1D6D6A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4）避雷器，还应遵守</w:t>
      </w:r>
      <w:r>
        <w:rPr>
          <w:rFonts w:hint="eastAsia" w:ascii="宋体" w:hAnsi="宋体" w:eastAsia="宋体" w:cs="宋体"/>
          <w:color w:val="auto"/>
          <w:spacing w:val="45"/>
          <w:sz w:val="24"/>
          <w:szCs w:val="24"/>
          <w:lang w:eastAsia="zh-CN"/>
        </w:rPr>
        <w:t>《电气装置安装工程高压电器施工及验收规范》</w:t>
      </w:r>
      <w:r>
        <w:rPr>
          <w:rFonts w:hint="eastAsia" w:ascii="宋体" w:hAnsi="宋体" w:eastAsia="宋体" w:cs="宋体"/>
          <w:color w:val="auto"/>
          <w:sz w:val="24"/>
          <w:szCs w:val="24"/>
          <w:lang w:eastAsia="zh-CN"/>
        </w:rPr>
        <w:t>（GB 50147-2010）的规定。</w:t>
      </w:r>
    </w:p>
    <w:p w14:paraId="0999B2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（5）软导线。</w:t>
      </w:r>
    </w:p>
    <w:p w14:paraId="68652B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1）软导线安装长度采用麻绳实际量取，其弧垂度允许偏差小于10%，并符合室外配电装置的电气安全距离要求。</w:t>
      </w:r>
    </w:p>
    <w:p w14:paraId="0C4326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2）导线与线夹采用液压压接，压接前先清洗线夹内表面。软导线穿管部分用钢丝刷清理干净氧化层，用清洗剂清洗后涂敷电力复合脂。</w:t>
      </w:r>
    </w:p>
    <w:p w14:paraId="072B6A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3）插入线夹铝管内的铝导线，注意线夹方向及加工面和导线的弯曲方向。选择合适的模具进行压接，施压时相邻两模应重叠5mm 。首次模压后，检查对边尺寸应符合标准，飞边应修平、磨光。</w:t>
      </w:r>
    </w:p>
    <w:p w14:paraId="27A885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4）导线与设备连接后用0.05mm塞尺检查，塞入深度应小于6mm。</w:t>
      </w:r>
    </w:p>
    <w:p w14:paraId="071770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5）导线与设备连接后导线弧垂、驰度要符合施工安装图纸要求。</w:t>
      </w:r>
    </w:p>
    <w:p w14:paraId="29476E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（6）硬母线的安装应遵守</w:t>
      </w:r>
      <w:r>
        <w:rPr>
          <w:rFonts w:hint="eastAsia" w:ascii="宋体" w:hAnsi="宋体" w:eastAsia="宋体" w:cs="宋体"/>
          <w:color w:val="auto"/>
          <w:spacing w:val="40"/>
          <w:sz w:val="24"/>
          <w:szCs w:val="24"/>
          <w:lang w:eastAsia="zh-CN"/>
        </w:rPr>
        <w:t>《电气装置安装工程母线装置施工及验收规范》</w:t>
      </w:r>
      <w:r>
        <w:rPr>
          <w:rFonts w:hint="eastAsia" w:ascii="宋体" w:hAnsi="宋体" w:eastAsia="宋体" w:cs="宋体"/>
          <w:color w:val="auto"/>
          <w:sz w:val="24"/>
          <w:szCs w:val="24"/>
          <w:lang w:eastAsia="zh-CN"/>
        </w:rPr>
        <w:t>（GB 50149-2010）第2.3节及参照本章第24.5.2项的有关规定。</w:t>
      </w:r>
    </w:p>
    <w:p w14:paraId="345E8B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（7）敞开式电气设备的检查、试验和验收，应按《电气装置安装工程高压电器施工及验收规范》（GB 50147-2010）、《电气装置安装工程电力变压器、油浸电抗器、互感器施工及验收规范》（GB 50148-2010）、《电气装置安装工程母线装置施工及验收规范》（GB 50149-2010）、</w:t>
      </w:r>
      <w:r>
        <w:rPr>
          <w:rFonts w:hint="eastAsia" w:ascii="宋体" w:hAnsi="宋体" w:eastAsia="宋体" w:cs="宋体"/>
          <w:color w:val="auto"/>
          <w:spacing w:val="40"/>
          <w:sz w:val="24"/>
          <w:szCs w:val="24"/>
          <w:lang w:eastAsia="zh-CN"/>
        </w:rPr>
        <w:t>《电气装置安装工程电气设备交接试验标准》</w:t>
      </w:r>
      <w:r>
        <w:rPr>
          <w:rFonts w:hint="eastAsia" w:ascii="宋体" w:hAnsi="宋体" w:eastAsia="宋体" w:cs="宋体"/>
          <w:color w:val="auto"/>
          <w:sz w:val="24"/>
          <w:szCs w:val="24"/>
          <w:lang w:eastAsia="zh-CN"/>
        </w:rPr>
        <w:t>（GB 50150-2016）、</w:t>
      </w:r>
      <w:r>
        <w:rPr>
          <w:rFonts w:hint="eastAsia" w:ascii="宋体" w:hAnsi="宋体" w:eastAsia="宋体" w:cs="宋体"/>
          <w:color w:val="auto"/>
          <w:spacing w:val="-11"/>
          <w:sz w:val="24"/>
          <w:szCs w:val="24"/>
          <w:lang w:eastAsia="zh-CN"/>
        </w:rPr>
        <w:t>《电气装置安装工程接地装置施工及验收规范》（GB 50169-2016）</w:t>
      </w:r>
      <w:r>
        <w:rPr>
          <w:rFonts w:hint="eastAsia" w:ascii="宋体" w:hAnsi="宋体" w:eastAsia="宋体" w:cs="宋体"/>
          <w:color w:val="auto"/>
          <w:sz w:val="24"/>
          <w:szCs w:val="24"/>
          <w:lang w:eastAsia="zh-CN"/>
        </w:rPr>
        <w:t>、《电气装置安装工程盘、柜及二次回路接线施工及验收规范》（GB 50171-2012）等规范及本章第24.1.12项的规定进行。</w:t>
      </w:r>
    </w:p>
    <w:p w14:paraId="2A21960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24.7.5 高压并联电抗器及其附属设备</w:t>
      </w:r>
    </w:p>
    <w:p w14:paraId="6584B7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（l）电抗器及其附属设备的安装，应遵守《电气装置安装工程电力变压器、油浸电抗器、互感器施工及验收规范》（GB 50148-2010）及参照本章第24.6款的有关规定。</w:t>
      </w:r>
    </w:p>
    <w:p w14:paraId="2F929E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（2）电抗器及其附属设备的检查、试验和验收，应按《电气装置安装工程电力变压器、油浸电抗器、互感器施工及验收规范》（GB 50148-2010）、《电气装置安装工程电气设备交接试验标准》（GB 50150-2016）、《电气装置安装工程接地装置施工及验收规范》（GB 50169-2016）、《电气装置安装工程盘、柜及二次回路接线施工及验收规范》（GB 50171-2012）等规范及本章第24.1.12项的规定进行。</w:t>
      </w:r>
    </w:p>
    <w:p w14:paraId="26E4F16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79" w:name="_Toc8100"/>
      <w:bookmarkStart w:id="1680" w:name="_Toc25795"/>
      <w:bookmarkStart w:id="1681" w:name="_Toc29055"/>
      <w:r>
        <w:rPr>
          <w:rFonts w:hint="eastAsia" w:ascii="宋体" w:hAnsi="宋体" w:eastAsia="宋体" w:cs="宋体"/>
          <w:b/>
          <w:bCs/>
          <w:color w:val="auto"/>
          <w:sz w:val="24"/>
          <w:szCs w:val="24"/>
          <w:lang w:eastAsia="zh-CN"/>
        </w:rPr>
        <w:t>24.8 厂用电系统安装</w:t>
      </w:r>
      <w:bookmarkEnd w:id="1679"/>
      <w:bookmarkEnd w:id="1680"/>
      <w:bookmarkEnd w:id="1681"/>
    </w:p>
    <w:p w14:paraId="380DDEF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24.8.1 厂用变压器</w:t>
      </w:r>
    </w:p>
    <w:p w14:paraId="072EE4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厂用变压器的检查、试验和验收，应遵守《电气装置安装工程电力变压器、油浸电抗器、互感器施工及验收规范》（GB 50148-2010）、《电力变压器第11部分：干式变压器》（GB/T 1094.11-2022）、《电气装置安装工程电气设备交接试验标准》（GB 50150-2016）、</w:t>
      </w:r>
      <w:r>
        <w:rPr>
          <w:rFonts w:hint="eastAsia" w:ascii="宋体" w:hAnsi="宋体" w:eastAsia="宋体" w:cs="宋体"/>
          <w:color w:val="auto"/>
          <w:spacing w:val="-11"/>
          <w:sz w:val="24"/>
          <w:szCs w:val="24"/>
          <w:lang w:eastAsia="zh-CN"/>
        </w:rPr>
        <w:t>《电气装置安装工程接地装置施工及验收规范》（GB 50169-2016）</w:t>
      </w:r>
      <w:r>
        <w:rPr>
          <w:rFonts w:hint="eastAsia" w:ascii="宋体" w:hAnsi="宋体" w:eastAsia="宋体" w:cs="宋体"/>
          <w:color w:val="auto"/>
          <w:sz w:val="24"/>
          <w:szCs w:val="24"/>
          <w:lang w:eastAsia="zh-CN"/>
        </w:rPr>
        <w:t>、《电气装置安装工程盘、柜及二次回路接线施工及验收规范》（GB 50171-2012）等规范及本章第24.1.12项的规定进行。</w:t>
      </w:r>
    </w:p>
    <w:p w14:paraId="2D067C0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24.8.2 柴油发电机组</w:t>
      </w:r>
    </w:p>
    <w:p w14:paraId="6CD0526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柴油发电机组的检查、试验和验收，应按《电气装置安装工程高压电器施工及验收规范》（GB 50147-2010）、《电气装置安装工程电力变压器、油浸电抗器、互感器施工及验收规范》（GB 50148-2010）、《电气装置安装工程母线装置施工及验收规范》（GB 50149-2010）、</w:t>
      </w:r>
      <w:r>
        <w:rPr>
          <w:rFonts w:hint="eastAsia" w:ascii="宋体" w:hAnsi="宋体" w:eastAsia="宋体" w:cs="宋体"/>
          <w:color w:val="auto"/>
          <w:spacing w:val="45"/>
          <w:sz w:val="24"/>
          <w:szCs w:val="24"/>
          <w:lang w:eastAsia="zh-CN"/>
        </w:rPr>
        <w:t>《电气装置安装工程电缆线路施工及验收标准》</w:t>
      </w:r>
      <w:r>
        <w:rPr>
          <w:rFonts w:hint="eastAsia" w:ascii="宋体" w:hAnsi="宋体" w:eastAsia="宋体" w:cs="宋体"/>
          <w:color w:val="auto"/>
          <w:sz w:val="24"/>
          <w:szCs w:val="24"/>
          <w:lang w:eastAsia="zh-CN"/>
        </w:rPr>
        <w:t>（GB 50168-2018）、</w:t>
      </w:r>
      <w:r>
        <w:rPr>
          <w:rFonts w:hint="eastAsia" w:ascii="宋体" w:hAnsi="宋体" w:eastAsia="宋体" w:cs="宋体"/>
          <w:color w:val="auto"/>
          <w:spacing w:val="-11"/>
          <w:sz w:val="24"/>
          <w:szCs w:val="24"/>
          <w:lang w:eastAsia="zh-CN"/>
        </w:rPr>
        <w:t>《电气装置安装工程接地装置施工及验收规范》（GB 50169-2016）</w:t>
      </w:r>
      <w:r>
        <w:rPr>
          <w:rFonts w:hint="eastAsia" w:ascii="宋体" w:hAnsi="宋体" w:eastAsia="宋体" w:cs="宋体"/>
          <w:color w:val="auto"/>
          <w:sz w:val="24"/>
          <w:szCs w:val="24"/>
          <w:lang w:eastAsia="zh-CN"/>
        </w:rPr>
        <w:t>、《电气装置安装工程旋转电机施工及验收标准》（GB 50170-2018）、《电气装置安装工程盘、柜及二次回路接线施工及验收规范》（GB 50171-2012）和《电气装置安装工程电气设备交接试验标准》（GB 50150-2016）等规范及本章第24.1.12项的规定进行。</w:t>
      </w:r>
    </w:p>
    <w:p w14:paraId="0EF65F6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24.8.3 高、低压开关柜</w:t>
      </w:r>
    </w:p>
    <w:p w14:paraId="1CB619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（1）屏、柜及端子箱基础应按施工安装图纸要求与接地网可靠连接。</w:t>
      </w:r>
    </w:p>
    <w:p w14:paraId="10F686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（2）高、低压开关柜的检查、试验和验收，应按《电气装置安装工程高压电器施工及验收规范》（GB 50147-2010）、《电气装置安装工程母线装置施工及验收规范》（GB 50149-2010）、</w:t>
      </w:r>
      <w:r>
        <w:rPr>
          <w:rFonts w:hint="eastAsia" w:ascii="宋体" w:hAnsi="宋体" w:eastAsia="宋体" w:cs="宋体"/>
          <w:color w:val="auto"/>
          <w:spacing w:val="11"/>
          <w:sz w:val="24"/>
          <w:szCs w:val="24"/>
          <w:lang w:eastAsia="zh-CN"/>
        </w:rPr>
        <w:t>《电气装置安装工程盘、柜及二次回路接线施工及验收规范》</w:t>
      </w:r>
      <w:r>
        <w:rPr>
          <w:rFonts w:hint="eastAsia" w:ascii="宋体" w:hAnsi="宋体" w:eastAsia="宋体" w:cs="宋体"/>
          <w:color w:val="auto"/>
          <w:sz w:val="24"/>
          <w:szCs w:val="24"/>
          <w:lang w:eastAsia="zh-CN"/>
        </w:rPr>
        <w:t>（GB 50171-2012）、</w:t>
      </w:r>
      <w:r>
        <w:rPr>
          <w:rFonts w:hint="eastAsia" w:ascii="宋体" w:hAnsi="宋体" w:eastAsia="宋体" w:cs="宋体"/>
          <w:color w:val="auto"/>
          <w:spacing w:val="-11"/>
          <w:sz w:val="24"/>
          <w:szCs w:val="24"/>
          <w:lang w:eastAsia="zh-CN"/>
        </w:rPr>
        <w:t>《电气装置安装工程接地装置施工及验收规范》（GB 50169-2016）</w:t>
      </w:r>
      <w:r>
        <w:rPr>
          <w:rFonts w:hint="eastAsia" w:ascii="宋体" w:hAnsi="宋体" w:eastAsia="宋体" w:cs="宋体"/>
          <w:color w:val="auto"/>
          <w:sz w:val="24"/>
          <w:szCs w:val="24"/>
          <w:lang w:eastAsia="zh-CN"/>
        </w:rPr>
        <w:t>和《电气装置安装工程盘、柜及二次回路接线施工及验收规范》（GB 50171-2012）等规范及本章第24.1.12项的规定进行。</w:t>
      </w:r>
    </w:p>
    <w:p w14:paraId="5C91E3CA">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82" w:name="_Toc8617"/>
      <w:bookmarkStart w:id="1683" w:name="_Toc21250"/>
      <w:bookmarkStart w:id="1684" w:name="_Toc15700"/>
      <w:r>
        <w:rPr>
          <w:rFonts w:hint="eastAsia" w:ascii="宋体" w:hAnsi="宋体" w:eastAsia="宋体" w:cs="宋体"/>
          <w:b/>
          <w:bCs/>
          <w:color w:val="auto"/>
          <w:sz w:val="24"/>
          <w:szCs w:val="24"/>
          <w:lang w:eastAsia="zh-CN"/>
        </w:rPr>
        <w:t>24.9 照明系统安装</w:t>
      </w:r>
      <w:bookmarkEnd w:id="1682"/>
      <w:bookmarkEnd w:id="1683"/>
      <w:bookmarkEnd w:id="1684"/>
    </w:p>
    <w:p w14:paraId="63DCA4A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（1）照明管路的埋设应按施工安装图纸要求埋设，电缆导管的安装详见本技术条款第23.3款。</w:t>
      </w:r>
    </w:p>
    <w:p w14:paraId="22A6A1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（2）配线前，应进行各回路的绝缘检查，绝缘电阻值应符合现行国家标准的有关规定。电线、电缆的回路标记清晰，接地可靠。</w:t>
      </w:r>
    </w:p>
    <w:p w14:paraId="6D8B69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（3）照明系统的检查、试验和验收，应按施工安装图纸、供货商技术文件和《建筑电气工程施工质量验收规范》（GB 50303-2015）、《建筑电气照明装置施工与验收规范》（GB 50617-2010）等规范及本章第24.1.12项的规定进行。</w:t>
      </w:r>
    </w:p>
    <w:p w14:paraId="185C29DA">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85" w:name="_Toc12453"/>
      <w:bookmarkStart w:id="1686" w:name="_Toc17964"/>
      <w:bookmarkStart w:id="1687" w:name="_Toc8839"/>
      <w:r>
        <w:rPr>
          <w:rFonts w:hint="eastAsia" w:ascii="宋体" w:hAnsi="宋体" w:eastAsia="宋体" w:cs="宋体"/>
          <w:b/>
          <w:bCs/>
          <w:color w:val="auto"/>
          <w:sz w:val="24"/>
          <w:szCs w:val="24"/>
          <w:lang w:eastAsia="zh-CN"/>
        </w:rPr>
        <w:t>24.10 接地系统安装</w:t>
      </w:r>
      <w:bookmarkEnd w:id="1685"/>
      <w:bookmarkEnd w:id="1686"/>
      <w:bookmarkEnd w:id="1687"/>
    </w:p>
    <w:p w14:paraId="22BE40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（1）承包人应负责接地体、接地连接件的制作和接地装置的敷设。</w:t>
      </w:r>
    </w:p>
    <w:p w14:paraId="77BE34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（2）接地装置的埋设部分隐蔽前，承包人会同监理人共同检查埋设质量，做好中间检查。发现质量不合格的，承包人应进行修复。</w:t>
      </w:r>
    </w:p>
    <w:p w14:paraId="56F44B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（3）承包人应按施工安装图纸要求，进行电气设备、构架、基础和辅助装置的工作接地、保护接地和防雷接地，以及所有明敷接地线及接地引线的敷设和连接。</w:t>
      </w:r>
    </w:p>
    <w:p w14:paraId="7501C5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（4）已完工的接地系统应进行初步测试，如测试值不能满足施工安装图纸要求时，应由监理人会同承包人及有关方面采取措施解决，并提交“接地系统初步测试报告”。</w:t>
      </w:r>
    </w:p>
    <w:p w14:paraId="60034C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（5）全厂接地系统完工后，承包人应会同监理人及有关部门，对全厂接地系统的接地电阻、接触电位差、跨步电位差以及接地网的连通等进行全面检查、测试和验收，并提交“全厂接地系统测试报告”。</w:t>
      </w:r>
    </w:p>
    <w:p w14:paraId="799A5B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（6）接地系统的检查、试验和验收，应按《接地系统的土壤电阻率、接地阻抗和地面电位测量导则第1部分：常规测量》（GB/T 17949.1-2000）、《接地装置特性参数测量导则》（DL/T 475-2017）、《电气装置安装工程接地装置施工及验收规范》（GB 50169-2016）等规范及本章第24.1.12项的规定进行。</w:t>
      </w:r>
    </w:p>
    <w:p w14:paraId="31A9ED80">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88" w:name="_Toc19935"/>
      <w:bookmarkStart w:id="1689" w:name="_Toc8351"/>
      <w:bookmarkStart w:id="1690" w:name="_Toc27448"/>
      <w:r>
        <w:rPr>
          <w:rFonts w:hint="eastAsia" w:ascii="宋体" w:hAnsi="宋体" w:eastAsia="宋体" w:cs="宋体"/>
          <w:b/>
          <w:bCs/>
          <w:color w:val="auto"/>
          <w:sz w:val="24"/>
          <w:szCs w:val="24"/>
          <w:lang w:eastAsia="zh-CN"/>
        </w:rPr>
        <w:t>24.11 控制保护系统安装</w:t>
      </w:r>
      <w:bookmarkEnd w:id="1688"/>
      <w:bookmarkEnd w:id="1689"/>
      <w:bookmarkEnd w:id="1690"/>
    </w:p>
    <w:p w14:paraId="5F091B0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24.11.1 计算机监控系统</w:t>
      </w:r>
    </w:p>
    <w:p w14:paraId="7B5F63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计算机监控系统应在供货商代表指导下，由承包人负责安装。工作内容包括主计算机及服务器、运行人员操作台和操作员工作站、模拟屏、网络和通信设备、音响报警和语音自动告警系统设备、工程师/培训站、GPS（卫星同步时钟系统）设备、现地控制单元屏柜、电源柜等。</w:t>
      </w:r>
    </w:p>
    <w:p w14:paraId="156B36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（2）承包人应在供货商代表的指导下进行计算机监控系统的外部输入/输出回路正确性的验证试验，以及系统的调试、调整和测试等现场试验。现场试验应遵守《电气装置安装工程电气设备交接试验标准》（GB 50150-2016）、《水电厂计算机监控系统试验验收规程》（DL/T 822-2024）的规定。</w:t>
      </w:r>
    </w:p>
    <w:p w14:paraId="4D1189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（3）计算机监控系统的安装，应遵守《电气装置安装工程盘、柜及二次回路接线施工及验收规范》（GB 50171-2012）、《电气装置安装工程电缆线路施工及验收标准》（GB 50168-2018）、</w:t>
      </w:r>
      <w:r>
        <w:rPr>
          <w:rFonts w:hint="eastAsia" w:ascii="宋体" w:hAnsi="宋体" w:eastAsia="宋体" w:cs="宋体"/>
          <w:color w:val="auto"/>
          <w:spacing w:val="-23"/>
          <w:sz w:val="24"/>
          <w:szCs w:val="24"/>
          <w:lang w:eastAsia="zh-CN"/>
        </w:rPr>
        <w:t>《水力发电厂计算机监控系统设计规范》（NB/T 10879-2021）</w:t>
      </w:r>
      <w:r>
        <w:rPr>
          <w:rFonts w:hint="eastAsia" w:ascii="宋体" w:hAnsi="宋体" w:eastAsia="宋体" w:cs="宋体"/>
          <w:color w:val="auto"/>
          <w:sz w:val="24"/>
          <w:szCs w:val="24"/>
          <w:lang w:eastAsia="zh-CN"/>
        </w:rPr>
        <w:t>、《水电厂计算机监控系统基本技术条件》（DL/T 578-2023）的规定和电站运行要求。</w:t>
      </w:r>
    </w:p>
    <w:p w14:paraId="34CEBC9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24.11.2 机组状态监测系统</w:t>
      </w:r>
    </w:p>
    <w:p w14:paraId="7A262C4B">
      <w:pPr>
        <w:pStyle w:val="8"/>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（1）机组状态监测系统应在供货商代表指导下，由承包人负责安装。工作内容包括各类传感器、数据采集设备和上位机设备，以及电缆和光缆敷设、电缆接线和光纤熔接工作。</w:t>
      </w:r>
    </w:p>
    <w:p w14:paraId="257E3C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（2）承包人应在供货商代表指导下进行机组状态监测系统的调试、调整和测试。现场试验包括数据采集功能测试、应用功能测试、通信功能测试和系统功能测试等。</w:t>
      </w:r>
    </w:p>
    <w:p w14:paraId="76F5DC8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（3）机组状态监测系统的安装，应遵守《电气装置安装工程盘、柜及二次回路接线施工及验收规范》（GB 50171-2012）、《电气装置安装工程电缆线路施工及验收标准》（GB 50168-2018）的规定。</w:t>
      </w:r>
    </w:p>
    <w:p w14:paraId="5119BFC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24.11.3 继电保护和安全自动装置</w:t>
      </w:r>
    </w:p>
    <w:p w14:paraId="63DEC0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（1）承包人应负责全厂继电保护和自动装置屏（柜）的安装、电缆和光缆的敷设、光纤熔接、屏测电缆接线和相关设备的二次回路接线等工作。</w:t>
      </w:r>
    </w:p>
    <w:p w14:paraId="738465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在供货商代表的指导下，进行继电保护和安全自动装置输入/输出回路正确性验证试验，绝缘电阻试验、二次回路耐压试验、电流电压互感器伏安特性试验和极性检查，其工作内容包括进行装置测试和调整、定制设定、模拟试验、电流电压试验、单机调试和联调、性能试验等。</w:t>
      </w:r>
    </w:p>
    <w:p w14:paraId="392663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（3）继电保护设备和安全自动装置的安装和试验，应遵守《电气装置安装工程盘、柜及二次回路接线施工及验收规范》（GB 50171-2012）、《电气装置安装工程电缆线路施工及验收标准》（GB 50168-2018）、《继电保护和安全自动装置通用技术条件》（DL/T 478-2013）、《水电厂机组自动化元件及系统运行维护与检验试验规程》（DL/T 619-2024）、</w:t>
      </w:r>
      <w:r>
        <w:rPr>
          <w:rFonts w:hint="eastAsia" w:ascii="宋体" w:hAnsi="宋体" w:eastAsia="宋体" w:cs="宋体"/>
          <w:color w:val="auto"/>
          <w:spacing w:val="-28"/>
          <w:sz w:val="24"/>
          <w:szCs w:val="24"/>
          <w:lang w:eastAsia="zh-CN"/>
        </w:rPr>
        <w:t>《电力系统继电保护及安全自动装置运行评价规程》（DL/T 623-2010）</w:t>
      </w:r>
      <w:r>
        <w:rPr>
          <w:rFonts w:hint="eastAsia" w:ascii="宋体" w:hAnsi="宋体" w:eastAsia="宋体" w:cs="宋体"/>
          <w:color w:val="auto"/>
          <w:sz w:val="24"/>
          <w:szCs w:val="24"/>
          <w:lang w:eastAsia="zh-CN"/>
        </w:rPr>
        <w:t>、《继电保护微机型试验装置技术条件》（DL/T 624-2023）和《电力系统继电保护及安全自动装置柜（屏）通用技术条件》（DL/T 720-2013）的规定。</w:t>
      </w:r>
    </w:p>
    <w:p w14:paraId="10C7820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24.11.4 直流系统设备</w:t>
      </w:r>
    </w:p>
    <w:p w14:paraId="50D42F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（1）直流系统设备的安装工作内容包括蓄电池组、充电柜、直流配电屏（柜）的安装及直流配电系统的电缆敷设和接线工作。</w:t>
      </w:r>
    </w:p>
    <w:p w14:paraId="772167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（2）承包人应在供货商代表的指导下，进行直流电源设备的外部输入/输出接线正确性验证试验、耐压及绝缘试验等。</w:t>
      </w:r>
    </w:p>
    <w:p w14:paraId="5797D0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在供货商代表的指导下，进行系统的调试和现场试验，试验项目包括绝缘监察及信号报警试验、蓄电池组容量试验、充电装置稳流精度测量、充电装置稳压精度测量、充电装置纹波系数测量、直流母线连续供电试验、微机控制自动转换程序试验等。</w:t>
      </w:r>
    </w:p>
    <w:p w14:paraId="761E25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（4）直流系统设备的安装和试验，应遵守《电气装置安装工程盘、柜及二次回路接线施工及验收规范》（GB 50171-2012）、《电气装置安装工程电缆线路施工及验收标准》（GB 50168-2018）、</w:t>
      </w:r>
      <w:r>
        <w:rPr>
          <w:rFonts w:hint="eastAsia" w:ascii="宋体" w:hAnsi="宋体" w:eastAsia="宋体" w:cs="宋体"/>
          <w:color w:val="auto"/>
          <w:spacing w:val="-34"/>
          <w:sz w:val="24"/>
          <w:szCs w:val="24"/>
          <w:lang w:eastAsia="zh-CN"/>
        </w:rPr>
        <w:t>《电气装置安装工程蓄电池施工及验收规范》（GB 50172-2012）</w:t>
      </w:r>
      <w:r>
        <w:rPr>
          <w:rFonts w:hint="eastAsia" w:ascii="宋体" w:hAnsi="宋体" w:eastAsia="宋体" w:cs="宋体"/>
          <w:color w:val="auto"/>
          <w:sz w:val="24"/>
          <w:szCs w:val="24"/>
          <w:lang w:eastAsia="zh-CN"/>
        </w:rPr>
        <w:t>、《电气装置安装工程电气设备交接试验标准》（GB 50150-2016）和《电力系统用蓄电池直流电源装置运行与维护技术规程》（DL/T 724-2021）的规定。</w:t>
      </w:r>
    </w:p>
    <w:p w14:paraId="7D95A82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24.11.5 工业电视系统</w:t>
      </w:r>
    </w:p>
    <w:p w14:paraId="716038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（1）工业电视系统的安装包括电视系统装备安装、电缆和光缆的敷设、电缆接线、光纤熔接等工作。</w:t>
      </w:r>
    </w:p>
    <w:p w14:paraId="135A10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（2）承包人应配合供货商代表进行工业电视系统的现场试验，其工作内容包括摄像机单体调试、系统调试、联动控制功能试验、网络功能试验等。</w:t>
      </w:r>
    </w:p>
    <w:p w14:paraId="013687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（3）工业电视系统的安装，应遵守</w:t>
      </w:r>
      <w:r>
        <w:rPr>
          <w:rFonts w:hint="eastAsia" w:ascii="宋体" w:hAnsi="宋体" w:eastAsia="宋体" w:cs="宋体"/>
          <w:color w:val="auto"/>
          <w:spacing w:val="20"/>
          <w:sz w:val="24"/>
          <w:szCs w:val="24"/>
          <w:lang w:eastAsia="zh-CN"/>
        </w:rPr>
        <w:t>《民用闭路监视电视系统工程技术规范》</w:t>
      </w:r>
      <w:r>
        <w:rPr>
          <w:rFonts w:hint="eastAsia" w:ascii="宋体" w:hAnsi="宋体" w:eastAsia="宋体" w:cs="宋体"/>
          <w:color w:val="auto"/>
          <w:sz w:val="24"/>
          <w:szCs w:val="24"/>
          <w:lang w:eastAsia="zh-CN"/>
        </w:rPr>
        <w:t>（GB 50198-2011）和《工业电视系统工程设计标准》（GB/T 50115-2019）的规定。</w:t>
      </w:r>
    </w:p>
    <w:p w14:paraId="2403183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24.11.6 管理信息系统</w:t>
      </w:r>
    </w:p>
    <w:p w14:paraId="25C4975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（1）承包人应在供货商代表指导下，进行管理信息系统的安装。其工作内容包括数据服务器、Web服务器、电子邮件服务器、网管工作站、网络交换机、防火墙等。</w:t>
      </w:r>
    </w:p>
    <w:p w14:paraId="01EE29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（2）承包人应配合供货商代表进行画面显示及修改、数据库数据修改、自诊断核实、与实时系统的数据通信试验，并进行管理信息系统的检测等现场试验工作。</w:t>
      </w:r>
    </w:p>
    <w:p w14:paraId="28CD1D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（3）管理信息系统的安装，应遵守《电气装置安装工程盘、柜及二次回路接线施工及验收规范》（GB 50171-2012）、《电气装置安装工程电缆线路施工及验收标准》（GB 50168-2018）的规定。</w:t>
      </w:r>
    </w:p>
    <w:p w14:paraId="5FEBA00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24.11.7 通风空调监控系统</w:t>
      </w:r>
    </w:p>
    <w:p w14:paraId="6D6751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（1）承包人应在供货商代表指导下，进行通风空调监控系统进行通风空调监控系统设备的安装。其工作内容包括上位机、通风空调现地控制箱（柜）、网络和通信设备、温湿度各类传感器等。</w:t>
      </w:r>
    </w:p>
    <w:p w14:paraId="2F9D1E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（2）承包人应配合供货商代表进行通风空调监控系统的调试、调整和测试等现场试验。其工作内容包括数据采集功能测试、应用功能测试、通信功能测试、系统性能测试等。</w:t>
      </w:r>
    </w:p>
    <w:p w14:paraId="39A2A9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（3）通风空调监控系统设备的安装，应遵守《电气装置安装工程盘、柜及二次回路接线施工及验收规范》（GB 50171-2012）、《电气装置安装工程电缆线路施工及验收标准》（GB 50168-2018）的规定。</w:t>
      </w:r>
    </w:p>
    <w:p w14:paraId="305DE8A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24.11.8 其他二次回路设备</w:t>
      </w:r>
    </w:p>
    <w:p w14:paraId="1DB221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（1）其他二次回路设备的安装包括机组附属设备、机械辅助设备和其他设备的控制柜、控制箱、测量柜、计量柜、端子箱等。</w:t>
      </w:r>
    </w:p>
    <w:p w14:paraId="55C7DA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其他二次回路设备的现场试验应包括输入／输出正确性验证试验、电源试验、绝缘电阻试验、二次回路耐压试验、电流电压互感器伏安特性试验和极性检查、模拟量零漂和精度检查、连续通电试验等的试验项目。</w:t>
      </w:r>
    </w:p>
    <w:p w14:paraId="6F0F20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（3）其他二次回路设备的安装、试验应遵守《电气装置安装工程盘、柜及二次回路接线施工及验收规范》（GB 50171-2012）、《电气装置安装工程电缆线路施工及验收标准》（GB 50168-2018）和</w:t>
      </w:r>
      <w:r>
        <w:rPr>
          <w:rFonts w:hint="eastAsia" w:ascii="宋体" w:hAnsi="宋体" w:eastAsia="宋体" w:cs="宋体"/>
          <w:color w:val="auto"/>
          <w:spacing w:val="34"/>
          <w:sz w:val="24"/>
          <w:szCs w:val="24"/>
          <w:lang w:eastAsia="zh-CN"/>
        </w:rPr>
        <w:t>《电气装置安装工程电气设备交接试验标准》</w:t>
      </w:r>
      <w:r>
        <w:rPr>
          <w:rFonts w:hint="eastAsia" w:ascii="宋体" w:hAnsi="宋体" w:eastAsia="宋体" w:cs="宋体"/>
          <w:color w:val="auto"/>
          <w:sz w:val="24"/>
          <w:szCs w:val="24"/>
          <w:lang w:eastAsia="zh-CN"/>
        </w:rPr>
        <w:t>（GB 50150-2016）等规范的规定。</w:t>
      </w:r>
    </w:p>
    <w:p w14:paraId="32562F3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24.11.9 控制保护系统的联调和验收</w:t>
      </w:r>
    </w:p>
    <w:p w14:paraId="2F5F234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控制保护系统各单元工程的现场试验、系统联调和验收，应按《电气装置安装工程盘、柜及二次回路接线施工及验收规范》（GB 50171-2012）、《电气装置安装工程蓄电池施工及验收规范》（GB 50172-2012）、《电气装置安装工程电缆线路施工及验收标准》（GB 50168-2018）、</w:t>
      </w:r>
      <w:r>
        <w:rPr>
          <w:rFonts w:hint="eastAsia" w:ascii="宋体" w:hAnsi="宋体" w:eastAsia="宋体" w:cs="宋体"/>
          <w:color w:val="auto"/>
          <w:spacing w:val="-34"/>
          <w:sz w:val="24"/>
          <w:szCs w:val="24"/>
          <w:lang w:eastAsia="zh-CN"/>
        </w:rPr>
        <w:t>《水电厂计算机监控系统试验验收规程》（DL/T 822-2024）</w:t>
      </w:r>
      <w:r>
        <w:rPr>
          <w:rFonts w:hint="eastAsia" w:ascii="宋体" w:hAnsi="宋体" w:eastAsia="宋体" w:cs="宋体"/>
          <w:color w:val="auto"/>
          <w:sz w:val="24"/>
          <w:szCs w:val="24"/>
          <w:lang w:eastAsia="zh-CN"/>
        </w:rPr>
        <w:t>、《电力系统用蓄电池直流电源装置运行与维护技术规程》（DL/T 724-2021）等规范及本章第24.1.12项的规定进行。</w:t>
      </w:r>
    </w:p>
    <w:p w14:paraId="6FD95F1D">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91" w:name="_Toc29470"/>
      <w:bookmarkStart w:id="1692" w:name="_Toc8773"/>
      <w:bookmarkStart w:id="1693" w:name="_Toc1037"/>
      <w:r>
        <w:rPr>
          <w:rFonts w:hint="eastAsia" w:ascii="宋体" w:hAnsi="宋体" w:eastAsia="宋体" w:cs="宋体"/>
          <w:b/>
          <w:bCs/>
          <w:color w:val="auto"/>
          <w:sz w:val="24"/>
          <w:szCs w:val="24"/>
          <w:lang w:eastAsia="zh-CN"/>
        </w:rPr>
        <w:t>24.12 通信系统安装</w:t>
      </w:r>
      <w:bookmarkEnd w:id="1691"/>
      <w:bookmarkEnd w:id="1692"/>
      <w:bookmarkEnd w:id="1693"/>
    </w:p>
    <w:p w14:paraId="0122D3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（1）通信系统设备的安装，还应满足电力系统和（或）电信系统的接入系统要求。</w:t>
      </w:r>
    </w:p>
    <w:p w14:paraId="300D02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（2）承包人应在供货商代表指导下，进行通信设备的安装工作。其工作内容包括通信设备机柜、电源柜、配线柜（箱）、电话分线盒、插座和电话机、维护管理工作站等。</w:t>
      </w:r>
    </w:p>
    <w:p w14:paraId="7E1855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（3）承包人应配合供货商代表进行通信系统的调试和测试，包括与电力系统、电信公网的联合调试工作。其调试和测试项目包括设备通电试验、系统性能测试、系统功能检查等。</w:t>
      </w:r>
    </w:p>
    <w:p w14:paraId="0698EC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（4）通信系统各单元工程的现场试验、系统联调和验收，应按《电力光纤通信工程验收规范》（DL/T 5344-2018）、</w:t>
      </w:r>
      <w:r>
        <w:rPr>
          <w:rFonts w:hint="eastAsia" w:ascii="宋体" w:hAnsi="宋体" w:eastAsia="宋体" w:cs="宋体"/>
          <w:color w:val="auto"/>
          <w:spacing w:val="-28"/>
          <w:sz w:val="24"/>
          <w:szCs w:val="24"/>
          <w:lang w:eastAsia="zh-CN"/>
        </w:rPr>
        <w:t>《通信电源设备安装工程验收规范》（GB 51199-2016）</w:t>
      </w:r>
      <w:r>
        <w:rPr>
          <w:rFonts w:hint="eastAsia" w:ascii="宋体" w:hAnsi="宋体" w:eastAsia="宋体" w:cs="宋体"/>
          <w:color w:val="auto"/>
          <w:sz w:val="24"/>
          <w:szCs w:val="24"/>
          <w:lang w:eastAsia="zh-CN"/>
        </w:rPr>
        <w:t>、《国内卫星通信地球站设备安装工程验收规范》（YD/T5017-2005）、《固定电话交换网工程验收规范》（YD5077-2014）、《同步数字体系（SDH）光纤传输系统工程验收规范》（YD5044-2014）、</w:t>
      </w:r>
      <w:r>
        <w:rPr>
          <w:rFonts w:hint="eastAsia" w:ascii="宋体" w:hAnsi="宋体" w:eastAsia="宋体" w:cs="宋体"/>
          <w:color w:val="auto"/>
          <w:spacing w:val="-34"/>
          <w:sz w:val="24"/>
          <w:szCs w:val="24"/>
          <w:lang w:eastAsia="zh-CN"/>
        </w:rPr>
        <w:t>《电气装置安装工程蓄电池施工及验收规范》（GB 50172-2012）</w:t>
      </w:r>
      <w:r>
        <w:rPr>
          <w:rFonts w:hint="eastAsia" w:ascii="宋体" w:hAnsi="宋体" w:eastAsia="宋体" w:cs="宋体"/>
          <w:color w:val="auto"/>
          <w:sz w:val="24"/>
          <w:szCs w:val="24"/>
          <w:lang w:eastAsia="zh-CN"/>
        </w:rPr>
        <w:t>、《电气装置安装工程盘、柜及二次回路接线施工及验收规范》（GB 50171-2012）、《通信管道工程施工及验收标准》（GB/T 50374-2018）、《电气装置安装工程电缆线路施工及验收标准》（GB 50168-2018）和《电气装置安装工程接地装置施工及验收规范》（GB 50169-2016）等规范及本章第24.1.12项的规定进行。</w:t>
      </w:r>
    </w:p>
    <w:p w14:paraId="33B86366">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94" w:name="_Toc23175"/>
      <w:bookmarkStart w:id="1695" w:name="_Toc26387"/>
      <w:bookmarkStart w:id="1696" w:name="_Toc10751"/>
      <w:r>
        <w:rPr>
          <w:rFonts w:hint="eastAsia" w:ascii="宋体" w:hAnsi="宋体" w:eastAsia="宋体" w:cs="宋体"/>
          <w:b/>
          <w:bCs/>
          <w:color w:val="auto"/>
          <w:sz w:val="24"/>
          <w:szCs w:val="24"/>
          <w:lang w:eastAsia="zh-CN"/>
        </w:rPr>
        <w:t>24.13 电缆线路安装</w:t>
      </w:r>
      <w:bookmarkEnd w:id="1694"/>
      <w:bookmarkEnd w:id="1695"/>
      <w:bookmarkEnd w:id="1696"/>
    </w:p>
    <w:p w14:paraId="43CA09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（1）电缆线路安装前，承包人应编制电缆统计清册和敷设路径图，提交监理人。</w:t>
      </w:r>
    </w:p>
    <w:p w14:paraId="38C974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（2）电缆管及桥架、支架应安装牢固、整齐，接地良好。</w:t>
      </w:r>
    </w:p>
    <w:p w14:paraId="2398E1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（3）电缆的配线和敷设，以及电缆终端与接头制作，应遵守《电气装置安装工程电缆线路施工及验收标准》（GB 50168-2018）第6章和第7章的规定。当采用机械敷设电缆时，应控制电缆承受的拉力、敷设速度不超过供货商技术文件和《电气装置安装工程电缆线路施工及验收标准》（GB 50168-2018）第6.1节的规定。</w:t>
      </w:r>
    </w:p>
    <w:p w14:paraId="3B07277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（4）直埋电缆在直线段每隔50-100m处及电缆接头、转弯、进入建筑物等处，均应设置明显的方位标志或标桩。</w:t>
      </w:r>
    </w:p>
    <w:p w14:paraId="1C814B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（5）屏蔽电缆和铠装电缆的屏蔽层，应按施工安装图纸要求的接地方式可靠接地。</w:t>
      </w:r>
    </w:p>
    <w:p w14:paraId="273F4C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（6）布放光缆及光钎熔接应按光钎供货商规定的工艺方法、采用专用设备进行熔接。</w:t>
      </w:r>
    </w:p>
    <w:p w14:paraId="4255BC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（7）电缆线路的检查、试验和验收，应按《电气装置安装工程电缆线路施工及验收标准》（GB 50168-2018）、</w:t>
      </w:r>
      <w:r>
        <w:rPr>
          <w:rFonts w:hint="eastAsia" w:ascii="宋体" w:hAnsi="宋体" w:eastAsia="宋体" w:cs="宋体"/>
          <w:color w:val="auto"/>
          <w:spacing w:val="34"/>
          <w:sz w:val="24"/>
          <w:szCs w:val="24"/>
          <w:lang w:eastAsia="zh-CN"/>
        </w:rPr>
        <w:t>《电气装置安装工程接地装置施工及验收规范》</w:t>
      </w:r>
      <w:r>
        <w:rPr>
          <w:rFonts w:hint="eastAsia" w:ascii="宋体" w:hAnsi="宋体" w:eastAsia="宋体" w:cs="宋体"/>
          <w:color w:val="auto"/>
          <w:sz w:val="24"/>
          <w:szCs w:val="24"/>
          <w:lang w:eastAsia="zh-CN"/>
        </w:rPr>
        <w:t>（GB 50169-2016）等规范及本章第24.1.12项的规定进行。</w:t>
      </w:r>
    </w:p>
    <w:p w14:paraId="6E3AFC7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697" w:name="_Toc27024"/>
      <w:bookmarkStart w:id="1698" w:name="_Toc25284"/>
      <w:bookmarkStart w:id="1699" w:name="_Toc31055"/>
      <w:r>
        <w:rPr>
          <w:rFonts w:hint="eastAsia" w:ascii="宋体" w:hAnsi="宋体" w:eastAsia="宋体" w:cs="宋体"/>
          <w:b/>
          <w:bCs/>
          <w:color w:val="auto"/>
          <w:sz w:val="24"/>
          <w:szCs w:val="24"/>
          <w:lang w:eastAsia="zh-CN"/>
        </w:rPr>
        <w:t>24.14 厂内起重设备安装</w:t>
      </w:r>
      <w:bookmarkEnd w:id="1697"/>
      <w:bookmarkEnd w:id="1698"/>
      <w:bookmarkEnd w:id="1699"/>
    </w:p>
    <w:p w14:paraId="67F54CE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24.14.1 桥式起重机</w:t>
      </w:r>
    </w:p>
    <w:p w14:paraId="48953A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（1）桥机轨道安装前，应测量和标定轨道安装基准中心线和安装高程，并核对检查轨道基础、吊车梁和安装埋件。轨道两端的车挡应定位准确。同跨同端的两个车挡与缓冲器应接触良好，轨道必须可靠接地。</w:t>
      </w:r>
    </w:p>
    <w:p w14:paraId="1FF8CE2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（2）滑接线支架的水平高程应定位准确，并与埋件焊接牢固。</w:t>
      </w:r>
    </w:p>
    <w:p w14:paraId="27085B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（3）桥机安装完毕后，承包人应清理各部位的锈蚀、脏斑、尘土等杂物，修补设备涂料。转动部件重新注入润滑油、脂。</w:t>
      </w:r>
    </w:p>
    <w:p w14:paraId="06B84C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（4）按合同约定，承包人应编制桥机负荷试验大纲，提交监理人批准。试验大纲的内容包括提供负荷试验设施、试验前检查、空载试验以及静、动负荷试验和多机联动试验等。</w:t>
      </w:r>
    </w:p>
    <w:p w14:paraId="675ACA7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（5）承包人应会同监理人和供货商代表共同按批准的试验大纲进行负荷试验，并邀请当地特种设备质监部门参加。承包人应在负荷试验后，编制桥机负荷试验成果报告，经各方签认后，提交监理人。</w:t>
      </w:r>
    </w:p>
    <w:p w14:paraId="211567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（6）桥机的机械、电气设备及轨道的检查、试验和验收，应按《起重设备安装工程施工及验收规范》（GB 50278-2010）、《起重机车轮及大车和小车轨道公差第1部分：总则》（GB/T  10183.1-2018）和《电气装置安装工程起重机电气装置施工及验收规范》（GB 50256-2014）等规范及本章第24.1.12项的规定进行。</w:t>
      </w:r>
    </w:p>
    <w:p w14:paraId="4D2AF62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24.14.2 单梁电动葫芦安装</w:t>
      </w:r>
    </w:p>
    <w:p w14:paraId="04315B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单梁电动葫芦的葫芦设备、电气控制设备、轨道、车挡等的安装及其检查、试验和验收参照本章第24.14.1项有关规定执行。</w:t>
      </w:r>
    </w:p>
    <w:p w14:paraId="749605AF">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00" w:name="_Toc1715"/>
      <w:bookmarkStart w:id="1701" w:name="_Toc8467"/>
      <w:bookmarkStart w:id="1702" w:name="_Toc20596"/>
      <w:r>
        <w:rPr>
          <w:rFonts w:hint="eastAsia" w:ascii="宋体" w:hAnsi="宋体" w:eastAsia="宋体" w:cs="宋体"/>
          <w:b/>
          <w:bCs/>
          <w:color w:val="auto"/>
          <w:sz w:val="24"/>
          <w:szCs w:val="24"/>
          <w:lang w:eastAsia="zh-CN"/>
        </w:rPr>
        <w:t>24.15 通风及空气调节系统安装</w:t>
      </w:r>
      <w:bookmarkEnd w:id="1700"/>
      <w:bookmarkEnd w:id="1701"/>
      <w:bookmarkEnd w:id="1702"/>
    </w:p>
    <w:p w14:paraId="3A64F99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（1）承包人应在供货商代表的指导下，按施工安装图纸、供货商技术文件以及有关规范的规定，进行以下通风及空调系统的制作和安装：</w:t>
      </w:r>
    </w:p>
    <w:p w14:paraId="4EC903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l）各类金属与非金属风管、钢板预埋风管的制作和安装。</w:t>
      </w:r>
    </w:p>
    <w:p w14:paraId="10A0F4E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2）风管部件与消声器的制作和安装。</w:t>
      </w:r>
    </w:p>
    <w:p w14:paraId="09DFFE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3）各类风机和空调设备的安装。</w:t>
      </w:r>
    </w:p>
    <w:p w14:paraId="714025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4）空调制冷设备、空调水系统设备及其附件的安装。</w:t>
      </w:r>
    </w:p>
    <w:p w14:paraId="44DAE8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5）通风及空调系统的防腐与绝热保护措施等。</w:t>
      </w:r>
    </w:p>
    <w:p w14:paraId="1D1268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（2）通风、空调设备均应有产品合格证；消防设备还应持有消防产品合格证。</w:t>
      </w:r>
    </w:p>
    <w:p w14:paraId="663429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（3）管道系统安装完毕后，应按施工安装图纸、本章第24.2.8项要求进行耐压试验。</w:t>
      </w:r>
    </w:p>
    <w:p w14:paraId="7A29A7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（4）制冷设备应进行严密性耐压试验和试运行。对组装式制冷机组和现场充注制冷剂机组，必须进行吹污、气密性试验、真空试验和充注制冷剂检漏试验。</w:t>
      </w:r>
    </w:p>
    <w:p w14:paraId="2B0FF2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（5）消防产品安装前，应进行电气试验，对有消防要求的防火阀、排烟阀等应进行逐台通电试验，试验合格才能安装。</w:t>
      </w:r>
    </w:p>
    <w:p w14:paraId="1DE16D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在通风与空调系统的调试及试运行前，承包人应编制系统调试方案提交监理人批准。系统调试方案的内容包括设备单机试运行、系统无负荷联合试运行、风管的渗漏检查、水管试压检漏，以及系统的综合能效调试等。调试结束后，承包人提交系统调试成果报告。</w:t>
      </w:r>
    </w:p>
    <w:p w14:paraId="6C2DAE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对已安装完成的防火、防烟和排烟系统，应按施工安装图纸要求，对每个系统进行分步试验以及其他项目试验。在完成每个系统试验后，应按消防控制系统的要求，进行消防系统的调试。调试结束后，承包人提交消防系统调试成果报告。</w:t>
      </w:r>
    </w:p>
    <w:p w14:paraId="2F8783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（8）通风和空调系统的检查、试验和验收，应按《建筑给水排水及采暖工程施工质量验收规范》（GB 50242-2002）、</w:t>
      </w:r>
      <w:r>
        <w:rPr>
          <w:rFonts w:hint="eastAsia" w:ascii="宋体" w:hAnsi="宋体" w:eastAsia="宋体" w:cs="宋体"/>
          <w:color w:val="auto"/>
          <w:spacing w:val="40"/>
          <w:sz w:val="24"/>
          <w:szCs w:val="24"/>
          <w:lang w:eastAsia="zh-CN"/>
        </w:rPr>
        <w:t>《通风与空调工程施工质量验收规范》</w:t>
      </w:r>
      <w:r>
        <w:rPr>
          <w:rFonts w:hint="eastAsia" w:ascii="宋体" w:hAnsi="宋体" w:eastAsia="宋体" w:cs="宋体"/>
          <w:color w:val="auto"/>
          <w:sz w:val="24"/>
          <w:szCs w:val="24"/>
          <w:lang w:eastAsia="zh-CN"/>
        </w:rPr>
        <w:t>（GB 50243-2016）、</w:t>
      </w:r>
      <w:r>
        <w:rPr>
          <w:rFonts w:hint="eastAsia" w:ascii="宋体" w:hAnsi="宋体" w:eastAsia="宋体" w:cs="宋体"/>
          <w:color w:val="auto"/>
          <w:spacing w:val="40"/>
          <w:sz w:val="24"/>
          <w:szCs w:val="24"/>
          <w:lang w:eastAsia="zh-CN"/>
        </w:rPr>
        <w:t>《制冷设备、空气分离设备安装工程施工及验收规范》</w:t>
      </w:r>
      <w:r>
        <w:rPr>
          <w:rFonts w:hint="eastAsia" w:ascii="宋体" w:hAnsi="宋体" w:eastAsia="宋体" w:cs="宋体"/>
          <w:color w:val="auto"/>
          <w:sz w:val="24"/>
          <w:szCs w:val="24"/>
          <w:lang w:eastAsia="zh-CN"/>
        </w:rPr>
        <w:t>（GB 50274-2010）、</w:t>
      </w:r>
      <w:r>
        <w:rPr>
          <w:rFonts w:hint="eastAsia" w:ascii="宋体" w:hAnsi="宋体" w:eastAsia="宋体" w:cs="宋体"/>
          <w:color w:val="auto"/>
          <w:spacing w:val="-17"/>
          <w:sz w:val="24"/>
          <w:szCs w:val="24"/>
          <w:lang w:eastAsia="zh-CN"/>
        </w:rPr>
        <w:t>《风机、压缩机、泵安装工程施工及验收规范》（GB 50275-2010）</w:t>
      </w:r>
      <w:r>
        <w:rPr>
          <w:rFonts w:hint="eastAsia" w:ascii="宋体" w:hAnsi="宋体" w:eastAsia="宋体" w:cs="宋体"/>
          <w:color w:val="auto"/>
          <w:sz w:val="24"/>
          <w:szCs w:val="24"/>
          <w:lang w:eastAsia="zh-CN"/>
        </w:rPr>
        <w:t>、《工业金属管道工程施工规范》（GB 50235-2010）、《机械设备安装工程施工及验收通用规范》（GB 50231-2009）、《通风管道技术规程》（JGJ/T 141-2017）等规范及本章第24.1.12项的规定进行，其中有关消防系统的调试成果报告应经消防主管部门签证。</w:t>
      </w:r>
    </w:p>
    <w:p w14:paraId="7CBB4C08">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03" w:name="_Toc22773"/>
      <w:bookmarkStart w:id="1704" w:name="_Toc13037"/>
      <w:bookmarkStart w:id="1705" w:name="_Toc15233"/>
      <w:r>
        <w:rPr>
          <w:rFonts w:hint="eastAsia" w:ascii="宋体" w:hAnsi="宋体" w:eastAsia="宋体" w:cs="宋体"/>
          <w:b/>
          <w:bCs/>
          <w:color w:val="auto"/>
          <w:sz w:val="24"/>
          <w:szCs w:val="24"/>
          <w:lang w:eastAsia="zh-CN"/>
        </w:rPr>
        <w:t>24.16 建筑给排水系统安装</w:t>
      </w:r>
      <w:bookmarkEnd w:id="1703"/>
      <w:bookmarkEnd w:id="1704"/>
      <w:bookmarkEnd w:id="1705"/>
    </w:p>
    <w:p w14:paraId="3860C5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（1）承包人应按施工安装图纸、供货商技术文件要求，负责建筑给排水系统设备及附件的采购、制作、安装和调试。给排水构筑物施工，还应遵守《给水排水构筑物工程施工及验收规范》（GB 50141-2008）的规定。</w:t>
      </w:r>
    </w:p>
    <w:p w14:paraId="738927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（2）管道防腐、保温要求应满足施工安装图纸的要求，并遵守《建筑给水排水及采暖工程施工质量验收规范》（GB 50242-2002）的规定。</w:t>
      </w:r>
    </w:p>
    <w:p w14:paraId="6FB44D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（3）生活给水管道系统安装后应进行冲洗，生活饮用水的输送管道，应遵守《生活饮用水卫生标准》（GB 5749-2022）的规定。给水管道安装完毕后应按施工安装图纸和《建筑给水排水及采暖工程施工质量验收规范》（GB 50242-2002）的规定进行试压和检漏；安装在主干管上起切断作用的闭路阀门，应逐个做强度或严密性耐压试验。</w:t>
      </w:r>
    </w:p>
    <w:p w14:paraId="73175D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（4）排水主立管及水平干管管道均应做通球试验，通球球径不小于排水管道管径的2/3，通球率必须达到100%。</w:t>
      </w:r>
    </w:p>
    <w:p w14:paraId="626C90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（5）隐蔽或埋地的排水管道在隐蔽前、室内雨水管道安装后，应做灌水试验，试验要求可参照本技术条款第23.3.4项的有关规定。</w:t>
      </w:r>
    </w:p>
    <w:p w14:paraId="79F0C4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（6）生活污水和含油污水在调试阶段不得随意排放，经水质处理达到标准后，才能排放。</w:t>
      </w:r>
    </w:p>
    <w:p w14:paraId="24B098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（7）给排水管道和设备的检查、试验和验收，应按《建筑给水排水及采暖工程施工质量验收规范》（GB 50242-2002）、</w:t>
      </w:r>
      <w:r>
        <w:rPr>
          <w:rFonts w:hint="eastAsia" w:ascii="宋体" w:hAnsi="宋体" w:eastAsia="宋体" w:cs="宋体"/>
          <w:color w:val="auto"/>
          <w:spacing w:val="11"/>
          <w:sz w:val="24"/>
          <w:szCs w:val="24"/>
          <w:lang w:eastAsia="zh-CN"/>
        </w:rPr>
        <w:t>《给水排水构筑物工程施工及验收规范》</w:t>
      </w:r>
      <w:r>
        <w:rPr>
          <w:rFonts w:hint="eastAsia" w:ascii="宋体" w:hAnsi="宋体" w:eastAsia="宋体" w:cs="宋体"/>
          <w:color w:val="auto"/>
          <w:sz w:val="24"/>
          <w:szCs w:val="24"/>
          <w:lang w:eastAsia="zh-CN"/>
        </w:rPr>
        <w:t>（GB 50141-2008）、</w:t>
      </w:r>
      <w:r>
        <w:rPr>
          <w:rFonts w:hint="eastAsia" w:ascii="宋体" w:hAnsi="宋体" w:eastAsia="宋体" w:cs="宋体"/>
          <w:color w:val="auto"/>
          <w:spacing w:val="-11"/>
          <w:sz w:val="24"/>
          <w:szCs w:val="24"/>
          <w:lang w:eastAsia="zh-CN"/>
        </w:rPr>
        <w:t>《风机、压缩机、泵安装工程施工及验收规范》（GB 50275-2010）</w:t>
      </w:r>
      <w:r>
        <w:rPr>
          <w:rFonts w:hint="eastAsia" w:ascii="宋体" w:hAnsi="宋体" w:eastAsia="宋体" w:cs="宋体"/>
          <w:color w:val="auto"/>
          <w:sz w:val="24"/>
          <w:szCs w:val="24"/>
          <w:lang w:eastAsia="zh-CN"/>
        </w:rPr>
        <w:t>、《机械设备安装工程施工及验收通用规范》（GB 50231-2009）等规范及本章第24.1.12项的规定进行。</w:t>
      </w:r>
    </w:p>
    <w:p w14:paraId="25D86E74">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06" w:name="_Toc15891"/>
      <w:bookmarkStart w:id="1707" w:name="_Toc30629"/>
      <w:bookmarkStart w:id="1708" w:name="_Toc13374"/>
      <w:r>
        <w:rPr>
          <w:rFonts w:hint="eastAsia" w:ascii="宋体" w:hAnsi="宋体" w:eastAsia="宋体" w:cs="宋体"/>
          <w:b/>
          <w:bCs/>
          <w:color w:val="auto"/>
          <w:sz w:val="24"/>
          <w:szCs w:val="24"/>
          <w:lang w:eastAsia="zh-CN"/>
        </w:rPr>
        <w:t>24.17 消防系统安装</w:t>
      </w:r>
      <w:bookmarkEnd w:id="1706"/>
      <w:bookmarkEnd w:id="1707"/>
      <w:bookmarkEnd w:id="1708"/>
    </w:p>
    <w:p w14:paraId="7B1211D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24.17.1 消防给水系统</w:t>
      </w:r>
    </w:p>
    <w:p w14:paraId="7F4313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（1）本系统安装工作内容包括消防水池、消防水泵及其配套设备，以及电气控制设备等。</w:t>
      </w:r>
    </w:p>
    <w:p w14:paraId="4B49A6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（2）承包人应在供货商代表的指导下，进行消防设备及其附件的安装和调试。安装调试人员应具有相应等级的资质证书。</w:t>
      </w:r>
    </w:p>
    <w:p w14:paraId="6395C6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（3）消防设备均应经国家质量监督检验中心认证，并由当地消防部门认可的合格产品。</w:t>
      </w:r>
    </w:p>
    <w:p w14:paraId="03EB7A1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（4）消防产品应进行外观检测及电气试验。对有消防电气控制要求设备应逐台通电试验。</w:t>
      </w:r>
    </w:p>
    <w:p w14:paraId="7BB729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（5）承包人应负责消防给水系统的调试，调试方案应经监理人批准。消防给水管道应进行耐压试验；室内消火栓应进行试射试验。</w:t>
      </w:r>
    </w:p>
    <w:p w14:paraId="3CC3FF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（6）消防给水系统，应由承包人会同监理人供货商代表和当地消防部门代表共同进行联动试验和消防给水系统安装验收，并由承包人编写安装验收报告，提交监理人。</w:t>
      </w:r>
    </w:p>
    <w:p w14:paraId="461D0E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（7）消防给水系统的检查、试验和验收，应按《给水排水构筑物工程施工及验收规范》（GB 50141-2008）、</w:t>
      </w:r>
      <w:r>
        <w:rPr>
          <w:rFonts w:hint="eastAsia" w:ascii="宋体" w:hAnsi="宋体" w:eastAsia="宋体" w:cs="宋体"/>
          <w:color w:val="auto"/>
          <w:spacing w:val="-28"/>
          <w:sz w:val="24"/>
          <w:szCs w:val="24"/>
          <w:lang w:eastAsia="zh-CN"/>
        </w:rPr>
        <w:t>《机械设备安装工程施工及验收通用规范》（GB 50231-2009）</w:t>
      </w:r>
      <w:r>
        <w:rPr>
          <w:rFonts w:hint="eastAsia" w:ascii="宋体" w:hAnsi="宋体" w:eastAsia="宋体" w:cs="宋体"/>
          <w:color w:val="auto"/>
          <w:sz w:val="24"/>
          <w:szCs w:val="24"/>
          <w:lang w:eastAsia="zh-CN"/>
        </w:rPr>
        <w:t>、《风机、压缩机、泵安装工程施工及验收规范》（GB 50275-2010）、《自动喷水灭火系统施工及验收规范》（GB 50261-2017）、《给水排水管道工程施工及验收规范》（GB 50268-2008）、《电力设备典型消防规程》（DL5027-2015）</w:t>
      </w:r>
      <w:r>
        <w:rPr>
          <w:rFonts w:hint="eastAsia" w:ascii="宋体" w:hAnsi="宋体" w:eastAsia="宋体" w:cs="宋体"/>
          <w:color w:val="auto"/>
          <w:spacing w:val="-28"/>
          <w:sz w:val="24"/>
          <w:szCs w:val="24"/>
          <w:lang w:eastAsia="zh-CN"/>
        </w:rPr>
        <w:t>等规范及本章第24.1.12</w:t>
      </w:r>
      <w:r>
        <w:rPr>
          <w:rFonts w:hint="eastAsia" w:ascii="宋体" w:hAnsi="宋体" w:eastAsia="宋体" w:cs="宋体"/>
          <w:color w:val="auto"/>
          <w:sz w:val="24"/>
          <w:szCs w:val="24"/>
          <w:lang w:eastAsia="zh-CN"/>
        </w:rPr>
        <w:t>项的规定进行。</w:t>
      </w:r>
    </w:p>
    <w:p w14:paraId="63BEA6D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24.17.2 气体灭火系统</w:t>
      </w:r>
    </w:p>
    <w:p w14:paraId="24125D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（1）气体灭火系统的安装工作内容包括灭火剂储存器、选择阀及信号反馈装置、阀驱动装置、灭火剂输送管、喷嘴和其他附件以及电气控制设备等。</w:t>
      </w:r>
    </w:p>
    <w:p w14:paraId="6F8C174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（2）气体灭火系统的组件、管路及其附件均应具有产品合格证。安装单位和人员应持有消防工程施工安装相应等级的资质证书。</w:t>
      </w:r>
    </w:p>
    <w:p w14:paraId="6C65D9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（3）输气管道按有关规范规定，应进行耐压试验。</w:t>
      </w:r>
    </w:p>
    <w:p w14:paraId="1A570F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（4）气体灭火系统安装完成后，应由承包人会同监理人、供货商代表和当地消防部门代表进行气体灭火系统的调试和联动试验，并由承包人编制联动试验报告，提交监理人。</w:t>
      </w:r>
    </w:p>
    <w:p w14:paraId="18E914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（5）气体灭火系统的检查、试验和验收，应按《气体灭火系统施工及验收规范》（GB 50263-2007）的规定、当地消防部门的要求及本章第24.1.12项的规定进行。</w:t>
      </w:r>
    </w:p>
    <w:p w14:paraId="40CC12F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24.17.3 火灾自动报警系统（即消防监控及联动控制系统）</w:t>
      </w:r>
    </w:p>
    <w:p w14:paraId="70002B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（l）火灾自动报警系统的安装工作项目包括火灾自动报警装置和操作管理工作站等．</w:t>
      </w:r>
    </w:p>
    <w:p w14:paraId="5190C5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配合供货商代表和当地消防部门共同进行火灾自动报警系统的调试，以及自动报警系统与气体灭火系统、水喷雾灭火系统、防火系统、防烟和排烟系统等的联动调试。联动调试项目包括设备通电试验、联动试验、系统功能测试等。</w:t>
      </w:r>
    </w:p>
    <w:p w14:paraId="39F2EC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（3）火灾自动报警系统的检查、试验和验收，应按《火灾自动报警系统施工及验收标准》（GB 50166-2019）、</w:t>
      </w:r>
      <w:r>
        <w:rPr>
          <w:rFonts w:hint="eastAsia" w:ascii="宋体" w:hAnsi="宋体" w:eastAsia="宋体" w:cs="宋体"/>
          <w:color w:val="auto"/>
          <w:spacing w:val="-6"/>
          <w:sz w:val="24"/>
          <w:szCs w:val="24"/>
          <w:lang w:eastAsia="zh-CN"/>
        </w:rPr>
        <w:t>《气体灭火系统施工及验收规范》（GB 50263-2007）</w:t>
      </w:r>
      <w:r>
        <w:rPr>
          <w:rFonts w:hint="eastAsia" w:ascii="宋体" w:hAnsi="宋体" w:eastAsia="宋体" w:cs="宋体"/>
          <w:color w:val="auto"/>
          <w:sz w:val="24"/>
          <w:szCs w:val="24"/>
          <w:lang w:eastAsia="zh-CN"/>
        </w:rPr>
        <w:t>、《自动喷水灭火系统施工及验收规范》（GB 50261-2017）、《电气装置安装工程盘、柜及二次回路接线施工及验收规范》（GB 50171-2012）等规范及本章第24.1.12项的规定进行。</w:t>
      </w:r>
    </w:p>
    <w:p w14:paraId="375C0ED5">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24.17.4 电缆防火封堵</w:t>
      </w:r>
    </w:p>
    <w:p w14:paraId="61B1E4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（l）电缆防火封堵，应遵守</w:t>
      </w:r>
      <w:r>
        <w:rPr>
          <w:rFonts w:hint="eastAsia" w:ascii="宋体" w:hAnsi="宋体" w:eastAsia="宋体" w:cs="宋体"/>
          <w:color w:val="auto"/>
          <w:spacing w:val="20"/>
          <w:sz w:val="24"/>
          <w:szCs w:val="24"/>
          <w:lang w:eastAsia="zh-CN"/>
        </w:rPr>
        <w:t>《电气装置安装工程电缆线路施工及验收标准》</w:t>
      </w:r>
      <w:r>
        <w:rPr>
          <w:rFonts w:hint="eastAsia" w:ascii="宋体" w:hAnsi="宋体" w:eastAsia="宋体" w:cs="宋体"/>
          <w:color w:val="auto"/>
          <w:sz w:val="24"/>
          <w:szCs w:val="24"/>
          <w:lang w:eastAsia="zh-CN"/>
        </w:rPr>
        <w:t>（GB 50168-2018）第8章的有关规定。防火封堵材料应遵守现行行业标准《防火封堵材料》（GB 23864-2023）的规定。</w:t>
      </w:r>
    </w:p>
    <w:p w14:paraId="00A974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（2）电缆防火封堵墙安装完毕后，承包人应会同监理人、供货商代表和当地消防部门代表，共同进行电缆防火封堵的验收。并由承包人编写安装验收报告，提交监理人。</w:t>
      </w:r>
    </w:p>
    <w:p w14:paraId="7FDBC9A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24.17.5 消防系统的联合检查和试验验收</w:t>
      </w:r>
    </w:p>
    <w:p w14:paraId="2DD2FE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（1）消防系统的各单元系统全部安装和调试完成后，承包人应在当地消防部门的指导下，会同监理人和供货商代表，共同进行联合检查和验收。</w:t>
      </w:r>
    </w:p>
    <w:p w14:paraId="126938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（2）联合检查的试验项目包括雨淋阀动作试验和变压器、贮油罐水喷雾试验。</w:t>
      </w:r>
    </w:p>
    <w:p w14:paraId="69B9ADC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气体灭火系统模拟动作试验；火灾自动报警系统与消防给水系统、气体灭火系统与防火、防烟排烟系统的模拟联动试验等。</w:t>
      </w:r>
    </w:p>
    <w:p w14:paraId="134C37F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（3）承包人应负责编制消防系统安装验收报告，提交监理人，并经有关各方签字后，作为消防系统安装的完工验收资料。</w:t>
      </w:r>
    </w:p>
    <w:p w14:paraId="6E0B803A">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09" w:name="_Toc29725"/>
      <w:bookmarkStart w:id="1710" w:name="_Toc30209"/>
      <w:bookmarkStart w:id="1711" w:name="_Toc22917"/>
      <w:r>
        <w:rPr>
          <w:rFonts w:hint="eastAsia" w:ascii="宋体" w:hAnsi="宋体" w:eastAsia="宋体" w:cs="宋体"/>
          <w:b/>
          <w:bCs/>
          <w:color w:val="auto"/>
          <w:sz w:val="24"/>
          <w:szCs w:val="24"/>
          <w:lang w:eastAsia="zh-CN"/>
        </w:rPr>
        <w:t>24.18 机组启动试运行</w:t>
      </w:r>
      <w:bookmarkEnd w:id="1709"/>
      <w:bookmarkEnd w:id="1710"/>
      <w:bookmarkEnd w:id="1711"/>
    </w:p>
    <w:p w14:paraId="4A432330">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24.18.1 承包人的启动试运行职责</w:t>
      </w:r>
    </w:p>
    <w:p w14:paraId="0CA9B47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（1）参加机组启动验收委员会及试运行工作组的工作。负责编写机组启动试验和试运行大纲等有关技术文件，并实施机组启动试验、试运行和检修工作。</w:t>
      </w:r>
    </w:p>
    <w:p w14:paraId="657E07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（2）参加由试运行工作组组织的机组启动前的检查验收工作，并负责做好检查验收记录。</w:t>
      </w:r>
    </w:p>
    <w:p w14:paraId="2EE965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（3）负责或配合供货商代表、按供货商提供的机组调试程序、《水轮发电机组启动试验规程》（DL/T 507-2014）、</w:t>
      </w:r>
      <w:r>
        <w:rPr>
          <w:rFonts w:hint="eastAsia" w:ascii="宋体" w:hAnsi="宋体" w:eastAsia="宋体" w:cs="宋体"/>
          <w:color w:val="auto"/>
          <w:spacing w:val="-11"/>
          <w:sz w:val="24"/>
          <w:szCs w:val="24"/>
          <w:lang w:eastAsia="zh-CN"/>
        </w:rPr>
        <w:t>《水轮发电机组安装技术规范》（GB/T 8564-2023）</w:t>
      </w:r>
      <w:r>
        <w:rPr>
          <w:rFonts w:hint="eastAsia" w:ascii="宋体" w:hAnsi="宋体" w:eastAsia="宋体" w:cs="宋体"/>
          <w:color w:val="auto"/>
          <w:sz w:val="24"/>
          <w:szCs w:val="24"/>
          <w:lang w:eastAsia="zh-CN"/>
        </w:rPr>
        <w:t>、《水利水电建设工程验收规程》（SL/T 223-2025）以及经机组启动验收委员会批准的机组启动试验大纲和计划安排，进行机组启动试验和试运行工作。</w:t>
      </w:r>
    </w:p>
    <w:p w14:paraId="4AF0D9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（4）编写机组启动试验简报。</w:t>
      </w:r>
    </w:p>
    <w:p w14:paraId="14DBAF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（5）编写机组启动试验报告和试运行工作报告，提交机组启动验收委员会批准。</w:t>
      </w:r>
    </w:p>
    <w:p w14:paraId="4AF2DDF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24.18.2 机组启动试运行前的检查</w:t>
      </w:r>
    </w:p>
    <w:p w14:paraId="623994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（1）机组启动试运行前，经试运行工作组检查机组已具备启动验收条件，确认引水、尾水系统及机组设备均已完成了规定的各项试验、验收工作，证明已能满足试运行需要。</w:t>
      </w:r>
    </w:p>
    <w:p w14:paraId="560CBC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（2）试运行的各项安全措施均已按试运行试验文件的要求落实到位。</w:t>
      </w:r>
    </w:p>
    <w:p w14:paraId="41A3B04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24.18.3 机组启动试运行</w:t>
      </w:r>
    </w:p>
    <w:p w14:paraId="3FAE61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（l）遵照本章第24.18.1条的规定，进行机组启动试验和试运行工作。</w:t>
      </w:r>
    </w:p>
    <w:p w14:paraId="1FED65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1）检查机组充水试验和空载试运行。</w:t>
      </w:r>
    </w:p>
    <w:p w14:paraId="71684A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2）检查机组带主变压器与高压配电装置试验和并列及负荷试验。</w:t>
      </w:r>
    </w:p>
    <w:p w14:paraId="48F4BF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3）机组带负荷连续运行，以及连续运行结束后消缺处理情况。</w:t>
      </w:r>
    </w:p>
    <w:p w14:paraId="7073E91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4）进行机组带负荷连续运行，其运行要求应遵守《水利水电建设工程验收规程》（SL/T 223-2025）第6.5.5条的规定。</w:t>
      </w:r>
    </w:p>
    <w:p w14:paraId="29C243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（2）上述机组启动试运行工作全部完成后，应由承包人编写机组带负荷连续运行情况报告，提交机组机组启动验收委员会。</w:t>
      </w:r>
    </w:p>
    <w:p w14:paraId="1CA5EEDC">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12" w:name="_Toc4800"/>
      <w:bookmarkStart w:id="1713" w:name="_Toc30498"/>
      <w:bookmarkStart w:id="1714" w:name="_Toc23368"/>
      <w:r>
        <w:rPr>
          <w:rFonts w:hint="eastAsia" w:ascii="宋体" w:hAnsi="宋体" w:eastAsia="宋体" w:cs="宋体"/>
          <w:b/>
          <w:bCs/>
          <w:color w:val="auto"/>
          <w:sz w:val="24"/>
          <w:szCs w:val="24"/>
          <w:lang w:eastAsia="zh-CN"/>
        </w:rPr>
        <w:t>24.19 完工验收</w:t>
      </w:r>
      <w:bookmarkEnd w:id="1712"/>
      <w:bookmarkEnd w:id="1713"/>
      <w:bookmarkEnd w:id="1714"/>
    </w:p>
    <w:p w14:paraId="24C92C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机电设备安装全部完成后，承包人应向监理人申请机电设备安装工程的完工验收，并提交以下完工资料：</w:t>
      </w:r>
    </w:p>
    <w:p w14:paraId="54C5243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（1）机电设备安装项目清单及相关技术文件。</w:t>
      </w:r>
    </w:p>
    <w:p w14:paraId="2A0A89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（2）安装竣工图及相关竣工资料。</w:t>
      </w:r>
    </w:p>
    <w:p w14:paraId="7147E1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（3）安装用材料和外购件的产品质量证明书和使用说明书。</w:t>
      </w:r>
    </w:p>
    <w:p w14:paraId="6D97A5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（4）重要组件焊接工艺报告。</w:t>
      </w:r>
    </w:p>
    <w:p w14:paraId="6DBC3F7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（5）各项机电设备和单元工程安装的检查、试验和验收记录。</w:t>
      </w:r>
    </w:p>
    <w:p w14:paraId="69DB42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（6）机电设备缺陷、修复及检验记录。</w:t>
      </w:r>
    </w:p>
    <w:p w14:paraId="1B8D17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（7）机组启动试验和试运行报告。</w:t>
      </w:r>
    </w:p>
    <w:p w14:paraId="0EDA4B3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（8）质量事故处理报告。</w:t>
      </w:r>
    </w:p>
    <w:p w14:paraId="678438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（9）机组及其相关机电设备的交接清册（包括备品、备件及专用工器具等）。</w:t>
      </w:r>
    </w:p>
    <w:p w14:paraId="5668FC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（10）列入保修期继续施工的尾工项目清单。</w:t>
      </w:r>
    </w:p>
    <w:p w14:paraId="14BE2A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（11）监理人要求提交的其他完工资料。</w:t>
      </w:r>
    </w:p>
    <w:p w14:paraId="5E748A9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15" w:name="_Toc24653"/>
      <w:bookmarkStart w:id="1716" w:name="_Toc11865"/>
      <w:bookmarkStart w:id="1717" w:name="_Toc16524"/>
      <w:r>
        <w:rPr>
          <w:rFonts w:hint="eastAsia" w:ascii="宋体" w:hAnsi="宋体" w:eastAsia="宋体" w:cs="宋体"/>
          <w:b/>
          <w:bCs/>
          <w:color w:val="auto"/>
          <w:sz w:val="24"/>
          <w:szCs w:val="24"/>
          <w:lang w:eastAsia="zh-CN"/>
        </w:rPr>
        <w:t>24.20 计量和支付</w:t>
      </w:r>
      <w:bookmarkEnd w:id="1715"/>
      <w:bookmarkEnd w:id="1716"/>
      <w:bookmarkEnd w:id="1717"/>
    </w:p>
    <w:p w14:paraId="37F4C0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（1）本章第24.3～24.17条各项设备的安装，按施工图纸所示设备数量以相应的单位计量，按《工程量清单》相应项目的工程单价或总价支付。</w:t>
      </w:r>
    </w:p>
    <w:p w14:paraId="439765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（2）上款所述《工程量清单》的总价项目，由承包人按批准的安装进度计划对总价项目进行分解，分解结果经发包人批准后作为合同支付的依据。</w:t>
      </w:r>
    </w:p>
    <w:p w14:paraId="222863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（3）由承包人按合同要求采购的装置性材料及其安装，按施工图纸所示装置性材料的有效数量以相应单位计量，由发包人按《工程量清单》相应项目有效工程量的工程单价或总价支付。</w:t>
      </w:r>
    </w:p>
    <w:p w14:paraId="027B28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为本合同机电设备安装工作所进行的开箱检查、验收、清扫、仓储保管、安装现场运输、主体设备及随机成套供应的管路与附件安装、涂装、现场试验、调试、试运行和移交生产前的维护保养等工作所需的费用，包含在《工程量清单》相应机电设备安装项目的工程单价或总价中，发包人不另行支付。</w:t>
      </w:r>
    </w:p>
    <w:p w14:paraId="49C085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除本合同专项列入《工程量清单》的临时工程和施工临时工程外，承包人为完成机电设备安装而修建的其他临时工程和采取的其他措施所需的费用，包含在《工程量清单》相应机电设备安装项目的工程单价或总价中，发包人不另行支付。</w:t>
      </w:r>
    </w:p>
    <w:p w14:paraId="79C9EE4C">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52C7C774">
      <w:pPr>
        <w:widowControl w:val="0"/>
        <w:kinsoku/>
        <w:topLinePunct/>
        <w:autoSpaceDE/>
        <w:autoSpaceDN/>
        <w:spacing w:line="520" w:lineRule="exact"/>
        <w:jc w:val="center"/>
        <w:outlineLvl w:val="1"/>
        <w:rPr>
          <w:rFonts w:hint="eastAsia" w:ascii="宋体" w:hAnsi="宋体" w:eastAsia="宋体" w:cs="宋体"/>
          <w:b/>
          <w:bCs/>
          <w:color w:val="auto"/>
          <w:sz w:val="28"/>
          <w:szCs w:val="28"/>
          <w:lang w:eastAsia="zh-CN"/>
        </w:rPr>
      </w:pPr>
      <w:bookmarkStart w:id="1718" w:name="_Toc28897"/>
      <w:bookmarkStart w:id="1719" w:name="_Toc11230"/>
      <w:bookmarkStart w:id="1720" w:name="_Toc30243"/>
      <w:bookmarkStart w:id="1721" w:name="_Toc30812"/>
      <w:r>
        <w:rPr>
          <w:rFonts w:hint="eastAsia" w:ascii="宋体" w:hAnsi="宋体" w:eastAsia="宋体" w:cs="宋体"/>
          <w:b/>
          <w:bCs/>
          <w:color w:val="auto"/>
          <w:sz w:val="28"/>
          <w:szCs w:val="28"/>
          <w:lang w:eastAsia="zh-CN"/>
        </w:rPr>
        <w:t>25 电气设备采购</w:t>
      </w:r>
      <w:bookmarkEnd w:id="1718"/>
      <w:bookmarkEnd w:id="1719"/>
      <w:bookmarkEnd w:id="1720"/>
      <w:bookmarkEnd w:id="1721"/>
    </w:p>
    <w:p w14:paraId="553B921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22" w:name="_Toc26493"/>
      <w:bookmarkStart w:id="1723" w:name="_Toc26030"/>
      <w:bookmarkStart w:id="1724" w:name="_Toc30236"/>
      <w:bookmarkStart w:id="1725" w:name="_Toc12850"/>
      <w:bookmarkStart w:id="1726" w:name="_Toc30975"/>
      <w:bookmarkStart w:id="1727" w:name="_Toc416342276"/>
      <w:r>
        <w:rPr>
          <w:rFonts w:hint="eastAsia" w:ascii="宋体" w:hAnsi="宋体" w:eastAsia="宋体" w:cs="宋体"/>
          <w:b/>
          <w:bCs/>
          <w:color w:val="auto"/>
          <w:sz w:val="24"/>
          <w:szCs w:val="24"/>
          <w:lang w:eastAsia="zh-CN"/>
        </w:rPr>
        <w:t>25.1一般规定</w:t>
      </w:r>
      <w:bookmarkEnd w:id="1722"/>
      <w:bookmarkEnd w:id="1723"/>
      <w:bookmarkEnd w:id="1724"/>
      <w:bookmarkEnd w:id="1725"/>
      <w:bookmarkEnd w:id="1726"/>
    </w:p>
    <w:p w14:paraId="695F89B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本条款提出的是最低限度的技术要求，并未对一切技术细节做出规定，也未充分引述有关标准和规范的条文。承包人应保证提供满足本技术条款、施工图纸和工业标准的优质产品。</w:t>
      </w:r>
    </w:p>
    <w:p w14:paraId="11330E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如承包人在报价过程中没有以书面形式对本条款的条文提出技术偏差，则发包人可以认为承包人产品完全满足本技术条款、施工图纸的要求。</w:t>
      </w:r>
    </w:p>
    <w:p w14:paraId="6ECA54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如发包人有本条款以外的特殊要求，将以书面形式提出，并对每一点作详细说明。</w:t>
      </w:r>
    </w:p>
    <w:p w14:paraId="631901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本条款未尽事宜由双方与设计单位共同协商。</w:t>
      </w:r>
    </w:p>
    <w:bookmarkEnd w:id="1727"/>
    <w:p w14:paraId="5150ED9A">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25.1.1 本合同设备的布置</w:t>
      </w:r>
    </w:p>
    <w:p w14:paraId="28B81D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设备布置在厂房内各层或厂外。</w:t>
      </w:r>
    </w:p>
    <w:p w14:paraId="3A501782">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25.1.2 交通条件</w:t>
      </w:r>
    </w:p>
    <w:p w14:paraId="2DA29A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地处柯桥区北部地区，工程所在地临近104国道、杭甬铁路、杭甬高速公路、萧绍运河，329国道、金柯桥大道、柯海公路等，对外水、陆交通十分方便。工程建设所需的各种建筑材料、施工机械均可以通过上述水、陆交通线方便地运送到施工工地。</w:t>
      </w:r>
    </w:p>
    <w:p w14:paraId="521052F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25.1.3 使用环境条件</w:t>
      </w:r>
    </w:p>
    <w:p w14:paraId="574BA0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28" w:name="_Toc416342277"/>
      <w:r>
        <w:rPr>
          <w:rFonts w:hint="eastAsia" w:ascii="宋体" w:hAnsi="宋体" w:eastAsia="宋体" w:cs="宋体"/>
          <w:color w:val="auto"/>
          <w:sz w:val="24"/>
          <w:szCs w:val="24"/>
          <w:lang w:eastAsia="zh-CN"/>
        </w:rPr>
        <w:t>地震动峰值加速度                           0.065g</w:t>
      </w:r>
    </w:p>
    <w:p w14:paraId="0B5D09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地震基本烈度                               VI度</w:t>
      </w:r>
      <w:bookmarkEnd w:id="1728"/>
      <w:bookmarkStart w:id="1729" w:name="_Toc17247"/>
      <w:bookmarkStart w:id="1730" w:name="_Toc32522"/>
      <w:bookmarkStart w:id="1731" w:name="_Toc25363"/>
    </w:p>
    <w:p w14:paraId="0B4B70A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32" w:name="_Toc15082"/>
      <w:r>
        <w:rPr>
          <w:rFonts w:hint="eastAsia" w:ascii="宋体" w:hAnsi="宋体" w:eastAsia="宋体" w:cs="宋体"/>
          <w:b/>
          <w:bCs/>
          <w:color w:val="auto"/>
          <w:sz w:val="24"/>
          <w:szCs w:val="24"/>
          <w:lang w:eastAsia="zh-CN"/>
        </w:rPr>
        <w:t>25.2电气设备招标清单</w:t>
      </w:r>
      <w:bookmarkEnd w:id="1729"/>
      <w:bookmarkEnd w:id="1730"/>
      <w:bookmarkEnd w:id="1731"/>
      <w:bookmarkEnd w:id="1732"/>
    </w:p>
    <w:tbl>
      <w:tblPr>
        <w:tblStyle w:val="6"/>
        <w:tblpPr w:leftFromText="180" w:rightFromText="180" w:vertAnchor="text" w:horzAnchor="page" w:tblpX="1424" w:tblpYSpec="outside"/>
        <w:tblOverlap w:val="never"/>
        <w:tblW w:w="5000" w:type="pct"/>
        <w:tblInd w:w="0" w:type="dxa"/>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Layout w:type="autofit"/>
        <w:tblCellMar>
          <w:top w:w="0" w:type="dxa"/>
          <w:left w:w="57" w:type="dxa"/>
          <w:bottom w:w="0" w:type="dxa"/>
          <w:right w:w="57" w:type="dxa"/>
        </w:tblCellMar>
      </w:tblPr>
      <w:tblGrid>
        <w:gridCol w:w="713"/>
        <w:gridCol w:w="2446"/>
        <w:gridCol w:w="2608"/>
        <w:gridCol w:w="367"/>
        <w:gridCol w:w="614"/>
        <w:gridCol w:w="2195"/>
      </w:tblGrid>
      <w:tr w14:paraId="157A8EC1">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trHeight w:val="340" w:hRule="atLeast"/>
        </w:trPr>
        <w:tc>
          <w:tcPr>
            <w:tcW w:w="399" w:type="pct"/>
            <w:vAlign w:val="center"/>
          </w:tcPr>
          <w:p w14:paraId="682E6E98">
            <w:pPr>
              <w:jc w:val="center"/>
              <w:rPr>
                <w:color w:val="auto"/>
                <w:lang w:bidi="en-US"/>
              </w:rPr>
            </w:pPr>
            <w:bookmarkStart w:id="1733" w:name="_Toc416342278"/>
            <w:r>
              <w:rPr>
                <w:color w:val="auto"/>
                <w:lang w:bidi="en-US"/>
              </w:rPr>
              <w:t>编号</w:t>
            </w:r>
          </w:p>
        </w:tc>
        <w:tc>
          <w:tcPr>
            <w:tcW w:w="1367" w:type="pct"/>
            <w:vAlign w:val="center"/>
          </w:tcPr>
          <w:p w14:paraId="58559D93">
            <w:pPr>
              <w:jc w:val="center"/>
              <w:rPr>
                <w:color w:val="auto"/>
                <w:lang w:bidi="en-US"/>
              </w:rPr>
            </w:pPr>
            <w:r>
              <w:rPr>
                <w:color w:val="auto"/>
                <w:lang w:bidi="en-US"/>
              </w:rPr>
              <w:t>名    称</w:t>
            </w:r>
          </w:p>
        </w:tc>
        <w:tc>
          <w:tcPr>
            <w:tcW w:w="1458" w:type="pct"/>
            <w:vAlign w:val="center"/>
          </w:tcPr>
          <w:p w14:paraId="678B00DE">
            <w:pPr>
              <w:jc w:val="center"/>
              <w:rPr>
                <w:color w:val="auto"/>
                <w:lang w:bidi="en-US"/>
              </w:rPr>
            </w:pPr>
            <w:r>
              <w:rPr>
                <w:color w:val="auto"/>
                <w:lang w:bidi="en-US"/>
              </w:rPr>
              <w:t>规     格</w:t>
            </w:r>
          </w:p>
        </w:tc>
        <w:tc>
          <w:tcPr>
            <w:tcW w:w="205" w:type="pct"/>
            <w:vAlign w:val="center"/>
          </w:tcPr>
          <w:p w14:paraId="5AAD3723">
            <w:pPr>
              <w:jc w:val="center"/>
              <w:rPr>
                <w:color w:val="auto"/>
                <w:lang w:bidi="en-US"/>
              </w:rPr>
            </w:pPr>
            <w:r>
              <w:rPr>
                <w:color w:val="auto"/>
                <w:lang w:bidi="en-US"/>
              </w:rPr>
              <w:t>单位</w:t>
            </w:r>
          </w:p>
        </w:tc>
        <w:tc>
          <w:tcPr>
            <w:tcW w:w="343" w:type="pct"/>
            <w:vAlign w:val="center"/>
          </w:tcPr>
          <w:p w14:paraId="42292889">
            <w:pPr>
              <w:jc w:val="center"/>
              <w:rPr>
                <w:color w:val="auto"/>
                <w:lang w:bidi="en-US"/>
              </w:rPr>
            </w:pPr>
            <w:r>
              <w:rPr>
                <w:color w:val="auto"/>
                <w:lang w:bidi="en-US"/>
              </w:rPr>
              <w:t>数量</w:t>
            </w:r>
          </w:p>
        </w:tc>
        <w:tc>
          <w:tcPr>
            <w:tcW w:w="1226" w:type="pct"/>
            <w:vAlign w:val="center"/>
          </w:tcPr>
          <w:p w14:paraId="4004DC0C">
            <w:pPr>
              <w:jc w:val="center"/>
              <w:rPr>
                <w:color w:val="auto"/>
                <w:lang w:bidi="en-US"/>
              </w:rPr>
            </w:pPr>
            <w:r>
              <w:rPr>
                <w:color w:val="auto"/>
                <w:lang w:bidi="en-US"/>
              </w:rPr>
              <w:t>备     注</w:t>
            </w:r>
          </w:p>
        </w:tc>
      </w:tr>
      <w:tr w14:paraId="501C8545">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19C34627">
            <w:pPr>
              <w:jc w:val="center"/>
              <w:rPr>
                <w:color w:val="auto"/>
                <w:lang w:bidi="en-US"/>
              </w:rPr>
            </w:pPr>
            <w:r>
              <w:rPr>
                <w:rFonts w:hint="eastAsia"/>
                <w:color w:val="auto"/>
                <w:lang w:bidi="en-US"/>
              </w:rPr>
              <w:t>1</w:t>
            </w:r>
          </w:p>
        </w:tc>
        <w:tc>
          <w:tcPr>
            <w:tcW w:w="4600" w:type="pct"/>
            <w:gridSpan w:val="5"/>
            <w:vAlign w:val="center"/>
          </w:tcPr>
          <w:p w14:paraId="7366F6F2">
            <w:pPr>
              <w:rPr>
                <w:color w:val="auto"/>
                <w:lang w:bidi="en-US"/>
              </w:rPr>
            </w:pPr>
            <w:r>
              <w:rPr>
                <w:rFonts w:hint="eastAsia"/>
                <w:b/>
                <w:color w:val="auto"/>
              </w:rPr>
              <w:t>10</w:t>
            </w:r>
            <w:r>
              <w:rPr>
                <w:b/>
                <w:color w:val="auto"/>
              </w:rPr>
              <w:t>kV开关柜</w:t>
            </w:r>
          </w:p>
        </w:tc>
      </w:tr>
      <w:tr w14:paraId="4028DB85">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71317C82">
            <w:pPr>
              <w:jc w:val="center"/>
              <w:rPr>
                <w:color w:val="auto"/>
                <w:lang w:bidi="en-US"/>
              </w:rPr>
            </w:pPr>
            <w:r>
              <w:rPr>
                <w:rFonts w:hint="eastAsia"/>
                <w:color w:val="auto"/>
                <w:lang w:bidi="en-US"/>
              </w:rPr>
              <w:t>1.1</w:t>
            </w:r>
          </w:p>
        </w:tc>
        <w:tc>
          <w:tcPr>
            <w:tcW w:w="1367" w:type="pct"/>
            <w:vAlign w:val="center"/>
          </w:tcPr>
          <w:p w14:paraId="12827C45">
            <w:pPr>
              <w:rPr>
                <w:color w:val="auto"/>
                <w:lang w:eastAsia="zh-CN" w:bidi="en-US"/>
              </w:rPr>
            </w:pPr>
            <w:r>
              <w:rPr>
                <w:rFonts w:hint="eastAsia"/>
                <w:color w:val="auto"/>
                <w:lang w:eastAsia="zh-CN" w:bidi="en-US"/>
              </w:rPr>
              <w:t>10kV主变低压侧开关柜</w:t>
            </w:r>
          </w:p>
        </w:tc>
        <w:tc>
          <w:tcPr>
            <w:tcW w:w="1458" w:type="pct"/>
            <w:vAlign w:val="center"/>
          </w:tcPr>
          <w:p w14:paraId="32E60C0E">
            <w:pPr>
              <w:rPr>
                <w:color w:val="auto"/>
                <w:lang w:bidi="en-US"/>
              </w:rPr>
            </w:pPr>
            <w:r>
              <w:rPr>
                <w:rFonts w:hint="eastAsia"/>
                <w:color w:val="auto"/>
                <w:lang w:bidi="en-US"/>
              </w:rPr>
              <w:t>KYN28A-12</w:t>
            </w:r>
          </w:p>
        </w:tc>
        <w:tc>
          <w:tcPr>
            <w:tcW w:w="205" w:type="pct"/>
            <w:vAlign w:val="center"/>
          </w:tcPr>
          <w:p w14:paraId="3E693646">
            <w:pPr>
              <w:jc w:val="center"/>
              <w:rPr>
                <w:color w:val="auto"/>
                <w:lang w:bidi="en-US"/>
              </w:rPr>
            </w:pPr>
            <w:r>
              <w:rPr>
                <w:color w:val="auto"/>
                <w:lang w:bidi="en-US"/>
              </w:rPr>
              <w:t>台</w:t>
            </w:r>
          </w:p>
        </w:tc>
        <w:tc>
          <w:tcPr>
            <w:tcW w:w="343" w:type="pct"/>
            <w:vAlign w:val="center"/>
          </w:tcPr>
          <w:p w14:paraId="6553F651">
            <w:pPr>
              <w:jc w:val="center"/>
              <w:rPr>
                <w:color w:val="auto"/>
                <w:lang w:bidi="en-US"/>
              </w:rPr>
            </w:pPr>
            <w:r>
              <w:rPr>
                <w:rFonts w:hint="eastAsia"/>
                <w:color w:val="auto"/>
                <w:lang w:bidi="en-US"/>
              </w:rPr>
              <w:t>2</w:t>
            </w:r>
          </w:p>
        </w:tc>
        <w:tc>
          <w:tcPr>
            <w:tcW w:w="1226" w:type="pct"/>
            <w:vAlign w:val="center"/>
          </w:tcPr>
          <w:p w14:paraId="611D67ED">
            <w:pPr>
              <w:rPr>
                <w:color w:val="auto"/>
                <w:lang w:bidi="en-US"/>
              </w:rPr>
            </w:pPr>
            <w:r>
              <w:rPr>
                <w:rFonts w:hint="eastAsia"/>
                <w:color w:val="auto"/>
                <w:lang w:bidi="en-US"/>
              </w:rPr>
              <w:t>配置详见招标附图</w:t>
            </w:r>
          </w:p>
        </w:tc>
      </w:tr>
      <w:tr w14:paraId="591DF543">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7A7A50C9">
            <w:pPr>
              <w:jc w:val="center"/>
              <w:rPr>
                <w:color w:val="auto"/>
                <w:lang w:bidi="en-US"/>
              </w:rPr>
            </w:pPr>
            <w:r>
              <w:rPr>
                <w:rFonts w:hint="eastAsia"/>
                <w:color w:val="auto"/>
                <w:lang w:bidi="en-US"/>
              </w:rPr>
              <w:t>1.2</w:t>
            </w:r>
          </w:p>
        </w:tc>
        <w:tc>
          <w:tcPr>
            <w:tcW w:w="1367" w:type="pct"/>
            <w:vAlign w:val="center"/>
          </w:tcPr>
          <w:p w14:paraId="417A1632">
            <w:pPr>
              <w:rPr>
                <w:color w:val="auto"/>
                <w:lang w:bidi="en-US"/>
              </w:rPr>
            </w:pPr>
            <w:r>
              <w:rPr>
                <w:rFonts w:hint="eastAsia"/>
                <w:color w:val="auto"/>
                <w:lang w:bidi="en-US"/>
              </w:rPr>
              <w:t>10kV母线PT柜</w:t>
            </w:r>
          </w:p>
        </w:tc>
        <w:tc>
          <w:tcPr>
            <w:tcW w:w="1458" w:type="pct"/>
            <w:vAlign w:val="center"/>
          </w:tcPr>
          <w:p w14:paraId="03B25AA7">
            <w:pPr>
              <w:rPr>
                <w:color w:val="auto"/>
                <w:lang w:bidi="en-US"/>
              </w:rPr>
            </w:pPr>
            <w:r>
              <w:rPr>
                <w:rFonts w:hint="eastAsia"/>
                <w:color w:val="auto"/>
                <w:lang w:bidi="en-US"/>
              </w:rPr>
              <w:t>KYN28A-12</w:t>
            </w:r>
          </w:p>
        </w:tc>
        <w:tc>
          <w:tcPr>
            <w:tcW w:w="205" w:type="pct"/>
            <w:vAlign w:val="center"/>
          </w:tcPr>
          <w:p w14:paraId="6C4C6E04">
            <w:pPr>
              <w:jc w:val="center"/>
              <w:rPr>
                <w:color w:val="auto"/>
                <w:lang w:bidi="en-US"/>
              </w:rPr>
            </w:pPr>
            <w:r>
              <w:rPr>
                <w:color w:val="auto"/>
                <w:lang w:bidi="en-US"/>
              </w:rPr>
              <w:t>台</w:t>
            </w:r>
          </w:p>
        </w:tc>
        <w:tc>
          <w:tcPr>
            <w:tcW w:w="343" w:type="pct"/>
            <w:vAlign w:val="center"/>
          </w:tcPr>
          <w:p w14:paraId="4B2575E1">
            <w:pPr>
              <w:jc w:val="center"/>
              <w:rPr>
                <w:color w:val="auto"/>
                <w:lang w:bidi="en-US"/>
              </w:rPr>
            </w:pPr>
            <w:r>
              <w:rPr>
                <w:rFonts w:hint="eastAsia"/>
                <w:color w:val="auto"/>
                <w:lang w:bidi="en-US"/>
              </w:rPr>
              <w:t>2</w:t>
            </w:r>
          </w:p>
        </w:tc>
        <w:tc>
          <w:tcPr>
            <w:tcW w:w="1226" w:type="pct"/>
            <w:vAlign w:val="center"/>
          </w:tcPr>
          <w:p w14:paraId="77281E43">
            <w:pPr>
              <w:rPr>
                <w:color w:val="auto"/>
                <w:lang w:bidi="en-US"/>
              </w:rPr>
            </w:pPr>
            <w:r>
              <w:rPr>
                <w:rFonts w:hint="eastAsia"/>
                <w:color w:val="auto"/>
                <w:lang w:bidi="en-US"/>
              </w:rPr>
              <w:t>配置详见招标附图</w:t>
            </w:r>
          </w:p>
        </w:tc>
      </w:tr>
      <w:tr w14:paraId="6B696AE1">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90" w:hRule="atLeast"/>
        </w:trPr>
        <w:tc>
          <w:tcPr>
            <w:tcW w:w="399" w:type="pct"/>
            <w:vAlign w:val="center"/>
          </w:tcPr>
          <w:p w14:paraId="6D56EE2B">
            <w:pPr>
              <w:jc w:val="center"/>
              <w:rPr>
                <w:color w:val="auto"/>
                <w:lang w:bidi="en-US"/>
              </w:rPr>
            </w:pPr>
            <w:r>
              <w:rPr>
                <w:rFonts w:hint="eastAsia"/>
                <w:color w:val="auto"/>
                <w:lang w:bidi="en-US"/>
              </w:rPr>
              <w:t>1.3</w:t>
            </w:r>
          </w:p>
        </w:tc>
        <w:tc>
          <w:tcPr>
            <w:tcW w:w="1367" w:type="pct"/>
            <w:vAlign w:val="center"/>
          </w:tcPr>
          <w:p w14:paraId="3AFBD7DD">
            <w:pPr>
              <w:rPr>
                <w:color w:val="auto"/>
                <w:lang w:bidi="en-US"/>
              </w:rPr>
            </w:pPr>
            <w:r>
              <w:rPr>
                <w:rFonts w:hint="eastAsia"/>
                <w:color w:val="auto"/>
                <w:lang w:bidi="en-US"/>
              </w:rPr>
              <w:t>10kV电动机开关柜</w:t>
            </w:r>
          </w:p>
        </w:tc>
        <w:tc>
          <w:tcPr>
            <w:tcW w:w="1458" w:type="pct"/>
            <w:vAlign w:val="center"/>
          </w:tcPr>
          <w:p w14:paraId="6A951705">
            <w:pPr>
              <w:rPr>
                <w:color w:val="auto"/>
                <w:lang w:bidi="en-US"/>
              </w:rPr>
            </w:pPr>
            <w:r>
              <w:rPr>
                <w:rFonts w:hint="eastAsia"/>
                <w:color w:val="auto"/>
                <w:lang w:bidi="en-US"/>
              </w:rPr>
              <w:t>KYN28A-12</w:t>
            </w:r>
          </w:p>
        </w:tc>
        <w:tc>
          <w:tcPr>
            <w:tcW w:w="205" w:type="pct"/>
            <w:vAlign w:val="center"/>
          </w:tcPr>
          <w:p w14:paraId="74A0FD92">
            <w:pPr>
              <w:jc w:val="center"/>
              <w:rPr>
                <w:color w:val="auto"/>
                <w:lang w:bidi="en-US"/>
              </w:rPr>
            </w:pPr>
            <w:r>
              <w:rPr>
                <w:color w:val="auto"/>
                <w:lang w:bidi="en-US"/>
              </w:rPr>
              <w:t>台</w:t>
            </w:r>
          </w:p>
        </w:tc>
        <w:tc>
          <w:tcPr>
            <w:tcW w:w="343" w:type="pct"/>
            <w:vAlign w:val="center"/>
          </w:tcPr>
          <w:p w14:paraId="5F2CB350">
            <w:pPr>
              <w:jc w:val="center"/>
              <w:rPr>
                <w:color w:val="auto"/>
                <w:lang w:bidi="en-US"/>
              </w:rPr>
            </w:pPr>
            <w:r>
              <w:rPr>
                <w:rFonts w:hint="eastAsia"/>
                <w:color w:val="auto"/>
                <w:lang w:bidi="en-US"/>
              </w:rPr>
              <w:t>6</w:t>
            </w:r>
          </w:p>
        </w:tc>
        <w:tc>
          <w:tcPr>
            <w:tcW w:w="1226" w:type="pct"/>
            <w:vAlign w:val="center"/>
          </w:tcPr>
          <w:p w14:paraId="50E7E5D8">
            <w:pPr>
              <w:rPr>
                <w:color w:val="auto"/>
                <w:lang w:bidi="en-US"/>
              </w:rPr>
            </w:pPr>
            <w:r>
              <w:rPr>
                <w:rFonts w:hint="eastAsia"/>
                <w:color w:val="auto"/>
                <w:lang w:bidi="en-US"/>
              </w:rPr>
              <w:t>配置详见招标附图</w:t>
            </w:r>
          </w:p>
        </w:tc>
      </w:tr>
      <w:tr w14:paraId="7044A42D">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46362AA8">
            <w:pPr>
              <w:jc w:val="center"/>
              <w:rPr>
                <w:color w:val="auto"/>
                <w:lang w:bidi="en-US"/>
              </w:rPr>
            </w:pPr>
            <w:r>
              <w:rPr>
                <w:rFonts w:hint="eastAsia"/>
                <w:color w:val="auto"/>
                <w:lang w:bidi="en-US"/>
              </w:rPr>
              <w:t>1.4</w:t>
            </w:r>
          </w:p>
        </w:tc>
        <w:tc>
          <w:tcPr>
            <w:tcW w:w="1367" w:type="pct"/>
            <w:vAlign w:val="center"/>
          </w:tcPr>
          <w:p w14:paraId="270F3EAF">
            <w:pPr>
              <w:rPr>
                <w:color w:val="auto"/>
                <w:lang w:bidi="en-US"/>
              </w:rPr>
            </w:pPr>
            <w:r>
              <w:rPr>
                <w:rFonts w:hint="eastAsia"/>
                <w:color w:val="auto"/>
                <w:lang w:bidi="en-US"/>
              </w:rPr>
              <w:t>10kV变频器开关柜</w:t>
            </w:r>
          </w:p>
        </w:tc>
        <w:tc>
          <w:tcPr>
            <w:tcW w:w="1458" w:type="pct"/>
            <w:vAlign w:val="center"/>
          </w:tcPr>
          <w:p w14:paraId="0EE47646">
            <w:pPr>
              <w:rPr>
                <w:color w:val="auto"/>
                <w:lang w:bidi="en-US"/>
              </w:rPr>
            </w:pPr>
            <w:r>
              <w:rPr>
                <w:rFonts w:hint="eastAsia"/>
                <w:color w:val="auto"/>
                <w:lang w:bidi="en-US"/>
              </w:rPr>
              <w:t>KYN28A-12</w:t>
            </w:r>
          </w:p>
        </w:tc>
        <w:tc>
          <w:tcPr>
            <w:tcW w:w="205" w:type="pct"/>
            <w:vAlign w:val="center"/>
          </w:tcPr>
          <w:p w14:paraId="6D9A25D5">
            <w:pPr>
              <w:jc w:val="center"/>
              <w:rPr>
                <w:color w:val="auto"/>
                <w:lang w:bidi="en-US"/>
              </w:rPr>
            </w:pPr>
            <w:r>
              <w:rPr>
                <w:color w:val="auto"/>
                <w:lang w:bidi="en-US"/>
              </w:rPr>
              <w:t>台</w:t>
            </w:r>
          </w:p>
        </w:tc>
        <w:tc>
          <w:tcPr>
            <w:tcW w:w="343" w:type="pct"/>
            <w:vAlign w:val="center"/>
          </w:tcPr>
          <w:p w14:paraId="4DAA4461">
            <w:pPr>
              <w:jc w:val="center"/>
              <w:rPr>
                <w:color w:val="auto"/>
                <w:lang w:bidi="en-US"/>
              </w:rPr>
            </w:pPr>
            <w:r>
              <w:rPr>
                <w:rFonts w:hint="eastAsia"/>
                <w:color w:val="auto"/>
                <w:lang w:bidi="en-US"/>
              </w:rPr>
              <w:t>2</w:t>
            </w:r>
          </w:p>
        </w:tc>
        <w:tc>
          <w:tcPr>
            <w:tcW w:w="1226" w:type="pct"/>
            <w:vAlign w:val="center"/>
          </w:tcPr>
          <w:p w14:paraId="180E1B93">
            <w:pPr>
              <w:rPr>
                <w:color w:val="auto"/>
                <w:lang w:bidi="en-US"/>
              </w:rPr>
            </w:pPr>
            <w:r>
              <w:rPr>
                <w:rFonts w:hint="eastAsia"/>
                <w:color w:val="auto"/>
                <w:lang w:bidi="en-US"/>
              </w:rPr>
              <w:t>配置详见招标附图</w:t>
            </w:r>
          </w:p>
        </w:tc>
      </w:tr>
      <w:tr w14:paraId="628046C7">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145B4105">
            <w:pPr>
              <w:jc w:val="center"/>
              <w:rPr>
                <w:color w:val="auto"/>
                <w:lang w:bidi="en-US"/>
              </w:rPr>
            </w:pPr>
            <w:r>
              <w:rPr>
                <w:rFonts w:hint="eastAsia"/>
                <w:color w:val="auto"/>
                <w:lang w:bidi="en-US"/>
              </w:rPr>
              <w:t>1.5</w:t>
            </w:r>
          </w:p>
        </w:tc>
        <w:tc>
          <w:tcPr>
            <w:tcW w:w="1367" w:type="pct"/>
            <w:vAlign w:val="center"/>
          </w:tcPr>
          <w:p w14:paraId="0BDA1B3C">
            <w:pPr>
              <w:rPr>
                <w:color w:val="auto"/>
                <w:lang w:bidi="en-US"/>
              </w:rPr>
            </w:pPr>
            <w:r>
              <w:rPr>
                <w:rFonts w:hint="eastAsia"/>
                <w:color w:val="auto"/>
                <w:lang w:bidi="en-US"/>
              </w:rPr>
              <w:t>10kV站变开关柜</w:t>
            </w:r>
          </w:p>
        </w:tc>
        <w:tc>
          <w:tcPr>
            <w:tcW w:w="1458" w:type="pct"/>
            <w:vAlign w:val="center"/>
          </w:tcPr>
          <w:p w14:paraId="49538C09">
            <w:pPr>
              <w:rPr>
                <w:color w:val="auto"/>
                <w:lang w:bidi="en-US"/>
              </w:rPr>
            </w:pPr>
            <w:r>
              <w:rPr>
                <w:rFonts w:hint="eastAsia"/>
                <w:color w:val="auto"/>
                <w:lang w:bidi="en-US"/>
              </w:rPr>
              <w:t>KYN28A-12</w:t>
            </w:r>
          </w:p>
        </w:tc>
        <w:tc>
          <w:tcPr>
            <w:tcW w:w="205" w:type="pct"/>
            <w:vAlign w:val="center"/>
          </w:tcPr>
          <w:p w14:paraId="25301ACD">
            <w:pPr>
              <w:jc w:val="center"/>
              <w:rPr>
                <w:color w:val="auto"/>
                <w:lang w:bidi="en-US"/>
              </w:rPr>
            </w:pPr>
            <w:r>
              <w:rPr>
                <w:color w:val="auto"/>
                <w:lang w:bidi="en-US"/>
              </w:rPr>
              <w:t>台</w:t>
            </w:r>
          </w:p>
        </w:tc>
        <w:tc>
          <w:tcPr>
            <w:tcW w:w="343" w:type="pct"/>
            <w:vAlign w:val="center"/>
          </w:tcPr>
          <w:p w14:paraId="4180E2AB">
            <w:pPr>
              <w:jc w:val="center"/>
              <w:rPr>
                <w:color w:val="auto"/>
                <w:lang w:bidi="en-US"/>
              </w:rPr>
            </w:pPr>
            <w:r>
              <w:rPr>
                <w:rFonts w:hint="eastAsia"/>
                <w:color w:val="auto"/>
                <w:lang w:bidi="en-US"/>
              </w:rPr>
              <w:t>2</w:t>
            </w:r>
          </w:p>
        </w:tc>
        <w:tc>
          <w:tcPr>
            <w:tcW w:w="1226" w:type="pct"/>
            <w:vAlign w:val="center"/>
          </w:tcPr>
          <w:p w14:paraId="08849CCE">
            <w:pPr>
              <w:rPr>
                <w:color w:val="auto"/>
                <w:lang w:bidi="en-US"/>
              </w:rPr>
            </w:pPr>
            <w:r>
              <w:rPr>
                <w:rFonts w:hint="eastAsia"/>
                <w:color w:val="auto"/>
                <w:lang w:bidi="en-US"/>
              </w:rPr>
              <w:t>配置详见招标附图</w:t>
            </w:r>
          </w:p>
        </w:tc>
      </w:tr>
      <w:tr w14:paraId="28DD1406">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6E28261E">
            <w:pPr>
              <w:jc w:val="center"/>
              <w:rPr>
                <w:color w:val="auto"/>
                <w:lang w:bidi="en-US"/>
              </w:rPr>
            </w:pPr>
            <w:r>
              <w:rPr>
                <w:rFonts w:hint="eastAsia"/>
                <w:color w:val="auto"/>
                <w:lang w:bidi="en-US"/>
              </w:rPr>
              <w:t>1.6</w:t>
            </w:r>
          </w:p>
        </w:tc>
        <w:tc>
          <w:tcPr>
            <w:tcW w:w="1367" w:type="pct"/>
            <w:vAlign w:val="center"/>
          </w:tcPr>
          <w:p w14:paraId="154B4756">
            <w:pPr>
              <w:rPr>
                <w:color w:val="auto"/>
                <w:lang w:bidi="en-US"/>
              </w:rPr>
            </w:pPr>
            <w:r>
              <w:rPr>
                <w:rFonts w:hint="eastAsia"/>
                <w:color w:val="auto"/>
                <w:lang w:bidi="en-US"/>
              </w:rPr>
              <w:t>10kV高压补偿开关柜</w:t>
            </w:r>
          </w:p>
        </w:tc>
        <w:tc>
          <w:tcPr>
            <w:tcW w:w="1458" w:type="pct"/>
            <w:vAlign w:val="center"/>
          </w:tcPr>
          <w:p w14:paraId="03FC5A3B">
            <w:pPr>
              <w:rPr>
                <w:color w:val="auto"/>
                <w:lang w:bidi="en-US"/>
              </w:rPr>
            </w:pPr>
            <w:r>
              <w:rPr>
                <w:rFonts w:hint="eastAsia"/>
                <w:color w:val="auto"/>
                <w:lang w:bidi="en-US"/>
              </w:rPr>
              <w:t>KYN28A-12</w:t>
            </w:r>
          </w:p>
        </w:tc>
        <w:tc>
          <w:tcPr>
            <w:tcW w:w="205" w:type="pct"/>
            <w:vAlign w:val="center"/>
          </w:tcPr>
          <w:p w14:paraId="031E2E74">
            <w:pPr>
              <w:jc w:val="center"/>
              <w:rPr>
                <w:color w:val="auto"/>
                <w:lang w:bidi="en-US"/>
              </w:rPr>
            </w:pPr>
            <w:r>
              <w:rPr>
                <w:color w:val="auto"/>
                <w:lang w:bidi="en-US"/>
              </w:rPr>
              <w:t>台</w:t>
            </w:r>
          </w:p>
        </w:tc>
        <w:tc>
          <w:tcPr>
            <w:tcW w:w="343" w:type="pct"/>
            <w:vAlign w:val="center"/>
          </w:tcPr>
          <w:p w14:paraId="37E8C147">
            <w:pPr>
              <w:jc w:val="center"/>
              <w:rPr>
                <w:color w:val="auto"/>
                <w:lang w:bidi="en-US"/>
              </w:rPr>
            </w:pPr>
            <w:r>
              <w:rPr>
                <w:rFonts w:hint="eastAsia"/>
                <w:color w:val="auto"/>
                <w:lang w:bidi="en-US"/>
              </w:rPr>
              <w:t>2</w:t>
            </w:r>
          </w:p>
        </w:tc>
        <w:tc>
          <w:tcPr>
            <w:tcW w:w="1226" w:type="pct"/>
            <w:vAlign w:val="center"/>
          </w:tcPr>
          <w:p w14:paraId="774B8FEB">
            <w:pPr>
              <w:rPr>
                <w:color w:val="auto"/>
                <w:lang w:bidi="en-US"/>
              </w:rPr>
            </w:pPr>
            <w:r>
              <w:rPr>
                <w:rFonts w:hint="eastAsia"/>
                <w:color w:val="auto"/>
                <w:lang w:bidi="en-US"/>
              </w:rPr>
              <w:t>配置详见招标附图</w:t>
            </w:r>
          </w:p>
        </w:tc>
      </w:tr>
      <w:tr w14:paraId="7D7336EA">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4455E227">
            <w:pPr>
              <w:jc w:val="center"/>
              <w:rPr>
                <w:color w:val="auto"/>
                <w:lang w:bidi="en-US"/>
              </w:rPr>
            </w:pPr>
            <w:r>
              <w:rPr>
                <w:rFonts w:hint="eastAsia"/>
                <w:color w:val="auto"/>
                <w:lang w:bidi="en-US"/>
              </w:rPr>
              <w:t>1.7</w:t>
            </w:r>
          </w:p>
        </w:tc>
        <w:tc>
          <w:tcPr>
            <w:tcW w:w="1367" w:type="pct"/>
            <w:vAlign w:val="center"/>
          </w:tcPr>
          <w:p w14:paraId="2DD1BFF2">
            <w:pPr>
              <w:rPr>
                <w:color w:val="auto"/>
                <w:lang w:bidi="en-US"/>
              </w:rPr>
            </w:pPr>
            <w:r>
              <w:rPr>
                <w:rFonts w:hint="eastAsia"/>
                <w:color w:val="auto"/>
                <w:lang w:bidi="en-US"/>
              </w:rPr>
              <w:t>10kV母联开关柜</w:t>
            </w:r>
          </w:p>
        </w:tc>
        <w:tc>
          <w:tcPr>
            <w:tcW w:w="1458" w:type="pct"/>
            <w:vAlign w:val="center"/>
          </w:tcPr>
          <w:p w14:paraId="62BD6F38">
            <w:pPr>
              <w:rPr>
                <w:color w:val="auto"/>
                <w:lang w:bidi="en-US"/>
              </w:rPr>
            </w:pPr>
            <w:r>
              <w:rPr>
                <w:rFonts w:hint="eastAsia"/>
                <w:color w:val="auto"/>
                <w:lang w:bidi="en-US"/>
              </w:rPr>
              <w:t>KYN28A-12</w:t>
            </w:r>
          </w:p>
        </w:tc>
        <w:tc>
          <w:tcPr>
            <w:tcW w:w="205" w:type="pct"/>
            <w:vAlign w:val="center"/>
          </w:tcPr>
          <w:p w14:paraId="18609C0D">
            <w:pPr>
              <w:jc w:val="center"/>
              <w:rPr>
                <w:color w:val="auto"/>
                <w:lang w:bidi="en-US"/>
              </w:rPr>
            </w:pPr>
            <w:r>
              <w:rPr>
                <w:color w:val="auto"/>
                <w:lang w:bidi="en-US"/>
              </w:rPr>
              <w:t>台</w:t>
            </w:r>
          </w:p>
        </w:tc>
        <w:tc>
          <w:tcPr>
            <w:tcW w:w="343" w:type="pct"/>
            <w:vAlign w:val="center"/>
          </w:tcPr>
          <w:p w14:paraId="4D4F56FE">
            <w:pPr>
              <w:jc w:val="center"/>
              <w:rPr>
                <w:color w:val="auto"/>
                <w:lang w:bidi="en-US"/>
              </w:rPr>
            </w:pPr>
            <w:r>
              <w:rPr>
                <w:rFonts w:hint="eastAsia"/>
                <w:color w:val="auto"/>
                <w:lang w:bidi="en-US"/>
              </w:rPr>
              <w:t>1</w:t>
            </w:r>
          </w:p>
        </w:tc>
        <w:tc>
          <w:tcPr>
            <w:tcW w:w="1226" w:type="pct"/>
            <w:vAlign w:val="center"/>
          </w:tcPr>
          <w:p w14:paraId="77C937EB">
            <w:pPr>
              <w:rPr>
                <w:color w:val="auto"/>
                <w:lang w:bidi="en-US"/>
              </w:rPr>
            </w:pPr>
            <w:r>
              <w:rPr>
                <w:rFonts w:hint="eastAsia"/>
                <w:color w:val="auto"/>
                <w:lang w:bidi="en-US"/>
              </w:rPr>
              <w:t>配置详见招标附图</w:t>
            </w:r>
          </w:p>
        </w:tc>
      </w:tr>
      <w:tr w14:paraId="4A86E111">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480EBBA6">
            <w:pPr>
              <w:jc w:val="center"/>
              <w:rPr>
                <w:color w:val="auto"/>
                <w:lang w:bidi="en-US"/>
              </w:rPr>
            </w:pPr>
            <w:r>
              <w:rPr>
                <w:rFonts w:hint="eastAsia"/>
                <w:color w:val="auto"/>
                <w:lang w:bidi="en-US"/>
              </w:rPr>
              <w:t>1.8</w:t>
            </w:r>
          </w:p>
        </w:tc>
        <w:tc>
          <w:tcPr>
            <w:tcW w:w="1367" w:type="pct"/>
            <w:vAlign w:val="center"/>
          </w:tcPr>
          <w:p w14:paraId="7841A6E5">
            <w:pPr>
              <w:rPr>
                <w:color w:val="auto"/>
                <w:lang w:bidi="en-US"/>
              </w:rPr>
            </w:pPr>
            <w:r>
              <w:rPr>
                <w:rFonts w:hint="eastAsia"/>
                <w:color w:val="auto"/>
                <w:lang w:bidi="en-US"/>
              </w:rPr>
              <w:t>10kV母联隔离柜</w:t>
            </w:r>
          </w:p>
        </w:tc>
        <w:tc>
          <w:tcPr>
            <w:tcW w:w="1458" w:type="pct"/>
            <w:vAlign w:val="center"/>
          </w:tcPr>
          <w:p w14:paraId="09AC85FF">
            <w:pPr>
              <w:rPr>
                <w:color w:val="auto"/>
                <w:lang w:bidi="en-US"/>
              </w:rPr>
            </w:pPr>
            <w:r>
              <w:rPr>
                <w:rFonts w:hint="eastAsia"/>
                <w:color w:val="auto"/>
                <w:lang w:bidi="en-US"/>
              </w:rPr>
              <w:t>KYN28A-12</w:t>
            </w:r>
          </w:p>
        </w:tc>
        <w:tc>
          <w:tcPr>
            <w:tcW w:w="205" w:type="pct"/>
            <w:vAlign w:val="center"/>
          </w:tcPr>
          <w:p w14:paraId="3A9D4335">
            <w:pPr>
              <w:jc w:val="center"/>
              <w:rPr>
                <w:color w:val="auto"/>
                <w:lang w:bidi="en-US"/>
              </w:rPr>
            </w:pPr>
            <w:r>
              <w:rPr>
                <w:color w:val="auto"/>
                <w:lang w:bidi="en-US"/>
              </w:rPr>
              <w:t>台</w:t>
            </w:r>
          </w:p>
        </w:tc>
        <w:tc>
          <w:tcPr>
            <w:tcW w:w="343" w:type="pct"/>
            <w:vAlign w:val="center"/>
          </w:tcPr>
          <w:p w14:paraId="3E280B3E">
            <w:pPr>
              <w:jc w:val="center"/>
              <w:rPr>
                <w:color w:val="auto"/>
                <w:lang w:bidi="en-US"/>
              </w:rPr>
            </w:pPr>
            <w:r>
              <w:rPr>
                <w:rFonts w:hint="eastAsia"/>
                <w:color w:val="auto"/>
                <w:lang w:bidi="en-US"/>
              </w:rPr>
              <w:t>1</w:t>
            </w:r>
          </w:p>
        </w:tc>
        <w:tc>
          <w:tcPr>
            <w:tcW w:w="1226" w:type="pct"/>
            <w:vAlign w:val="center"/>
          </w:tcPr>
          <w:p w14:paraId="21440BD6">
            <w:pPr>
              <w:rPr>
                <w:color w:val="auto"/>
                <w:lang w:bidi="en-US"/>
              </w:rPr>
            </w:pPr>
            <w:r>
              <w:rPr>
                <w:rFonts w:hint="eastAsia"/>
                <w:color w:val="auto"/>
                <w:lang w:bidi="en-US"/>
              </w:rPr>
              <w:t>配置详见招标附图</w:t>
            </w:r>
          </w:p>
        </w:tc>
      </w:tr>
      <w:tr w14:paraId="041E9D66">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3375183A">
            <w:pPr>
              <w:jc w:val="center"/>
              <w:rPr>
                <w:color w:val="auto"/>
                <w:lang w:bidi="en-US"/>
              </w:rPr>
            </w:pPr>
            <w:r>
              <w:rPr>
                <w:rFonts w:hint="eastAsia"/>
                <w:color w:val="auto"/>
                <w:lang w:bidi="en-US"/>
              </w:rPr>
              <w:t>1.9</w:t>
            </w:r>
          </w:p>
        </w:tc>
        <w:tc>
          <w:tcPr>
            <w:tcW w:w="1367" w:type="pct"/>
            <w:vAlign w:val="center"/>
          </w:tcPr>
          <w:p w14:paraId="2E2F34C0">
            <w:pPr>
              <w:rPr>
                <w:color w:val="auto"/>
                <w:lang w:eastAsia="zh-CN" w:bidi="en-US"/>
              </w:rPr>
            </w:pPr>
            <w:r>
              <w:rPr>
                <w:rFonts w:hint="eastAsia"/>
                <w:color w:val="auto"/>
                <w:lang w:eastAsia="zh-CN" w:bidi="en-US"/>
              </w:rPr>
              <w:t>10kV电动机变频切换柜</w:t>
            </w:r>
          </w:p>
        </w:tc>
        <w:tc>
          <w:tcPr>
            <w:tcW w:w="1458" w:type="pct"/>
            <w:vAlign w:val="center"/>
          </w:tcPr>
          <w:p w14:paraId="64076EC2">
            <w:pPr>
              <w:rPr>
                <w:color w:val="auto"/>
                <w:lang w:bidi="en-US"/>
              </w:rPr>
            </w:pPr>
            <w:r>
              <w:rPr>
                <w:rFonts w:hint="eastAsia"/>
                <w:color w:val="auto"/>
                <w:lang w:bidi="en-US"/>
              </w:rPr>
              <w:t>KYN28A-12</w:t>
            </w:r>
          </w:p>
        </w:tc>
        <w:tc>
          <w:tcPr>
            <w:tcW w:w="205" w:type="pct"/>
            <w:vAlign w:val="center"/>
          </w:tcPr>
          <w:p w14:paraId="0C30ED7C">
            <w:pPr>
              <w:jc w:val="center"/>
              <w:rPr>
                <w:color w:val="auto"/>
                <w:lang w:bidi="en-US"/>
              </w:rPr>
            </w:pPr>
            <w:r>
              <w:rPr>
                <w:color w:val="auto"/>
                <w:lang w:bidi="en-US"/>
              </w:rPr>
              <w:t>台</w:t>
            </w:r>
          </w:p>
        </w:tc>
        <w:tc>
          <w:tcPr>
            <w:tcW w:w="343" w:type="pct"/>
            <w:vAlign w:val="center"/>
          </w:tcPr>
          <w:p w14:paraId="4C135BD4">
            <w:pPr>
              <w:jc w:val="center"/>
              <w:rPr>
                <w:color w:val="auto"/>
                <w:lang w:bidi="en-US"/>
              </w:rPr>
            </w:pPr>
            <w:r>
              <w:rPr>
                <w:rFonts w:hint="eastAsia"/>
                <w:color w:val="auto"/>
                <w:lang w:bidi="en-US"/>
              </w:rPr>
              <w:t>12</w:t>
            </w:r>
          </w:p>
        </w:tc>
        <w:tc>
          <w:tcPr>
            <w:tcW w:w="1226" w:type="pct"/>
            <w:vAlign w:val="center"/>
          </w:tcPr>
          <w:p w14:paraId="1DB6AD2F">
            <w:pPr>
              <w:rPr>
                <w:color w:val="auto"/>
                <w:lang w:eastAsia="zh-CN" w:bidi="en-US"/>
              </w:rPr>
            </w:pPr>
            <w:r>
              <w:rPr>
                <w:rFonts w:hint="eastAsia"/>
                <w:color w:val="auto"/>
                <w:szCs w:val="24"/>
                <w:lang w:eastAsia="zh-CN"/>
              </w:rPr>
              <w:t>每柜装设1台10kV真空接触器，</w:t>
            </w:r>
            <w:r>
              <w:rPr>
                <w:rFonts w:hint="eastAsia"/>
                <w:color w:val="auto"/>
                <w:lang w:eastAsia="zh-CN" w:bidi="en-US"/>
              </w:rPr>
              <w:t>配置详见招标附图</w:t>
            </w:r>
          </w:p>
        </w:tc>
      </w:tr>
      <w:tr w14:paraId="5B7DCEFA">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258903CF">
            <w:pPr>
              <w:jc w:val="center"/>
              <w:rPr>
                <w:color w:val="auto"/>
                <w:lang w:bidi="en-US"/>
              </w:rPr>
            </w:pPr>
            <w:r>
              <w:rPr>
                <w:rFonts w:hint="eastAsia"/>
                <w:color w:val="auto"/>
                <w:lang w:bidi="en-US"/>
              </w:rPr>
              <w:t>1.10</w:t>
            </w:r>
          </w:p>
        </w:tc>
        <w:tc>
          <w:tcPr>
            <w:tcW w:w="1367" w:type="pct"/>
            <w:vAlign w:val="center"/>
          </w:tcPr>
          <w:p w14:paraId="1463E70E">
            <w:pPr>
              <w:rPr>
                <w:color w:val="auto"/>
                <w:lang w:bidi="en-US"/>
              </w:rPr>
            </w:pPr>
            <w:r>
              <w:rPr>
                <w:rFonts w:hint="eastAsia"/>
                <w:color w:val="auto"/>
                <w:lang w:bidi="en-US"/>
              </w:rPr>
              <w:t xml:space="preserve">共箱母线 </w:t>
            </w:r>
          </w:p>
        </w:tc>
        <w:tc>
          <w:tcPr>
            <w:tcW w:w="1458" w:type="pct"/>
            <w:vAlign w:val="center"/>
          </w:tcPr>
          <w:p w14:paraId="57A3C92B">
            <w:pPr>
              <w:rPr>
                <w:color w:val="auto"/>
                <w:lang w:bidi="en-US"/>
              </w:rPr>
            </w:pPr>
            <w:r>
              <w:rPr>
                <w:rFonts w:hint="eastAsia"/>
                <w:color w:val="auto"/>
                <w:lang w:bidi="en-US"/>
              </w:rPr>
              <w:t>10kV，2000A</w:t>
            </w:r>
          </w:p>
        </w:tc>
        <w:tc>
          <w:tcPr>
            <w:tcW w:w="205" w:type="pct"/>
            <w:vAlign w:val="center"/>
          </w:tcPr>
          <w:p w14:paraId="41696298">
            <w:pPr>
              <w:jc w:val="center"/>
              <w:rPr>
                <w:color w:val="auto"/>
                <w:lang w:bidi="en-US"/>
              </w:rPr>
            </w:pPr>
            <w:r>
              <w:rPr>
                <w:rFonts w:hint="eastAsia"/>
                <w:color w:val="auto"/>
                <w:lang w:bidi="en-US"/>
              </w:rPr>
              <w:t>米</w:t>
            </w:r>
          </w:p>
        </w:tc>
        <w:tc>
          <w:tcPr>
            <w:tcW w:w="343" w:type="pct"/>
            <w:vAlign w:val="center"/>
          </w:tcPr>
          <w:p w14:paraId="02F8313F">
            <w:pPr>
              <w:jc w:val="center"/>
              <w:rPr>
                <w:color w:val="auto"/>
                <w:lang w:bidi="en-US"/>
              </w:rPr>
            </w:pPr>
            <w:r>
              <w:rPr>
                <w:rFonts w:hint="eastAsia"/>
                <w:color w:val="auto"/>
                <w:lang w:bidi="en-US"/>
              </w:rPr>
              <w:t>15</w:t>
            </w:r>
          </w:p>
        </w:tc>
        <w:tc>
          <w:tcPr>
            <w:tcW w:w="1226" w:type="pct"/>
            <w:vAlign w:val="center"/>
          </w:tcPr>
          <w:p w14:paraId="0685F111">
            <w:pPr>
              <w:rPr>
                <w:color w:val="auto"/>
                <w:szCs w:val="24"/>
                <w:lang w:eastAsia="zh-CN"/>
              </w:rPr>
            </w:pPr>
            <w:r>
              <w:rPr>
                <w:rFonts w:hint="eastAsia"/>
                <w:color w:val="auto"/>
                <w:szCs w:val="24"/>
                <w:lang w:eastAsia="zh-CN"/>
              </w:rPr>
              <w:t>配套插接头、固定支架（吊架）</w:t>
            </w:r>
          </w:p>
        </w:tc>
      </w:tr>
      <w:tr w14:paraId="2834177F">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047A2754">
            <w:pPr>
              <w:jc w:val="center"/>
              <w:rPr>
                <w:color w:val="auto"/>
                <w:lang w:bidi="en-US"/>
              </w:rPr>
            </w:pPr>
            <w:r>
              <w:rPr>
                <w:rFonts w:hint="eastAsia"/>
                <w:color w:val="auto"/>
                <w:szCs w:val="24"/>
              </w:rPr>
              <w:t>1.11</w:t>
            </w:r>
          </w:p>
        </w:tc>
        <w:tc>
          <w:tcPr>
            <w:tcW w:w="1367" w:type="pct"/>
            <w:vAlign w:val="center"/>
          </w:tcPr>
          <w:p w14:paraId="5D4375E4">
            <w:pPr>
              <w:rPr>
                <w:color w:val="auto"/>
                <w:lang w:bidi="en-US"/>
              </w:rPr>
            </w:pPr>
            <w:r>
              <w:rPr>
                <w:rFonts w:hint="eastAsia"/>
                <w:color w:val="auto"/>
                <w:lang w:bidi="en-US"/>
              </w:rPr>
              <w:t>电流互感器</w:t>
            </w:r>
          </w:p>
        </w:tc>
        <w:tc>
          <w:tcPr>
            <w:tcW w:w="1458" w:type="pct"/>
            <w:vAlign w:val="center"/>
          </w:tcPr>
          <w:p w14:paraId="000E8466">
            <w:pPr>
              <w:rPr>
                <w:color w:val="auto"/>
                <w:lang w:bidi="en-US"/>
              </w:rPr>
            </w:pPr>
            <w:r>
              <w:rPr>
                <w:rFonts w:hint="eastAsia"/>
                <w:color w:val="auto"/>
                <w:lang w:bidi="en-US"/>
              </w:rPr>
              <w:t>LZZBJ9-12，300/5A, 10P40/10P40，适用变频工况</w:t>
            </w:r>
          </w:p>
        </w:tc>
        <w:tc>
          <w:tcPr>
            <w:tcW w:w="205" w:type="pct"/>
            <w:vAlign w:val="center"/>
          </w:tcPr>
          <w:p w14:paraId="47F9E4FE">
            <w:pPr>
              <w:jc w:val="center"/>
              <w:rPr>
                <w:color w:val="auto"/>
                <w:lang w:bidi="en-US"/>
              </w:rPr>
            </w:pPr>
            <w:r>
              <w:rPr>
                <w:rFonts w:hint="eastAsia"/>
                <w:color w:val="auto"/>
                <w:lang w:bidi="en-US"/>
              </w:rPr>
              <w:t>只</w:t>
            </w:r>
          </w:p>
        </w:tc>
        <w:tc>
          <w:tcPr>
            <w:tcW w:w="343" w:type="pct"/>
            <w:vAlign w:val="center"/>
          </w:tcPr>
          <w:p w14:paraId="58D2B6FF">
            <w:pPr>
              <w:jc w:val="center"/>
              <w:rPr>
                <w:color w:val="auto"/>
                <w:lang w:bidi="en-US"/>
              </w:rPr>
            </w:pPr>
            <w:r>
              <w:rPr>
                <w:rFonts w:hint="eastAsia"/>
                <w:color w:val="auto"/>
                <w:lang w:bidi="en-US"/>
              </w:rPr>
              <w:t>18</w:t>
            </w:r>
          </w:p>
        </w:tc>
        <w:tc>
          <w:tcPr>
            <w:tcW w:w="1226" w:type="pct"/>
            <w:vAlign w:val="center"/>
          </w:tcPr>
          <w:p w14:paraId="26C32A22">
            <w:pPr>
              <w:rPr>
                <w:color w:val="auto"/>
                <w:lang w:bidi="en-US"/>
              </w:rPr>
            </w:pPr>
            <w:r>
              <w:rPr>
                <w:rFonts w:hint="eastAsia"/>
                <w:color w:val="auto"/>
                <w:lang w:bidi="en-US"/>
              </w:rPr>
              <w:t>安装于泵组</w:t>
            </w:r>
          </w:p>
        </w:tc>
      </w:tr>
      <w:tr w14:paraId="74A18D9D">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71761F00">
            <w:pPr>
              <w:jc w:val="center"/>
              <w:rPr>
                <w:color w:val="auto"/>
                <w:lang w:bidi="en-US"/>
              </w:rPr>
            </w:pPr>
            <w:r>
              <w:rPr>
                <w:rFonts w:hint="eastAsia"/>
                <w:color w:val="auto"/>
                <w:lang w:bidi="en-US"/>
              </w:rPr>
              <w:t>1.12</w:t>
            </w:r>
          </w:p>
        </w:tc>
        <w:tc>
          <w:tcPr>
            <w:tcW w:w="1367" w:type="pct"/>
            <w:vAlign w:val="center"/>
          </w:tcPr>
          <w:p w14:paraId="5B904839">
            <w:pPr>
              <w:rPr>
                <w:color w:val="auto"/>
                <w:lang w:bidi="en-US"/>
              </w:rPr>
            </w:pPr>
            <w:r>
              <w:rPr>
                <w:rFonts w:hint="eastAsia"/>
                <w:color w:val="auto"/>
                <w:lang w:bidi="en-US"/>
              </w:rPr>
              <w:t>接地手车</w:t>
            </w:r>
          </w:p>
        </w:tc>
        <w:tc>
          <w:tcPr>
            <w:tcW w:w="1458" w:type="pct"/>
            <w:vAlign w:val="center"/>
          </w:tcPr>
          <w:p w14:paraId="492F8B0C">
            <w:pPr>
              <w:rPr>
                <w:color w:val="auto"/>
                <w:lang w:bidi="en-US"/>
              </w:rPr>
            </w:pPr>
          </w:p>
        </w:tc>
        <w:tc>
          <w:tcPr>
            <w:tcW w:w="205" w:type="pct"/>
            <w:vAlign w:val="center"/>
          </w:tcPr>
          <w:p w14:paraId="3FF62B1E">
            <w:pPr>
              <w:jc w:val="center"/>
              <w:rPr>
                <w:color w:val="auto"/>
                <w:lang w:bidi="en-US"/>
              </w:rPr>
            </w:pPr>
            <w:r>
              <w:rPr>
                <w:color w:val="auto"/>
                <w:lang w:bidi="en-US"/>
              </w:rPr>
              <w:t>台</w:t>
            </w:r>
          </w:p>
        </w:tc>
        <w:tc>
          <w:tcPr>
            <w:tcW w:w="343" w:type="pct"/>
            <w:vAlign w:val="center"/>
          </w:tcPr>
          <w:p w14:paraId="61E0FCFB">
            <w:pPr>
              <w:jc w:val="center"/>
              <w:rPr>
                <w:color w:val="auto"/>
                <w:lang w:bidi="en-US"/>
              </w:rPr>
            </w:pPr>
            <w:r>
              <w:rPr>
                <w:rFonts w:hint="eastAsia"/>
                <w:color w:val="auto"/>
                <w:lang w:bidi="en-US"/>
              </w:rPr>
              <w:t>2</w:t>
            </w:r>
          </w:p>
        </w:tc>
        <w:tc>
          <w:tcPr>
            <w:tcW w:w="1226" w:type="pct"/>
            <w:vAlign w:val="center"/>
          </w:tcPr>
          <w:p w14:paraId="0F561648">
            <w:pPr>
              <w:rPr>
                <w:color w:val="auto"/>
                <w:lang w:bidi="en-US"/>
              </w:rPr>
            </w:pPr>
          </w:p>
        </w:tc>
      </w:tr>
      <w:tr w14:paraId="7CC21AB2">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74C2A87B">
            <w:pPr>
              <w:jc w:val="center"/>
              <w:rPr>
                <w:color w:val="auto"/>
                <w:lang w:bidi="en-US"/>
              </w:rPr>
            </w:pPr>
            <w:r>
              <w:rPr>
                <w:rFonts w:hint="eastAsia"/>
                <w:color w:val="auto"/>
                <w:lang w:bidi="en-US"/>
              </w:rPr>
              <w:t>1.13</w:t>
            </w:r>
          </w:p>
        </w:tc>
        <w:tc>
          <w:tcPr>
            <w:tcW w:w="1367" w:type="pct"/>
            <w:vAlign w:val="center"/>
          </w:tcPr>
          <w:p w14:paraId="6AC67EFA">
            <w:pPr>
              <w:rPr>
                <w:color w:val="auto"/>
                <w:lang w:bidi="en-US"/>
              </w:rPr>
            </w:pPr>
            <w:r>
              <w:rPr>
                <w:rFonts w:hint="eastAsia"/>
                <w:color w:val="auto"/>
                <w:lang w:bidi="en-US"/>
              </w:rPr>
              <w:t>专用转运车</w:t>
            </w:r>
          </w:p>
        </w:tc>
        <w:tc>
          <w:tcPr>
            <w:tcW w:w="1458" w:type="pct"/>
            <w:vAlign w:val="center"/>
          </w:tcPr>
          <w:p w14:paraId="5C02263E">
            <w:pPr>
              <w:rPr>
                <w:color w:val="auto"/>
                <w:lang w:bidi="en-US"/>
              </w:rPr>
            </w:pPr>
          </w:p>
        </w:tc>
        <w:tc>
          <w:tcPr>
            <w:tcW w:w="205" w:type="pct"/>
            <w:vAlign w:val="center"/>
          </w:tcPr>
          <w:p w14:paraId="5982083E">
            <w:pPr>
              <w:jc w:val="center"/>
              <w:rPr>
                <w:color w:val="auto"/>
                <w:lang w:bidi="en-US"/>
              </w:rPr>
            </w:pPr>
            <w:r>
              <w:rPr>
                <w:color w:val="auto"/>
                <w:lang w:bidi="en-US"/>
              </w:rPr>
              <w:t>台</w:t>
            </w:r>
          </w:p>
        </w:tc>
        <w:tc>
          <w:tcPr>
            <w:tcW w:w="343" w:type="pct"/>
            <w:vAlign w:val="center"/>
          </w:tcPr>
          <w:p w14:paraId="6C8305B1">
            <w:pPr>
              <w:jc w:val="center"/>
              <w:rPr>
                <w:color w:val="auto"/>
                <w:lang w:bidi="en-US"/>
              </w:rPr>
            </w:pPr>
            <w:r>
              <w:rPr>
                <w:rFonts w:hint="eastAsia"/>
                <w:color w:val="auto"/>
                <w:lang w:bidi="en-US"/>
              </w:rPr>
              <w:t>2</w:t>
            </w:r>
          </w:p>
        </w:tc>
        <w:tc>
          <w:tcPr>
            <w:tcW w:w="1226" w:type="pct"/>
            <w:vAlign w:val="center"/>
          </w:tcPr>
          <w:p w14:paraId="797E48F7">
            <w:pPr>
              <w:rPr>
                <w:color w:val="auto"/>
                <w:lang w:bidi="en-US"/>
              </w:rPr>
            </w:pPr>
          </w:p>
        </w:tc>
      </w:tr>
      <w:tr w14:paraId="1357EF94">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3D871F51">
            <w:pPr>
              <w:jc w:val="center"/>
              <w:rPr>
                <w:b/>
                <w:bCs/>
                <w:color w:val="auto"/>
                <w:lang w:bidi="en-US"/>
              </w:rPr>
            </w:pPr>
            <w:r>
              <w:rPr>
                <w:rFonts w:hint="eastAsia"/>
                <w:b/>
                <w:bCs/>
                <w:color w:val="auto"/>
                <w:lang w:bidi="en-US"/>
              </w:rPr>
              <w:t>2</w:t>
            </w:r>
          </w:p>
        </w:tc>
        <w:tc>
          <w:tcPr>
            <w:tcW w:w="1367" w:type="pct"/>
            <w:vAlign w:val="center"/>
          </w:tcPr>
          <w:p w14:paraId="03C93BA0">
            <w:pPr>
              <w:rPr>
                <w:b/>
                <w:bCs/>
                <w:color w:val="auto"/>
                <w:lang w:bidi="en-US"/>
              </w:rPr>
            </w:pPr>
            <w:r>
              <w:rPr>
                <w:b/>
                <w:bCs/>
                <w:color w:val="auto"/>
                <w:lang w:bidi="en-US"/>
              </w:rPr>
              <w:t>厂用变压器</w:t>
            </w:r>
          </w:p>
        </w:tc>
        <w:tc>
          <w:tcPr>
            <w:tcW w:w="1458" w:type="pct"/>
            <w:vAlign w:val="center"/>
          </w:tcPr>
          <w:p w14:paraId="5A010A64">
            <w:pPr>
              <w:rPr>
                <w:b/>
                <w:bCs/>
                <w:color w:val="auto"/>
                <w:lang w:eastAsia="zh-CN" w:bidi="en-US"/>
              </w:rPr>
            </w:pPr>
            <w:r>
              <w:rPr>
                <w:b/>
                <w:bCs/>
                <w:color w:val="auto"/>
                <w:lang w:eastAsia="zh-CN" w:bidi="en-US"/>
              </w:rPr>
              <w:t>SCB1</w:t>
            </w:r>
            <w:r>
              <w:rPr>
                <w:rFonts w:hint="eastAsia"/>
                <w:b/>
                <w:bCs/>
                <w:color w:val="auto"/>
                <w:lang w:eastAsia="zh-CN" w:bidi="en-US"/>
              </w:rPr>
              <w:t>8</w:t>
            </w:r>
            <w:r>
              <w:rPr>
                <w:b/>
                <w:bCs/>
                <w:color w:val="auto"/>
                <w:lang w:eastAsia="zh-CN" w:bidi="en-US"/>
              </w:rPr>
              <w:t>－</w:t>
            </w:r>
            <w:r>
              <w:rPr>
                <w:rFonts w:hint="eastAsia"/>
                <w:b/>
                <w:bCs/>
                <w:color w:val="auto"/>
                <w:lang w:eastAsia="zh-CN" w:bidi="en-US"/>
              </w:rPr>
              <w:t>1000</w:t>
            </w:r>
            <w:r>
              <w:rPr>
                <w:b/>
                <w:bCs/>
                <w:color w:val="auto"/>
                <w:lang w:eastAsia="zh-CN" w:bidi="en-US"/>
              </w:rPr>
              <w:t>/10（带铝合金外壳）</w:t>
            </w:r>
          </w:p>
        </w:tc>
        <w:tc>
          <w:tcPr>
            <w:tcW w:w="205" w:type="pct"/>
            <w:vAlign w:val="center"/>
          </w:tcPr>
          <w:p w14:paraId="74F8910A">
            <w:pPr>
              <w:jc w:val="center"/>
              <w:rPr>
                <w:b/>
                <w:bCs/>
                <w:color w:val="auto"/>
                <w:lang w:bidi="en-US"/>
              </w:rPr>
            </w:pPr>
            <w:r>
              <w:rPr>
                <w:b/>
                <w:bCs/>
                <w:color w:val="auto"/>
                <w:lang w:bidi="en-US"/>
              </w:rPr>
              <w:t>台</w:t>
            </w:r>
          </w:p>
        </w:tc>
        <w:tc>
          <w:tcPr>
            <w:tcW w:w="343" w:type="pct"/>
            <w:vAlign w:val="center"/>
          </w:tcPr>
          <w:p w14:paraId="7EE1305A">
            <w:pPr>
              <w:jc w:val="center"/>
              <w:rPr>
                <w:b/>
                <w:bCs/>
                <w:color w:val="auto"/>
                <w:lang w:bidi="en-US"/>
              </w:rPr>
            </w:pPr>
            <w:r>
              <w:rPr>
                <w:rFonts w:hint="eastAsia"/>
                <w:b/>
                <w:bCs/>
                <w:color w:val="auto"/>
                <w:lang w:bidi="en-US"/>
              </w:rPr>
              <w:t>2</w:t>
            </w:r>
          </w:p>
        </w:tc>
        <w:tc>
          <w:tcPr>
            <w:tcW w:w="1226" w:type="pct"/>
            <w:vAlign w:val="center"/>
          </w:tcPr>
          <w:p w14:paraId="2008F97D">
            <w:pPr>
              <w:rPr>
                <w:b/>
                <w:bCs/>
                <w:color w:val="auto"/>
                <w:lang w:bidi="en-US"/>
              </w:rPr>
            </w:pPr>
          </w:p>
        </w:tc>
      </w:tr>
      <w:tr w14:paraId="5B87E6AA">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2F8EB8F7">
            <w:pPr>
              <w:jc w:val="center"/>
              <w:rPr>
                <w:color w:val="auto"/>
                <w:lang w:bidi="en-US"/>
              </w:rPr>
            </w:pPr>
            <w:r>
              <w:rPr>
                <w:rFonts w:hint="eastAsia"/>
                <w:color w:val="auto"/>
                <w:lang w:bidi="en-US"/>
              </w:rPr>
              <w:t>3</w:t>
            </w:r>
          </w:p>
        </w:tc>
        <w:tc>
          <w:tcPr>
            <w:tcW w:w="4600" w:type="pct"/>
            <w:gridSpan w:val="5"/>
            <w:vAlign w:val="center"/>
          </w:tcPr>
          <w:p w14:paraId="115A980D">
            <w:pPr>
              <w:rPr>
                <w:color w:val="auto"/>
                <w:lang w:bidi="en-US"/>
              </w:rPr>
            </w:pPr>
            <w:r>
              <w:rPr>
                <w:b/>
                <w:color w:val="auto"/>
              </w:rPr>
              <w:t>站用电</w:t>
            </w:r>
          </w:p>
        </w:tc>
      </w:tr>
      <w:tr w14:paraId="335EC91B">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07A8ED97">
            <w:pPr>
              <w:jc w:val="center"/>
              <w:rPr>
                <w:color w:val="auto"/>
                <w:lang w:bidi="en-US"/>
              </w:rPr>
            </w:pPr>
            <w:r>
              <w:rPr>
                <w:rFonts w:hint="eastAsia"/>
                <w:color w:val="auto"/>
                <w:lang w:bidi="en-US"/>
              </w:rPr>
              <w:t>3.1</w:t>
            </w:r>
          </w:p>
        </w:tc>
        <w:tc>
          <w:tcPr>
            <w:tcW w:w="1367" w:type="pct"/>
            <w:vAlign w:val="center"/>
          </w:tcPr>
          <w:p w14:paraId="76AF678F">
            <w:pPr>
              <w:rPr>
                <w:color w:val="auto"/>
                <w:lang w:bidi="en-US"/>
              </w:rPr>
            </w:pPr>
            <w:r>
              <w:rPr>
                <w:rFonts w:hint="eastAsia"/>
                <w:color w:val="auto"/>
                <w:lang w:bidi="en-US"/>
              </w:rPr>
              <w:t>0.4kV进线柜</w:t>
            </w:r>
          </w:p>
        </w:tc>
        <w:tc>
          <w:tcPr>
            <w:tcW w:w="1458" w:type="pct"/>
            <w:vAlign w:val="center"/>
          </w:tcPr>
          <w:p w14:paraId="4224D182">
            <w:pPr>
              <w:rPr>
                <w:color w:val="auto"/>
                <w:lang w:bidi="en-US"/>
              </w:rPr>
            </w:pPr>
          </w:p>
        </w:tc>
        <w:tc>
          <w:tcPr>
            <w:tcW w:w="205" w:type="pct"/>
            <w:vAlign w:val="center"/>
          </w:tcPr>
          <w:p w14:paraId="19864C1C">
            <w:pPr>
              <w:rPr>
                <w:color w:val="auto"/>
                <w:lang w:bidi="en-US"/>
              </w:rPr>
            </w:pPr>
            <w:r>
              <w:rPr>
                <w:rFonts w:hint="eastAsia"/>
                <w:color w:val="auto"/>
                <w:lang w:bidi="en-US"/>
              </w:rPr>
              <w:t>台</w:t>
            </w:r>
          </w:p>
        </w:tc>
        <w:tc>
          <w:tcPr>
            <w:tcW w:w="343" w:type="pct"/>
            <w:vAlign w:val="center"/>
          </w:tcPr>
          <w:p w14:paraId="50228684">
            <w:pPr>
              <w:jc w:val="center"/>
              <w:rPr>
                <w:color w:val="auto"/>
                <w:lang w:bidi="en-US"/>
              </w:rPr>
            </w:pPr>
            <w:r>
              <w:rPr>
                <w:rFonts w:hint="eastAsia"/>
                <w:color w:val="auto"/>
                <w:lang w:bidi="en-US"/>
              </w:rPr>
              <w:t>2</w:t>
            </w:r>
          </w:p>
        </w:tc>
        <w:tc>
          <w:tcPr>
            <w:tcW w:w="1226" w:type="pct"/>
            <w:vAlign w:val="center"/>
          </w:tcPr>
          <w:p w14:paraId="578F6692">
            <w:pPr>
              <w:rPr>
                <w:color w:val="auto"/>
                <w:lang w:bidi="en-US"/>
              </w:rPr>
            </w:pPr>
            <w:r>
              <w:rPr>
                <w:rFonts w:hint="eastAsia"/>
                <w:color w:val="auto"/>
                <w:lang w:bidi="en-US"/>
              </w:rPr>
              <w:t>配置详见招标附图</w:t>
            </w:r>
          </w:p>
        </w:tc>
      </w:tr>
      <w:tr w14:paraId="2B65FD81">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5655D105">
            <w:pPr>
              <w:jc w:val="center"/>
              <w:rPr>
                <w:color w:val="auto"/>
                <w:lang w:bidi="en-US"/>
              </w:rPr>
            </w:pPr>
            <w:r>
              <w:rPr>
                <w:rFonts w:hint="eastAsia"/>
                <w:color w:val="auto"/>
                <w:lang w:bidi="en-US"/>
              </w:rPr>
              <w:t>3.2</w:t>
            </w:r>
          </w:p>
        </w:tc>
        <w:tc>
          <w:tcPr>
            <w:tcW w:w="1367" w:type="pct"/>
            <w:vAlign w:val="center"/>
          </w:tcPr>
          <w:p w14:paraId="3540A035">
            <w:pPr>
              <w:rPr>
                <w:color w:val="auto"/>
                <w:lang w:bidi="en-US"/>
              </w:rPr>
            </w:pPr>
            <w:r>
              <w:rPr>
                <w:rFonts w:hint="eastAsia"/>
                <w:color w:val="auto"/>
                <w:lang w:bidi="en-US"/>
              </w:rPr>
              <w:t>0.4kV母联柜</w:t>
            </w:r>
          </w:p>
        </w:tc>
        <w:tc>
          <w:tcPr>
            <w:tcW w:w="1458" w:type="pct"/>
            <w:vAlign w:val="center"/>
          </w:tcPr>
          <w:p w14:paraId="0B4EE09B">
            <w:pPr>
              <w:rPr>
                <w:color w:val="auto"/>
                <w:lang w:bidi="en-US"/>
              </w:rPr>
            </w:pPr>
          </w:p>
        </w:tc>
        <w:tc>
          <w:tcPr>
            <w:tcW w:w="205" w:type="pct"/>
            <w:vAlign w:val="center"/>
          </w:tcPr>
          <w:p w14:paraId="6C0B5B7E">
            <w:pPr>
              <w:rPr>
                <w:color w:val="auto"/>
                <w:lang w:bidi="en-US"/>
              </w:rPr>
            </w:pPr>
            <w:r>
              <w:rPr>
                <w:rFonts w:hint="eastAsia"/>
                <w:color w:val="auto"/>
                <w:lang w:bidi="en-US"/>
              </w:rPr>
              <w:t>台</w:t>
            </w:r>
          </w:p>
        </w:tc>
        <w:tc>
          <w:tcPr>
            <w:tcW w:w="343" w:type="pct"/>
            <w:vAlign w:val="center"/>
          </w:tcPr>
          <w:p w14:paraId="0AC1F207">
            <w:pPr>
              <w:jc w:val="center"/>
              <w:rPr>
                <w:color w:val="auto"/>
                <w:lang w:bidi="en-US"/>
              </w:rPr>
            </w:pPr>
            <w:r>
              <w:rPr>
                <w:rFonts w:hint="eastAsia"/>
                <w:color w:val="auto"/>
                <w:lang w:bidi="en-US"/>
              </w:rPr>
              <w:t>1</w:t>
            </w:r>
          </w:p>
        </w:tc>
        <w:tc>
          <w:tcPr>
            <w:tcW w:w="1226" w:type="pct"/>
            <w:vAlign w:val="center"/>
          </w:tcPr>
          <w:p w14:paraId="4D6EB6C2">
            <w:pPr>
              <w:rPr>
                <w:color w:val="auto"/>
                <w:lang w:bidi="en-US"/>
              </w:rPr>
            </w:pPr>
            <w:r>
              <w:rPr>
                <w:rFonts w:hint="eastAsia"/>
                <w:color w:val="auto"/>
                <w:lang w:bidi="en-US"/>
              </w:rPr>
              <w:t>配置详见招标附图</w:t>
            </w:r>
          </w:p>
        </w:tc>
      </w:tr>
      <w:tr w14:paraId="5B1D7986">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02BB0D37">
            <w:pPr>
              <w:jc w:val="center"/>
              <w:rPr>
                <w:color w:val="auto"/>
                <w:lang w:bidi="en-US"/>
              </w:rPr>
            </w:pPr>
            <w:r>
              <w:rPr>
                <w:rFonts w:hint="eastAsia"/>
                <w:color w:val="auto"/>
                <w:lang w:bidi="en-US"/>
              </w:rPr>
              <w:t>3.3</w:t>
            </w:r>
          </w:p>
        </w:tc>
        <w:tc>
          <w:tcPr>
            <w:tcW w:w="1367" w:type="pct"/>
            <w:vAlign w:val="center"/>
          </w:tcPr>
          <w:p w14:paraId="5CF6B82B">
            <w:pPr>
              <w:rPr>
                <w:color w:val="auto"/>
                <w:lang w:bidi="en-US"/>
              </w:rPr>
            </w:pPr>
            <w:r>
              <w:rPr>
                <w:rFonts w:hint="eastAsia"/>
                <w:color w:val="auto"/>
                <w:lang w:bidi="en-US"/>
              </w:rPr>
              <w:t>无功补偿柜</w:t>
            </w:r>
          </w:p>
        </w:tc>
        <w:tc>
          <w:tcPr>
            <w:tcW w:w="1458" w:type="pct"/>
            <w:vAlign w:val="center"/>
          </w:tcPr>
          <w:p w14:paraId="00042484">
            <w:pPr>
              <w:rPr>
                <w:color w:val="auto"/>
                <w:lang w:bidi="en-US"/>
              </w:rPr>
            </w:pPr>
          </w:p>
        </w:tc>
        <w:tc>
          <w:tcPr>
            <w:tcW w:w="205" w:type="pct"/>
            <w:vAlign w:val="center"/>
          </w:tcPr>
          <w:p w14:paraId="39F98CBB">
            <w:pPr>
              <w:rPr>
                <w:color w:val="auto"/>
                <w:lang w:bidi="en-US"/>
              </w:rPr>
            </w:pPr>
            <w:r>
              <w:rPr>
                <w:rFonts w:hint="eastAsia"/>
                <w:color w:val="auto"/>
                <w:lang w:bidi="en-US"/>
              </w:rPr>
              <w:t>台</w:t>
            </w:r>
          </w:p>
        </w:tc>
        <w:tc>
          <w:tcPr>
            <w:tcW w:w="343" w:type="pct"/>
            <w:vAlign w:val="center"/>
          </w:tcPr>
          <w:p w14:paraId="3598C54A">
            <w:pPr>
              <w:jc w:val="center"/>
              <w:rPr>
                <w:color w:val="auto"/>
                <w:lang w:bidi="en-US"/>
              </w:rPr>
            </w:pPr>
            <w:r>
              <w:rPr>
                <w:rFonts w:hint="eastAsia"/>
                <w:color w:val="auto"/>
                <w:lang w:bidi="en-US"/>
              </w:rPr>
              <w:t>1</w:t>
            </w:r>
          </w:p>
        </w:tc>
        <w:tc>
          <w:tcPr>
            <w:tcW w:w="1226" w:type="pct"/>
            <w:vAlign w:val="center"/>
          </w:tcPr>
          <w:p w14:paraId="40D58A0A">
            <w:pPr>
              <w:rPr>
                <w:color w:val="auto"/>
                <w:lang w:bidi="en-US"/>
              </w:rPr>
            </w:pPr>
            <w:r>
              <w:rPr>
                <w:rFonts w:hint="eastAsia"/>
                <w:color w:val="auto"/>
                <w:lang w:bidi="en-US"/>
              </w:rPr>
              <w:t>配置详见招标附图</w:t>
            </w:r>
          </w:p>
        </w:tc>
      </w:tr>
      <w:tr w14:paraId="70F6B5BC">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14CBE5FF">
            <w:pPr>
              <w:jc w:val="center"/>
              <w:rPr>
                <w:color w:val="auto"/>
                <w:lang w:bidi="en-US"/>
              </w:rPr>
            </w:pPr>
            <w:r>
              <w:rPr>
                <w:rFonts w:hint="eastAsia"/>
                <w:color w:val="auto"/>
                <w:lang w:bidi="en-US"/>
              </w:rPr>
              <w:t>3.4</w:t>
            </w:r>
          </w:p>
        </w:tc>
        <w:tc>
          <w:tcPr>
            <w:tcW w:w="1367" w:type="pct"/>
            <w:vAlign w:val="center"/>
          </w:tcPr>
          <w:p w14:paraId="6D4312B8">
            <w:pPr>
              <w:rPr>
                <w:color w:val="auto"/>
                <w:lang w:bidi="en-US"/>
              </w:rPr>
            </w:pPr>
            <w:r>
              <w:rPr>
                <w:rFonts w:hint="eastAsia"/>
                <w:color w:val="auto"/>
                <w:lang w:bidi="en-US"/>
              </w:rPr>
              <w:t>0.4kV馈电柜</w:t>
            </w:r>
          </w:p>
        </w:tc>
        <w:tc>
          <w:tcPr>
            <w:tcW w:w="1458" w:type="pct"/>
            <w:vAlign w:val="center"/>
          </w:tcPr>
          <w:p w14:paraId="413207B1">
            <w:pPr>
              <w:rPr>
                <w:color w:val="auto"/>
                <w:lang w:bidi="en-US"/>
              </w:rPr>
            </w:pPr>
          </w:p>
        </w:tc>
        <w:tc>
          <w:tcPr>
            <w:tcW w:w="205" w:type="pct"/>
            <w:vAlign w:val="center"/>
          </w:tcPr>
          <w:p w14:paraId="375DEC0A">
            <w:pPr>
              <w:rPr>
                <w:color w:val="auto"/>
                <w:lang w:bidi="en-US"/>
              </w:rPr>
            </w:pPr>
            <w:r>
              <w:rPr>
                <w:rFonts w:hint="eastAsia"/>
                <w:color w:val="auto"/>
                <w:lang w:bidi="en-US"/>
              </w:rPr>
              <w:t>台</w:t>
            </w:r>
          </w:p>
        </w:tc>
        <w:tc>
          <w:tcPr>
            <w:tcW w:w="343" w:type="pct"/>
            <w:vAlign w:val="center"/>
          </w:tcPr>
          <w:p w14:paraId="29351433">
            <w:pPr>
              <w:jc w:val="center"/>
              <w:rPr>
                <w:color w:val="auto"/>
                <w:lang w:bidi="en-US"/>
              </w:rPr>
            </w:pPr>
            <w:r>
              <w:rPr>
                <w:rFonts w:hint="eastAsia"/>
                <w:color w:val="auto"/>
                <w:lang w:bidi="en-US"/>
              </w:rPr>
              <w:t>10</w:t>
            </w:r>
          </w:p>
        </w:tc>
        <w:tc>
          <w:tcPr>
            <w:tcW w:w="1226" w:type="pct"/>
            <w:vAlign w:val="center"/>
          </w:tcPr>
          <w:p w14:paraId="7454B6D3">
            <w:pPr>
              <w:rPr>
                <w:color w:val="auto"/>
                <w:lang w:bidi="en-US"/>
              </w:rPr>
            </w:pPr>
            <w:r>
              <w:rPr>
                <w:rFonts w:hint="eastAsia"/>
                <w:color w:val="auto"/>
                <w:lang w:bidi="en-US"/>
              </w:rPr>
              <w:t>配置详见招标附图</w:t>
            </w:r>
          </w:p>
        </w:tc>
      </w:tr>
      <w:tr w14:paraId="3A957049">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90" w:hRule="atLeast"/>
        </w:trPr>
        <w:tc>
          <w:tcPr>
            <w:tcW w:w="399" w:type="pct"/>
            <w:vAlign w:val="center"/>
          </w:tcPr>
          <w:p w14:paraId="43A6DB84">
            <w:pPr>
              <w:jc w:val="center"/>
              <w:rPr>
                <w:color w:val="auto"/>
                <w:lang w:bidi="en-US"/>
              </w:rPr>
            </w:pPr>
            <w:r>
              <w:rPr>
                <w:rFonts w:hint="eastAsia"/>
                <w:color w:val="auto"/>
                <w:lang w:bidi="en-US"/>
              </w:rPr>
              <w:t>3.5</w:t>
            </w:r>
          </w:p>
        </w:tc>
        <w:tc>
          <w:tcPr>
            <w:tcW w:w="1367" w:type="pct"/>
            <w:vAlign w:val="center"/>
          </w:tcPr>
          <w:p w14:paraId="73403848">
            <w:pPr>
              <w:rPr>
                <w:color w:val="auto"/>
                <w:lang w:bidi="en-US"/>
              </w:rPr>
            </w:pPr>
            <w:r>
              <w:rPr>
                <w:rFonts w:hint="eastAsia"/>
                <w:color w:val="auto"/>
              </w:rPr>
              <w:t>插接式母线</w:t>
            </w:r>
          </w:p>
        </w:tc>
        <w:tc>
          <w:tcPr>
            <w:tcW w:w="1458" w:type="pct"/>
            <w:vAlign w:val="center"/>
          </w:tcPr>
          <w:p w14:paraId="01BC207D">
            <w:pPr>
              <w:rPr>
                <w:color w:val="auto"/>
                <w:lang w:bidi="en-US"/>
              </w:rPr>
            </w:pPr>
            <w:r>
              <w:rPr>
                <w:rFonts w:hint="eastAsia"/>
                <w:color w:val="auto"/>
                <w:lang w:bidi="en-US"/>
              </w:rPr>
              <w:t>2000A</w:t>
            </w:r>
          </w:p>
        </w:tc>
        <w:tc>
          <w:tcPr>
            <w:tcW w:w="205" w:type="pct"/>
            <w:vAlign w:val="center"/>
          </w:tcPr>
          <w:p w14:paraId="2937187A">
            <w:pPr>
              <w:jc w:val="center"/>
              <w:rPr>
                <w:color w:val="auto"/>
                <w:lang w:bidi="en-US"/>
              </w:rPr>
            </w:pPr>
            <w:r>
              <w:rPr>
                <w:rFonts w:hint="eastAsia"/>
                <w:color w:val="auto"/>
                <w:lang w:bidi="en-US"/>
              </w:rPr>
              <w:t>米</w:t>
            </w:r>
          </w:p>
        </w:tc>
        <w:tc>
          <w:tcPr>
            <w:tcW w:w="343" w:type="pct"/>
            <w:vAlign w:val="center"/>
          </w:tcPr>
          <w:p w14:paraId="41B2DB96">
            <w:pPr>
              <w:jc w:val="center"/>
              <w:rPr>
                <w:color w:val="auto"/>
                <w:lang w:bidi="en-US"/>
              </w:rPr>
            </w:pPr>
            <w:r>
              <w:rPr>
                <w:rFonts w:hint="eastAsia"/>
                <w:color w:val="auto"/>
              </w:rPr>
              <w:t>20</w:t>
            </w:r>
          </w:p>
        </w:tc>
        <w:tc>
          <w:tcPr>
            <w:tcW w:w="1226" w:type="pct"/>
            <w:vAlign w:val="center"/>
          </w:tcPr>
          <w:p w14:paraId="059EDD1E">
            <w:pPr>
              <w:rPr>
                <w:color w:val="auto"/>
                <w:lang w:eastAsia="zh-CN" w:bidi="en-US"/>
              </w:rPr>
            </w:pPr>
            <w:r>
              <w:rPr>
                <w:rFonts w:hint="eastAsia"/>
                <w:color w:val="auto"/>
                <w:szCs w:val="24"/>
                <w:lang w:eastAsia="zh-CN"/>
              </w:rPr>
              <w:t>配套插接头、固定支架（吊架）</w:t>
            </w:r>
          </w:p>
        </w:tc>
      </w:tr>
      <w:tr w14:paraId="7435F3A9">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120176B1">
            <w:pPr>
              <w:jc w:val="center"/>
              <w:rPr>
                <w:color w:val="auto"/>
                <w:lang w:bidi="en-US"/>
              </w:rPr>
            </w:pPr>
            <w:r>
              <w:rPr>
                <w:rFonts w:hint="eastAsia"/>
                <w:color w:val="auto"/>
                <w:lang w:bidi="en-US"/>
              </w:rPr>
              <w:t>3.6</w:t>
            </w:r>
          </w:p>
        </w:tc>
        <w:tc>
          <w:tcPr>
            <w:tcW w:w="1367" w:type="pct"/>
            <w:vAlign w:val="center"/>
          </w:tcPr>
          <w:p w14:paraId="5D33136E">
            <w:pPr>
              <w:rPr>
                <w:color w:val="auto"/>
              </w:rPr>
            </w:pPr>
            <w:r>
              <w:rPr>
                <w:rFonts w:hint="eastAsia"/>
                <w:color w:val="auto"/>
              </w:rPr>
              <w:t>机旁动力柜</w:t>
            </w:r>
          </w:p>
        </w:tc>
        <w:tc>
          <w:tcPr>
            <w:tcW w:w="1458" w:type="pct"/>
            <w:vAlign w:val="center"/>
          </w:tcPr>
          <w:p w14:paraId="0B7D4678">
            <w:pPr>
              <w:rPr>
                <w:color w:val="auto"/>
                <w:lang w:bidi="en-US"/>
              </w:rPr>
            </w:pPr>
            <w:r>
              <w:rPr>
                <w:rFonts w:hint="eastAsia"/>
                <w:color w:val="auto"/>
                <w:lang w:bidi="en-US"/>
              </w:rPr>
              <w:t>GGD</w:t>
            </w:r>
          </w:p>
        </w:tc>
        <w:tc>
          <w:tcPr>
            <w:tcW w:w="205" w:type="pct"/>
            <w:vAlign w:val="center"/>
          </w:tcPr>
          <w:p w14:paraId="60052576">
            <w:pPr>
              <w:jc w:val="center"/>
              <w:rPr>
                <w:color w:val="auto"/>
                <w:lang w:bidi="en-US"/>
              </w:rPr>
            </w:pPr>
            <w:r>
              <w:rPr>
                <w:rFonts w:hint="eastAsia"/>
                <w:color w:val="auto"/>
              </w:rPr>
              <w:t>台</w:t>
            </w:r>
          </w:p>
        </w:tc>
        <w:tc>
          <w:tcPr>
            <w:tcW w:w="343" w:type="pct"/>
            <w:vAlign w:val="center"/>
          </w:tcPr>
          <w:p w14:paraId="407AFEBA">
            <w:pPr>
              <w:jc w:val="center"/>
              <w:rPr>
                <w:color w:val="auto"/>
              </w:rPr>
            </w:pPr>
            <w:r>
              <w:rPr>
                <w:rFonts w:hint="eastAsia"/>
                <w:color w:val="auto"/>
              </w:rPr>
              <w:t>6</w:t>
            </w:r>
          </w:p>
        </w:tc>
        <w:tc>
          <w:tcPr>
            <w:tcW w:w="1226" w:type="pct"/>
            <w:vAlign w:val="center"/>
          </w:tcPr>
          <w:p w14:paraId="498AFDC3">
            <w:pPr>
              <w:rPr>
                <w:color w:val="auto"/>
                <w:lang w:bidi="en-US"/>
              </w:rPr>
            </w:pPr>
            <w:r>
              <w:rPr>
                <w:rFonts w:hint="eastAsia"/>
                <w:color w:val="auto"/>
                <w:lang w:bidi="en-US"/>
              </w:rPr>
              <w:t>配置详见招标附图</w:t>
            </w:r>
          </w:p>
        </w:tc>
      </w:tr>
      <w:tr w14:paraId="172ACA94">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54D181B8">
            <w:pPr>
              <w:jc w:val="center"/>
              <w:rPr>
                <w:color w:val="auto"/>
                <w:lang w:bidi="en-US"/>
              </w:rPr>
            </w:pPr>
            <w:r>
              <w:rPr>
                <w:rFonts w:hint="eastAsia"/>
                <w:color w:val="auto"/>
                <w:lang w:bidi="en-US"/>
              </w:rPr>
              <w:t>3.7</w:t>
            </w:r>
          </w:p>
        </w:tc>
        <w:tc>
          <w:tcPr>
            <w:tcW w:w="1367" w:type="pct"/>
            <w:vAlign w:val="center"/>
          </w:tcPr>
          <w:p w14:paraId="046A5C45">
            <w:pPr>
              <w:rPr>
                <w:color w:val="auto"/>
                <w:lang w:bidi="en-US"/>
              </w:rPr>
            </w:pPr>
            <w:r>
              <w:rPr>
                <w:rFonts w:hint="eastAsia"/>
                <w:color w:val="auto"/>
              </w:rPr>
              <w:t>户内动力配电柜</w:t>
            </w:r>
          </w:p>
        </w:tc>
        <w:tc>
          <w:tcPr>
            <w:tcW w:w="1458" w:type="pct"/>
            <w:vAlign w:val="center"/>
          </w:tcPr>
          <w:p w14:paraId="7F62702B">
            <w:pPr>
              <w:rPr>
                <w:color w:val="auto"/>
                <w:lang w:bidi="en-US"/>
              </w:rPr>
            </w:pPr>
            <w:r>
              <w:rPr>
                <w:rFonts w:hint="eastAsia"/>
                <w:color w:val="auto"/>
              </w:rPr>
              <w:t>XL-21</w:t>
            </w:r>
          </w:p>
        </w:tc>
        <w:tc>
          <w:tcPr>
            <w:tcW w:w="205" w:type="pct"/>
            <w:vAlign w:val="center"/>
          </w:tcPr>
          <w:p w14:paraId="7E762F28">
            <w:pPr>
              <w:jc w:val="center"/>
              <w:rPr>
                <w:color w:val="auto"/>
                <w:lang w:bidi="en-US"/>
              </w:rPr>
            </w:pPr>
            <w:r>
              <w:rPr>
                <w:rFonts w:hint="eastAsia"/>
                <w:color w:val="auto"/>
              </w:rPr>
              <w:t>只</w:t>
            </w:r>
          </w:p>
        </w:tc>
        <w:tc>
          <w:tcPr>
            <w:tcW w:w="343" w:type="pct"/>
            <w:vAlign w:val="center"/>
          </w:tcPr>
          <w:p w14:paraId="16FC1662">
            <w:pPr>
              <w:jc w:val="center"/>
              <w:rPr>
                <w:color w:val="auto"/>
                <w:lang w:bidi="en-US"/>
              </w:rPr>
            </w:pPr>
            <w:r>
              <w:rPr>
                <w:rFonts w:hint="eastAsia"/>
                <w:color w:val="auto"/>
              </w:rPr>
              <w:t>8</w:t>
            </w:r>
          </w:p>
        </w:tc>
        <w:tc>
          <w:tcPr>
            <w:tcW w:w="1226" w:type="pct"/>
            <w:vAlign w:val="center"/>
          </w:tcPr>
          <w:p w14:paraId="5FF36306">
            <w:pPr>
              <w:rPr>
                <w:color w:val="auto"/>
                <w:lang w:bidi="en-US"/>
              </w:rPr>
            </w:pPr>
            <w:r>
              <w:rPr>
                <w:rFonts w:hint="eastAsia"/>
                <w:color w:val="auto"/>
                <w:lang w:bidi="en-US"/>
              </w:rPr>
              <w:t>配置详见招标附图</w:t>
            </w:r>
          </w:p>
        </w:tc>
      </w:tr>
      <w:tr w14:paraId="456708BF">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5FAA4ABC">
            <w:pPr>
              <w:jc w:val="center"/>
              <w:rPr>
                <w:color w:val="auto"/>
                <w:lang w:bidi="en-US"/>
              </w:rPr>
            </w:pPr>
            <w:r>
              <w:rPr>
                <w:rFonts w:hint="eastAsia"/>
                <w:color w:val="auto"/>
                <w:lang w:bidi="en-US"/>
              </w:rPr>
              <w:t>3.8</w:t>
            </w:r>
          </w:p>
        </w:tc>
        <w:tc>
          <w:tcPr>
            <w:tcW w:w="1367" w:type="pct"/>
            <w:vAlign w:val="center"/>
          </w:tcPr>
          <w:p w14:paraId="2301E644">
            <w:pPr>
              <w:rPr>
                <w:color w:val="auto"/>
                <w:lang w:bidi="en-US"/>
              </w:rPr>
            </w:pPr>
            <w:r>
              <w:rPr>
                <w:rFonts w:hint="eastAsia"/>
                <w:color w:val="auto"/>
              </w:rPr>
              <w:t>户外动力配电柜</w:t>
            </w:r>
          </w:p>
        </w:tc>
        <w:tc>
          <w:tcPr>
            <w:tcW w:w="1458" w:type="pct"/>
            <w:vAlign w:val="center"/>
          </w:tcPr>
          <w:p w14:paraId="1AEB7B9F">
            <w:pPr>
              <w:rPr>
                <w:color w:val="auto"/>
                <w:lang w:bidi="en-US"/>
              </w:rPr>
            </w:pPr>
            <w:r>
              <w:rPr>
                <w:rFonts w:hint="eastAsia"/>
                <w:color w:val="auto"/>
              </w:rPr>
              <w:t>XL-21</w:t>
            </w:r>
          </w:p>
        </w:tc>
        <w:tc>
          <w:tcPr>
            <w:tcW w:w="205" w:type="pct"/>
            <w:vAlign w:val="center"/>
          </w:tcPr>
          <w:p w14:paraId="56F25016">
            <w:pPr>
              <w:jc w:val="center"/>
              <w:rPr>
                <w:color w:val="auto"/>
                <w:lang w:bidi="en-US"/>
              </w:rPr>
            </w:pPr>
            <w:r>
              <w:rPr>
                <w:rFonts w:hint="eastAsia"/>
                <w:color w:val="auto"/>
              </w:rPr>
              <w:t>只</w:t>
            </w:r>
          </w:p>
        </w:tc>
        <w:tc>
          <w:tcPr>
            <w:tcW w:w="343" w:type="pct"/>
            <w:vAlign w:val="center"/>
          </w:tcPr>
          <w:p w14:paraId="28F74737">
            <w:pPr>
              <w:jc w:val="center"/>
              <w:rPr>
                <w:color w:val="auto"/>
                <w:lang w:bidi="en-US"/>
              </w:rPr>
            </w:pPr>
            <w:r>
              <w:rPr>
                <w:rFonts w:hint="eastAsia"/>
                <w:color w:val="auto"/>
              </w:rPr>
              <w:t>2</w:t>
            </w:r>
          </w:p>
        </w:tc>
        <w:tc>
          <w:tcPr>
            <w:tcW w:w="1226" w:type="pct"/>
            <w:vAlign w:val="center"/>
          </w:tcPr>
          <w:p w14:paraId="3173E00C">
            <w:pPr>
              <w:rPr>
                <w:color w:val="auto"/>
                <w:lang w:bidi="en-US"/>
              </w:rPr>
            </w:pPr>
            <w:r>
              <w:rPr>
                <w:rFonts w:hint="eastAsia"/>
                <w:color w:val="auto"/>
                <w:lang w:bidi="en-US"/>
              </w:rPr>
              <w:t>配置详见招标附图</w:t>
            </w:r>
          </w:p>
        </w:tc>
      </w:tr>
      <w:tr w14:paraId="12E263FA">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1CC75FCE">
            <w:pPr>
              <w:jc w:val="center"/>
              <w:rPr>
                <w:color w:val="auto"/>
                <w:lang w:bidi="en-US"/>
              </w:rPr>
            </w:pPr>
            <w:r>
              <w:rPr>
                <w:rFonts w:hint="eastAsia"/>
                <w:color w:val="auto"/>
                <w:lang w:bidi="en-US"/>
              </w:rPr>
              <w:t>3.9</w:t>
            </w:r>
          </w:p>
        </w:tc>
        <w:tc>
          <w:tcPr>
            <w:tcW w:w="1367" w:type="pct"/>
            <w:vAlign w:val="center"/>
          </w:tcPr>
          <w:p w14:paraId="27B32233">
            <w:pPr>
              <w:rPr>
                <w:color w:val="auto"/>
              </w:rPr>
            </w:pPr>
            <w:r>
              <w:rPr>
                <w:rFonts w:hint="eastAsia"/>
                <w:color w:val="auto"/>
              </w:rPr>
              <w:t>桥机电源箱</w:t>
            </w:r>
          </w:p>
        </w:tc>
        <w:tc>
          <w:tcPr>
            <w:tcW w:w="1458" w:type="pct"/>
            <w:vAlign w:val="center"/>
          </w:tcPr>
          <w:p w14:paraId="1E33D97E">
            <w:pPr>
              <w:rPr>
                <w:color w:val="auto"/>
              </w:rPr>
            </w:pPr>
          </w:p>
        </w:tc>
        <w:tc>
          <w:tcPr>
            <w:tcW w:w="205" w:type="pct"/>
            <w:vAlign w:val="center"/>
          </w:tcPr>
          <w:p w14:paraId="462B7DE1">
            <w:pPr>
              <w:jc w:val="center"/>
              <w:rPr>
                <w:color w:val="auto"/>
              </w:rPr>
            </w:pPr>
            <w:r>
              <w:rPr>
                <w:rFonts w:hint="eastAsia"/>
                <w:color w:val="auto"/>
              </w:rPr>
              <w:t>只</w:t>
            </w:r>
          </w:p>
        </w:tc>
        <w:tc>
          <w:tcPr>
            <w:tcW w:w="343" w:type="pct"/>
            <w:vAlign w:val="center"/>
          </w:tcPr>
          <w:p w14:paraId="0D89090B">
            <w:pPr>
              <w:jc w:val="center"/>
              <w:rPr>
                <w:color w:val="auto"/>
              </w:rPr>
            </w:pPr>
            <w:r>
              <w:rPr>
                <w:color w:val="auto"/>
              </w:rPr>
              <w:t>1</w:t>
            </w:r>
          </w:p>
        </w:tc>
        <w:tc>
          <w:tcPr>
            <w:tcW w:w="1226" w:type="pct"/>
            <w:vAlign w:val="center"/>
          </w:tcPr>
          <w:p w14:paraId="5D2C987A">
            <w:pPr>
              <w:rPr>
                <w:color w:val="auto"/>
                <w:lang w:bidi="en-US"/>
              </w:rPr>
            </w:pPr>
            <w:r>
              <w:rPr>
                <w:rFonts w:hint="eastAsia"/>
                <w:color w:val="auto"/>
                <w:lang w:bidi="en-US"/>
              </w:rPr>
              <w:t>配置详见招标附图</w:t>
            </w:r>
          </w:p>
        </w:tc>
      </w:tr>
      <w:tr w14:paraId="2B668A7B">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122237A1">
            <w:pPr>
              <w:jc w:val="center"/>
              <w:rPr>
                <w:color w:val="auto"/>
                <w:lang w:bidi="en-US"/>
              </w:rPr>
            </w:pPr>
            <w:r>
              <w:rPr>
                <w:rFonts w:hint="eastAsia"/>
                <w:color w:val="auto"/>
                <w:lang w:bidi="en-US"/>
              </w:rPr>
              <w:t>3.10</w:t>
            </w:r>
          </w:p>
        </w:tc>
        <w:tc>
          <w:tcPr>
            <w:tcW w:w="1367" w:type="pct"/>
            <w:vAlign w:val="center"/>
          </w:tcPr>
          <w:p w14:paraId="45BCCBBE">
            <w:pPr>
              <w:rPr>
                <w:color w:val="auto"/>
                <w:lang w:bidi="en-US"/>
              </w:rPr>
            </w:pPr>
            <w:r>
              <w:rPr>
                <w:rFonts w:hint="eastAsia"/>
                <w:color w:val="auto"/>
                <w:lang w:bidi="en-US"/>
              </w:rPr>
              <w:t>插座箱</w:t>
            </w:r>
          </w:p>
        </w:tc>
        <w:tc>
          <w:tcPr>
            <w:tcW w:w="1458" w:type="pct"/>
            <w:vAlign w:val="center"/>
          </w:tcPr>
          <w:p w14:paraId="76E110F6">
            <w:pPr>
              <w:rPr>
                <w:color w:val="auto"/>
                <w:lang w:bidi="en-US"/>
              </w:rPr>
            </w:pPr>
          </w:p>
        </w:tc>
        <w:tc>
          <w:tcPr>
            <w:tcW w:w="205" w:type="pct"/>
            <w:vAlign w:val="center"/>
          </w:tcPr>
          <w:p w14:paraId="33549E83">
            <w:pPr>
              <w:jc w:val="center"/>
              <w:rPr>
                <w:color w:val="auto"/>
                <w:lang w:bidi="en-US"/>
              </w:rPr>
            </w:pPr>
            <w:r>
              <w:rPr>
                <w:color w:val="auto"/>
                <w:lang w:bidi="en-US"/>
              </w:rPr>
              <w:t>只</w:t>
            </w:r>
          </w:p>
        </w:tc>
        <w:tc>
          <w:tcPr>
            <w:tcW w:w="343" w:type="pct"/>
            <w:vAlign w:val="center"/>
          </w:tcPr>
          <w:p w14:paraId="5051C5DB">
            <w:pPr>
              <w:jc w:val="center"/>
              <w:rPr>
                <w:color w:val="auto"/>
                <w:lang w:bidi="en-US"/>
              </w:rPr>
            </w:pPr>
            <w:r>
              <w:rPr>
                <w:rFonts w:hint="eastAsia"/>
                <w:color w:val="auto"/>
                <w:lang w:bidi="en-US"/>
              </w:rPr>
              <w:t>10</w:t>
            </w:r>
          </w:p>
        </w:tc>
        <w:tc>
          <w:tcPr>
            <w:tcW w:w="1226" w:type="pct"/>
            <w:vAlign w:val="center"/>
          </w:tcPr>
          <w:p w14:paraId="6C203A39">
            <w:pPr>
              <w:rPr>
                <w:color w:val="auto"/>
                <w:lang w:bidi="en-US"/>
              </w:rPr>
            </w:pPr>
            <w:r>
              <w:rPr>
                <w:rFonts w:hint="eastAsia"/>
                <w:color w:val="auto"/>
                <w:lang w:bidi="en-US"/>
              </w:rPr>
              <w:t>配置详见招标附图</w:t>
            </w:r>
          </w:p>
        </w:tc>
      </w:tr>
      <w:tr w14:paraId="334B8897">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17DB4835">
            <w:pPr>
              <w:jc w:val="center"/>
              <w:rPr>
                <w:color w:val="auto"/>
                <w:lang w:bidi="en-US"/>
              </w:rPr>
            </w:pPr>
            <w:r>
              <w:rPr>
                <w:rFonts w:hint="eastAsia"/>
                <w:color w:val="auto"/>
                <w:lang w:bidi="en-US"/>
              </w:rPr>
              <w:t>3.11</w:t>
            </w:r>
          </w:p>
        </w:tc>
        <w:tc>
          <w:tcPr>
            <w:tcW w:w="1367" w:type="pct"/>
            <w:vAlign w:val="center"/>
          </w:tcPr>
          <w:p w14:paraId="526DE395">
            <w:pPr>
              <w:rPr>
                <w:color w:val="auto"/>
                <w:lang w:bidi="en-US"/>
              </w:rPr>
            </w:pPr>
            <w:r>
              <w:rPr>
                <w:rFonts w:hint="eastAsia"/>
                <w:color w:val="auto"/>
                <w:lang w:bidi="en-US"/>
              </w:rPr>
              <w:t>等电位箱</w:t>
            </w:r>
          </w:p>
        </w:tc>
        <w:tc>
          <w:tcPr>
            <w:tcW w:w="1458" w:type="pct"/>
            <w:vAlign w:val="center"/>
          </w:tcPr>
          <w:p w14:paraId="5CC0AC29">
            <w:pPr>
              <w:rPr>
                <w:color w:val="auto"/>
                <w:lang w:bidi="en-US"/>
              </w:rPr>
            </w:pPr>
          </w:p>
        </w:tc>
        <w:tc>
          <w:tcPr>
            <w:tcW w:w="205" w:type="pct"/>
            <w:vAlign w:val="center"/>
          </w:tcPr>
          <w:p w14:paraId="66998359">
            <w:pPr>
              <w:jc w:val="center"/>
              <w:rPr>
                <w:color w:val="auto"/>
                <w:lang w:bidi="en-US"/>
              </w:rPr>
            </w:pPr>
            <w:r>
              <w:rPr>
                <w:color w:val="auto"/>
                <w:lang w:bidi="en-US"/>
              </w:rPr>
              <w:t>只</w:t>
            </w:r>
          </w:p>
        </w:tc>
        <w:tc>
          <w:tcPr>
            <w:tcW w:w="343" w:type="pct"/>
            <w:vAlign w:val="center"/>
          </w:tcPr>
          <w:p w14:paraId="2A50E119">
            <w:pPr>
              <w:jc w:val="center"/>
              <w:rPr>
                <w:color w:val="auto"/>
                <w:lang w:bidi="en-US"/>
              </w:rPr>
            </w:pPr>
            <w:r>
              <w:rPr>
                <w:color w:val="auto"/>
                <w:lang w:bidi="en-US"/>
              </w:rPr>
              <w:t>4</w:t>
            </w:r>
          </w:p>
        </w:tc>
        <w:tc>
          <w:tcPr>
            <w:tcW w:w="1226" w:type="pct"/>
            <w:vAlign w:val="center"/>
          </w:tcPr>
          <w:p w14:paraId="7BD847E8">
            <w:pPr>
              <w:rPr>
                <w:color w:val="auto"/>
                <w:lang w:bidi="en-US"/>
              </w:rPr>
            </w:pPr>
            <w:r>
              <w:rPr>
                <w:rFonts w:hint="eastAsia"/>
                <w:color w:val="auto"/>
                <w:lang w:bidi="en-US"/>
              </w:rPr>
              <w:t>配置详见招标附图</w:t>
            </w:r>
          </w:p>
        </w:tc>
      </w:tr>
      <w:tr w14:paraId="091E808C">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CellMar>
            <w:top w:w="0" w:type="dxa"/>
            <w:left w:w="57" w:type="dxa"/>
            <w:bottom w:w="0" w:type="dxa"/>
            <w:right w:w="57" w:type="dxa"/>
          </w:tblCellMar>
        </w:tblPrEx>
        <w:trPr>
          <w:trHeight w:val="340" w:hRule="atLeast"/>
        </w:trPr>
        <w:tc>
          <w:tcPr>
            <w:tcW w:w="399" w:type="pct"/>
            <w:vAlign w:val="center"/>
          </w:tcPr>
          <w:p w14:paraId="73C3E5B0">
            <w:pPr>
              <w:jc w:val="center"/>
              <w:rPr>
                <w:color w:val="auto"/>
                <w:lang w:bidi="en-US"/>
              </w:rPr>
            </w:pPr>
            <w:r>
              <w:rPr>
                <w:rFonts w:hint="eastAsia"/>
                <w:color w:val="auto"/>
                <w:lang w:bidi="en-US"/>
              </w:rPr>
              <w:t>4</w:t>
            </w:r>
          </w:p>
        </w:tc>
        <w:tc>
          <w:tcPr>
            <w:tcW w:w="1367" w:type="pct"/>
            <w:vAlign w:val="center"/>
          </w:tcPr>
          <w:p w14:paraId="3D4F932A">
            <w:pPr>
              <w:rPr>
                <w:color w:val="auto"/>
              </w:rPr>
            </w:pPr>
            <w:r>
              <w:rPr>
                <w:rFonts w:hint="eastAsia"/>
                <w:color w:val="auto"/>
              </w:rPr>
              <w:t>备品备件及专用工具</w:t>
            </w:r>
          </w:p>
        </w:tc>
        <w:tc>
          <w:tcPr>
            <w:tcW w:w="1458" w:type="pct"/>
            <w:vAlign w:val="center"/>
          </w:tcPr>
          <w:p w14:paraId="30CD8069">
            <w:pPr>
              <w:rPr>
                <w:color w:val="auto"/>
              </w:rPr>
            </w:pPr>
          </w:p>
        </w:tc>
        <w:tc>
          <w:tcPr>
            <w:tcW w:w="205" w:type="pct"/>
            <w:vAlign w:val="center"/>
          </w:tcPr>
          <w:p w14:paraId="56C400ED">
            <w:pPr>
              <w:jc w:val="center"/>
              <w:rPr>
                <w:color w:val="auto"/>
              </w:rPr>
            </w:pPr>
            <w:r>
              <w:rPr>
                <w:rFonts w:hint="eastAsia"/>
                <w:color w:val="auto"/>
              </w:rPr>
              <w:t>项</w:t>
            </w:r>
          </w:p>
        </w:tc>
        <w:tc>
          <w:tcPr>
            <w:tcW w:w="343" w:type="pct"/>
            <w:vAlign w:val="center"/>
          </w:tcPr>
          <w:p w14:paraId="38647A8F">
            <w:pPr>
              <w:jc w:val="center"/>
              <w:rPr>
                <w:color w:val="auto"/>
              </w:rPr>
            </w:pPr>
            <w:r>
              <w:rPr>
                <w:rFonts w:hint="eastAsia"/>
                <w:color w:val="auto"/>
              </w:rPr>
              <w:t>1</w:t>
            </w:r>
          </w:p>
        </w:tc>
        <w:tc>
          <w:tcPr>
            <w:tcW w:w="1226" w:type="pct"/>
            <w:vAlign w:val="center"/>
          </w:tcPr>
          <w:p w14:paraId="01BEA076">
            <w:pPr>
              <w:rPr>
                <w:color w:val="auto"/>
                <w:lang w:bidi="en-US"/>
              </w:rPr>
            </w:pPr>
          </w:p>
        </w:tc>
      </w:tr>
    </w:tbl>
    <w:p w14:paraId="72363EBE">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34" w:name="_Toc9973"/>
      <w:bookmarkStart w:id="1735" w:name="_Toc27012"/>
      <w:bookmarkStart w:id="1736" w:name="_Toc11702"/>
      <w:bookmarkStart w:id="1737" w:name="_Toc25687"/>
      <w:r>
        <w:rPr>
          <w:rFonts w:hint="eastAsia" w:ascii="宋体" w:hAnsi="宋体" w:eastAsia="宋体" w:cs="宋体"/>
          <w:b/>
          <w:bCs/>
          <w:color w:val="auto"/>
          <w:sz w:val="24"/>
          <w:szCs w:val="24"/>
          <w:lang w:eastAsia="zh-CN"/>
        </w:rPr>
        <w:t>25.3 高低压开关柜</w:t>
      </w:r>
      <w:bookmarkEnd w:id="1734"/>
      <w:bookmarkEnd w:id="1735"/>
      <w:bookmarkEnd w:id="1736"/>
      <w:bookmarkEnd w:id="1737"/>
    </w:p>
    <w:p w14:paraId="2612059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25.3.1 承包范围</w:t>
      </w:r>
    </w:p>
    <w:p w14:paraId="1C6D1E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承担高低压开关柜供货范围内设备的设计、材料采购、制造、出厂前的预装配和试验、包装、运输、交货、现场指导安装、现场试验、试运行和验收，对买方技术人员的培训，编制和提交技术文件等售后服务，并完全符合合同要求。</w:t>
      </w:r>
    </w:p>
    <w:p w14:paraId="2146CAA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25.3.2 供货范围</w:t>
      </w:r>
    </w:p>
    <w:p w14:paraId="33DA0B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承包人应成套供给合同要求的所有设备及设备安装、试验、拆卸和重新组装所必需的专用工具、专用设备、配件、特殊安装、检验和试验用材料和其他设备。</w:t>
      </w:r>
    </w:p>
    <w:p w14:paraId="4EE56C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为本合同设备运行和维护所需的备品备件。</w:t>
      </w:r>
    </w:p>
    <w:p w14:paraId="528CA25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单位应提供相互协调和完善的设计。任何元件或装置，如果招标文件中未专门提到，但它对于一套完整的和性能良好的开关柜又是必不可少的，或者对于稳定运行，改善开关柜运行品质都是必要的话，那么这些元件或装置，也应由承包单位提供，其费用包括在总价中。</w:t>
      </w:r>
    </w:p>
    <w:p w14:paraId="783D76B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25.3.3 标准及规范</w:t>
      </w:r>
      <w:bookmarkEnd w:id="1733"/>
    </w:p>
    <w:p w14:paraId="690130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25.3.3.1 采用的技术标准</w:t>
      </w:r>
    </w:p>
    <w:p w14:paraId="6DA561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高低压开关柜、配电柜（箱）等的设计、制造、试验、包装、运输、安装除应满足本规范规定的要求外，尚须遵照如下规程规范与标准。若这些标准作出修改时，应以修订后的新标准执行。本合同应遵照的主要规程、规范与标准有：</w:t>
      </w:r>
    </w:p>
    <w:p w14:paraId="7C89A42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311.1    绝缘配合 第1部分：定义、原则和规则</w:t>
      </w:r>
    </w:p>
    <w:p w14:paraId="476AC05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2900.19  电工术语：高电压试验技术和绝缘配合</w:t>
      </w:r>
    </w:p>
    <w:p w14:paraId="656173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2900.20  电工术语：高压开关设备和控制设备</w:t>
      </w:r>
    </w:p>
    <w:p w14:paraId="668CF1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3906     3.6kV～40.5kV交流金属封闭开关设备和控制设备</w:t>
      </w:r>
    </w:p>
    <w:p w14:paraId="4814A9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4025     人机界面标志标识的基本和安全规则</w:t>
      </w:r>
    </w:p>
    <w:p w14:paraId="5BC2BA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4796.2    环境条件分类 自然环境条件 气压</w:t>
      </w:r>
    </w:p>
    <w:p w14:paraId="586FD3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4884     绝缘导线的标记</w:t>
      </w:r>
    </w:p>
    <w:p w14:paraId="5503AD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5273     高压电器端子尺寸标准化</w:t>
      </w:r>
    </w:p>
    <w:p w14:paraId="092F3A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5465.4   电气设备用图形符号 第2部分：图形符号</w:t>
      </w:r>
    </w:p>
    <w:p w14:paraId="73F3C1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6987.1～7 电气技术用文件的编制</w:t>
      </w:r>
    </w:p>
    <w:p w14:paraId="694AA9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7251     低压成套开关设备和控制设备</w:t>
      </w:r>
    </w:p>
    <w:p w14:paraId="704E71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7354     高电压试验技术 局部放电测量</w:t>
      </w:r>
    </w:p>
    <w:p w14:paraId="0C5B82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11022    高压交流开关设备和控制设备标准的共用技术要求</w:t>
      </w:r>
    </w:p>
    <w:p w14:paraId="2DAAA2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11604    高压电器设备无线电干扰测试方法</w:t>
      </w:r>
    </w:p>
    <w:p w14:paraId="062AAF3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DL/T 404      3.6kV～40.5kV交流金属封闭开关设备和控制设备</w:t>
      </w:r>
    </w:p>
    <w:p w14:paraId="2E90F9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DL/T 538      高压带电显示装置</w:t>
      </w:r>
    </w:p>
    <w:p w14:paraId="0ACBC3A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DL/T 596      电力设备预防性试验规程</w:t>
      </w:r>
    </w:p>
    <w:p w14:paraId="461DAE8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DL/T 620      交流电气装置的过电压保护和绝缘配合</w:t>
      </w:r>
    </w:p>
    <w:p w14:paraId="7BBCD76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DL/T 5137     电测量及电能计量装置设计技术规程 </w:t>
      </w:r>
    </w:p>
    <w:p w14:paraId="16A0F9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DL/T 5352     高压配电装置设计规范</w:t>
      </w:r>
    </w:p>
    <w:p w14:paraId="387FC8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SL 561        水利水电工程导体和电器选择设计规范</w:t>
      </w:r>
    </w:p>
    <w:p w14:paraId="194A59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25.3.3.2 所有螺丝、螺母、螺栓、螺杆和有关管件的螺纹应使用GB标准。</w:t>
      </w:r>
    </w:p>
    <w:p w14:paraId="54555D7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25.3.3.3 设备制造应采用先进的工艺，以保证各种运行情况下运行可靠。所有部件的结构、尺寸和材料应做到在各种应力下不产生扭曲和过量磨损。零部件应有良好的互换性和便于安装及检修。</w:t>
      </w:r>
    </w:p>
    <w:p w14:paraId="69EFD19B">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1738" w:name="_Toc416342279"/>
      <w:r>
        <w:rPr>
          <w:rFonts w:hint="eastAsia" w:ascii="宋体" w:hAnsi="宋体" w:eastAsia="宋体" w:cs="宋体"/>
          <w:b/>
          <w:bCs/>
          <w:color w:val="auto"/>
          <w:sz w:val="24"/>
          <w:szCs w:val="24"/>
          <w:lang w:eastAsia="zh-CN"/>
        </w:rPr>
        <w:t>25.3.4 技术要求</w:t>
      </w:r>
      <w:bookmarkEnd w:id="1738"/>
    </w:p>
    <w:p w14:paraId="304921AB">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25.3.4.1 高压开关柜</w:t>
      </w:r>
    </w:p>
    <w:p w14:paraId="009D685A">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 10kV高压开关柜</w:t>
      </w:r>
    </w:p>
    <w:p w14:paraId="31B906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1）型式</w:t>
      </w:r>
    </w:p>
    <w:p w14:paraId="2231E9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KYN28-12铠装移开式交流金属封闭开关设备。</w:t>
      </w:r>
    </w:p>
    <w:p w14:paraId="6FD1B2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2）额定值</w:t>
      </w:r>
    </w:p>
    <w:p w14:paraId="5AB496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额定电压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12kV</w:t>
      </w:r>
    </w:p>
    <w:p w14:paraId="5D0746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额定频率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50 HZ</w:t>
      </w:r>
    </w:p>
    <w:p w14:paraId="7B1EAF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主母线额定电流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2000A</w:t>
      </w:r>
    </w:p>
    <w:p w14:paraId="633479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冲击耐压（峰值）（相间、相对地）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75kV</w:t>
      </w:r>
    </w:p>
    <w:p w14:paraId="6F2C60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工频耐压（1min有效值）（相间、相对地）</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42kV</w:t>
      </w:r>
    </w:p>
    <w:p w14:paraId="148D3D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额定动稳定电流（峰值）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80kA</w:t>
      </w:r>
    </w:p>
    <w:p w14:paraId="097786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4S热稳定电流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31.5kA</w:t>
      </w:r>
    </w:p>
    <w:p w14:paraId="497870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母线型式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绝缘</w:t>
      </w:r>
    </w:p>
    <w:p w14:paraId="2C6E89F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防护等级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IP4X（门，外壳）</w:t>
      </w:r>
    </w:p>
    <w:p w14:paraId="27AED4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IP2X（柜内隔板）</w:t>
      </w:r>
    </w:p>
    <w:p w14:paraId="79244F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外形尺寸(mm)：宽×深×高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800×1500×2300</w:t>
      </w:r>
    </w:p>
    <w:p w14:paraId="011CB9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3）主要性能、结构及材料要求</w:t>
      </w:r>
    </w:p>
    <w:p w14:paraId="4612DB9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①断路器</w:t>
      </w:r>
    </w:p>
    <w:p w14:paraId="5C7F83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选用户内高压真空断路器，并采用配套的电动弹簧储能操动机构。断路器在正常或故障时的操作中，若可能出现操作过电压，承包人应提供防止内部操作过电压的保护装置。断路器配套电机驱动手车可实现远方控制断路器在开关柜中电动摇进/摇出。</w:t>
      </w:r>
    </w:p>
    <w:p w14:paraId="22D19D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断路器技术参数：</w:t>
      </w:r>
    </w:p>
    <w:p w14:paraId="5E910CD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额定电压：                         12kV</w:t>
      </w:r>
    </w:p>
    <w:p w14:paraId="7DA5FDA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额定电流                           630A（主变低压侧断路器1600A）</w:t>
      </w:r>
    </w:p>
    <w:p w14:paraId="63FFD07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额定频率                           50HZ</w:t>
      </w:r>
    </w:p>
    <w:p w14:paraId="67EC7F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额定短路开断电流（有效值）         31.5kA</w:t>
      </w:r>
    </w:p>
    <w:p w14:paraId="76F1B1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4S热稳定电流（有效值）             31.5kA</w:t>
      </w:r>
    </w:p>
    <w:p w14:paraId="3129C30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额定动稳定电流（峰值）             80kA</w:t>
      </w:r>
    </w:p>
    <w:p w14:paraId="2A2C01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额定短路关合电流                   80kA</w:t>
      </w:r>
    </w:p>
    <w:p w14:paraId="7544F4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额定雷电冲击耐受电压               75kV</w:t>
      </w:r>
    </w:p>
    <w:p w14:paraId="7168015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额定工频短时耐受电压               42kV</w:t>
      </w:r>
    </w:p>
    <w:p w14:paraId="3E0797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额定操作顺序                       O-0.3S-CO-180S-CO</w:t>
      </w:r>
    </w:p>
    <w:p w14:paraId="443CCB7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操动机构额定电压                   DC220V</w:t>
      </w:r>
    </w:p>
    <w:p w14:paraId="6B555F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操动机构形式                       弹簧储能</w:t>
      </w:r>
    </w:p>
    <w:p w14:paraId="4537ED7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合闸时间                          ≤0.07 S</w:t>
      </w:r>
    </w:p>
    <w:p w14:paraId="0D9DCC1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分闸时间                          ≤0.05 S</w:t>
      </w:r>
    </w:p>
    <w:p w14:paraId="79AC653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直流分量百分数                    ＞40%</w:t>
      </w:r>
    </w:p>
    <w:p w14:paraId="65B443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机械寿命                           ≥30000次</w:t>
      </w:r>
    </w:p>
    <w:p w14:paraId="4F7F1E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额定短路开断电流开断次数           ≥50次</w:t>
      </w:r>
    </w:p>
    <w:p w14:paraId="5AD431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②10kV真空接触器</w:t>
      </w:r>
    </w:p>
    <w:p w14:paraId="196FEC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选用户内10kV真空接触器，接触器在正常或故障时的操作中，若可能出现操作过电压，承包人应提供防止内部操作过电压的保护装置。接触器配套电机驱动手车可实现远方控制断路器在开关柜中电动摇进/摇出。</w:t>
      </w:r>
    </w:p>
    <w:p w14:paraId="75D10A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额定电压：                         12kV</w:t>
      </w:r>
    </w:p>
    <w:p w14:paraId="6F8E76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额定电流                           ≥400A</w:t>
      </w:r>
    </w:p>
    <w:p w14:paraId="475583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额定频率                           50HZ</w:t>
      </w:r>
    </w:p>
    <w:p w14:paraId="36AE77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额定关合电流</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4kA</w:t>
      </w:r>
    </w:p>
    <w:p w14:paraId="5E212D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最大额定开断电流</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3.2kA</w:t>
      </w:r>
    </w:p>
    <w:p w14:paraId="39D13A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最小额定开断电流</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80A</w:t>
      </w:r>
    </w:p>
    <w:p w14:paraId="2AD05D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短路开断电流</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6kA</w:t>
      </w:r>
    </w:p>
    <w:p w14:paraId="168E28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短路关合电流</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16kA</w:t>
      </w:r>
    </w:p>
    <w:p w14:paraId="66BEC2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额定雷电冲击耐受电压               75kV</w:t>
      </w:r>
    </w:p>
    <w:p w14:paraId="3F42B1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额定工频短时耐受电压               42kV</w:t>
      </w:r>
    </w:p>
    <w:p w14:paraId="7CA7C0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操动机构额定电压                   DC220V</w:t>
      </w:r>
    </w:p>
    <w:p w14:paraId="4AA3CD7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操动机构形式                       机械自保持型</w:t>
      </w:r>
    </w:p>
    <w:p w14:paraId="090EAF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机械寿命                           ≥300000次</w:t>
      </w:r>
    </w:p>
    <w:p w14:paraId="1365A2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③开关柜主要性能、结构及材料要</w:t>
      </w:r>
    </w:p>
    <w:p w14:paraId="3D277FC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a.柜体为全组装式结构，开关柜由接地的金属隔板分四个单独的隔室，即：仪表室、手车室、母线室和电缆室，除仪表室外，其它三隔室都分别有泄压通道。</w:t>
      </w:r>
    </w:p>
    <w:p w14:paraId="2F5D41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外壳防护等级为IP4X。</w:t>
      </w:r>
    </w:p>
    <w:p w14:paraId="27AFF1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断路器手车室内安装有特定的导轨，可实现远方控制断路器在开关柜中电动摇进/摇出。</w:t>
      </w:r>
    </w:p>
    <w:p w14:paraId="23BFC0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开关柜母线室与断路器室之间装有安全活门。</w:t>
      </w:r>
    </w:p>
    <w:p w14:paraId="0E57A8A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开关柜应有完善的接地系统和防凝露措施。</w:t>
      </w:r>
    </w:p>
    <w:p w14:paraId="53ED962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手车在柜体内有断开位置，试验位置和工作位置，每一位置均有定位装置，以保证联锁可靠。</w:t>
      </w:r>
    </w:p>
    <w:p w14:paraId="5CA683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外壳和隔板均采用优质钢板CNC机床加工和折弯栓接组装而成，门和封板采用环氧树脂粉末喷涂，颜色要得到发包人同意。</w:t>
      </w:r>
    </w:p>
    <w:p w14:paraId="7AFD7F1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b.手车室</w:t>
      </w:r>
    </w:p>
    <w:p w14:paraId="6A0207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手车根据用途分为断路器手车、电压互感器手车、计量手车、隔离手车、接地手车等，相同规格的手车可以百分之百自由互换。</w:t>
      </w:r>
    </w:p>
    <w:p w14:paraId="6ADEDC6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断路器为真空型，断路器手车与开关柜配合有防误操作机械装置，当断路器闭合时，手车不能推进或拉出，只有当手车在工作或试验位置时，断路器才能合闸。</w:t>
      </w:r>
    </w:p>
    <w:p w14:paraId="02B953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手车能在断路器室门关闭时操作，通过视察窗可看到手车所处的位置及断路器分、合闸指示和储能状况。</w:t>
      </w:r>
    </w:p>
    <w:p w14:paraId="1AB3DD1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手车采用电机驱动手车可实现远方控制手车在开关柜中电动摇进/摇出。</w:t>
      </w:r>
    </w:p>
    <w:p w14:paraId="013553C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c.电缆室</w:t>
      </w:r>
    </w:p>
    <w:p w14:paraId="75DC18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电缆室内有充裕的空间，可安装电流互感器、接地开关、避雷器。施工人员可从正面（或后面）进入开关柜安装和维护，电缆室柜底配制开缝的可卸式不导磁金属封板隔离，确保施工方便。</w:t>
      </w:r>
    </w:p>
    <w:p w14:paraId="17ADF8E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d.母线室</w:t>
      </w:r>
    </w:p>
    <w:p w14:paraId="0831BC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内采用绝缘母线，相邻柜体母线室之间采用金属隔板和绝缘套管隔离，主母线穿越套管，且通过套管固定、支撑；支母线通过螺栓连接于主母线静触头盒，母线搭接处以绝缘罩覆盖，母排的接触点应确保有效的导电和牢固的连接，母排结合部要镀银，保证其温升不超过标准值。支持母排的绝缘子或其他材料应有合格的性能，以适应机械及电气要求。</w:t>
      </w:r>
    </w:p>
    <w:p w14:paraId="771D839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承包人对母线的每个接触点进行接触电阻测试。以保证母线接触可靠。</w:t>
      </w:r>
    </w:p>
    <w:p w14:paraId="424E06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三相母排分别为A、B、C，相色分别为黄色、绿色、红色。</w:t>
      </w:r>
    </w:p>
    <w:p w14:paraId="4654BF1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A、B、C三相母排的排列应该是：</w:t>
      </w:r>
    </w:p>
    <w:p w14:paraId="3C32DC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上下布置：由上到下排列为A、B、C相；</w:t>
      </w:r>
    </w:p>
    <w:p w14:paraId="06336F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水平布置：由柜后向柜面排列为A、B、C相；</w:t>
      </w:r>
    </w:p>
    <w:p w14:paraId="7E3BCF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引下线布置：由左至右排列为A、B、C相。</w:t>
      </w:r>
    </w:p>
    <w:p w14:paraId="57862C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开关柜接地母线应能承受断路器的瞬时及短时额定电流而不超过额定温升，接地母线截面不小于50×5mm2铜排。</w:t>
      </w:r>
    </w:p>
    <w:p w14:paraId="51618E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e.仪表室</w:t>
      </w:r>
    </w:p>
    <w:p w14:paraId="269682B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仪表室内可安装继电保护元件、仪表、带电监察指示器，以及特殊要求的二次设备。控制线路敷设在足够空间的线槽内，并有金属盖板，在继电器仪表室的顶板上留有小母线穿越孔以便施工。</w:t>
      </w:r>
    </w:p>
    <w:p w14:paraId="7721BAE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继电器室顶设有小母室，可敷设9路控制小母线。</w:t>
      </w:r>
    </w:p>
    <w:p w14:paraId="640C765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继电器室面板装有检测一次回路运行的带电显示装置，手车位置指示器、断路器状态指示器及接地开关状态指示器。</w:t>
      </w:r>
    </w:p>
    <w:p w14:paraId="4D244D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f.辅助导线</w:t>
      </w:r>
    </w:p>
    <w:p w14:paraId="04C7CBC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导线截面规格：电流回路为≥4mm2 </w:t>
      </w:r>
    </w:p>
    <w:p w14:paraId="7FE0F23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电压回路为≥2.5mm2</w:t>
      </w:r>
    </w:p>
    <w:p w14:paraId="73B859C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材料：多股铜芯塑料导线</w:t>
      </w:r>
    </w:p>
    <w:p w14:paraId="025829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连接方式：端子排固定；</w:t>
      </w:r>
    </w:p>
    <w:p w14:paraId="0B2B3C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端子排数量满足线路要求，预留20%备用，备有连接片。</w:t>
      </w:r>
    </w:p>
    <w:p w14:paraId="14AC7DC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端子排组与继电器同位于继电器室，便于接线。</w:t>
      </w:r>
    </w:p>
    <w:p w14:paraId="3861C9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g.开关柜具有可靠的防止误操作的联锁装置（简称“五防”要求），包括但不限于：</w:t>
      </w:r>
    </w:p>
    <w:p w14:paraId="1A7711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a)防止误分、合断路器；</w:t>
      </w:r>
    </w:p>
    <w:p w14:paraId="64F29DD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b)防止带负荷推入或抽出手车；</w:t>
      </w:r>
    </w:p>
    <w:p w14:paraId="4A9D4B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c)防止带电合接地开关；</w:t>
      </w:r>
    </w:p>
    <w:p w14:paraId="0F67ED9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d）防止接地开关处在接地位置送电；</w:t>
      </w:r>
    </w:p>
    <w:p w14:paraId="21116D8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e）防止误入带电间隔。</w:t>
      </w:r>
    </w:p>
    <w:p w14:paraId="34A3A1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另外，手车在工作位置，二次插头被锁定不能拔除。</w:t>
      </w:r>
    </w:p>
    <w:p w14:paraId="0466FE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h.开关柜内应设照明，LED灯泡电压为交流220V，并由门联锁。</w:t>
      </w:r>
    </w:p>
    <w:p w14:paraId="7E4D32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i.高压开关柜中各组件及其支持绝缘件的绝缘爬电比距（高压电器组件外绝缘的爬电距离与最高电压之比）应按凝露型考虑，其纯瓷绝缘不小于1.8cm/kV，环氧树脂绝缘不小于2.0cm/kV。</w:t>
      </w:r>
    </w:p>
    <w:p w14:paraId="72849E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j.高压开关柜内的功能单元</w:t>
      </w:r>
    </w:p>
    <w:p w14:paraId="64BB56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安装在高压柜内的所有设备应为新颖、优质的、产品应由专业生产厂生产。保证质量及产品的合格额定值。</w:t>
      </w:r>
    </w:p>
    <w:p w14:paraId="01E616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所有设备在安装及运行后应具有标牌。标记牌上应说明容量、操作特性、型式及序号。</w:t>
      </w:r>
    </w:p>
    <w:p w14:paraId="72ED92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所有设备应有可靠的安全措施以防意外及设备的损坏。</w:t>
      </w:r>
    </w:p>
    <w:p w14:paraId="1F20673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进线及出线的功能单元应适合所需的额定电压、电流、寿命、开关容量及短路故障容量，并结合所需的操作特点、辅件、联锁等。</w:t>
      </w:r>
    </w:p>
    <w:p w14:paraId="39238E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k.开关柜内二次回路接线及柜内端子接线应满足设计院提供的图纸的要求。</w:t>
      </w:r>
    </w:p>
    <w:p w14:paraId="242669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l.互感器柜需设置防谐振的微机型消谐装置和过电压保护器。</w:t>
      </w:r>
    </w:p>
    <w:p w14:paraId="70A2AD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m.设备配置要求见附图：10kV开关柜订货图。</w:t>
      </w:r>
    </w:p>
    <w:p w14:paraId="2BF92517">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（2）电弧光保护装置和继电保护装置</w:t>
      </w:r>
    </w:p>
    <w:p w14:paraId="1010B2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电弧光保护装置和继电保护装置由监控厂家配套，对应安装在开关柜内。</w:t>
      </w:r>
    </w:p>
    <w:p w14:paraId="6B8D8BF9">
      <w:pPr>
        <w:widowControl w:val="0"/>
        <w:kinsoku/>
        <w:topLinePunct/>
        <w:autoSpaceDE/>
        <w:autoSpaceDN/>
        <w:spacing w:line="520" w:lineRule="exact"/>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（3）10kV高压动态无功补偿装置</w:t>
      </w:r>
    </w:p>
    <w:p w14:paraId="303FCB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工程装设容量为3500kVar/10kV动态无功补偿装置1套，装置主要包括：2套额定容量的大功率可关断电力电子器件组成的逆变器为其核心部分的RNSVG型静止无功发生器成套装置，并配备相应的自动控制监控和保护系统等。  </w:t>
      </w:r>
    </w:p>
    <w:p w14:paraId="1A679FA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1)安装地点</w:t>
      </w:r>
    </w:p>
    <w:p w14:paraId="14643FC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无功补偿本体装置安装于户内。 </w:t>
      </w:r>
    </w:p>
    <w:p w14:paraId="64EF900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2)需要与SVG对接的信号</w:t>
      </w:r>
    </w:p>
    <w:p w14:paraId="55755B78">
      <w:pPr>
        <w:widowControl w:val="0"/>
        <w:numPr>
          <w:ilvl w:val="0"/>
          <w:numId w:val="11"/>
        </w:numPr>
        <w:kinsoku/>
        <w:topLinePunct/>
        <w:autoSpaceDE/>
        <w:autoSpaceDN/>
        <w:spacing w:line="52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现场提供的电源</w:t>
      </w:r>
    </w:p>
    <w:p w14:paraId="1242FF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电源：AC380V三相四线制电源，容量10kVA， DC220V直流电源，容量1kVA。</w:t>
      </w:r>
    </w:p>
    <w:p w14:paraId="2F4759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提供给SVG的控制电源：</w:t>
      </w:r>
    </w:p>
    <w:tbl>
      <w:tblPr>
        <w:tblStyle w:val="6"/>
        <w:tblW w:w="90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423"/>
        <w:gridCol w:w="1134"/>
        <w:gridCol w:w="3685"/>
        <w:gridCol w:w="2106"/>
      </w:tblGrid>
      <w:tr w14:paraId="7456F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709" w:type="dxa"/>
            <w:vAlign w:val="center"/>
          </w:tcPr>
          <w:p w14:paraId="5F48EFE2">
            <w:pPr>
              <w:jc w:val="center"/>
              <w:rPr>
                <w:rFonts w:ascii="宋体" w:hAnsi="宋体"/>
                <w:color w:val="auto"/>
                <w:sz w:val="20"/>
              </w:rPr>
            </w:pPr>
            <w:r>
              <w:rPr>
                <w:rFonts w:hint="eastAsia" w:ascii="宋体" w:hAnsi="宋体"/>
                <w:color w:val="auto"/>
                <w:sz w:val="20"/>
              </w:rPr>
              <w:t>序号</w:t>
            </w:r>
          </w:p>
        </w:tc>
        <w:tc>
          <w:tcPr>
            <w:tcW w:w="1423" w:type="dxa"/>
            <w:vAlign w:val="center"/>
          </w:tcPr>
          <w:p w14:paraId="0C27925D">
            <w:pPr>
              <w:jc w:val="center"/>
              <w:rPr>
                <w:rFonts w:ascii="宋体" w:hAnsi="宋体"/>
                <w:color w:val="auto"/>
                <w:sz w:val="20"/>
              </w:rPr>
            </w:pPr>
            <w:r>
              <w:rPr>
                <w:rFonts w:hint="eastAsia" w:ascii="宋体" w:hAnsi="宋体"/>
                <w:color w:val="auto"/>
                <w:sz w:val="20"/>
              </w:rPr>
              <w:t>名称</w:t>
            </w:r>
          </w:p>
        </w:tc>
        <w:tc>
          <w:tcPr>
            <w:tcW w:w="1134" w:type="dxa"/>
            <w:vAlign w:val="center"/>
          </w:tcPr>
          <w:p w14:paraId="6526A46B">
            <w:pPr>
              <w:jc w:val="center"/>
              <w:rPr>
                <w:rFonts w:ascii="宋体" w:hAnsi="宋体"/>
                <w:color w:val="auto"/>
                <w:sz w:val="20"/>
              </w:rPr>
            </w:pPr>
            <w:r>
              <w:rPr>
                <w:rFonts w:hint="eastAsia" w:ascii="宋体" w:hAnsi="宋体"/>
                <w:color w:val="auto"/>
                <w:sz w:val="20"/>
              </w:rPr>
              <w:t>性质</w:t>
            </w:r>
          </w:p>
        </w:tc>
        <w:tc>
          <w:tcPr>
            <w:tcW w:w="3685" w:type="dxa"/>
            <w:vAlign w:val="center"/>
          </w:tcPr>
          <w:p w14:paraId="167E8446">
            <w:pPr>
              <w:jc w:val="center"/>
              <w:rPr>
                <w:rFonts w:ascii="宋体" w:hAnsi="宋体"/>
                <w:color w:val="auto"/>
                <w:sz w:val="20"/>
              </w:rPr>
            </w:pPr>
            <w:r>
              <w:rPr>
                <w:rFonts w:hint="eastAsia" w:ascii="宋体" w:hAnsi="宋体"/>
                <w:color w:val="auto"/>
                <w:sz w:val="20"/>
              </w:rPr>
              <w:t>说明</w:t>
            </w:r>
          </w:p>
        </w:tc>
        <w:tc>
          <w:tcPr>
            <w:tcW w:w="2106" w:type="dxa"/>
            <w:vAlign w:val="center"/>
          </w:tcPr>
          <w:p w14:paraId="0EA53E62">
            <w:pPr>
              <w:jc w:val="center"/>
              <w:rPr>
                <w:rFonts w:ascii="宋体" w:hAnsi="宋体"/>
                <w:color w:val="auto"/>
                <w:sz w:val="20"/>
              </w:rPr>
            </w:pPr>
            <w:r>
              <w:rPr>
                <w:rFonts w:hint="eastAsia" w:ascii="宋体" w:hAnsi="宋体"/>
                <w:color w:val="auto"/>
                <w:sz w:val="20"/>
              </w:rPr>
              <w:t>备注</w:t>
            </w:r>
          </w:p>
        </w:tc>
      </w:tr>
      <w:tr w14:paraId="57524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709" w:type="dxa"/>
            <w:vAlign w:val="center"/>
          </w:tcPr>
          <w:p w14:paraId="485A71DB">
            <w:pPr>
              <w:jc w:val="center"/>
              <w:rPr>
                <w:rFonts w:ascii="宋体" w:hAnsi="宋体"/>
                <w:color w:val="auto"/>
                <w:sz w:val="20"/>
              </w:rPr>
            </w:pPr>
            <w:r>
              <w:rPr>
                <w:rFonts w:hint="eastAsia" w:ascii="宋体" w:hAnsi="宋体"/>
                <w:color w:val="auto"/>
                <w:sz w:val="20"/>
              </w:rPr>
              <w:t>1</w:t>
            </w:r>
          </w:p>
        </w:tc>
        <w:tc>
          <w:tcPr>
            <w:tcW w:w="1423" w:type="dxa"/>
            <w:vAlign w:val="center"/>
          </w:tcPr>
          <w:p w14:paraId="50CEB925">
            <w:pPr>
              <w:jc w:val="center"/>
              <w:rPr>
                <w:rFonts w:ascii="宋体" w:hAnsi="宋体"/>
                <w:color w:val="auto"/>
                <w:sz w:val="20"/>
              </w:rPr>
            </w:pPr>
            <w:r>
              <w:rPr>
                <w:rFonts w:hint="eastAsia" w:ascii="宋体" w:hAnsi="宋体"/>
                <w:color w:val="auto"/>
                <w:sz w:val="20"/>
              </w:rPr>
              <w:t>380VAC电源</w:t>
            </w:r>
          </w:p>
        </w:tc>
        <w:tc>
          <w:tcPr>
            <w:tcW w:w="1134" w:type="dxa"/>
            <w:vAlign w:val="center"/>
          </w:tcPr>
          <w:p w14:paraId="25A1B16F">
            <w:pPr>
              <w:jc w:val="center"/>
              <w:rPr>
                <w:rFonts w:ascii="宋体" w:hAnsi="宋体"/>
                <w:color w:val="auto"/>
                <w:sz w:val="20"/>
              </w:rPr>
            </w:pPr>
            <w:r>
              <w:rPr>
                <w:rFonts w:hint="eastAsia" w:ascii="宋体" w:hAnsi="宋体"/>
                <w:color w:val="auto"/>
                <w:sz w:val="20"/>
              </w:rPr>
              <w:t>控制电源</w:t>
            </w:r>
          </w:p>
        </w:tc>
        <w:tc>
          <w:tcPr>
            <w:tcW w:w="3685" w:type="dxa"/>
            <w:vAlign w:val="center"/>
          </w:tcPr>
          <w:p w14:paraId="4720C5DE">
            <w:pPr>
              <w:jc w:val="center"/>
              <w:rPr>
                <w:rFonts w:ascii="宋体" w:hAnsi="宋体"/>
                <w:color w:val="auto"/>
                <w:sz w:val="20"/>
                <w:lang w:eastAsia="zh-CN"/>
              </w:rPr>
            </w:pPr>
            <w:r>
              <w:rPr>
                <w:rFonts w:hint="eastAsia" w:ascii="宋体" w:hAnsi="宋体"/>
                <w:color w:val="auto"/>
                <w:sz w:val="20"/>
                <w:lang w:eastAsia="zh-CN"/>
              </w:rPr>
              <w:t>提供给SVG的交流控制电源</w:t>
            </w:r>
          </w:p>
        </w:tc>
        <w:tc>
          <w:tcPr>
            <w:tcW w:w="2106" w:type="dxa"/>
            <w:vAlign w:val="center"/>
          </w:tcPr>
          <w:p w14:paraId="4F53A79F">
            <w:pPr>
              <w:jc w:val="center"/>
              <w:rPr>
                <w:rFonts w:ascii="宋体" w:hAnsi="宋体"/>
                <w:color w:val="auto"/>
                <w:sz w:val="20"/>
              </w:rPr>
            </w:pPr>
            <w:r>
              <w:rPr>
                <w:rFonts w:hint="eastAsia" w:ascii="宋体" w:hAnsi="宋体"/>
                <w:color w:val="auto"/>
                <w:sz w:val="20"/>
              </w:rPr>
              <w:t>三相四线制</w:t>
            </w:r>
          </w:p>
        </w:tc>
      </w:tr>
      <w:tr w14:paraId="29073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709" w:type="dxa"/>
            <w:vAlign w:val="center"/>
          </w:tcPr>
          <w:p w14:paraId="0B7A3081">
            <w:pPr>
              <w:jc w:val="center"/>
              <w:rPr>
                <w:rFonts w:ascii="宋体" w:hAnsi="宋体"/>
                <w:color w:val="auto"/>
                <w:sz w:val="20"/>
              </w:rPr>
            </w:pPr>
            <w:r>
              <w:rPr>
                <w:rFonts w:hint="eastAsia" w:ascii="宋体" w:hAnsi="宋体"/>
                <w:color w:val="auto"/>
                <w:sz w:val="20"/>
              </w:rPr>
              <w:t>2</w:t>
            </w:r>
          </w:p>
        </w:tc>
        <w:tc>
          <w:tcPr>
            <w:tcW w:w="1423" w:type="dxa"/>
            <w:vAlign w:val="center"/>
          </w:tcPr>
          <w:p w14:paraId="69A36BC0">
            <w:pPr>
              <w:jc w:val="center"/>
              <w:rPr>
                <w:rFonts w:ascii="宋体" w:hAnsi="宋体"/>
                <w:color w:val="auto"/>
                <w:sz w:val="20"/>
              </w:rPr>
            </w:pPr>
            <w:r>
              <w:rPr>
                <w:rFonts w:hint="eastAsia" w:ascii="宋体" w:hAnsi="宋体"/>
                <w:color w:val="auto"/>
                <w:sz w:val="20"/>
              </w:rPr>
              <w:t>DC220V电源</w:t>
            </w:r>
          </w:p>
        </w:tc>
        <w:tc>
          <w:tcPr>
            <w:tcW w:w="1134" w:type="dxa"/>
            <w:vAlign w:val="center"/>
          </w:tcPr>
          <w:p w14:paraId="3D698901">
            <w:pPr>
              <w:jc w:val="center"/>
              <w:rPr>
                <w:rFonts w:ascii="宋体" w:hAnsi="宋体"/>
                <w:color w:val="auto"/>
                <w:sz w:val="20"/>
              </w:rPr>
            </w:pPr>
            <w:r>
              <w:rPr>
                <w:rFonts w:hint="eastAsia" w:ascii="宋体" w:hAnsi="宋体"/>
                <w:color w:val="auto"/>
                <w:sz w:val="20"/>
              </w:rPr>
              <w:t>控制电源</w:t>
            </w:r>
          </w:p>
        </w:tc>
        <w:tc>
          <w:tcPr>
            <w:tcW w:w="3685" w:type="dxa"/>
            <w:vAlign w:val="center"/>
          </w:tcPr>
          <w:p w14:paraId="14B9C68E">
            <w:pPr>
              <w:jc w:val="center"/>
              <w:rPr>
                <w:rFonts w:ascii="宋体" w:hAnsi="宋体"/>
                <w:color w:val="auto"/>
                <w:sz w:val="20"/>
                <w:lang w:eastAsia="zh-CN"/>
              </w:rPr>
            </w:pPr>
            <w:r>
              <w:rPr>
                <w:rFonts w:hint="eastAsia" w:ascii="宋体" w:hAnsi="宋体"/>
                <w:color w:val="auto"/>
                <w:sz w:val="20"/>
                <w:lang w:eastAsia="zh-CN"/>
              </w:rPr>
              <w:t>提供给SVG的直流控制电源，(可选)</w:t>
            </w:r>
          </w:p>
        </w:tc>
        <w:tc>
          <w:tcPr>
            <w:tcW w:w="2106" w:type="dxa"/>
            <w:vAlign w:val="center"/>
          </w:tcPr>
          <w:p w14:paraId="3602EB3C">
            <w:pPr>
              <w:jc w:val="center"/>
              <w:rPr>
                <w:rFonts w:ascii="宋体" w:hAnsi="宋体"/>
                <w:color w:val="auto"/>
                <w:sz w:val="20"/>
              </w:rPr>
            </w:pPr>
            <w:r>
              <w:rPr>
                <w:rFonts w:hint="eastAsia" w:ascii="宋体" w:hAnsi="宋体"/>
                <w:color w:val="auto"/>
                <w:sz w:val="20"/>
              </w:rPr>
              <w:t>1kVA</w:t>
            </w:r>
          </w:p>
        </w:tc>
      </w:tr>
    </w:tbl>
    <w:p w14:paraId="15185945">
      <w:pPr>
        <w:widowControl w:val="0"/>
        <w:numPr>
          <w:ilvl w:val="0"/>
          <w:numId w:val="11"/>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高压开关柜到SVG的连接点</w:t>
      </w:r>
    </w:p>
    <w:p w14:paraId="62255E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高压联动跳闸：即联跳高压开关接点。SVG出现重故障时，自动分断高压开关，1路常开点，闭合有效。</w:t>
      </w:r>
    </w:p>
    <w:p w14:paraId="4EB26A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高压合闸允许：允许将高压开关合闸，1路常开点，闭合有效。</w:t>
      </w:r>
    </w:p>
    <w:p w14:paraId="2DAB0D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高压就绪：高压准备就绪，高压开关提供给SVG的1路常开点，闭合有效。</w:t>
      </w:r>
    </w:p>
    <w:p w14:paraId="16228F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SVG与高压开关柜的连接信号：</w:t>
      </w:r>
    </w:p>
    <w:tbl>
      <w:tblPr>
        <w:tblStyle w:val="6"/>
        <w:tblW w:w="87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1"/>
        <w:gridCol w:w="1559"/>
        <w:gridCol w:w="1134"/>
        <w:gridCol w:w="4111"/>
        <w:gridCol w:w="1275"/>
      </w:tblGrid>
      <w:tr w14:paraId="1ABB8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681" w:type="dxa"/>
            <w:vAlign w:val="center"/>
          </w:tcPr>
          <w:p w14:paraId="46DFD27D">
            <w:pPr>
              <w:autoSpaceDE/>
              <w:autoSpaceDN/>
              <w:adjustRightInd/>
              <w:jc w:val="center"/>
              <w:textAlignment w:val="auto"/>
              <w:rPr>
                <w:rFonts w:ascii="宋体" w:hAnsi="宋体"/>
                <w:color w:val="auto"/>
                <w:sz w:val="20"/>
              </w:rPr>
            </w:pPr>
            <w:r>
              <w:rPr>
                <w:rFonts w:hint="eastAsia" w:ascii="宋体" w:hAnsi="宋体"/>
                <w:color w:val="auto"/>
                <w:sz w:val="20"/>
              </w:rPr>
              <w:t>序号</w:t>
            </w:r>
          </w:p>
        </w:tc>
        <w:tc>
          <w:tcPr>
            <w:tcW w:w="1559" w:type="dxa"/>
            <w:vAlign w:val="center"/>
          </w:tcPr>
          <w:p w14:paraId="139ADFA0">
            <w:pPr>
              <w:autoSpaceDE/>
              <w:autoSpaceDN/>
              <w:adjustRightInd/>
              <w:jc w:val="center"/>
              <w:textAlignment w:val="auto"/>
              <w:rPr>
                <w:rFonts w:ascii="宋体" w:hAnsi="宋体"/>
                <w:color w:val="auto"/>
                <w:sz w:val="20"/>
              </w:rPr>
            </w:pPr>
            <w:r>
              <w:rPr>
                <w:rFonts w:hint="eastAsia" w:ascii="宋体" w:hAnsi="宋体"/>
                <w:color w:val="auto"/>
                <w:sz w:val="20"/>
              </w:rPr>
              <w:t>名称</w:t>
            </w:r>
          </w:p>
        </w:tc>
        <w:tc>
          <w:tcPr>
            <w:tcW w:w="1134" w:type="dxa"/>
            <w:vAlign w:val="center"/>
          </w:tcPr>
          <w:p w14:paraId="3781CB47">
            <w:pPr>
              <w:autoSpaceDE/>
              <w:autoSpaceDN/>
              <w:adjustRightInd/>
              <w:jc w:val="center"/>
              <w:textAlignment w:val="auto"/>
              <w:rPr>
                <w:rFonts w:ascii="宋体" w:hAnsi="宋体"/>
                <w:color w:val="auto"/>
                <w:sz w:val="20"/>
              </w:rPr>
            </w:pPr>
            <w:r>
              <w:rPr>
                <w:rFonts w:hint="eastAsia" w:ascii="宋体" w:hAnsi="宋体"/>
                <w:color w:val="auto"/>
                <w:sz w:val="20"/>
              </w:rPr>
              <w:t>性质</w:t>
            </w:r>
          </w:p>
        </w:tc>
        <w:tc>
          <w:tcPr>
            <w:tcW w:w="4111" w:type="dxa"/>
            <w:vAlign w:val="center"/>
          </w:tcPr>
          <w:p w14:paraId="09602795">
            <w:pPr>
              <w:autoSpaceDE/>
              <w:autoSpaceDN/>
              <w:adjustRightInd/>
              <w:jc w:val="center"/>
              <w:textAlignment w:val="auto"/>
              <w:rPr>
                <w:rFonts w:ascii="宋体" w:hAnsi="宋体"/>
                <w:color w:val="auto"/>
                <w:sz w:val="20"/>
              </w:rPr>
            </w:pPr>
            <w:r>
              <w:rPr>
                <w:rFonts w:hint="eastAsia" w:ascii="宋体" w:hAnsi="宋体"/>
                <w:color w:val="auto"/>
                <w:sz w:val="20"/>
              </w:rPr>
              <w:t>说明</w:t>
            </w:r>
          </w:p>
        </w:tc>
        <w:tc>
          <w:tcPr>
            <w:tcW w:w="1275" w:type="dxa"/>
            <w:vAlign w:val="center"/>
          </w:tcPr>
          <w:p w14:paraId="48DB28DD">
            <w:pPr>
              <w:autoSpaceDE/>
              <w:autoSpaceDN/>
              <w:adjustRightInd/>
              <w:jc w:val="center"/>
              <w:textAlignment w:val="auto"/>
              <w:rPr>
                <w:rFonts w:ascii="宋体" w:hAnsi="宋体"/>
                <w:color w:val="auto"/>
                <w:sz w:val="20"/>
              </w:rPr>
            </w:pPr>
            <w:r>
              <w:rPr>
                <w:rFonts w:hint="eastAsia" w:ascii="宋体" w:hAnsi="宋体"/>
                <w:color w:val="auto"/>
                <w:sz w:val="20"/>
              </w:rPr>
              <w:t>备注</w:t>
            </w:r>
          </w:p>
        </w:tc>
      </w:tr>
      <w:tr w14:paraId="7B135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681" w:type="dxa"/>
            <w:vAlign w:val="center"/>
          </w:tcPr>
          <w:p w14:paraId="272EF1CA">
            <w:pPr>
              <w:autoSpaceDE/>
              <w:autoSpaceDN/>
              <w:adjustRightInd/>
              <w:jc w:val="center"/>
              <w:textAlignment w:val="auto"/>
              <w:rPr>
                <w:rFonts w:ascii="宋体" w:hAnsi="宋体"/>
                <w:color w:val="auto"/>
                <w:sz w:val="20"/>
              </w:rPr>
            </w:pPr>
            <w:r>
              <w:rPr>
                <w:rFonts w:hint="eastAsia" w:ascii="宋体" w:hAnsi="宋体"/>
                <w:color w:val="auto"/>
                <w:sz w:val="20"/>
              </w:rPr>
              <w:t>1</w:t>
            </w:r>
          </w:p>
        </w:tc>
        <w:tc>
          <w:tcPr>
            <w:tcW w:w="1559" w:type="dxa"/>
            <w:vAlign w:val="center"/>
          </w:tcPr>
          <w:p w14:paraId="4EFE9644">
            <w:pPr>
              <w:autoSpaceDE/>
              <w:autoSpaceDN/>
              <w:adjustRightInd/>
              <w:jc w:val="center"/>
              <w:textAlignment w:val="auto"/>
              <w:rPr>
                <w:rFonts w:ascii="宋体" w:hAnsi="宋体"/>
                <w:color w:val="auto"/>
                <w:sz w:val="20"/>
              </w:rPr>
            </w:pPr>
            <w:r>
              <w:rPr>
                <w:rFonts w:hint="eastAsia" w:ascii="宋体" w:hAnsi="宋体"/>
                <w:color w:val="auto"/>
                <w:sz w:val="20"/>
              </w:rPr>
              <w:t>高压就绪</w:t>
            </w:r>
          </w:p>
        </w:tc>
        <w:tc>
          <w:tcPr>
            <w:tcW w:w="1134" w:type="dxa"/>
            <w:vAlign w:val="center"/>
          </w:tcPr>
          <w:p w14:paraId="17D79E46">
            <w:pPr>
              <w:autoSpaceDE/>
              <w:autoSpaceDN/>
              <w:adjustRightInd/>
              <w:jc w:val="center"/>
              <w:textAlignment w:val="auto"/>
              <w:rPr>
                <w:rFonts w:ascii="宋体" w:hAnsi="宋体"/>
                <w:color w:val="auto"/>
                <w:sz w:val="20"/>
              </w:rPr>
            </w:pPr>
            <w:r>
              <w:rPr>
                <w:rFonts w:hint="eastAsia" w:ascii="宋体" w:hAnsi="宋体"/>
                <w:color w:val="auto"/>
                <w:sz w:val="20"/>
              </w:rPr>
              <w:t>DI开关量</w:t>
            </w:r>
          </w:p>
        </w:tc>
        <w:tc>
          <w:tcPr>
            <w:tcW w:w="4111" w:type="dxa"/>
            <w:vAlign w:val="center"/>
          </w:tcPr>
          <w:p w14:paraId="45DFA8AA">
            <w:pPr>
              <w:autoSpaceDE/>
              <w:autoSpaceDN/>
              <w:adjustRightInd/>
              <w:jc w:val="center"/>
              <w:textAlignment w:val="auto"/>
              <w:rPr>
                <w:rFonts w:ascii="宋体" w:hAnsi="宋体"/>
                <w:color w:val="auto"/>
                <w:sz w:val="20"/>
                <w:lang w:eastAsia="zh-CN"/>
              </w:rPr>
            </w:pPr>
            <w:r>
              <w:rPr>
                <w:rFonts w:hint="eastAsia" w:ascii="宋体" w:hAnsi="宋体"/>
                <w:color w:val="auto"/>
                <w:sz w:val="20"/>
                <w:lang w:eastAsia="zh-CN"/>
              </w:rPr>
              <w:t>表示上级开关柜给SVG的合闸位置信号</w:t>
            </w:r>
          </w:p>
        </w:tc>
        <w:tc>
          <w:tcPr>
            <w:tcW w:w="1275" w:type="dxa"/>
            <w:vAlign w:val="center"/>
          </w:tcPr>
          <w:p w14:paraId="3056554E">
            <w:pPr>
              <w:autoSpaceDE/>
              <w:autoSpaceDN/>
              <w:adjustRightInd/>
              <w:jc w:val="center"/>
              <w:textAlignment w:val="auto"/>
              <w:rPr>
                <w:rFonts w:ascii="宋体" w:hAnsi="宋体"/>
                <w:color w:val="auto"/>
                <w:sz w:val="20"/>
              </w:rPr>
            </w:pPr>
            <w:r>
              <w:rPr>
                <w:rFonts w:hint="eastAsia" w:ascii="宋体" w:hAnsi="宋体"/>
                <w:color w:val="auto"/>
                <w:sz w:val="20"/>
              </w:rPr>
              <w:t>无源干接点</w:t>
            </w:r>
          </w:p>
        </w:tc>
      </w:tr>
      <w:tr w14:paraId="2A460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681" w:type="dxa"/>
            <w:vAlign w:val="center"/>
          </w:tcPr>
          <w:p w14:paraId="304EAE30">
            <w:pPr>
              <w:autoSpaceDE/>
              <w:autoSpaceDN/>
              <w:adjustRightInd/>
              <w:jc w:val="center"/>
              <w:textAlignment w:val="auto"/>
              <w:rPr>
                <w:rFonts w:ascii="宋体" w:hAnsi="宋体"/>
                <w:color w:val="auto"/>
                <w:sz w:val="20"/>
              </w:rPr>
            </w:pPr>
            <w:r>
              <w:rPr>
                <w:rFonts w:hint="eastAsia" w:ascii="宋体" w:hAnsi="宋体"/>
                <w:color w:val="auto"/>
                <w:sz w:val="20"/>
              </w:rPr>
              <w:t>2</w:t>
            </w:r>
          </w:p>
        </w:tc>
        <w:tc>
          <w:tcPr>
            <w:tcW w:w="1559" w:type="dxa"/>
            <w:vAlign w:val="center"/>
          </w:tcPr>
          <w:p w14:paraId="557D3CA1">
            <w:pPr>
              <w:autoSpaceDE/>
              <w:autoSpaceDN/>
              <w:adjustRightInd/>
              <w:jc w:val="center"/>
              <w:textAlignment w:val="auto"/>
              <w:rPr>
                <w:rFonts w:ascii="宋体" w:hAnsi="宋体"/>
                <w:color w:val="auto"/>
                <w:sz w:val="20"/>
              </w:rPr>
            </w:pPr>
            <w:r>
              <w:rPr>
                <w:rFonts w:hint="eastAsia" w:ascii="宋体" w:hAnsi="宋体"/>
                <w:color w:val="auto"/>
                <w:sz w:val="20"/>
              </w:rPr>
              <w:t>高压合闸允许</w:t>
            </w:r>
          </w:p>
        </w:tc>
        <w:tc>
          <w:tcPr>
            <w:tcW w:w="1134" w:type="dxa"/>
            <w:vAlign w:val="center"/>
          </w:tcPr>
          <w:p w14:paraId="408BDA7C">
            <w:pPr>
              <w:autoSpaceDE/>
              <w:autoSpaceDN/>
              <w:adjustRightInd/>
              <w:jc w:val="center"/>
              <w:textAlignment w:val="auto"/>
              <w:rPr>
                <w:rFonts w:ascii="宋体" w:hAnsi="宋体"/>
                <w:color w:val="auto"/>
                <w:sz w:val="20"/>
              </w:rPr>
            </w:pPr>
            <w:r>
              <w:rPr>
                <w:rFonts w:hint="eastAsia" w:ascii="宋体" w:hAnsi="宋体"/>
                <w:color w:val="auto"/>
                <w:sz w:val="20"/>
              </w:rPr>
              <w:t>DO开关量</w:t>
            </w:r>
          </w:p>
        </w:tc>
        <w:tc>
          <w:tcPr>
            <w:tcW w:w="4111" w:type="dxa"/>
            <w:vAlign w:val="center"/>
          </w:tcPr>
          <w:p w14:paraId="50499366">
            <w:pPr>
              <w:autoSpaceDE/>
              <w:autoSpaceDN/>
              <w:adjustRightInd/>
              <w:jc w:val="center"/>
              <w:textAlignment w:val="auto"/>
              <w:rPr>
                <w:rFonts w:ascii="宋体" w:hAnsi="宋体"/>
                <w:color w:val="auto"/>
                <w:sz w:val="20"/>
                <w:lang w:eastAsia="zh-CN"/>
              </w:rPr>
            </w:pPr>
            <w:r>
              <w:rPr>
                <w:rFonts w:hint="eastAsia" w:ascii="宋体" w:hAnsi="宋体"/>
                <w:color w:val="auto"/>
                <w:sz w:val="20"/>
                <w:lang w:eastAsia="zh-CN"/>
              </w:rPr>
              <w:t>表示SVG给上级开关柜的合闸允许信号</w:t>
            </w:r>
          </w:p>
        </w:tc>
        <w:tc>
          <w:tcPr>
            <w:tcW w:w="1275" w:type="dxa"/>
            <w:vAlign w:val="center"/>
          </w:tcPr>
          <w:p w14:paraId="31A88D6B">
            <w:pPr>
              <w:autoSpaceDE/>
              <w:autoSpaceDN/>
              <w:adjustRightInd/>
              <w:jc w:val="center"/>
              <w:textAlignment w:val="auto"/>
              <w:rPr>
                <w:rFonts w:ascii="宋体" w:hAnsi="宋体"/>
                <w:color w:val="auto"/>
                <w:sz w:val="20"/>
              </w:rPr>
            </w:pPr>
            <w:r>
              <w:rPr>
                <w:rFonts w:hint="eastAsia" w:ascii="宋体" w:hAnsi="宋体"/>
                <w:color w:val="auto"/>
                <w:sz w:val="20"/>
              </w:rPr>
              <w:t>无源干接点</w:t>
            </w:r>
          </w:p>
        </w:tc>
      </w:tr>
      <w:tr w14:paraId="333EB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681" w:type="dxa"/>
            <w:vAlign w:val="center"/>
          </w:tcPr>
          <w:p w14:paraId="5ABF5389">
            <w:pPr>
              <w:autoSpaceDE/>
              <w:autoSpaceDN/>
              <w:adjustRightInd/>
              <w:jc w:val="center"/>
              <w:textAlignment w:val="auto"/>
              <w:rPr>
                <w:rFonts w:ascii="宋体" w:hAnsi="宋体"/>
                <w:color w:val="auto"/>
                <w:sz w:val="20"/>
              </w:rPr>
            </w:pPr>
            <w:r>
              <w:rPr>
                <w:rFonts w:hint="eastAsia" w:ascii="宋体" w:hAnsi="宋体"/>
                <w:color w:val="auto"/>
                <w:sz w:val="20"/>
              </w:rPr>
              <w:t>3</w:t>
            </w:r>
          </w:p>
        </w:tc>
        <w:tc>
          <w:tcPr>
            <w:tcW w:w="1559" w:type="dxa"/>
            <w:vAlign w:val="center"/>
          </w:tcPr>
          <w:p w14:paraId="78F48E9A">
            <w:pPr>
              <w:autoSpaceDE/>
              <w:autoSpaceDN/>
              <w:adjustRightInd/>
              <w:jc w:val="center"/>
              <w:textAlignment w:val="auto"/>
              <w:rPr>
                <w:rFonts w:ascii="宋体" w:hAnsi="宋体"/>
                <w:color w:val="auto"/>
                <w:sz w:val="20"/>
              </w:rPr>
            </w:pPr>
            <w:r>
              <w:rPr>
                <w:rFonts w:hint="eastAsia"/>
                <w:color w:val="auto"/>
                <w:sz w:val="20"/>
              </w:rPr>
              <w:t>高压联动跳闸</w:t>
            </w:r>
          </w:p>
        </w:tc>
        <w:tc>
          <w:tcPr>
            <w:tcW w:w="1134" w:type="dxa"/>
            <w:vAlign w:val="center"/>
          </w:tcPr>
          <w:p w14:paraId="590F8FFF">
            <w:pPr>
              <w:autoSpaceDE/>
              <w:autoSpaceDN/>
              <w:adjustRightInd/>
              <w:jc w:val="center"/>
              <w:textAlignment w:val="auto"/>
              <w:rPr>
                <w:rFonts w:ascii="宋体" w:hAnsi="宋体"/>
                <w:color w:val="auto"/>
                <w:sz w:val="20"/>
              </w:rPr>
            </w:pPr>
            <w:r>
              <w:rPr>
                <w:rFonts w:hint="eastAsia" w:ascii="宋体" w:hAnsi="宋体"/>
                <w:color w:val="auto"/>
                <w:sz w:val="20"/>
              </w:rPr>
              <w:t>DO开关量</w:t>
            </w:r>
          </w:p>
        </w:tc>
        <w:tc>
          <w:tcPr>
            <w:tcW w:w="4111" w:type="dxa"/>
            <w:vAlign w:val="center"/>
          </w:tcPr>
          <w:p w14:paraId="451412C3">
            <w:pPr>
              <w:autoSpaceDE/>
              <w:autoSpaceDN/>
              <w:adjustRightInd/>
              <w:jc w:val="center"/>
              <w:textAlignment w:val="auto"/>
              <w:rPr>
                <w:rFonts w:ascii="宋体" w:hAnsi="宋体"/>
                <w:color w:val="auto"/>
                <w:sz w:val="20"/>
                <w:lang w:eastAsia="zh-CN"/>
              </w:rPr>
            </w:pPr>
            <w:r>
              <w:rPr>
                <w:rFonts w:hint="eastAsia" w:ascii="宋体" w:hAnsi="宋体"/>
                <w:color w:val="auto"/>
                <w:sz w:val="20"/>
                <w:lang w:eastAsia="zh-CN"/>
              </w:rPr>
              <w:t>表示SVG给上级开关柜的紧急分闸信号</w:t>
            </w:r>
          </w:p>
        </w:tc>
        <w:tc>
          <w:tcPr>
            <w:tcW w:w="1275" w:type="dxa"/>
            <w:vAlign w:val="center"/>
          </w:tcPr>
          <w:p w14:paraId="2E20969C">
            <w:pPr>
              <w:autoSpaceDE/>
              <w:autoSpaceDN/>
              <w:adjustRightInd/>
              <w:jc w:val="center"/>
              <w:textAlignment w:val="auto"/>
              <w:rPr>
                <w:rFonts w:ascii="宋体" w:hAnsi="宋体"/>
                <w:color w:val="auto"/>
                <w:sz w:val="20"/>
              </w:rPr>
            </w:pPr>
            <w:r>
              <w:rPr>
                <w:rFonts w:hint="eastAsia" w:ascii="宋体" w:hAnsi="宋体"/>
                <w:color w:val="auto"/>
                <w:sz w:val="20"/>
              </w:rPr>
              <w:t>无源干接点</w:t>
            </w:r>
          </w:p>
        </w:tc>
      </w:tr>
    </w:tbl>
    <w:p w14:paraId="08A6865A">
      <w:pPr>
        <w:widowControl w:val="0"/>
        <w:numPr>
          <w:ilvl w:val="0"/>
          <w:numId w:val="11"/>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与SVG连接的模拟信号</w:t>
      </w:r>
    </w:p>
    <w:p w14:paraId="777CDA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PT信号：采集系统电压，用于系统计算以及电压同步，如果考核点不是系统电压，则再接入考核点PT信号；装置接入点电压（PT）：AC100V，精度0.2级。</w:t>
      </w:r>
    </w:p>
    <w:p w14:paraId="0BDA15D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CT信号：采集考核点电流，用于系统计算补偿无功。CT次级电流5A，精度为0.2级。如果无计量级CT，也可以是测量级0.5级。</w:t>
      </w:r>
    </w:p>
    <w:p w14:paraId="48859ED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提供给SVG的模拟量信号：</w:t>
      </w:r>
    </w:p>
    <w:tbl>
      <w:tblPr>
        <w:tblStyle w:val="6"/>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992"/>
        <w:gridCol w:w="1296"/>
        <w:gridCol w:w="4233"/>
        <w:gridCol w:w="1559"/>
      </w:tblGrid>
      <w:tr w14:paraId="65120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817" w:type="dxa"/>
            <w:vAlign w:val="center"/>
          </w:tcPr>
          <w:p w14:paraId="492AA878">
            <w:pPr>
              <w:autoSpaceDE/>
              <w:autoSpaceDN/>
              <w:adjustRightInd/>
              <w:jc w:val="center"/>
              <w:textAlignment w:val="auto"/>
              <w:rPr>
                <w:rFonts w:ascii="宋体" w:hAnsi="宋体"/>
                <w:color w:val="auto"/>
                <w:szCs w:val="24"/>
              </w:rPr>
            </w:pPr>
            <w:bookmarkStart w:id="1739" w:name="_Toc381214408"/>
            <w:r>
              <w:rPr>
                <w:rFonts w:hint="eastAsia" w:ascii="宋体" w:hAnsi="宋体"/>
                <w:color w:val="auto"/>
                <w:szCs w:val="24"/>
              </w:rPr>
              <w:t>序号</w:t>
            </w:r>
          </w:p>
        </w:tc>
        <w:tc>
          <w:tcPr>
            <w:tcW w:w="992" w:type="dxa"/>
            <w:vAlign w:val="center"/>
          </w:tcPr>
          <w:p w14:paraId="048DD6B1">
            <w:pPr>
              <w:autoSpaceDE/>
              <w:autoSpaceDN/>
              <w:adjustRightInd/>
              <w:jc w:val="center"/>
              <w:textAlignment w:val="auto"/>
              <w:rPr>
                <w:rFonts w:ascii="宋体" w:hAnsi="宋体"/>
                <w:color w:val="auto"/>
                <w:szCs w:val="24"/>
              </w:rPr>
            </w:pPr>
            <w:r>
              <w:rPr>
                <w:rFonts w:hint="eastAsia" w:ascii="宋体" w:hAnsi="宋体"/>
                <w:color w:val="auto"/>
                <w:szCs w:val="24"/>
              </w:rPr>
              <w:t>名称</w:t>
            </w:r>
          </w:p>
        </w:tc>
        <w:tc>
          <w:tcPr>
            <w:tcW w:w="1296" w:type="dxa"/>
            <w:vAlign w:val="center"/>
          </w:tcPr>
          <w:p w14:paraId="507208A2">
            <w:pPr>
              <w:autoSpaceDE/>
              <w:autoSpaceDN/>
              <w:adjustRightInd/>
              <w:jc w:val="center"/>
              <w:textAlignment w:val="auto"/>
              <w:rPr>
                <w:rFonts w:ascii="宋体" w:hAnsi="宋体"/>
                <w:color w:val="auto"/>
                <w:szCs w:val="24"/>
              </w:rPr>
            </w:pPr>
            <w:r>
              <w:rPr>
                <w:rFonts w:hint="eastAsia" w:ascii="宋体" w:hAnsi="宋体"/>
                <w:color w:val="auto"/>
                <w:szCs w:val="24"/>
              </w:rPr>
              <w:t>性质</w:t>
            </w:r>
          </w:p>
        </w:tc>
        <w:tc>
          <w:tcPr>
            <w:tcW w:w="4233" w:type="dxa"/>
            <w:vAlign w:val="center"/>
          </w:tcPr>
          <w:p w14:paraId="41C221DE">
            <w:pPr>
              <w:autoSpaceDE/>
              <w:autoSpaceDN/>
              <w:adjustRightInd/>
              <w:jc w:val="center"/>
              <w:textAlignment w:val="auto"/>
              <w:rPr>
                <w:rFonts w:ascii="宋体" w:hAnsi="宋体"/>
                <w:color w:val="auto"/>
                <w:szCs w:val="24"/>
              </w:rPr>
            </w:pPr>
            <w:r>
              <w:rPr>
                <w:rFonts w:hint="eastAsia" w:ascii="宋体" w:hAnsi="宋体"/>
                <w:color w:val="auto"/>
                <w:szCs w:val="24"/>
              </w:rPr>
              <w:t>说明</w:t>
            </w:r>
          </w:p>
        </w:tc>
        <w:tc>
          <w:tcPr>
            <w:tcW w:w="1559" w:type="dxa"/>
            <w:vAlign w:val="center"/>
          </w:tcPr>
          <w:p w14:paraId="4F9A1485">
            <w:pPr>
              <w:autoSpaceDE/>
              <w:autoSpaceDN/>
              <w:adjustRightInd/>
              <w:jc w:val="center"/>
              <w:textAlignment w:val="auto"/>
              <w:rPr>
                <w:rFonts w:ascii="宋体" w:hAnsi="宋体"/>
                <w:color w:val="auto"/>
                <w:szCs w:val="24"/>
              </w:rPr>
            </w:pPr>
            <w:r>
              <w:rPr>
                <w:rFonts w:hint="eastAsia" w:ascii="宋体" w:hAnsi="宋体"/>
                <w:color w:val="auto"/>
                <w:szCs w:val="24"/>
              </w:rPr>
              <w:t>备注</w:t>
            </w:r>
          </w:p>
        </w:tc>
      </w:tr>
      <w:tr w14:paraId="637DE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817" w:type="dxa"/>
            <w:vAlign w:val="center"/>
          </w:tcPr>
          <w:p w14:paraId="7FCDF32F">
            <w:pPr>
              <w:autoSpaceDE/>
              <w:autoSpaceDN/>
              <w:adjustRightInd/>
              <w:jc w:val="center"/>
              <w:textAlignment w:val="auto"/>
              <w:rPr>
                <w:rFonts w:ascii="宋体" w:hAnsi="宋体"/>
                <w:color w:val="auto"/>
                <w:szCs w:val="24"/>
              </w:rPr>
            </w:pPr>
            <w:r>
              <w:rPr>
                <w:rFonts w:hint="eastAsia" w:ascii="宋体" w:hAnsi="宋体"/>
                <w:color w:val="auto"/>
                <w:szCs w:val="24"/>
              </w:rPr>
              <w:t>1</w:t>
            </w:r>
          </w:p>
        </w:tc>
        <w:tc>
          <w:tcPr>
            <w:tcW w:w="992" w:type="dxa"/>
            <w:vAlign w:val="center"/>
          </w:tcPr>
          <w:p w14:paraId="1AF74A30">
            <w:pPr>
              <w:autoSpaceDE/>
              <w:autoSpaceDN/>
              <w:adjustRightInd/>
              <w:jc w:val="center"/>
              <w:textAlignment w:val="auto"/>
              <w:rPr>
                <w:rFonts w:ascii="宋体" w:hAnsi="宋体"/>
                <w:color w:val="auto"/>
                <w:szCs w:val="24"/>
              </w:rPr>
            </w:pPr>
            <w:r>
              <w:rPr>
                <w:rFonts w:hint="eastAsia" w:ascii="宋体" w:hAnsi="宋体"/>
                <w:color w:val="auto"/>
                <w:szCs w:val="24"/>
              </w:rPr>
              <w:t>CT信号</w:t>
            </w:r>
          </w:p>
        </w:tc>
        <w:tc>
          <w:tcPr>
            <w:tcW w:w="1296" w:type="dxa"/>
            <w:vAlign w:val="center"/>
          </w:tcPr>
          <w:p w14:paraId="1BE5CD82">
            <w:pPr>
              <w:autoSpaceDE/>
              <w:autoSpaceDN/>
              <w:adjustRightInd/>
              <w:jc w:val="center"/>
              <w:textAlignment w:val="auto"/>
              <w:rPr>
                <w:rFonts w:ascii="宋体" w:hAnsi="宋体"/>
                <w:color w:val="auto"/>
                <w:szCs w:val="24"/>
              </w:rPr>
            </w:pPr>
            <w:r>
              <w:rPr>
                <w:rFonts w:hint="eastAsia" w:ascii="宋体" w:hAnsi="宋体"/>
                <w:color w:val="auto"/>
                <w:szCs w:val="24"/>
              </w:rPr>
              <w:t>AI(5A/1A)</w:t>
            </w:r>
          </w:p>
        </w:tc>
        <w:tc>
          <w:tcPr>
            <w:tcW w:w="4233" w:type="dxa"/>
            <w:vAlign w:val="center"/>
          </w:tcPr>
          <w:p w14:paraId="5A09C54C">
            <w:pPr>
              <w:autoSpaceDE/>
              <w:autoSpaceDN/>
              <w:adjustRightInd/>
              <w:jc w:val="center"/>
              <w:textAlignment w:val="auto"/>
              <w:rPr>
                <w:rFonts w:ascii="宋体" w:hAnsi="宋体"/>
                <w:color w:val="auto"/>
                <w:szCs w:val="24"/>
                <w:lang w:eastAsia="zh-CN"/>
              </w:rPr>
            </w:pPr>
            <w:r>
              <w:rPr>
                <w:rFonts w:hint="eastAsia" w:ascii="宋体" w:hAnsi="宋体"/>
                <w:color w:val="auto"/>
                <w:szCs w:val="24"/>
                <w:lang w:eastAsia="zh-CN"/>
              </w:rPr>
              <w:t>考核点三路CT电流信号提供给SVG</w:t>
            </w:r>
          </w:p>
        </w:tc>
        <w:tc>
          <w:tcPr>
            <w:tcW w:w="1559" w:type="dxa"/>
            <w:vAlign w:val="center"/>
          </w:tcPr>
          <w:p w14:paraId="43E2E2FB">
            <w:pPr>
              <w:autoSpaceDE/>
              <w:autoSpaceDN/>
              <w:adjustRightInd/>
              <w:jc w:val="center"/>
              <w:textAlignment w:val="auto"/>
              <w:rPr>
                <w:rFonts w:ascii="宋体" w:hAnsi="宋体"/>
                <w:color w:val="auto"/>
                <w:szCs w:val="24"/>
              </w:rPr>
            </w:pPr>
            <w:r>
              <w:rPr>
                <w:rFonts w:hint="eastAsia" w:ascii="宋体" w:hAnsi="宋体"/>
                <w:color w:val="auto"/>
                <w:szCs w:val="24"/>
              </w:rPr>
              <w:t>精度0.2级</w:t>
            </w:r>
          </w:p>
          <w:p w14:paraId="722A8003">
            <w:pPr>
              <w:autoSpaceDE/>
              <w:autoSpaceDN/>
              <w:adjustRightInd/>
              <w:jc w:val="center"/>
              <w:textAlignment w:val="auto"/>
              <w:rPr>
                <w:rFonts w:ascii="宋体" w:hAnsi="宋体"/>
                <w:color w:val="auto"/>
                <w:szCs w:val="24"/>
              </w:rPr>
            </w:pPr>
            <w:r>
              <w:rPr>
                <w:rFonts w:hint="eastAsia" w:ascii="宋体" w:hAnsi="宋体"/>
                <w:color w:val="auto"/>
                <w:szCs w:val="24"/>
              </w:rPr>
              <w:t>次级电流5A</w:t>
            </w:r>
          </w:p>
        </w:tc>
      </w:tr>
      <w:tr w14:paraId="13477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817" w:type="dxa"/>
            <w:vAlign w:val="center"/>
          </w:tcPr>
          <w:p w14:paraId="6F5BF37A">
            <w:pPr>
              <w:autoSpaceDE/>
              <w:autoSpaceDN/>
              <w:adjustRightInd/>
              <w:jc w:val="center"/>
              <w:textAlignment w:val="auto"/>
              <w:rPr>
                <w:rFonts w:ascii="宋体" w:hAnsi="宋体"/>
                <w:color w:val="auto"/>
                <w:szCs w:val="24"/>
              </w:rPr>
            </w:pPr>
            <w:r>
              <w:rPr>
                <w:rFonts w:hint="eastAsia" w:ascii="宋体" w:hAnsi="宋体"/>
                <w:color w:val="auto"/>
                <w:szCs w:val="24"/>
              </w:rPr>
              <w:t>2</w:t>
            </w:r>
          </w:p>
        </w:tc>
        <w:tc>
          <w:tcPr>
            <w:tcW w:w="992" w:type="dxa"/>
            <w:vAlign w:val="center"/>
          </w:tcPr>
          <w:p w14:paraId="35988290">
            <w:pPr>
              <w:autoSpaceDE/>
              <w:autoSpaceDN/>
              <w:adjustRightInd/>
              <w:jc w:val="center"/>
              <w:textAlignment w:val="auto"/>
              <w:rPr>
                <w:rFonts w:ascii="宋体" w:hAnsi="宋体"/>
                <w:color w:val="auto"/>
                <w:szCs w:val="24"/>
              </w:rPr>
            </w:pPr>
            <w:r>
              <w:rPr>
                <w:rFonts w:hint="eastAsia" w:ascii="宋体" w:hAnsi="宋体"/>
                <w:color w:val="auto"/>
                <w:szCs w:val="24"/>
              </w:rPr>
              <w:t>PT信号</w:t>
            </w:r>
          </w:p>
        </w:tc>
        <w:tc>
          <w:tcPr>
            <w:tcW w:w="1296" w:type="dxa"/>
            <w:vAlign w:val="center"/>
          </w:tcPr>
          <w:p w14:paraId="36D58FE0">
            <w:pPr>
              <w:autoSpaceDE/>
              <w:autoSpaceDN/>
              <w:adjustRightInd/>
              <w:jc w:val="center"/>
              <w:textAlignment w:val="auto"/>
              <w:rPr>
                <w:rFonts w:ascii="宋体" w:hAnsi="宋体"/>
                <w:color w:val="auto"/>
                <w:szCs w:val="24"/>
              </w:rPr>
            </w:pPr>
            <w:r>
              <w:rPr>
                <w:rFonts w:hint="eastAsia" w:ascii="宋体" w:hAnsi="宋体"/>
                <w:color w:val="auto"/>
                <w:szCs w:val="24"/>
              </w:rPr>
              <w:t>AI(100V)</w:t>
            </w:r>
          </w:p>
        </w:tc>
        <w:tc>
          <w:tcPr>
            <w:tcW w:w="4233" w:type="dxa"/>
            <w:vAlign w:val="center"/>
          </w:tcPr>
          <w:p w14:paraId="39FD5BBE">
            <w:pPr>
              <w:autoSpaceDE/>
              <w:autoSpaceDN/>
              <w:adjustRightInd/>
              <w:jc w:val="center"/>
              <w:textAlignment w:val="auto"/>
              <w:rPr>
                <w:rFonts w:ascii="宋体" w:hAnsi="宋体"/>
                <w:color w:val="auto"/>
                <w:szCs w:val="24"/>
                <w:lang w:eastAsia="zh-CN"/>
              </w:rPr>
            </w:pPr>
            <w:r>
              <w:rPr>
                <w:rFonts w:hint="eastAsia" w:ascii="宋体" w:hAnsi="宋体"/>
                <w:color w:val="auto"/>
                <w:szCs w:val="24"/>
                <w:lang w:eastAsia="zh-CN"/>
              </w:rPr>
              <w:t>网侧或考核点PT电压信号提供给SVG</w:t>
            </w:r>
          </w:p>
        </w:tc>
        <w:tc>
          <w:tcPr>
            <w:tcW w:w="1559" w:type="dxa"/>
            <w:vAlign w:val="center"/>
          </w:tcPr>
          <w:p w14:paraId="47B559EB">
            <w:pPr>
              <w:autoSpaceDE/>
              <w:autoSpaceDN/>
              <w:adjustRightInd/>
              <w:jc w:val="center"/>
              <w:textAlignment w:val="auto"/>
              <w:rPr>
                <w:rFonts w:ascii="宋体" w:hAnsi="宋体"/>
                <w:color w:val="auto"/>
                <w:szCs w:val="24"/>
              </w:rPr>
            </w:pPr>
            <w:r>
              <w:rPr>
                <w:rFonts w:hint="eastAsia" w:ascii="宋体" w:hAnsi="宋体"/>
                <w:color w:val="auto"/>
                <w:szCs w:val="24"/>
              </w:rPr>
              <w:t>精度0.2级</w:t>
            </w:r>
          </w:p>
        </w:tc>
      </w:tr>
    </w:tbl>
    <w:p w14:paraId="3839B3FC">
      <w:pPr>
        <w:widowControl w:val="0"/>
        <w:numPr>
          <w:ilvl w:val="0"/>
          <w:numId w:val="11"/>
        </w:numPr>
        <w:kinsoku/>
        <w:topLinePunct/>
        <w:autoSpaceDE/>
        <w:autoSpaceDN/>
        <w:spacing w:line="52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SVG与现场的通讯接口</w:t>
      </w:r>
    </w:p>
    <w:p w14:paraId="18BA976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SVG控制系统采用以太网通讯方式，以太网通讯协议为IEC/104。</w:t>
      </w:r>
    </w:p>
    <w:p w14:paraId="494FF2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通讯接口：</w:t>
      </w:r>
    </w:p>
    <w:tbl>
      <w:tblPr>
        <w:tblStyle w:val="6"/>
        <w:tblW w:w="935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1275"/>
        <w:gridCol w:w="2552"/>
        <w:gridCol w:w="2835"/>
        <w:gridCol w:w="1984"/>
      </w:tblGrid>
      <w:tr w14:paraId="4CE53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710" w:type="dxa"/>
            <w:vAlign w:val="center"/>
          </w:tcPr>
          <w:p w14:paraId="1B042686">
            <w:pPr>
              <w:autoSpaceDE/>
              <w:autoSpaceDN/>
              <w:adjustRightInd/>
              <w:jc w:val="center"/>
              <w:textAlignment w:val="auto"/>
              <w:rPr>
                <w:rFonts w:ascii="宋体" w:hAnsi="宋体"/>
                <w:color w:val="auto"/>
                <w:szCs w:val="24"/>
              </w:rPr>
            </w:pPr>
            <w:r>
              <w:rPr>
                <w:rFonts w:hint="eastAsia" w:ascii="宋体" w:hAnsi="宋体"/>
                <w:color w:val="auto"/>
                <w:szCs w:val="24"/>
              </w:rPr>
              <w:t>序号</w:t>
            </w:r>
          </w:p>
        </w:tc>
        <w:tc>
          <w:tcPr>
            <w:tcW w:w="1275" w:type="dxa"/>
            <w:vAlign w:val="center"/>
          </w:tcPr>
          <w:p w14:paraId="09469675">
            <w:pPr>
              <w:autoSpaceDE/>
              <w:autoSpaceDN/>
              <w:adjustRightInd/>
              <w:jc w:val="center"/>
              <w:textAlignment w:val="auto"/>
              <w:rPr>
                <w:rFonts w:ascii="宋体" w:hAnsi="宋体"/>
                <w:color w:val="auto"/>
                <w:szCs w:val="24"/>
              </w:rPr>
            </w:pPr>
            <w:r>
              <w:rPr>
                <w:rFonts w:hint="eastAsia" w:ascii="宋体" w:hAnsi="宋体"/>
                <w:color w:val="auto"/>
                <w:szCs w:val="24"/>
              </w:rPr>
              <w:t>名称</w:t>
            </w:r>
          </w:p>
        </w:tc>
        <w:tc>
          <w:tcPr>
            <w:tcW w:w="2552" w:type="dxa"/>
            <w:vAlign w:val="center"/>
          </w:tcPr>
          <w:p w14:paraId="7406CDAF">
            <w:pPr>
              <w:autoSpaceDE/>
              <w:autoSpaceDN/>
              <w:adjustRightInd/>
              <w:jc w:val="center"/>
              <w:textAlignment w:val="auto"/>
              <w:rPr>
                <w:rFonts w:ascii="宋体" w:hAnsi="宋体"/>
                <w:color w:val="auto"/>
                <w:szCs w:val="24"/>
              </w:rPr>
            </w:pPr>
            <w:r>
              <w:rPr>
                <w:rFonts w:hint="eastAsia" w:ascii="宋体" w:hAnsi="宋体"/>
                <w:color w:val="auto"/>
                <w:szCs w:val="24"/>
              </w:rPr>
              <w:t>性质</w:t>
            </w:r>
          </w:p>
        </w:tc>
        <w:tc>
          <w:tcPr>
            <w:tcW w:w="2835" w:type="dxa"/>
            <w:vAlign w:val="center"/>
          </w:tcPr>
          <w:p w14:paraId="440DA1D8">
            <w:pPr>
              <w:autoSpaceDE/>
              <w:autoSpaceDN/>
              <w:adjustRightInd/>
              <w:jc w:val="center"/>
              <w:textAlignment w:val="auto"/>
              <w:rPr>
                <w:rFonts w:ascii="宋体" w:hAnsi="宋体"/>
                <w:color w:val="auto"/>
                <w:szCs w:val="24"/>
              </w:rPr>
            </w:pPr>
            <w:r>
              <w:rPr>
                <w:rFonts w:hint="eastAsia" w:ascii="宋体" w:hAnsi="宋体"/>
                <w:color w:val="auto"/>
                <w:szCs w:val="24"/>
              </w:rPr>
              <w:t>说明</w:t>
            </w:r>
          </w:p>
        </w:tc>
        <w:tc>
          <w:tcPr>
            <w:tcW w:w="1984" w:type="dxa"/>
            <w:vAlign w:val="center"/>
          </w:tcPr>
          <w:p w14:paraId="5A06AB44">
            <w:pPr>
              <w:autoSpaceDE/>
              <w:autoSpaceDN/>
              <w:adjustRightInd/>
              <w:jc w:val="center"/>
              <w:textAlignment w:val="auto"/>
              <w:rPr>
                <w:rFonts w:ascii="宋体" w:hAnsi="宋体"/>
                <w:color w:val="auto"/>
                <w:szCs w:val="24"/>
              </w:rPr>
            </w:pPr>
            <w:r>
              <w:rPr>
                <w:rFonts w:hint="eastAsia" w:ascii="宋体" w:hAnsi="宋体"/>
                <w:color w:val="auto"/>
                <w:szCs w:val="24"/>
              </w:rPr>
              <w:t>备注</w:t>
            </w:r>
          </w:p>
        </w:tc>
      </w:tr>
      <w:tr w14:paraId="52BBE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710" w:type="dxa"/>
            <w:vAlign w:val="center"/>
          </w:tcPr>
          <w:p w14:paraId="1109CD8E">
            <w:pPr>
              <w:autoSpaceDE/>
              <w:autoSpaceDN/>
              <w:adjustRightInd/>
              <w:jc w:val="center"/>
              <w:textAlignment w:val="auto"/>
              <w:rPr>
                <w:rFonts w:ascii="宋体" w:hAnsi="宋体"/>
                <w:color w:val="auto"/>
                <w:szCs w:val="24"/>
              </w:rPr>
            </w:pPr>
            <w:r>
              <w:rPr>
                <w:rFonts w:hint="eastAsia" w:ascii="宋体" w:hAnsi="宋体"/>
                <w:color w:val="auto"/>
                <w:szCs w:val="24"/>
              </w:rPr>
              <w:t>1</w:t>
            </w:r>
          </w:p>
        </w:tc>
        <w:tc>
          <w:tcPr>
            <w:tcW w:w="1275" w:type="dxa"/>
            <w:vAlign w:val="center"/>
          </w:tcPr>
          <w:p w14:paraId="401F82F9">
            <w:pPr>
              <w:autoSpaceDE/>
              <w:autoSpaceDN/>
              <w:adjustRightInd/>
              <w:jc w:val="center"/>
              <w:textAlignment w:val="auto"/>
              <w:rPr>
                <w:rFonts w:ascii="宋体" w:hAnsi="宋体"/>
                <w:color w:val="auto"/>
                <w:szCs w:val="24"/>
              </w:rPr>
            </w:pPr>
            <w:r>
              <w:rPr>
                <w:rFonts w:hint="eastAsia" w:ascii="宋体" w:hAnsi="宋体"/>
                <w:color w:val="auto"/>
                <w:szCs w:val="24"/>
              </w:rPr>
              <w:t>通讯接口</w:t>
            </w:r>
          </w:p>
        </w:tc>
        <w:tc>
          <w:tcPr>
            <w:tcW w:w="2552" w:type="dxa"/>
            <w:vAlign w:val="center"/>
          </w:tcPr>
          <w:p w14:paraId="13F061C0">
            <w:pPr>
              <w:autoSpaceDE/>
              <w:autoSpaceDN/>
              <w:adjustRightInd/>
              <w:jc w:val="center"/>
              <w:textAlignment w:val="auto"/>
              <w:rPr>
                <w:rFonts w:ascii="宋体" w:hAnsi="宋体"/>
                <w:color w:val="auto"/>
                <w:szCs w:val="24"/>
              </w:rPr>
            </w:pPr>
            <w:r>
              <w:rPr>
                <w:rFonts w:hint="eastAsia" w:ascii="宋体" w:hAnsi="宋体"/>
                <w:color w:val="auto"/>
                <w:szCs w:val="24"/>
              </w:rPr>
              <w:t>以太网+RS485各一路</w:t>
            </w:r>
          </w:p>
        </w:tc>
        <w:tc>
          <w:tcPr>
            <w:tcW w:w="2835" w:type="dxa"/>
            <w:vAlign w:val="center"/>
          </w:tcPr>
          <w:p w14:paraId="07E2CDAF">
            <w:pPr>
              <w:autoSpaceDE/>
              <w:autoSpaceDN/>
              <w:adjustRightInd/>
              <w:jc w:val="center"/>
              <w:textAlignment w:val="auto"/>
              <w:rPr>
                <w:rFonts w:ascii="宋体" w:hAnsi="宋体"/>
                <w:color w:val="auto"/>
                <w:szCs w:val="24"/>
              </w:rPr>
            </w:pPr>
            <w:r>
              <w:rPr>
                <w:rFonts w:hint="eastAsia" w:ascii="宋体" w:hAnsi="宋体"/>
                <w:color w:val="auto"/>
                <w:szCs w:val="24"/>
              </w:rPr>
              <w:t>与现场通讯的接口</w:t>
            </w:r>
          </w:p>
        </w:tc>
        <w:tc>
          <w:tcPr>
            <w:tcW w:w="1984" w:type="dxa"/>
            <w:vAlign w:val="center"/>
          </w:tcPr>
          <w:p w14:paraId="22F95844">
            <w:pPr>
              <w:autoSpaceDE/>
              <w:autoSpaceDN/>
              <w:adjustRightInd/>
              <w:jc w:val="center"/>
              <w:textAlignment w:val="auto"/>
              <w:rPr>
                <w:rFonts w:ascii="宋体" w:hAnsi="宋体"/>
                <w:color w:val="auto"/>
                <w:szCs w:val="24"/>
              </w:rPr>
            </w:pPr>
            <w:r>
              <w:rPr>
                <w:rFonts w:hint="eastAsia" w:ascii="宋体" w:hAnsi="宋体"/>
                <w:color w:val="auto"/>
                <w:szCs w:val="24"/>
              </w:rPr>
              <w:t>IEC/104协议</w:t>
            </w:r>
          </w:p>
        </w:tc>
      </w:tr>
    </w:tbl>
    <w:p w14:paraId="0E142A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40" w:name="_Toc14177"/>
      <w:r>
        <w:rPr>
          <w:rFonts w:hint="eastAsia" w:ascii="宋体" w:hAnsi="宋体" w:eastAsia="宋体" w:cs="宋体"/>
          <w:color w:val="auto"/>
          <w:sz w:val="24"/>
          <w:szCs w:val="24"/>
          <w:lang w:eastAsia="zh-CN"/>
        </w:rPr>
        <w:t>3)成套SVG补偿装置技术要求</w:t>
      </w:r>
      <w:bookmarkEnd w:id="1739"/>
      <w:bookmarkEnd w:id="1740"/>
    </w:p>
    <w:p w14:paraId="36A3BC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SVG装置在规定的工作条件和负载条件下运行，并按使用说明书进行安装和维护，预期寿命应不少于20年，质保期1年，自项目竣工验收之日起开始计算。</w:t>
      </w:r>
    </w:p>
    <w:p w14:paraId="42850E6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bookmarkStart w:id="1741" w:name="_Toc451783302"/>
      <w:bookmarkStart w:id="1742" w:name="_Toc451783179"/>
      <w:bookmarkStart w:id="1743" w:name="_Toc27507"/>
      <w:bookmarkStart w:id="1744" w:name="_Toc405217667"/>
      <w:bookmarkStart w:id="1745" w:name="_Toc29138"/>
      <w:bookmarkStart w:id="1746" w:name="_Toc25479"/>
      <w:bookmarkStart w:id="1747" w:name="_Toc23095"/>
      <w:bookmarkStart w:id="1748" w:name="_Toc325578044"/>
      <w:bookmarkStart w:id="1749" w:name="_Toc451783423"/>
      <w:bookmarkStart w:id="1750" w:name="_Toc451960002"/>
      <w:bookmarkStart w:id="1751" w:name="_Toc313948182"/>
      <w:bookmarkStart w:id="1752" w:name="_Toc451959619"/>
      <w:bookmarkStart w:id="1753" w:name="_Toc353961364"/>
      <w:r>
        <w:rPr>
          <w:rFonts w:hint="eastAsia" w:ascii="宋体" w:hAnsi="宋体" w:eastAsia="宋体" w:cs="宋体"/>
          <w:color w:val="auto"/>
          <w:sz w:val="24"/>
          <w:szCs w:val="24"/>
        </w:rPr>
        <w:t>性能保证值表</w:t>
      </w:r>
      <w:bookmarkEnd w:id="1741"/>
      <w:bookmarkEnd w:id="1742"/>
      <w:bookmarkEnd w:id="1743"/>
      <w:bookmarkEnd w:id="1744"/>
      <w:bookmarkEnd w:id="1745"/>
      <w:bookmarkEnd w:id="1746"/>
      <w:bookmarkEnd w:id="1747"/>
      <w:bookmarkEnd w:id="1748"/>
      <w:bookmarkEnd w:id="1749"/>
      <w:bookmarkEnd w:id="1750"/>
      <w:bookmarkEnd w:id="1751"/>
      <w:bookmarkEnd w:id="1752"/>
      <w:bookmarkEnd w:id="1753"/>
    </w:p>
    <w:tbl>
      <w:tblPr>
        <w:tblStyle w:val="6"/>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top w:w="0" w:type="dxa"/>
          <w:left w:w="108" w:type="dxa"/>
          <w:bottom w:w="0" w:type="dxa"/>
          <w:right w:w="108" w:type="dxa"/>
        </w:tblCellMar>
      </w:tblPr>
      <w:tblGrid>
        <w:gridCol w:w="909"/>
        <w:gridCol w:w="2790"/>
        <w:gridCol w:w="3891"/>
        <w:gridCol w:w="932"/>
      </w:tblGrid>
      <w:tr w14:paraId="61D0E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blHeader/>
        </w:trPr>
        <w:tc>
          <w:tcPr>
            <w:tcW w:w="909" w:type="dxa"/>
            <w:tcBorders>
              <w:top w:val="single" w:color="000000" w:sz="4" w:space="0"/>
              <w:left w:val="single" w:color="000000" w:sz="4" w:space="0"/>
              <w:bottom w:val="single" w:color="000000" w:sz="4" w:space="0"/>
              <w:right w:val="single" w:color="000000" w:sz="6" w:space="0"/>
            </w:tcBorders>
            <w:vAlign w:val="center"/>
          </w:tcPr>
          <w:p w14:paraId="0586E442">
            <w:pPr>
              <w:autoSpaceDE/>
              <w:autoSpaceDN/>
              <w:adjustRightInd/>
              <w:jc w:val="center"/>
              <w:textAlignment w:val="auto"/>
              <w:rPr>
                <w:rFonts w:ascii="宋体" w:hAnsi="宋体" w:cs="宋体"/>
                <w:color w:val="auto"/>
                <w:kern w:val="2"/>
              </w:rPr>
            </w:pPr>
            <w:r>
              <w:rPr>
                <w:rFonts w:hint="eastAsia" w:ascii="宋体" w:hAnsi="宋体" w:cs="宋体"/>
                <w:color w:val="auto"/>
                <w:kern w:val="2"/>
              </w:rPr>
              <w:t>序号</w:t>
            </w:r>
          </w:p>
        </w:tc>
        <w:tc>
          <w:tcPr>
            <w:tcW w:w="2790" w:type="dxa"/>
            <w:tcBorders>
              <w:top w:val="single" w:color="000000" w:sz="4" w:space="0"/>
              <w:left w:val="single" w:color="000000" w:sz="6" w:space="0"/>
              <w:bottom w:val="single" w:color="000000" w:sz="4" w:space="0"/>
              <w:right w:val="single" w:color="000000" w:sz="6" w:space="0"/>
            </w:tcBorders>
            <w:vAlign w:val="center"/>
          </w:tcPr>
          <w:p w14:paraId="22EF7319">
            <w:pPr>
              <w:autoSpaceDE/>
              <w:autoSpaceDN/>
              <w:adjustRightInd/>
              <w:jc w:val="center"/>
              <w:textAlignment w:val="auto"/>
              <w:rPr>
                <w:rFonts w:ascii="宋体" w:hAnsi="宋体" w:cs="宋体"/>
                <w:color w:val="auto"/>
                <w:kern w:val="2"/>
              </w:rPr>
            </w:pPr>
            <w:r>
              <w:rPr>
                <w:rFonts w:hint="eastAsia" w:ascii="宋体" w:hAnsi="宋体" w:cs="宋体"/>
                <w:color w:val="auto"/>
                <w:kern w:val="2"/>
              </w:rPr>
              <w:t>项目</w:t>
            </w:r>
          </w:p>
        </w:tc>
        <w:tc>
          <w:tcPr>
            <w:tcW w:w="3891" w:type="dxa"/>
            <w:tcBorders>
              <w:top w:val="single" w:color="000000" w:sz="4" w:space="0"/>
              <w:left w:val="single" w:color="000000" w:sz="6" w:space="0"/>
              <w:bottom w:val="single" w:color="000000" w:sz="4" w:space="0"/>
              <w:right w:val="single" w:color="000000" w:sz="4" w:space="0"/>
            </w:tcBorders>
            <w:vAlign w:val="center"/>
          </w:tcPr>
          <w:p w14:paraId="571F459F">
            <w:pPr>
              <w:autoSpaceDE/>
              <w:autoSpaceDN/>
              <w:adjustRightInd/>
              <w:jc w:val="center"/>
              <w:textAlignment w:val="auto"/>
              <w:rPr>
                <w:rFonts w:ascii="宋体" w:hAnsi="宋体" w:cs="宋体"/>
                <w:color w:val="auto"/>
                <w:kern w:val="2"/>
              </w:rPr>
            </w:pPr>
            <w:r>
              <w:rPr>
                <w:rFonts w:hint="eastAsia" w:ascii="宋体" w:hAnsi="宋体" w:cs="宋体"/>
                <w:color w:val="auto"/>
                <w:kern w:val="2"/>
              </w:rPr>
              <w:t>保证值</w:t>
            </w:r>
          </w:p>
        </w:tc>
        <w:tc>
          <w:tcPr>
            <w:tcW w:w="932" w:type="dxa"/>
            <w:tcBorders>
              <w:top w:val="single" w:color="000000" w:sz="4" w:space="0"/>
              <w:left w:val="single" w:color="000000" w:sz="6" w:space="0"/>
              <w:bottom w:val="single" w:color="000000" w:sz="4" w:space="0"/>
              <w:right w:val="single" w:color="000000" w:sz="4" w:space="0"/>
            </w:tcBorders>
            <w:vAlign w:val="center"/>
          </w:tcPr>
          <w:p w14:paraId="65BEBFCC">
            <w:pPr>
              <w:autoSpaceDE/>
              <w:autoSpaceDN/>
              <w:adjustRightInd/>
              <w:jc w:val="center"/>
              <w:textAlignment w:val="auto"/>
              <w:rPr>
                <w:rFonts w:ascii="宋体" w:hAnsi="宋体" w:cs="宋体"/>
                <w:color w:val="auto"/>
                <w:kern w:val="2"/>
              </w:rPr>
            </w:pPr>
            <w:r>
              <w:rPr>
                <w:rFonts w:hint="eastAsia" w:ascii="宋体" w:hAnsi="宋体" w:cs="宋体"/>
                <w:color w:val="auto"/>
                <w:kern w:val="2"/>
              </w:rPr>
              <w:t>备注</w:t>
            </w:r>
          </w:p>
        </w:tc>
      </w:tr>
      <w:tr w14:paraId="059EC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269C840A">
            <w:pPr>
              <w:autoSpaceDE/>
              <w:autoSpaceDN/>
              <w:adjustRightInd/>
              <w:jc w:val="center"/>
              <w:textAlignment w:val="auto"/>
              <w:rPr>
                <w:rFonts w:ascii="宋体" w:hAnsi="宋体" w:cs="宋体"/>
                <w:color w:val="auto"/>
                <w:kern w:val="2"/>
              </w:rPr>
            </w:pPr>
            <w:r>
              <w:rPr>
                <w:rFonts w:hint="eastAsia" w:ascii="宋体" w:hAnsi="宋体" w:cs="宋体"/>
                <w:color w:val="auto"/>
                <w:kern w:val="2"/>
              </w:rPr>
              <w:t>1</w:t>
            </w:r>
          </w:p>
        </w:tc>
        <w:tc>
          <w:tcPr>
            <w:tcW w:w="2790" w:type="dxa"/>
            <w:tcBorders>
              <w:top w:val="single" w:color="000000" w:sz="4" w:space="0"/>
              <w:left w:val="single" w:color="000000" w:sz="6" w:space="0"/>
              <w:bottom w:val="single" w:color="000000" w:sz="4" w:space="0"/>
              <w:right w:val="single" w:color="000000" w:sz="6" w:space="0"/>
            </w:tcBorders>
            <w:vAlign w:val="center"/>
          </w:tcPr>
          <w:p w14:paraId="5D8247DA">
            <w:pPr>
              <w:autoSpaceDE/>
              <w:autoSpaceDN/>
              <w:adjustRightInd/>
              <w:jc w:val="center"/>
              <w:textAlignment w:val="auto"/>
              <w:rPr>
                <w:rFonts w:ascii="宋体" w:hAnsi="宋体" w:cs="宋体"/>
                <w:color w:val="auto"/>
                <w:kern w:val="2"/>
              </w:rPr>
            </w:pPr>
            <w:r>
              <w:rPr>
                <w:rFonts w:hint="eastAsia" w:ascii="宋体" w:hAnsi="宋体" w:cs="宋体"/>
                <w:color w:val="auto"/>
                <w:kern w:val="2"/>
              </w:rPr>
              <w:t>额定电压</w:t>
            </w:r>
          </w:p>
        </w:tc>
        <w:tc>
          <w:tcPr>
            <w:tcW w:w="3891" w:type="dxa"/>
            <w:tcBorders>
              <w:top w:val="single" w:color="000000" w:sz="4" w:space="0"/>
              <w:left w:val="single" w:color="000000" w:sz="6" w:space="0"/>
              <w:bottom w:val="single" w:color="000000" w:sz="4" w:space="0"/>
              <w:right w:val="single" w:color="000000" w:sz="4" w:space="0"/>
            </w:tcBorders>
            <w:vAlign w:val="center"/>
          </w:tcPr>
          <w:p w14:paraId="6A0B5653">
            <w:pPr>
              <w:autoSpaceDE/>
              <w:autoSpaceDN/>
              <w:adjustRightInd/>
              <w:jc w:val="center"/>
              <w:textAlignment w:val="auto"/>
              <w:rPr>
                <w:rFonts w:ascii="宋体" w:hAnsi="宋体" w:cs="宋体"/>
                <w:color w:val="auto"/>
                <w:kern w:val="2"/>
              </w:rPr>
            </w:pPr>
            <w:r>
              <w:rPr>
                <w:rFonts w:hint="eastAsia" w:ascii="宋体" w:hAnsi="宋体" w:cs="宋体"/>
                <w:color w:val="auto"/>
                <w:kern w:val="2"/>
              </w:rPr>
              <w:t>10kV</w:t>
            </w:r>
          </w:p>
        </w:tc>
        <w:tc>
          <w:tcPr>
            <w:tcW w:w="932" w:type="dxa"/>
            <w:tcBorders>
              <w:top w:val="single" w:color="000000" w:sz="4" w:space="0"/>
              <w:left w:val="single" w:color="000000" w:sz="6" w:space="0"/>
              <w:bottom w:val="single" w:color="000000" w:sz="4" w:space="0"/>
              <w:right w:val="single" w:color="000000" w:sz="4" w:space="0"/>
            </w:tcBorders>
            <w:vAlign w:val="center"/>
          </w:tcPr>
          <w:p w14:paraId="4FFBB014">
            <w:pPr>
              <w:autoSpaceDE/>
              <w:autoSpaceDN/>
              <w:adjustRightInd/>
              <w:jc w:val="center"/>
              <w:textAlignment w:val="auto"/>
              <w:rPr>
                <w:rFonts w:ascii="宋体" w:hAnsi="宋体" w:cs="宋体"/>
                <w:color w:val="auto"/>
                <w:kern w:val="2"/>
              </w:rPr>
            </w:pPr>
          </w:p>
        </w:tc>
      </w:tr>
      <w:tr w14:paraId="21354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376224CF">
            <w:pPr>
              <w:autoSpaceDE/>
              <w:autoSpaceDN/>
              <w:adjustRightInd/>
              <w:jc w:val="center"/>
              <w:textAlignment w:val="auto"/>
              <w:rPr>
                <w:rFonts w:ascii="宋体" w:hAnsi="宋体" w:cs="宋体"/>
                <w:color w:val="auto"/>
                <w:kern w:val="2"/>
              </w:rPr>
            </w:pPr>
            <w:r>
              <w:rPr>
                <w:rFonts w:hint="eastAsia" w:ascii="宋体" w:hAnsi="宋体" w:cs="宋体"/>
                <w:color w:val="auto"/>
                <w:kern w:val="2"/>
              </w:rPr>
              <w:t>2</w:t>
            </w:r>
          </w:p>
        </w:tc>
        <w:tc>
          <w:tcPr>
            <w:tcW w:w="2790" w:type="dxa"/>
            <w:tcBorders>
              <w:top w:val="single" w:color="000000" w:sz="4" w:space="0"/>
              <w:left w:val="single" w:color="000000" w:sz="6" w:space="0"/>
              <w:bottom w:val="single" w:color="000000" w:sz="4" w:space="0"/>
              <w:right w:val="single" w:color="000000" w:sz="6" w:space="0"/>
            </w:tcBorders>
            <w:vAlign w:val="center"/>
          </w:tcPr>
          <w:p w14:paraId="4B2AF00A">
            <w:pPr>
              <w:autoSpaceDE/>
              <w:autoSpaceDN/>
              <w:adjustRightInd/>
              <w:jc w:val="center"/>
              <w:textAlignment w:val="auto"/>
              <w:rPr>
                <w:rFonts w:ascii="宋体" w:hAnsi="宋体" w:cs="宋体"/>
                <w:color w:val="auto"/>
                <w:kern w:val="2"/>
              </w:rPr>
            </w:pPr>
            <w:r>
              <w:rPr>
                <w:rFonts w:hint="eastAsia" w:ascii="宋体" w:hAnsi="宋体" w:cs="宋体"/>
                <w:color w:val="auto"/>
                <w:kern w:val="2"/>
              </w:rPr>
              <w:t>输出电压</w:t>
            </w:r>
          </w:p>
        </w:tc>
        <w:tc>
          <w:tcPr>
            <w:tcW w:w="3891" w:type="dxa"/>
            <w:tcBorders>
              <w:top w:val="single" w:color="000000" w:sz="4" w:space="0"/>
              <w:left w:val="single" w:color="000000" w:sz="6" w:space="0"/>
              <w:bottom w:val="single" w:color="000000" w:sz="4" w:space="0"/>
              <w:right w:val="single" w:color="000000" w:sz="4" w:space="0"/>
            </w:tcBorders>
            <w:vAlign w:val="center"/>
          </w:tcPr>
          <w:p w14:paraId="49479D7A">
            <w:pPr>
              <w:autoSpaceDE/>
              <w:autoSpaceDN/>
              <w:adjustRightInd/>
              <w:jc w:val="center"/>
              <w:textAlignment w:val="auto"/>
              <w:rPr>
                <w:rFonts w:ascii="宋体" w:hAnsi="宋体" w:cs="宋体"/>
                <w:color w:val="auto"/>
                <w:kern w:val="2"/>
              </w:rPr>
            </w:pPr>
            <w:r>
              <w:rPr>
                <w:rFonts w:hint="eastAsia" w:ascii="宋体" w:hAnsi="宋体" w:cs="宋体"/>
                <w:color w:val="auto"/>
                <w:kern w:val="2"/>
              </w:rPr>
              <w:t>10kV</w:t>
            </w:r>
          </w:p>
        </w:tc>
        <w:tc>
          <w:tcPr>
            <w:tcW w:w="932" w:type="dxa"/>
            <w:tcBorders>
              <w:top w:val="single" w:color="000000" w:sz="4" w:space="0"/>
              <w:left w:val="single" w:color="000000" w:sz="6" w:space="0"/>
              <w:bottom w:val="single" w:color="000000" w:sz="4" w:space="0"/>
              <w:right w:val="single" w:color="000000" w:sz="4" w:space="0"/>
            </w:tcBorders>
            <w:vAlign w:val="center"/>
          </w:tcPr>
          <w:p w14:paraId="5B713619">
            <w:pPr>
              <w:autoSpaceDE/>
              <w:autoSpaceDN/>
              <w:adjustRightInd/>
              <w:jc w:val="center"/>
              <w:textAlignment w:val="auto"/>
              <w:rPr>
                <w:rFonts w:ascii="宋体" w:hAnsi="宋体" w:cs="宋体"/>
                <w:color w:val="auto"/>
                <w:kern w:val="2"/>
              </w:rPr>
            </w:pPr>
          </w:p>
        </w:tc>
      </w:tr>
      <w:tr w14:paraId="57142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134C191B">
            <w:pPr>
              <w:autoSpaceDE/>
              <w:autoSpaceDN/>
              <w:adjustRightInd/>
              <w:jc w:val="center"/>
              <w:textAlignment w:val="auto"/>
              <w:rPr>
                <w:rFonts w:ascii="宋体" w:hAnsi="宋体" w:cs="宋体"/>
                <w:color w:val="auto"/>
                <w:kern w:val="2"/>
              </w:rPr>
            </w:pPr>
            <w:r>
              <w:rPr>
                <w:rFonts w:hint="eastAsia" w:ascii="宋体" w:hAnsi="宋体" w:cs="宋体"/>
                <w:color w:val="auto"/>
                <w:kern w:val="2"/>
              </w:rPr>
              <w:t>3</w:t>
            </w:r>
          </w:p>
        </w:tc>
        <w:tc>
          <w:tcPr>
            <w:tcW w:w="2790" w:type="dxa"/>
            <w:tcBorders>
              <w:top w:val="single" w:color="000000" w:sz="4" w:space="0"/>
              <w:left w:val="single" w:color="000000" w:sz="6" w:space="0"/>
              <w:bottom w:val="single" w:color="000000" w:sz="4" w:space="0"/>
              <w:right w:val="single" w:color="000000" w:sz="6" w:space="0"/>
            </w:tcBorders>
            <w:vAlign w:val="center"/>
          </w:tcPr>
          <w:p w14:paraId="696BD901">
            <w:pPr>
              <w:autoSpaceDE/>
              <w:autoSpaceDN/>
              <w:adjustRightInd/>
              <w:jc w:val="center"/>
              <w:textAlignment w:val="auto"/>
              <w:rPr>
                <w:rFonts w:ascii="宋体" w:hAnsi="宋体" w:cs="宋体"/>
                <w:color w:val="auto"/>
                <w:kern w:val="2"/>
              </w:rPr>
            </w:pPr>
            <w:r>
              <w:rPr>
                <w:rFonts w:hint="eastAsia" w:ascii="宋体" w:hAnsi="宋体" w:cs="宋体"/>
                <w:color w:val="auto"/>
                <w:kern w:val="2"/>
              </w:rPr>
              <w:t>额定频率</w:t>
            </w:r>
          </w:p>
        </w:tc>
        <w:tc>
          <w:tcPr>
            <w:tcW w:w="3891" w:type="dxa"/>
            <w:tcBorders>
              <w:top w:val="single" w:color="000000" w:sz="4" w:space="0"/>
              <w:left w:val="single" w:color="000000" w:sz="6" w:space="0"/>
              <w:bottom w:val="single" w:color="000000" w:sz="4" w:space="0"/>
              <w:right w:val="single" w:color="000000" w:sz="4" w:space="0"/>
            </w:tcBorders>
            <w:vAlign w:val="center"/>
          </w:tcPr>
          <w:p w14:paraId="6970DE0B">
            <w:pPr>
              <w:autoSpaceDE/>
              <w:autoSpaceDN/>
              <w:adjustRightInd/>
              <w:jc w:val="center"/>
              <w:textAlignment w:val="auto"/>
              <w:rPr>
                <w:rFonts w:ascii="宋体" w:hAnsi="宋体" w:cs="宋体"/>
                <w:color w:val="auto"/>
                <w:kern w:val="2"/>
              </w:rPr>
            </w:pPr>
            <w:r>
              <w:rPr>
                <w:rFonts w:hint="eastAsia" w:ascii="宋体" w:hAnsi="宋体" w:cs="宋体"/>
                <w:color w:val="auto"/>
                <w:kern w:val="2"/>
              </w:rPr>
              <w:t>50Hz</w:t>
            </w:r>
          </w:p>
        </w:tc>
        <w:tc>
          <w:tcPr>
            <w:tcW w:w="932" w:type="dxa"/>
            <w:tcBorders>
              <w:top w:val="single" w:color="000000" w:sz="4" w:space="0"/>
              <w:left w:val="single" w:color="000000" w:sz="6" w:space="0"/>
              <w:bottom w:val="single" w:color="000000" w:sz="4" w:space="0"/>
              <w:right w:val="single" w:color="000000" w:sz="4" w:space="0"/>
            </w:tcBorders>
            <w:vAlign w:val="center"/>
          </w:tcPr>
          <w:p w14:paraId="2A032E4E">
            <w:pPr>
              <w:autoSpaceDE/>
              <w:autoSpaceDN/>
              <w:adjustRightInd/>
              <w:jc w:val="center"/>
              <w:textAlignment w:val="auto"/>
              <w:rPr>
                <w:rFonts w:ascii="宋体" w:hAnsi="宋体" w:cs="宋体"/>
                <w:color w:val="auto"/>
                <w:kern w:val="2"/>
              </w:rPr>
            </w:pPr>
          </w:p>
        </w:tc>
      </w:tr>
      <w:tr w14:paraId="59366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3AFAFD8B">
            <w:pPr>
              <w:autoSpaceDE/>
              <w:autoSpaceDN/>
              <w:adjustRightInd/>
              <w:jc w:val="center"/>
              <w:textAlignment w:val="auto"/>
              <w:rPr>
                <w:rFonts w:ascii="宋体" w:hAnsi="宋体" w:cs="宋体"/>
                <w:color w:val="auto"/>
                <w:kern w:val="2"/>
              </w:rPr>
            </w:pPr>
            <w:r>
              <w:rPr>
                <w:rFonts w:hint="eastAsia" w:ascii="宋体" w:hAnsi="宋体" w:cs="宋体"/>
                <w:color w:val="auto"/>
                <w:kern w:val="2"/>
              </w:rPr>
              <w:t>4</w:t>
            </w:r>
          </w:p>
        </w:tc>
        <w:tc>
          <w:tcPr>
            <w:tcW w:w="2790" w:type="dxa"/>
            <w:tcBorders>
              <w:top w:val="single" w:color="000000" w:sz="4" w:space="0"/>
              <w:left w:val="single" w:color="000000" w:sz="6" w:space="0"/>
              <w:bottom w:val="single" w:color="000000" w:sz="4" w:space="0"/>
              <w:right w:val="single" w:color="000000" w:sz="6" w:space="0"/>
            </w:tcBorders>
            <w:vAlign w:val="center"/>
          </w:tcPr>
          <w:p w14:paraId="49DD8FB1">
            <w:pPr>
              <w:autoSpaceDE/>
              <w:autoSpaceDN/>
              <w:adjustRightInd/>
              <w:jc w:val="center"/>
              <w:textAlignment w:val="auto"/>
              <w:rPr>
                <w:rFonts w:ascii="宋体" w:hAnsi="宋体" w:cs="宋体"/>
                <w:color w:val="auto"/>
                <w:kern w:val="2"/>
              </w:rPr>
            </w:pPr>
            <w:r>
              <w:rPr>
                <w:rFonts w:hint="eastAsia" w:ascii="宋体" w:hAnsi="宋体" w:cs="宋体"/>
                <w:color w:val="auto"/>
                <w:kern w:val="2"/>
              </w:rPr>
              <w:t>额定容量</w:t>
            </w:r>
          </w:p>
        </w:tc>
        <w:tc>
          <w:tcPr>
            <w:tcW w:w="3891" w:type="dxa"/>
            <w:tcBorders>
              <w:top w:val="single" w:color="000000" w:sz="4" w:space="0"/>
              <w:left w:val="single" w:color="000000" w:sz="6" w:space="0"/>
              <w:bottom w:val="single" w:color="000000" w:sz="4" w:space="0"/>
              <w:right w:val="single" w:color="000000" w:sz="4" w:space="0"/>
            </w:tcBorders>
            <w:vAlign w:val="center"/>
          </w:tcPr>
          <w:p w14:paraId="53DE5D1B">
            <w:pPr>
              <w:autoSpaceDE/>
              <w:autoSpaceDN/>
              <w:adjustRightInd/>
              <w:jc w:val="center"/>
              <w:textAlignment w:val="auto"/>
              <w:rPr>
                <w:rFonts w:ascii="宋体" w:hAnsi="宋体" w:cs="宋体"/>
                <w:color w:val="auto"/>
                <w:kern w:val="2"/>
              </w:rPr>
            </w:pPr>
            <w:r>
              <w:rPr>
                <w:rFonts w:hint="eastAsia" w:ascii="宋体" w:hAnsi="宋体" w:cs="宋体"/>
                <w:color w:val="auto"/>
                <w:kern w:val="2"/>
              </w:rPr>
              <w:t>容性3500Kvar-感性3500Kvar</w:t>
            </w:r>
          </w:p>
        </w:tc>
        <w:tc>
          <w:tcPr>
            <w:tcW w:w="932" w:type="dxa"/>
            <w:tcBorders>
              <w:top w:val="single" w:color="000000" w:sz="4" w:space="0"/>
              <w:left w:val="single" w:color="000000" w:sz="6" w:space="0"/>
              <w:bottom w:val="single" w:color="000000" w:sz="4" w:space="0"/>
              <w:right w:val="single" w:color="000000" w:sz="4" w:space="0"/>
            </w:tcBorders>
            <w:vAlign w:val="center"/>
          </w:tcPr>
          <w:p w14:paraId="14A6AC8D">
            <w:pPr>
              <w:autoSpaceDE/>
              <w:autoSpaceDN/>
              <w:adjustRightInd/>
              <w:jc w:val="center"/>
              <w:textAlignment w:val="auto"/>
              <w:rPr>
                <w:rFonts w:ascii="宋体" w:hAnsi="宋体" w:cs="宋体"/>
                <w:color w:val="auto"/>
                <w:kern w:val="2"/>
              </w:rPr>
            </w:pPr>
          </w:p>
        </w:tc>
      </w:tr>
      <w:tr w14:paraId="2BF9F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17CAA646">
            <w:pPr>
              <w:autoSpaceDE/>
              <w:autoSpaceDN/>
              <w:adjustRightInd/>
              <w:jc w:val="center"/>
              <w:textAlignment w:val="auto"/>
              <w:rPr>
                <w:rFonts w:ascii="宋体" w:hAnsi="宋体" w:cs="宋体"/>
                <w:color w:val="auto"/>
                <w:kern w:val="2"/>
              </w:rPr>
            </w:pPr>
            <w:r>
              <w:rPr>
                <w:rFonts w:hint="eastAsia" w:ascii="宋体" w:hAnsi="宋体" w:cs="宋体"/>
                <w:color w:val="auto"/>
                <w:kern w:val="2"/>
              </w:rPr>
              <w:t>5</w:t>
            </w:r>
          </w:p>
        </w:tc>
        <w:tc>
          <w:tcPr>
            <w:tcW w:w="2790" w:type="dxa"/>
            <w:tcBorders>
              <w:top w:val="single" w:color="000000" w:sz="4" w:space="0"/>
              <w:left w:val="single" w:color="000000" w:sz="6" w:space="0"/>
              <w:bottom w:val="single" w:color="000000" w:sz="4" w:space="0"/>
              <w:right w:val="single" w:color="000000" w:sz="6" w:space="0"/>
            </w:tcBorders>
            <w:vAlign w:val="center"/>
          </w:tcPr>
          <w:p w14:paraId="54598F2A">
            <w:pPr>
              <w:autoSpaceDE/>
              <w:autoSpaceDN/>
              <w:adjustRightInd/>
              <w:jc w:val="center"/>
              <w:textAlignment w:val="auto"/>
              <w:rPr>
                <w:rFonts w:ascii="宋体" w:hAnsi="宋体" w:cs="宋体"/>
                <w:color w:val="auto"/>
                <w:kern w:val="2"/>
              </w:rPr>
            </w:pPr>
            <w:r>
              <w:rPr>
                <w:rFonts w:hint="eastAsia" w:ascii="宋体" w:hAnsi="宋体" w:cs="宋体"/>
                <w:color w:val="auto"/>
                <w:kern w:val="2"/>
              </w:rPr>
              <w:t>功率元件</w:t>
            </w:r>
          </w:p>
        </w:tc>
        <w:tc>
          <w:tcPr>
            <w:tcW w:w="3891" w:type="dxa"/>
            <w:tcBorders>
              <w:top w:val="single" w:color="000000" w:sz="4" w:space="0"/>
              <w:left w:val="single" w:color="000000" w:sz="6" w:space="0"/>
              <w:bottom w:val="single" w:color="000000" w:sz="4" w:space="0"/>
              <w:right w:val="single" w:color="000000" w:sz="4" w:space="0"/>
            </w:tcBorders>
            <w:vAlign w:val="center"/>
          </w:tcPr>
          <w:p w14:paraId="0AD61FE5">
            <w:pPr>
              <w:autoSpaceDE/>
              <w:autoSpaceDN/>
              <w:adjustRightInd/>
              <w:jc w:val="center"/>
              <w:textAlignment w:val="auto"/>
              <w:rPr>
                <w:rFonts w:ascii="宋体" w:hAnsi="宋体" w:cs="宋体"/>
                <w:color w:val="auto"/>
                <w:kern w:val="2"/>
              </w:rPr>
            </w:pPr>
            <w:r>
              <w:rPr>
                <w:rFonts w:hint="eastAsia" w:ascii="宋体" w:hAnsi="宋体" w:cs="宋体"/>
                <w:color w:val="auto"/>
                <w:kern w:val="2"/>
              </w:rPr>
              <w:t>IGBT</w:t>
            </w:r>
          </w:p>
        </w:tc>
        <w:tc>
          <w:tcPr>
            <w:tcW w:w="932" w:type="dxa"/>
            <w:tcBorders>
              <w:top w:val="single" w:color="000000" w:sz="4" w:space="0"/>
              <w:left w:val="single" w:color="000000" w:sz="6" w:space="0"/>
              <w:bottom w:val="single" w:color="000000" w:sz="4" w:space="0"/>
              <w:right w:val="single" w:color="000000" w:sz="4" w:space="0"/>
            </w:tcBorders>
            <w:vAlign w:val="center"/>
          </w:tcPr>
          <w:p w14:paraId="53923B4E">
            <w:pPr>
              <w:autoSpaceDE/>
              <w:autoSpaceDN/>
              <w:adjustRightInd/>
              <w:jc w:val="center"/>
              <w:textAlignment w:val="auto"/>
              <w:rPr>
                <w:rFonts w:ascii="宋体" w:hAnsi="宋体" w:cs="宋体"/>
                <w:color w:val="auto"/>
                <w:kern w:val="2"/>
              </w:rPr>
            </w:pPr>
          </w:p>
        </w:tc>
      </w:tr>
      <w:tr w14:paraId="5ACE1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2ECAD12D">
            <w:pPr>
              <w:autoSpaceDE/>
              <w:autoSpaceDN/>
              <w:adjustRightInd/>
              <w:jc w:val="center"/>
              <w:textAlignment w:val="auto"/>
              <w:rPr>
                <w:rFonts w:ascii="宋体" w:hAnsi="宋体" w:cs="宋体"/>
                <w:color w:val="auto"/>
                <w:kern w:val="2"/>
              </w:rPr>
            </w:pPr>
            <w:r>
              <w:rPr>
                <w:rFonts w:hint="eastAsia" w:ascii="宋体" w:hAnsi="宋体" w:cs="宋体"/>
                <w:color w:val="auto"/>
                <w:kern w:val="2"/>
              </w:rPr>
              <w:t>6</w:t>
            </w:r>
          </w:p>
        </w:tc>
        <w:tc>
          <w:tcPr>
            <w:tcW w:w="2790" w:type="dxa"/>
            <w:tcBorders>
              <w:top w:val="single" w:color="000000" w:sz="4" w:space="0"/>
              <w:left w:val="single" w:color="000000" w:sz="6" w:space="0"/>
              <w:bottom w:val="single" w:color="000000" w:sz="4" w:space="0"/>
              <w:right w:val="single" w:color="000000" w:sz="6" w:space="0"/>
            </w:tcBorders>
            <w:vAlign w:val="center"/>
          </w:tcPr>
          <w:p w14:paraId="35C7887C">
            <w:pPr>
              <w:autoSpaceDE/>
              <w:autoSpaceDN/>
              <w:adjustRightInd/>
              <w:jc w:val="center"/>
              <w:textAlignment w:val="auto"/>
              <w:rPr>
                <w:rFonts w:ascii="宋体" w:hAnsi="宋体" w:cs="宋体"/>
                <w:color w:val="auto"/>
                <w:kern w:val="2"/>
              </w:rPr>
            </w:pPr>
            <w:r>
              <w:rPr>
                <w:rFonts w:hint="eastAsia" w:ascii="宋体" w:hAnsi="宋体" w:cs="宋体"/>
                <w:color w:val="auto"/>
                <w:kern w:val="2"/>
              </w:rPr>
              <w:t>冷却方式</w:t>
            </w:r>
          </w:p>
        </w:tc>
        <w:tc>
          <w:tcPr>
            <w:tcW w:w="3891" w:type="dxa"/>
            <w:tcBorders>
              <w:top w:val="single" w:color="000000" w:sz="4" w:space="0"/>
              <w:left w:val="single" w:color="000000" w:sz="6" w:space="0"/>
              <w:bottom w:val="single" w:color="000000" w:sz="4" w:space="0"/>
              <w:right w:val="single" w:color="000000" w:sz="4" w:space="0"/>
            </w:tcBorders>
            <w:vAlign w:val="center"/>
          </w:tcPr>
          <w:p w14:paraId="42CBCE6B">
            <w:pPr>
              <w:autoSpaceDE/>
              <w:autoSpaceDN/>
              <w:adjustRightInd/>
              <w:jc w:val="center"/>
              <w:textAlignment w:val="auto"/>
              <w:rPr>
                <w:rFonts w:ascii="宋体" w:hAnsi="宋体" w:cs="宋体"/>
                <w:color w:val="auto"/>
                <w:kern w:val="2"/>
              </w:rPr>
            </w:pPr>
            <w:r>
              <w:rPr>
                <w:rFonts w:hint="eastAsia" w:ascii="宋体" w:hAnsi="宋体" w:cs="宋体"/>
                <w:color w:val="auto"/>
                <w:kern w:val="2"/>
              </w:rPr>
              <w:t>风冷</w:t>
            </w:r>
          </w:p>
        </w:tc>
        <w:tc>
          <w:tcPr>
            <w:tcW w:w="932" w:type="dxa"/>
            <w:tcBorders>
              <w:top w:val="single" w:color="000000" w:sz="4" w:space="0"/>
              <w:left w:val="single" w:color="000000" w:sz="6" w:space="0"/>
              <w:bottom w:val="single" w:color="000000" w:sz="4" w:space="0"/>
              <w:right w:val="single" w:color="000000" w:sz="4" w:space="0"/>
            </w:tcBorders>
            <w:vAlign w:val="center"/>
          </w:tcPr>
          <w:p w14:paraId="1FBAC2C1">
            <w:pPr>
              <w:autoSpaceDE/>
              <w:autoSpaceDN/>
              <w:adjustRightInd/>
              <w:jc w:val="center"/>
              <w:textAlignment w:val="auto"/>
              <w:rPr>
                <w:rFonts w:ascii="宋体" w:hAnsi="宋体" w:cs="宋体"/>
                <w:color w:val="auto"/>
                <w:kern w:val="2"/>
              </w:rPr>
            </w:pPr>
          </w:p>
        </w:tc>
      </w:tr>
      <w:tr w14:paraId="668D8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30735F1F">
            <w:pPr>
              <w:autoSpaceDE/>
              <w:autoSpaceDN/>
              <w:adjustRightInd/>
              <w:jc w:val="center"/>
              <w:textAlignment w:val="auto"/>
              <w:rPr>
                <w:rFonts w:ascii="宋体" w:hAnsi="宋体" w:cs="宋体"/>
                <w:color w:val="auto"/>
                <w:kern w:val="2"/>
              </w:rPr>
            </w:pPr>
            <w:r>
              <w:rPr>
                <w:rFonts w:hint="eastAsia" w:ascii="宋体" w:hAnsi="宋体" w:cs="宋体"/>
                <w:color w:val="auto"/>
                <w:kern w:val="2"/>
              </w:rPr>
              <w:t>7</w:t>
            </w:r>
          </w:p>
        </w:tc>
        <w:tc>
          <w:tcPr>
            <w:tcW w:w="2790" w:type="dxa"/>
            <w:tcBorders>
              <w:top w:val="single" w:color="000000" w:sz="4" w:space="0"/>
              <w:left w:val="single" w:color="000000" w:sz="6" w:space="0"/>
              <w:bottom w:val="single" w:color="000000" w:sz="4" w:space="0"/>
              <w:right w:val="single" w:color="000000" w:sz="6" w:space="0"/>
            </w:tcBorders>
            <w:vAlign w:val="center"/>
          </w:tcPr>
          <w:p w14:paraId="55150253">
            <w:pPr>
              <w:autoSpaceDE/>
              <w:autoSpaceDN/>
              <w:adjustRightInd/>
              <w:jc w:val="center"/>
              <w:textAlignment w:val="auto"/>
              <w:rPr>
                <w:rFonts w:ascii="宋体" w:hAnsi="宋体" w:cs="宋体"/>
                <w:color w:val="auto"/>
                <w:kern w:val="2"/>
              </w:rPr>
            </w:pPr>
            <w:r>
              <w:rPr>
                <w:rFonts w:hint="eastAsia" w:ascii="宋体" w:hAnsi="宋体" w:cs="宋体"/>
                <w:color w:val="auto"/>
                <w:kern w:val="2"/>
              </w:rPr>
              <w:t>链节取能方式</w:t>
            </w:r>
          </w:p>
        </w:tc>
        <w:tc>
          <w:tcPr>
            <w:tcW w:w="3891" w:type="dxa"/>
            <w:tcBorders>
              <w:top w:val="single" w:color="000000" w:sz="4" w:space="0"/>
              <w:left w:val="single" w:color="000000" w:sz="6" w:space="0"/>
              <w:bottom w:val="single" w:color="000000" w:sz="4" w:space="0"/>
              <w:right w:val="single" w:color="000000" w:sz="4" w:space="0"/>
            </w:tcBorders>
            <w:vAlign w:val="center"/>
          </w:tcPr>
          <w:p w14:paraId="220710BB">
            <w:pPr>
              <w:autoSpaceDE/>
              <w:autoSpaceDN/>
              <w:adjustRightInd/>
              <w:jc w:val="center"/>
              <w:textAlignment w:val="auto"/>
              <w:rPr>
                <w:rFonts w:ascii="宋体" w:hAnsi="宋体" w:cs="宋体"/>
                <w:color w:val="auto"/>
                <w:kern w:val="2"/>
              </w:rPr>
            </w:pPr>
            <w:r>
              <w:rPr>
                <w:rFonts w:hint="eastAsia" w:ascii="宋体" w:hAnsi="宋体" w:cs="宋体"/>
                <w:color w:val="auto"/>
                <w:kern w:val="2"/>
              </w:rPr>
              <w:t>12单元级联式每相</w:t>
            </w:r>
          </w:p>
        </w:tc>
        <w:tc>
          <w:tcPr>
            <w:tcW w:w="932" w:type="dxa"/>
            <w:tcBorders>
              <w:top w:val="single" w:color="000000" w:sz="4" w:space="0"/>
              <w:left w:val="single" w:color="000000" w:sz="6" w:space="0"/>
              <w:bottom w:val="single" w:color="000000" w:sz="4" w:space="0"/>
              <w:right w:val="single" w:color="000000" w:sz="4" w:space="0"/>
            </w:tcBorders>
            <w:vAlign w:val="center"/>
          </w:tcPr>
          <w:p w14:paraId="0419A2F7">
            <w:pPr>
              <w:autoSpaceDE/>
              <w:autoSpaceDN/>
              <w:adjustRightInd/>
              <w:jc w:val="center"/>
              <w:textAlignment w:val="auto"/>
              <w:rPr>
                <w:rFonts w:ascii="宋体" w:hAnsi="宋体" w:cs="宋体"/>
                <w:color w:val="auto"/>
                <w:kern w:val="2"/>
              </w:rPr>
            </w:pPr>
          </w:p>
        </w:tc>
      </w:tr>
      <w:tr w14:paraId="5427B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5E760208">
            <w:pPr>
              <w:autoSpaceDE/>
              <w:autoSpaceDN/>
              <w:adjustRightInd/>
              <w:jc w:val="center"/>
              <w:textAlignment w:val="auto"/>
              <w:rPr>
                <w:rFonts w:ascii="宋体" w:hAnsi="宋体" w:cs="宋体"/>
                <w:color w:val="auto"/>
                <w:kern w:val="2"/>
              </w:rPr>
            </w:pPr>
            <w:r>
              <w:rPr>
                <w:rFonts w:hint="eastAsia" w:ascii="宋体" w:hAnsi="宋体" w:cs="宋体"/>
                <w:color w:val="auto"/>
                <w:kern w:val="2"/>
              </w:rPr>
              <w:t>8</w:t>
            </w:r>
          </w:p>
        </w:tc>
        <w:tc>
          <w:tcPr>
            <w:tcW w:w="2790" w:type="dxa"/>
            <w:tcBorders>
              <w:top w:val="single" w:color="000000" w:sz="4" w:space="0"/>
              <w:left w:val="single" w:color="000000" w:sz="6" w:space="0"/>
              <w:bottom w:val="single" w:color="000000" w:sz="4" w:space="0"/>
              <w:right w:val="single" w:color="000000" w:sz="6" w:space="0"/>
            </w:tcBorders>
            <w:vAlign w:val="center"/>
          </w:tcPr>
          <w:p w14:paraId="7038C7CB">
            <w:pPr>
              <w:autoSpaceDE/>
              <w:autoSpaceDN/>
              <w:adjustRightInd/>
              <w:jc w:val="center"/>
              <w:textAlignment w:val="auto"/>
              <w:rPr>
                <w:rFonts w:ascii="宋体" w:hAnsi="宋体" w:cs="宋体"/>
                <w:color w:val="auto"/>
                <w:kern w:val="2"/>
              </w:rPr>
            </w:pPr>
            <w:r>
              <w:rPr>
                <w:rFonts w:hint="eastAsia" w:ascii="宋体" w:hAnsi="宋体" w:cs="宋体"/>
                <w:color w:val="auto"/>
                <w:kern w:val="2"/>
              </w:rPr>
              <w:t>满载时噪声水平(2m 处)</w:t>
            </w:r>
          </w:p>
        </w:tc>
        <w:tc>
          <w:tcPr>
            <w:tcW w:w="3891" w:type="dxa"/>
            <w:tcBorders>
              <w:top w:val="single" w:color="000000" w:sz="4" w:space="0"/>
              <w:left w:val="single" w:color="000000" w:sz="6" w:space="0"/>
              <w:bottom w:val="single" w:color="000000" w:sz="4" w:space="0"/>
              <w:right w:val="single" w:color="000000" w:sz="4" w:space="0"/>
            </w:tcBorders>
            <w:vAlign w:val="center"/>
          </w:tcPr>
          <w:p w14:paraId="4D559D3F">
            <w:pPr>
              <w:autoSpaceDE/>
              <w:autoSpaceDN/>
              <w:adjustRightInd/>
              <w:jc w:val="center"/>
              <w:textAlignment w:val="auto"/>
              <w:rPr>
                <w:rFonts w:ascii="宋体" w:hAnsi="宋体" w:cs="宋体"/>
                <w:color w:val="auto"/>
                <w:kern w:val="2"/>
              </w:rPr>
            </w:pPr>
            <w:r>
              <w:rPr>
                <w:rFonts w:hint="eastAsia" w:ascii="宋体" w:hAnsi="宋体" w:cs="宋体"/>
                <w:color w:val="auto"/>
                <w:kern w:val="2"/>
              </w:rPr>
              <w:t>≤80</w:t>
            </w:r>
          </w:p>
        </w:tc>
        <w:tc>
          <w:tcPr>
            <w:tcW w:w="932" w:type="dxa"/>
            <w:tcBorders>
              <w:top w:val="single" w:color="000000" w:sz="4" w:space="0"/>
              <w:left w:val="single" w:color="000000" w:sz="6" w:space="0"/>
              <w:bottom w:val="single" w:color="000000" w:sz="4" w:space="0"/>
              <w:right w:val="single" w:color="000000" w:sz="4" w:space="0"/>
            </w:tcBorders>
            <w:vAlign w:val="center"/>
          </w:tcPr>
          <w:p w14:paraId="687E664E">
            <w:pPr>
              <w:autoSpaceDE/>
              <w:autoSpaceDN/>
              <w:adjustRightInd/>
              <w:jc w:val="center"/>
              <w:textAlignment w:val="auto"/>
              <w:rPr>
                <w:rFonts w:ascii="宋体" w:hAnsi="宋体" w:cs="宋体"/>
                <w:color w:val="auto"/>
                <w:kern w:val="2"/>
              </w:rPr>
            </w:pPr>
          </w:p>
        </w:tc>
      </w:tr>
      <w:tr w14:paraId="77EF5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12D130CD">
            <w:pPr>
              <w:autoSpaceDE/>
              <w:autoSpaceDN/>
              <w:adjustRightInd/>
              <w:jc w:val="center"/>
              <w:textAlignment w:val="auto"/>
              <w:rPr>
                <w:rFonts w:ascii="宋体" w:hAnsi="宋体" w:cs="宋体"/>
                <w:color w:val="auto"/>
                <w:kern w:val="2"/>
              </w:rPr>
            </w:pPr>
            <w:r>
              <w:rPr>
                <w:rFonts w:hint="eastAsia" w:ascii="宋体" w:hAnsi="宋体" w:cs="宋体"/>
                <w:color w:val="auto"/>
                <w:kern w:val="2"/>
              </w:rPr>
              <w:t>9</w:t>
            </w:r>
          </w:p>
        </w:tc>
        <w:tc>
          <w:tcPr>
            <w:tcW w:w="2790" w:type="dxa"/>
            <w:tcBorders>
              <w:top w:val="single" w:color="000000" w:sz="4" w:space="0"/>
              <w:left w:val="single" w:color="000000" w:sz="6" w:space="0"/>
              <w:bottom w:val="single" w:color="000000" w:sz="4" w:space="0"/>
              <w:right w:val="single" w:color="000000" w:sz="6" w:space="0"/>
            </w:tcBorders>
            <w:vAlign w:val="center"/>
          </w:tcPr>
          <w:p w14:paraId="7E49E084">
            <w:pPr>
              <w:autoSpaceDE/>
              <w:autoSpaceDN/>
              <w:adjustRightInd/>
              <w:jc w:val="center"/>
              <w:textAlignment w:val="auto"/>
              <w:rPr>
                <w:rFonts w:ascii="宋体" w:hAnsi="宋体" w:cs="宋体"/>
                <w:color w:val="auto"/>
                <w:kern w:val="2"/>
              </w:rPr>
            </w:pPr>
            <w:r>
              <w:rPr>
                <w:rFonts w:hint="eastAsia" w:ascii="宋体" w:hAnsi="宋体" w:cs="宋体"/>
                <w:color w:val="auto"/>
                <w:kern w:val="2"/>
              </w:rPr>
              <w:t>功耗</w:t>
            </w:r>
          </w:p>
        </w:tc>
        <w:tc>
          <w:tcPr>
            <w:tcW w:w="3891" w:type="dxa"/>
            <w:tcBorders>
              <w:top w:val="single" w:color="000000" w:sz="4" w:space="0"/>
              <w:left w:val="single" w:color="000000" w:sz="6" w:space="0"/>
              <w:bottom w:val="single" w:color="000000" w:sz="4" w:space="0"/>
              <w:right w:val="single" w:color="000000" w:sz="4" w:space="0"/>
            </w:tcBorders>
            <w:vAlign w:val="center"/>
          </w:tcPr>
          <w:p w14:paraId="7337230F">
            <w:pPr>
              <w:autoSpaceDE/>
              <w:autoSpaceDN/>
              <w:adjustRightInd/>
              <w:jc w:val="center"/>
              <w:textAlignment w:val="auto"/>
              <w:rPr>
                <w:rFonts w:ascii="宋体" w:hAnsi="宋体" w:cs="宋体"/>
                <w:color w:val="auto"/>
                <w:kern w:val="2"/>
              </w:rPr>
            </w:pPr>
            <w:r>
              <w:rPr>
                <w:rFonts w:hint="eastAsia" w:ascii="宋体" w:hAnsi="宋体" w:cs="宋体"/>
                <w:color w:val="auto"/>
                <w:kern w:val="2"/>
              </w:rPr>
              <w:t>≤0.8%</w:t>
            </w:r>
          </w:p>
        </w:tc>
        <w:tc>
          <w:tcPr>
            <w:tcW w:w="932" w:type="dxa"/>
            <w:tcBorders>
              <w:top w:val="single" w:color="000000" w:sz="4" w:space="0"/>
              <w:left w:val="single" w:color="000000" w:sz="6" w:space="0"/>
              <w:bottom w:val="single" w:color="000000" w:sz="4" w:space="0"/>
              <w:right w:val="single" w:color="000000" w:sz="4" w:space="0"/>
            </w:tcBorders>
            <w:vAlign w:val="center"/>
          </w:tcPr>
          <w:p w14:paraId="2548E113">
            <w:pPr>
              <w:autoSpaceDE/>
              <w:autoSpaceDN/>
              <w:adjustRightInd/>
              <w:jc w:val="center"/>
              <w:textAlignment w:val="auto"/>
              <w:rPr>
                <w:rFonts w:ascii="宋体" w:hAnsi="宋体" w:cs="宋体"/>
                <w:color w:val="auto"/>
                <w:kern w:val="2"/>
              </w:rPr>
            </w:pPr>
          </w:p>
        </w:tc>
      </w:tr>
      <w:tr w14:paraId="28C48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349C405B">
            <w:pPr>
              <w:autoSpaceDE/>
              <w:autoSpaceDN/>
              <w:adjustRightInd/>
              <w:jc w:val="center"/>
              <w:textAlignment w:val="auto"/>
              <w:rPr>
                <w:rFonts w:ascii="宋体" w:hAnsi="宋体" w:cs="宋体"/>
                <w:color w:val="auto"/>
                <w:kern w:val="2"/>
              </w:rPr>
            </w:pPr>
            <w:r>
              <w:rPr>
                <w:rFonts w:hint="eastAsia" w:ascii="宋体" w:hAnsi="宋体" w:cs="宋体"/>
                <w:color w:val="auto"/>
                <w:kern w:val="2"/>
              </w:rPr>
              <w:t>10</w:t>
            </w:r>
          </w:p>
        </w:tc>
        <w:tc>
          <w:tcPr>
            <w:tcW w:w="2790" w:type="dxa"/>
            <w:tcBorders>
              <w:top w:val="single" w:color="000000" w:sz="4" w:space="0"/>
              <w:left w:val="single" w:color="000000" w:sz="6" w:space="0"/>
              <w:bottom w:val="single" w:color="000000" w:sz="4" w:space="0"/>
              <w:right w:val="single" w:color="000000" w:sz="6" w:space="0"/>
            </w:tcBorders>
            <w:vAlign w:val="center"/>
          </w:tcPr>
          <w:p w14:paraId="695DB481">
            <w:pPr>
              <w:autoSpaceDE/>
              <w:autoSpaceDN/>
              <w:adjustRightInd/>
              <w:jc w:val="center"/>
              <w:textAlignment w:val="auto"/>
              <w:rPr>
                <w:rFonts w:ascii="宋体" w:hAnsi="宋体" w:cs="宋体"/>
                <w:color w:val="auto"/>
                <w:kern w:val="2"/>
              </w:rPr>
            </w:pPr>
            <w:r>
              <w:rPr>
                <w:rFonts w:hint="eastAsia" w:ascii="宋体" w:hAnsi="宋体" w:cs="宋体"/>
                <w:color w:val="auto"/>
                <w:kern w:val="2"/>
              </w:rPr>
              <w:t>安装方式</w:t>
            </w:r>
          </w:p>
        </w:tc>
        <w:tc>
          <w:tcPr>
            <w:tcW w:w="3891" w:type="dxa"/>
            <w:tcBorders>
              <w:top w:val="single" w:color="000000" w:sz="4" w:space="0"/>
              <w:left w:val="single" w:color="000000" w:sz="6" w:space="0"/>
              <w:bottom w:val="single" w:color="000000" w:sz="4" w:space="0"/>
              <w:right w:val="single" w:color="000000" w:sz="4" w:space="0"/>
            </w:tcBorders>
            <w:vAlign w:val="center"/>
          </w:tcPr>
          <w:p w14:paraId="4AE2A3B6">
            <w:pPr>
              <w:autoSpaceDE/>
              <w:autoSpaceDN/>
              <w:adjustRightInd/>
              <w:jc w:val="center"/>
              <w:textAlignment w:val="auto"/>
              <w:rPr>
                <w:rFonts w:ascii="宋体" w:hAnsi="宋体" w:cs="宋体"/>
                <w:color w:val="auto"/>
                <w:kern w:val="2"/>
              </w:rPr>
            </w:pPr>
            <w:r>
              <w:rPr>
                <w:rFonts w:hint="eastAsia" w:ascii="宋体" w:hAnsi="宋体" w:cs="宋体"/>
                <w:color w:val="auto"/>
                <w:kern w:val="2"/>
              </w:rPr>
              <w:t>户内</w:t>
            </w:r>
          </w:p>
        </w:tc>
        <w:tc>
          <w:tcPr>
            <w:tcW w:w="932" w:type="dxa"/>
            <w:tcBorders>
              <w:top w:val="single" w:color="000000" w:sz="4" w:space="0"/>
              <w:left w:val="single" w:color="000000" w:sz="6" w:space="0"/>
              <w:bottom w:val="single" w:color="000000" w:sz="4" w:space="0"/>
              <w:right w:val="single" w:color="000000" w:sz="4" w:space="0"/>
            </w:tcBorders>
            <w:vAlign w:val="center"/>
          </w:tcPr>
          <w:p w14:paraId="73AF57B4">
            <w:pPr>
              <w:autoSpaceDE/>
              <w:autoSpaceDN/>
              <w:adjustRightInd/>
              <w:jc w:val="center"/>
              <w:textAlignment w:val="auto"/>
              <w:rPr>
                <w:rFonts w:ascii="宋体" w:hAnsi="宋体" w:cs="宋体"/>
                <w:color w:val="auto"/>
                <w:kern w:val="2"/>
              </w:rPr>
            </w:pPr>
          </w:p>
        </w:tc>
      </w:tr>
      <w:tr w14:paraId="26B21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163DD726">
            <w:pPr>
              <w:autoSpaceDE/>
              <w:autoSpaceDN/>
              <w:adjustRightInd/>
              <w:jc w:val="center"/>
              <w:textAlignment w:val="auto"/>
              <w:rPr>
                <w:rFonts w:ascii="宋体" w:hAnsi="宋体" w:cs="宋体"/>
                <w:color w:val="auto"/>
                <w:kern w:val="2"/>
              </w:rPr>
            </w:pPr>
            <w:r>
              <w:rPr>
                <w:rFonts w:hint="eastAsia" w:ascii="宋体" w:hAnsi="宋体" w:cs="宋体"/>
                <w:color w:val="auto"/>
                <w:kern w:val="2"/>
              </w:rPr>
              <w:t>11</w:t>
            </w:r>
          </w:p>
        </w:tc>
        <w:tc>
          <w:tcPr>
            <w:tcW w:w="2790" w:type="dxa"/>
            <w:tcBorders>
              <w:top w:val="single" w:color="000000" w:sz="4" w:space="0"/>
              <w:left w:val="single" w:color="000000" w:sz="6" w:space="0"/>
              <w:bottom w:val="single" w:color="000000" w:sz="4" w:space="0"/>
              <w:right w:val="single" w:color="000000" w:sz="6" w:space="0"/>
            </w:tcBorders>
            <w:vAlign w:val="center"/>
          </w:tcPr>
          <w:p w14:paraId="5D737869">
            <w:pPr>
              <w:autoSpaceDE/>
              <w:autoSpaceDN/>
              <w:adjustRightInd/>
              <w:jc w:val="center"/>
              <w:textAlignment w:val="auto"/>
              <w:rPr>
                <w:rFonts w:ascii="宋体" w:hAnsi="宋体" w:cs="宋体"/>
                <w:color w:val="auto"/>
                <w:kern w:val="2"/>
              </w:rPr>
            </w:pPr>
            <w:r>
              <w:rPr>
                <w:rFonts w:hint="eastAsia" w:ascii="宋体" w:hAnsi="宋体"/>
                <w:color w:val="auto"/>
                <w:kern w:val="2"/>
              </w:rPr>
              <w:t>操作键盘</w:t>
            </w:r>
          </w:p>
        </w:tc>
        <w:tc>
          <w:tcPr>
            <w:tcW w:w="3891" w:type="dxa"/>
            <w:tcBorders>
              <w:top w:val="single" w:color="000000" w:sz="4" w:space="0"/>
              <w:left w:val="single" w:color="000000" w:sz="6" w:space="0"/>
              <w:bottom w:val="single" w:color="000000" w:sz="4" w:space="0"/>
              <w:right w:val="single" w:color="000000" w:sz="4" w:space="0"/>
            </w:tcBorders>
            <w:vAlign w:val="center"/>
          </w:tcPr>
          <w:p w14:paraId="31DF4969">
            <w:pPr>
              <w:autoSpaceDE/>
              <w:autoSpaceDN/>
              <w:adjustRightInd/>
              <w:jc w:val="center"/>
              <w:textAlignment w:val="auto"/>
              <w:rPr>
                <w:rFonts w:ascii="宋体" w:hAnsi="宋体" w:cs="宋体"/>
                <w:color w:val="auto"/>
                <w:kern w:val="2"/>
              </w:rPr>
            </w:pPr>
            <w:r>
              <w:rPr>
                <w:rFonts w:hint="eastAsia" w:ascii="宋体" w:hAnsi="宋体" w:cs="宋体"/>
                <w:color w:val="auto"/>
                <w:kern w:val="2"/>
              </w:rPr>
              <w:t>触摸式标准操作面板</w:t>
            </w:r>
          </w:p>
        </w:tc>
        <w:tc>
          <w:tcPr>
            <w:tcW w:w="932" w:type="dxa"/>
            <w:tcBorders>
              <w:top w:val="single" w:color="000000" w:sz="4" w:space="0"/>
              <w:left w:val="single" w:color="000000" w:sz="6" w:space="0"/>
              <w:bottom w:val="single" w:color="000000" w:sz="4" w:space="0"/>
              <w:right w:val="single" w:color="000000" w:sz="4" w:space="0"/>
            </w:tcBorders>
            <w:vAlign w:val="center"/>
          </w:tcPr>
          <w:p w14:paraId="5E0FFEE2">
            <w:pPr>
              <w:autoSpaceDE/>
              <w:autoSpaceDN/>
              <w:adjustRightInd/>
              <w:jc w:val="center"/>
              <w:textAlignment w:val="auto"/>
              <w:rPr>
                <w:rFonts w:ascii="宋体" w:hAnsi="宋体" w:cs="宋体"/>
                <w:color w:val="auto"/>
                <w:kern w:val="2"/>
              </w:rPr>
            </w:pPr>
          </w:p>
        </w:tc>
      </w:tr>
      <w:tr w14:paraId="7AD8F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1944ABBD">
            <w:pPr>
              <w:autoSpaceDE/>
              <w:autoSpaceDN/>
              <w:adjustRightInd/>
              <w:jc w:val="center"/>
              <w:textAlignment w:val="auto"/>
              <w:rPr>
                <w:rFonts w:ascii="宋体" w:hAnsi="宋体" w:cs="宋体"/>
                <w:color w:val="auto"/>
                <w:kern w:val="2"/>
              </w:rPr>
            </w:pPr>
            <w:r>
              <w:rPr>
                <w:rFonts w:hint="eastAsia" w:ascii="宋体" w:hAnsi="宋体" w:cs="宋体"/>
                <w:color w:val="auto"/>
                <w:kern w:val="2"/>
              </w:rPr>
              <w:t>12</w:t>
            </w:r>
          </w:p>
        </w:tc>
        <w:tc>
          <w:tcPr>
            <w:tcW w:w="2790" w:type="dxa"/>
            <w:tcBorders>
              <w:top w:val="single" w:color="000000" w:sz="4" w:space="0"/>
              <w:left w:val="single" w:color="000000" w:sz="6" w:space="0"/>
              <w:bottom w:val="single" w:color="000000" w:sz="4" w:space="0"/>
              <w:right w:val="single" w:color="000000" w:sz="6" w:space="0"/>
            </w:tcBorders>
            <w:vAlign w:val="center"/>
          </w:tcPr>
          <w:p w14:paraId="7A7D267B">
            <w:pPr>
              <w:autoSpaceDE/>
              <w:autoSpaceDN/>
              <w:adjustRightInd/>
              <w:jc w:val="center"/>
              <w:textAlignment w:val="auto"/>
              <w:rPr>
                <w:rFonts w:ascii="宋体" w:hAnsi="宋体" w:cs="宋体"/>
                <w:color w:val="auto"/>
                <w:kern w:val="2"/>
              </w:rPr>
            </w:pPr>
            <w:r>
              <w:rPr>
                <w:rFonts w:hint="eastAsia" w:ascii="宋体" w:hAnsi="宋体"/>
                <w:color w:val="auto"/>
                <w:kern w:val="2"/>
              </w:rPr>
              <w:t>界面语言</w:t>
            </w:r>
          </w:p>
        </w:tc>
        <w:tc>
          <w:tcPr>
            <w:tcW w:w="3891" w:type="dxa"/>
            <w:tcBorders>
              <w:top w:val="single" w:color="000000" w:sz="4" w:space="0"/>
              <w:left w:val="single" w:color="000000" w:sz="6" w:space="0"/>
              <w:bottom w:val="single" w:color="000000" w:sz="4" w:space="0"/>
              <w:right w:val="single" w:color="000000" w:sz="4" w:space="0"/>
            </w:tcBorders>
            <w:vAlign w:val="center"/>
          </w:tcPr>
          <w:p w14:paraId="2E3A3F0F">
            <w:pPr>
              <w:autoSpaceDE/>
              <w:autoSpaceDN/>
              <w:adjustRightInd/>
              <w:jc w:val="center"/>
              <w:textAlignment w:val="auto"/>
              <w:rPr>
                <w:rFonts w:ascii="宋体" w:hAnsi="宋体" w:cs="宋体"/>
                <w:color w:val="auto"/>
                <w:kern w:val="2"/>
              </w:rPr>
            </w:pPr>
            <w:r>
              <w:rPr>
                <w:rFonts w:hint="eastAsia" w:ascii="宋体" w:hAnsi="宋体" w:cs="宋体"/>
                <w:color w:val="auto"/>
                <w:kern w:val="2"/>
              </w:rPr>
              <w:t>简体中文</w:t>
            </w:r>
          </w:p>
        </w:tc>
        <w:tc>
          <w:tcPr>
            <w:tcW w:w="932" w:type="dxa"/>
            <w:tcBorders>
              <w:top w:val="single" w:color="000000" w:sz="4" w:space="0"/>
              <w:left w:val="single" w:color="000000" w:sz="6" w:space="0"/>
              <w:bottom w:val="single" w:color="000000" w:sz="4" w:space="0"/>
              <w:right w:val="single" w:color="000000" w:sz="4" w:space="0"/>
            </w:tcBorders>
            <w:vAlign w:val="center"/>
          </w:tcPr>
          <w:p w14:paraId="0B91FE64">
            <w:pPr>
              <w:autoSpaceDE/>
              <w:autoSpaceDN/>
              <w:adjustRightInd/>
              <w:jc w:val="center"/>
              <w:textAlignment w:val="auto"/>
              <w:rPr>
                <w:rFonts w:ascii="宋体" w:hAnsi="宋体" w:cs="宋体"/>
                <w:color w:val="auto"/>
                <w:kern w:val="2"/>
              </w:rPr>
            </w:pPr>
          </w:p>
        </w:tc>
      </w:tr>
      <w:tr w14:paraId="5C5A8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6F9FD9E9">
            <w:pPr>
              <w:autoSpaceDE/>
              <w:autoSpaceDN/>
              <w:adjustRightInd/>
              <w:jc w:val="center"/>
              <w:textAlignment w:val="auto"/>
              <w:rPr>
                <w:rFonts w:ascii="宋体" w:hAnsi="宋体" w:cs="宋体"/>
                <w:color w:val="auto"/>
                <w:kern w:val="2"/>
              </w:rPr>
            </w:pPr>
            <w:r>
              <w:rPr>
                <w:rFonts w:hint="eastAsia" w:ascii="宋体" w:hAnsi="宋体" w:cs="宋体"/>
                <w:color w:val="auto"/>
                <w:kern w:val="2"/>
              </w:rPr>
              <w:t>13</w:t>
            </w:r>
          </w:p>
        </w:tc>
        <w:tc>
          <w:tcPr>
            <w:tcW w:w="2790" w:type="dxa"/>
            <w:tcBorders>
              <w:top w:val="single" w:color="000000" w:sz="4" w:space="0"/>
              <w:left w:val="single" w:color="000000" w:sz="6" w:space="0"/>
              <w:bottom w:val="single" w:color="000000" w:sz="4" w:space="0"/>
              <w:right w:val="single" w:color="000000" w:sz="6" w:space="0"/>
            </w:tcBorders>
            <w:vAlign w:val="center"/>
          </w:tcPr>
          <w:p w14:paraId="6277BECC">
            <w:pPr>
              <w:autoSpaceDE/>
              <w:autoSpaceDN/>
              <w:adjustRightInd/>
              <w:jc w:val="center"/>
              <w:textAlignment w:val="auto"/>
              <w:rPr>
                <w:rFonts w:ascii="宋体" w:hAnsi="宋体" w:cs="宋体"/>
                <w:color w:val="auto"/>
                <w:kern w:val="2"/>
              </w:rPr>
            </w:pPr>
            <w:r>
              <w:rPr>
                <w:rFonts w:hint="eastAsia" w:ascii="宋体" w:hAnsi="宋体"/>
                <w:color w:val="auto"/>
                <w:kern w:val="2"/>
              </w:rPr>
              <w:t>盘前或盘后维护</w:t>
            </w:r>
          </w:p>
        </w:tc>
        <w:tc>
          <w:tcPr>
            <w:tcW w:w="3891" w:type="dxa"/>
            <w:tcBorders>
              <w:top w:val="single" w:color="000000" w:sz="4" w:space="0"/>
              <w:left w:val="single" w:color="000000" w:sz="6" w:space="0"/>
              <w:bottom w:val="single" w:color="000000" w:sz="4" w:space="0"/>
              <w:right w:val="single" w:color="000000" w:sz="4" w:space="0"/>
            </w:tcBorders>
            <w:vAlign w:val="center"/>
          </w:tcPr>
          <w:p w14:paraId="26DF7B64">
            <w:pPr>
              <w:autoSpaceDE/>
              <w:autoSpaceDN/>
              <w:adjustRightInd/>
              <w:jc w:val="center"/>
              <w:textAlignment w:val="auto"/>
              <w:rPr>
                <w:rFonts w:ascii="宋体" w:hAnsi="宋体" w:cs="宋体"/>
                <w:color w:val="auto"/>
                <w:kern w:val="2"/>
              </w:rPr>
            </w:pPr>
            <w:r>
              <w:rPr>
                <w:rFonts w:hint="eastAsia" w:ascii="宋体" w:hAnsi="宋体" w:cs="宋体"/>
                <w:color w:val="auto"/>
                <w:kern w:val="2"/>
              </w:rPr>
              <w:t>盘前盘后均可</w:t>
            </w:r>
          </w:p>
        </w:tc>
        <w:tc>
          <w:tcPr>
            <w:tcW w:w="932" w:type="dxa"/>
            <w:tcBorders>
              <w:top w:val="single" w:color="000000" w:sz="4" w:space="0"/>
              <w:left w:val="single" w:color="000000" w:sz="6" w:space="0"/>
              <w:bottom w:val="single" w:color="000000" w:sz="4" w:space="0"/>
              <w:right w:val="single" w:color="000000" w:sz="4" w:space="0"/>
            </w:tcBorders>
            <w:vAlign w:val="center"/>
          </w:tcPr>
          <w:p w14:paraId="668D78A7">
            <w:pPr>
              <w:autoSpaceDE/>
              <w:autoSpaceDN/>
              <w:adjustRightInd/>
              <w:jc w:val="center"/>
              <w:textAlignment w:val="auto"/>
              <w:rPr>
                <w:rFonts w:ascii="宋体" w:hAnsi="宋体" w:cs="宋体"/>
                <w:color w:val="auto"/>
                <w:kern w:val="2"/>
              </w:rPr>
            </w:pPr>
          </w:p>
        </w:tc>
      </w:tr>
      <w:tr w14:paraId="54A59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CellMar>
            <w:top w:w="0" w:type="dxa"/>
            <w:left w:w="108" w:type="dxa"/>
            <w:bottom w:w="0" w:type="dxa"/>
            <w:right w:w="108" w:type="dxa"/>
          </w:tblCellMar>
        </w:tblPrEx>
        <w:trPr>
          <w:trHeight w:val="454" w:hRule="atLeast"/>
        </w:trPr>
        <w:tc>
          <w:tcPr>
            <w:tcW w:w="909" w:type="dxa"/>
            <w:tcBorders>
              <w:top w:val="single" w:color="000000" w:sz="4" w:space="0"/>
              <w:left w:val="single" w:color="000000" w:sz="4" w:space="0"/>
              <w:bottom w:val="single" w:color="000000" w:sz="4" w:space="0"/>
              <w:right w:val="single" w:color="000000" w:sz="6" w:space="0"/>
            </w:tcBorders>
            <w:vAlign w:val="center"/>
          </w:tcPr>
          <w:p w14:paraId="1868C6E6">
            <w:pPr>
              <w:autoSpaceDE/>
              <w:autoSpaceDN/>
              <w:adjustRightInd/>
              <w:jc w:val="center"/>
              <w:textAlignment w:val="auto"/>
              <w:rPr>
                <w:rFonts w:ascii="宋体" w:hAnsi="宋体" w:cs="宋体"/>
                <w:color w:val="auto"/>
                <w:kern w:val="2"/>
              </w:rPr>
            </w:pPr>
            <w:r>
              <w:rPr>
                <w:rFonts w:hint="eastAsia" w:ascii="宋体" w:hAnsi="宋体" w:cs="宋体"/>
                <w:color w:val="auto"/>
                <w:kern w:val="2"/>
              </w:rPr>
              <w:t>14</w:t>
            </w:r>
          </w:p>
        </w:tc>
        <w:tc>
          <w:tcPr>
            <w:tcW w:w="2790" w:type="dxa"/>
            <w:tcBorders>
              <w:top w:val="single" w:color="000000" w:sz="4" w:space="0"/>
              <w:left w:val="single" w:color="000000" w:sz="6" w:space="0"/>
              <w:bottom w:val="single" w:color="000000" w:sz="4" w:space="0"/>
              <w:right w:val="single" w:color="000000" w:sz="6" w:space="0"/>
            </w:tcBorders>
            <w:vAlign w:val="center"/>
          </w:tcPr>
          <w:p w14:paraId="06A31B95">
            <w:pPr>
              <w:autoSpaceDE/>
              <w:autoSpaceDN/>
              <w:adjustRightInd/>
              <w:jc w:val="center"/>
              <w:textAlignment w:val="auto"/>
              <w:rPr>
                <w:rFonts w:ascii="宋体" w:hAnsi="宋体" w:cs="宋体"/>
                <w:color w:val="auto"/>
                <w:kern w:val="2"/>
              </w:rPr>
            </w:pPr>
            <w:r>
              <w:rPr>
                <w:rFonts w:hint="eastAsia" w:ascii="宋体" w:hAnsi="宋体"/>
                <w:color w:val="auto"/>
                <w:kern w:val="2"/>
              </w:rPr>
              <w:t>售后服务的承诺</w:t>
            </w:r>
          </w:p>
        </w:tc>
        <w:tc>
          <w:tcPr>
            <w:tcW w:w="3891" w:type="dxa"/>
            <w:tcBorders>
              <w:top w:val="single" w:color="000000" w:sz="4" w:space="0"/>
              <w:left w:val="single" w:color="000000" w:sz="6" w:space="0"/>
              <w:bottom w:val="single" w:color="000000" w:sz="4" w:space="0"/>
              <w:right w:val="single" w:color="000000" w:sz="4" w:space="0"/>
            </w:tcBorders>
            <w:vAlign w:val="center"/>
          </w:tcPr>
          <w:p w14:paraId="3A65D52F">
            <w:pPr>
              <w:autoSpaceDE/>
              <w:autoSpaceDN/>
              <w:adjustRightInd/>
              <w:jc w:val="center"/>
              <w:textAlignment w:val="auto"/>
              <w:rPr>
                <w:rFonts w:ascii="宋体" w:hAnsi="宋体" w:cs="宋体"/>
                <w:color w:val="auto"/>
                <w:kern w:val="2"/>
                <w:lang w:eastAsia="zh-CN"/>
              </w:rPr>
            </w:pPr>
            <w:r>
              <w:rPr>
                <w:rFonts w:hint="eastAsia" w:ascii="宋体" w:hAnsi="宋体" w:cs="宋体"/>
                <w:color w:val="auto"/>
                <w:kern w:val="2"/>
                <w:lang w:eastAsia="zh-CN"/>
              </w:rPr>
              <w:t>发生问题，24小时以内到达现场维修</w:t>
            </w:r>
          </w:p>
        </w:tc>
        <w:tc>
          <w:tcPr>
            <w:tcW w:w="932" w:type="dxa"/>
            <w:tcBorders>
              <w:top w:val="single" w:color="000000" w:sz="4" w:space="0"/>
              <w:left w:val="single" w:color="000000" w:sz="6" w:space="0"/>
              <w:bottom w:val="single" w:color="000000" w:sz="4" w:space="0"/>
              <w:right w:val="single" w:color="000000" w:sz="4" w:space="0"/>
            </w:tcBorders>
            <w:vAlign w:val="center"/>
          </w:tcPr>
          <w:p w14:paraId="6FB02C6F">
            <w:pPr>
              <w:autoSpaceDE/>
              <w:autoSpaceDN/>
              <w:adjustRightInd/>
              <w:jc w:val="center"/>
              <w:textAlignment w:val="auto"/>
              <w:rPr>
                <w:rFonts w:ascii="宋体" w:hAnsi="宋体" w:cs="宋体"/>
                <w:color w:val="auto"/>
                <w:kern w:val="2"/>
                <w:lang w:eastAsia="zh-CN"/>
              </w:rPr>
            </w:pPr>
          </w:p>
        </w:tc>
      </w:tr>
    </w:tbl>
    <w:p w14:paraId="70EA90EC">
      <w:pPr>
        <w:widowControl w:val="0"/>
        <w:numPr>
          <w:ilvl w:val="0"/>
          <w:numId w:val="12"/>
        </w:numPr>
        <w:kinsoku/>
        <w:topLinePunct/>
        <w:autoSpaceDE/>
        <w:autoSpaceDN/>
        <w:spacing w:line="520" w:lineRule="exact"/>
        <w:jc w:val="both"/>
        <w:rPr>
          <w:rFonts w:hint="eastAsia" w:ascii="宋体" w:hAnsi="宋体" w:eastAsia="宋体" w:cs="宋体"/>
          <w:color w:val="auto"/>
          <w:sz w:val="24"/>
          <w:szCs w:val="24"/>
        </w:rPr>
      </w:pPr>
      <w:bookmarkStart w:id="1754" w:name="_Toc19692"/>
      <w:r>
        <w:rPr>
          <w:rFonts w:hint="eastAsia" w:ascii="宋体" w:hAnsi="宋体" w:eastAsia="宋体" w:cs="宋体"/>
          <w:color w:val="auto"/>
          <w:sz w:val="24"/>
          <w:szCs w:val="24"/>
        </w:rPr>
        <w:t>SVG装置技术要求</w:t>
      </w:r>
      <w:bookmarkEnd w:id="1754"/>
    </w:p>
    <w:p w14:paraId="71C6A3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成套装置应满足无功功率、电压调节、功率因数及谐波治理等技术要求，并要求达到以下技术指标：</w:t>
      </w:r>
    </w:p>
    <w:p w14:paraId="6C8D533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a.输出容量</w:t>
      </w:r>
    </w:p>
    <w:p w14:paraId="04BE0A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成套装置以母线侧功率因数，或母线电压作为控制目标，SVG装置额定补偿容量为-额定容量（容性无功）～+额定容量（感性无功）范围内连续平滑调节。</w:t>
      </w:r>
    </w:p>
    <w:p w14:paraId="09AC2A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b.响应时间</w:t>
      </w:r>
    </w:p>
    <w:p w14:paraId="2CD5E5B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SVG装置可动态跟踪电网电压变化，并根据变化情况动态调节无功输出，实现稳定电压的作用。动态响应时间不大于5ms。</w:t>
      </w:r>
    </w:p>
    <w:p w14:paraId="24DAE2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c.过载能力</w:t>
      </w:r>
    </w:p>
    <w:p w14:paraId="7C2EDD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成套装置应具有短时过载能力，过载无功补偿容量为成套装置额定容量的110%长期运行；过载无功补偿容量为成套装置额定容量的120%、时间持续1分钟保护停机。</w:t>
      </w:r>
    </w:p>
    <w:p w14:paraId="2CF545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d.冷却方式</w:t>
      </w:r>
    </w:p>
    <w:p w14:paraId="5887A23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成套装置采用强迫风冷，技术先进、运行安全可靠，适应现场环境。</w:t>
      </w:r>
    </w:p>
    <w:p w14:paraId="6667A0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e.谐波电压</w:t>
      </w:r>
    </w:p>
    <w:p w14:paraId="3078CA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注入系统公共连接点（P.C.C.点）母线的谐波电压总畸变率、奇次谐波电压含有率、偶次谐波电压含有率均满足中华人民共和国国家标准《GB/T 14549－93 电能质量公用电网谐波》的要求。</w:t>
      </w:r>
    </w:p>
    <w:p w14:paraId="24EAFC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f.谐波电流</w:t>
      </w:r>
    </w:p>
    <w:p w14:paraId="65DF0C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注入系统公共连接点（P.C.C.点）母线的各次谐波电流满足中华人民共和国国家标准《GB/T 14549－93 电能质量公用电网谐波》的要求。</w:t>
      </w:r>
    </w:p>
    <w:p w14:paraId="38F0E4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g.三相电压不平衡度</w:t>
      </w:r>
    </w:p>
    <w:p w14:paraId="0C8637B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公共连接点母线引起的电压不平衡度≤2%，满足中华人民共和国国家标准《GB/T 15543-2008 电能质量三相电压允许不平衡度》的要求。</w:t>
      </w:r>
    </w:p>
    <w:p w14:paraId="1413ED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h.电压波动</w:t>
      </w:r>
    </w:p>
    <w:p w14:paraId="5B7EA9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去除背景电压波动后，在电网公共连接点母线的电压波动d％≤2%，满足中华人民共和国国家标准《GB 12326-2008 电能质量电压波动和闪变》的要求。</w:t>
      </w:r>
    </w:p>
    <w:p w14:paraId="2540DD0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i.功率因数</w:t>
      </w:r>
    </w:p>
    <w:p w14:paraId="446CBE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母线经补偿后其月平均功率因数大于等于0.95（该功率因数在人机界面可设置），且不会出现过补偿。</w:t>
      </w:r>
    </w:p>
    <w:p w14:paraId="1AD4DD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j.输入电压范围</w:t>
      </w:r>
    </w:p>
    <w:p w14:paraId="733925F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输入电压允许变化范围为额定电压的90%-115%。</w:t>
      </w:r>
    </w:p>
    <w:p w14:paraId="72731BC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k.输入频率范围</w:t>
      </w:r>
    </w:p>
    <w:p w14:paraId="44FE46A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输入频率允许变化范围48-51Hz。</w:t>
      </w:r>
    </w:p>
    <w:p w14:paraId="69E8B9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l.低电压穿越功能</w:t>
      </w:r>
    </w:p>
    <w:p w14:paraId="202EA3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满足《光伏发电站接入电力系统技术规定》（GB/T 19964-2012）的要求。</w:t>
      </w:r>
    </w:p>
    <w:p w14:paraId="384283DF">
      <w:pPr>
        <w:widowControl w:val="0"/>
        <w:numPr>
          <w:ilvl w:val="0"/>
          <w:numId w:val="12"/>
        </w:numPr>
        <w:kinsoku/>
        <w:topLinePunct/>
        <w:autoSpaceDE/>
        <w:autoSpaceDN/>
        <w:spacing w:line="520" w:lineRule="exact"/>
        <w:jc w:val="both"/>
        <w:rPr>
          <w:rFonts w:hint="eastAsia" w:ascii="宋体" w:hAnsi="宋体" w:eastAsia="宋体" w:cs="宋体"/>
          <w:color w:val="auto"/>
          <w:sz w:val="24"/>
          <w:szCs w:val="24"/>
          <w:lang w:eastAsia="zh-CN"/>
        </w:rPr>
      </w:pPr>
      <w:bookmarkStart w:id="1755" w:name="_Toc32570"/>
      <w:r>
        <w:rPr>
          <w:rFonts w:hint="eastAsia" w:ascii="宋体" w:hAnsi="宋体" w:eastAsia="宋体" w:cs="宋体"/>
          <w:color w:val="auto"/>
          <w:sz w:val="24"/>
          <w:szCs w:val="24"/>
          <w:lang w:eastAsia="zh-CN"/>
        </w:rPr>
        <w:t>SVG装置技术规范参数</w:t>
      </w:r>
      <w:bookmarkEnd w:id="1755"/>
    </w:p>
    <w:p w14:paraId="6AC9C1D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采用先进的全控型器件IGBT，装置主回路元件的选用应留有足够的电流、电压裕度。</w:t>
      </w:r>
    </w:p>
    <w:p w14:paraId="591E98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额定频率：    50Hz</w:t>
      </w:r>
    </w:p>
    <w:p w14:paraId="05D695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额定容量：    ±3500Kvar</w:t>
      </w:r>
    </w:p>
    <w:p w14:paraId="1421005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额定电压：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10kV</w:t>
      </w:r>
    </w:p>
    <w:p w14:paraId="5117FE8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容量调节范围：从额定感性容量到额定容性容量连续可调</w:t>
      </w:r>
    </w:p>
    <w:p w14:paraId="208C35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冷却方式：    强迫风冷</w:t>
      </w:r>
    </w:p>
    <w:p w14:paraId="3DED02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损耗：        ＜1.2%（额定工况）</w:t>
      </w:r>
    </w:p>
    <w:p w14:paraId="487E5AE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谐波特性：    ＜3%（额定工况）</w:t>
      </w:r>
    </w:p>
    <w:p w14:paraId="32713C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响应速度：    不大于10ms</w:t>
      </w:r>
    </w:p>
    <w:p w14:paraId="3D37A214">
      <w:pPr>
        <w:widowControl w:val="0"/>
        <w:numPr>
          <w:ilvl w:val="0"/>
          <w:numId w:val="12"/>
        </w:numPr>
        <w:kinsoku/>
        <w:topLinePunct/>
        <w:autoSpaceDE/>
        <w:autoSpaceDN/>
        <w:spacing w:line="520" w:lineRule="exact"/>
        <w:jc w:val="both"/>
        <w:rPr>
          <w:rFonts w:hint="eastAsia" w:ascii="宋体" w:hAnsi="宋体" w:eastAsia="宋体" w:cs="宋体"/>
          <w:color w:val="auto"/>
          <w:sz w:val="24"/>
          <w:szCs w:val="24"/>
        </w:rPr>
      </w:pPr>
      <w:bookmarkStart w:id="1756" w:name="_Toc31026"/>
      <w:r>
        <w:rPr>
          <w:rFonts w:hint="eastAsia" w:ascii="宋体" w:hAnsi="宋体" w:eastAsia="宋体" w:cs="宋体"/>
          <w:color w:val="auto"/>
          <w:sz w:val="24"/>
          <w:szCs w:val="24"/>
        </w:rPr>
        <w:t>逆变功率单元技术参数</w:t>
      </w:r>
      <w:bookmarkEnd w:id="1756"/>
    </w:p>
    <w:p w14:paraId="1A51A5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a.成套装置应采用先进的全控型器件IGBT，开关频率不低于500Hz。装置主回路元件的选用，应留有足够的电压、电流裕度，元件应有良好的dv/dt，di/dt特性。</w:t>
      </w:r>
    </w:p>
    <w:p w14:paraId="4956FB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b.换流元件IGBT芯片应选用原装进口产品，耐压1700V。</w:t>
      </w:r>
    </w:p>
    <w:p w14:paraId="28F14F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c.系统主电路应采用链式结构；星型，每相由12个换流链模块组成，并采用冗余设计，满足N-1单元运行要求；</w:t>
      </w:r>
    </w:p>
    <w:p w14:paraId="4C7CAF7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d.装置大功率电力电子元器件应具有完善的保护功能。</w:t>
      </w:r>
    </w:p>
    <w:p w14:paraId="666353CC">
      <w:pPr>
        <w:widowControl w:val="0"/>
        <w:numPr>
          <w:ilvl w:val="0"/>
          <w:numId w:val="12"/>
        </w:numPr>
        <w:kinsoku/>
        <w:topLinePunct/>
        <w:autoSpaceDE/>
        <w:autoSpaceDN/>
        <w:spacing w:line="520" w:lineRule="exact"/>
        <w:jc w:val="both"/>
        <w:rPr>
          <w:rFonts w:hint="eastAsia" w:ascii="宋体" w:hAnsi="宋体" w:eastAsia="宋体" w:cs="宋体"/>
          <w:color w:val="auto"/>
          <w:sz w:val="24"/>
          <w:szCs w:val="24"/>
        </w:rPr>
      </w:pPr>
      <w:bookmarkStart w:id="1757" w:name="_Toc23438"/>
      <w:r>
        <w:rPr>
          <w:rFonts w:hint="eastAsia" w:ascii="宋体" w:hAnsi="宋体" w:eastAsia="宋体" w:cs="宋体"/>
          <w:color w:val="auto"/>
          <w:sz w:val="24"/>
          <w:szCs w:val="24"/>
        </w:rPr>
        <w:t>控制及保护系统</w:t>
      </w:r>
      <w:bookmarkEnd w:id="1757"/>
    </w:p>
    <w:p w14:paraId="0B92997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bookmarkStart w:id="1758" w:name="_Toc184091844"/>
      <w:bookmarkStart w:id="1759" w:name="_Toc187470213"/>
      <w:bookmarkStart w:id="1760" w:name="_Toc185783320"/>
      <w:bookmarkStart w:id="1761" w:name="_Toc184054129"/>
      <w:bookmarkStart w:id="1762" w:name="_Toc188214757"/>
      <w:bookmarkStart w:id="1763" w:name="_Toc104222190"/>
      <w:bookmarkStart w:id="1764" w:name="_Toc112143217"/>
      <w:r>
        <w:rPr>
          <w:rFonts w:hint="eastAsia" w:ascii="宋体" w:hAnsi="宋体" w:eastAsia="宋体" w:cs="宋体"/>
          <w:color w:val="auto"/>
          <w:sz w:val="24"/>
          <w:szCs w:val="24"/>
          <w:lang w:eastAsia="zh-CN"/>
        </w:rPr>
        <w:t>a.</w:t>
      </w:r>
      <w:r>
        <w:rPr>
          <w:rFonts w:hint="eastAsia" w:ascii="宋体" w:hAnsi="宋体" w:eastAsia="宋体" w:cs="宋体"/>
          <w:color w:val="auto"/>
          <w:sz w:val="24"/>
          <w:szCs w:val="24"/>
        </w:rPr>
        <w:t>控制屏的结构及</w:t>
      </w:r>
      <w:bookmarkEnd w:id="1758"/>
      <w:bookmarkEnd w:id="1759"/>
      <w:bookmarkEnd w:id="1760"/>
      <w:bookmarkEnd w:id="1761"/>
      <w:r>
        <w:rPr>
          <w:rFonts w:hint="eastAsia" w:ascii="宋体" w:hAnsi="宋体" w:eastAsia="宋体" w:cs="宋体"/>
          <w:color w:val="auto"/>
          <w:sz w:val="24"/>
          <w:szCs w:val="24"/>
        </w:rPr>
        <w:t>组成</w:t>
      </w:r>
      <w:bookmarkEnd w:id="1762"/>
    </w:p>
    <w:p w14:paraId="12165A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控制屏采用柜式结构，表面采用静电喷塑工艺处理。柜体选用优质 “三防”产品，抗强电磁干扰能力强。信号传输通道中用的光纤及附件采用进口优质产品。其它控制系统中的附件，如各类集成电路等都采用国外的知名公司产品。</w:t>
      </w:r>
    </w:p>
    <w:bookmarkEnd w:id="1763"/>
    <w:bookmarkEnd w:id="1764"/>
    <w:p w14:paraId="7EA251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65" w:name="_Toc184091847"/>
      <w:bookmarkStart w:id="1766" w:name="_Toc185783323"/>
      <w:bookmarkStart w:id="1767" w:name="_Toc184054132"/>
      <w:bookmarkStart w:id="1768" w:name="_Toc187470216"/>
      <w:bookmarkStart w:id="1769" w:name="_Toc112143219"/>
      <w:bookmarkStart w:id="1770" w:name="_Toc188214758"/>
      <w:bookmarkStart w:id="1771" w:name="_Toc104222192"/>
      <w:r>
        <w:rPr>
          <w:rFonts w:hint="eastAsia" w:ascii="宋体" w:hAnsi="宋体" w:eastAsia="宋体" w:cs="宋体"/>
          <w:color w:val="auto"/>
          <w:sz w:val="24"/>
          <w:szCs w:val="24"/>
          <w:lang w:eastAsia="zh-CN"/>
        </w:rPr>
        <w:t>控制系统由主控机箱、人机界面等几个主要部分组成。各部分应实现以下功能：</w:t>
      </w:r>
    </w:p>
    <w:p w14:paraId="341033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控机箱：由各功能板卡组成。具有自主知识产权及专利的全数字化控制器，用DSP+FPGA组成的控制核心，充分发挥DSP超强的计算能力和FPGA出色的数据处理能力，实时计算电网所需的无功功率，动态跟踪与补偿，实现了准确计算，高速响应，精确补偿的效果。</w:t>
      </w:r>
    </w:p>
    <w:p w14:paraId="6CA73D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人机界面：实时显示系统运行状态和数据，查询与设定系统运行参数以及整机逻辑控制等功能；操作简单方便，界面友好，是一个人机交互的窗口。</w:t>
      </w:r>
    </w:p>
    <w:p w14:paraId="66E610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b.主控制器的基本功能</w:t>
      </w:r>
      <w:bookmarkEnd w:id="1765"/>
      <w:bookmarkEnd w:id="1766"/>
      <w:bookmarkEnd w:id="1767"/>
      <w:bookmarkEnd w:id="1768"/>
      <w:bookmarkEnd w:id="1769"/>
      <w:bookmarkEnd w:id="1770"/>
      <w:bookmarkEnd w:id="1771"/>
    </w:p>
    <w:p w14:paraId="231B897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成套装置控制系统可根据系统电压/无功的变化情况，实现脉冲发生和分配功能，自动调节装置无功输出；成套装置具有供值班员使用的参数设置功能，所有设置的内容不受停电和干扰信号的影响。</w:t>
      </w:r>
    </w:p>
    <w:p w14:paraId="72750C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72" w:name="_Toc176682156"/>
      <w:bookmarkStart w:id="1773" w:name="_Toc188214759"/>
      <w:bookmarkStart w:id="1774" w:name="_Toc185783324"/>
      <w:bookmarkStart w:id="1775" w:name="_Toc184091848"/>
      <w:bookmarkStart w:id="1776" w:name="_Toc187470217"/>
      <w:bookmarkStart w:id="1777" w:name="_Toc184054133"/>
      <w:r>
        <w:rPr>
          <w:rFonts w:hint="eastAsia" w:ascii="宋体" w:hAnsi="宋体" w:eastAsia="宋体" w:cs="宋体"/>
          <w:color w:val="auto"/>
          <w:sz w:val="24"/>
          <w:szCs w:val="24"/>
          <w:lang w:eastAsia="zh-CN"/>
        </w:rPr>
        <w:t>c.通讯</w:t>
      </w:r>
      <w:bookmarkEnd w:id="1772"/>
      <w:r>
        <w:rPr>
          <w:rFonts w:hint="eastAsia" w:ascii="宋体" w:hAnsi="宋体" w:eastAsia="宋体" w:cs="宋体"/>
          <w:color w:val="auto"/>
          <w:sz w:val="24"/>
          <w:szCs w:val="24"/>
          <w:lang w:eastAsia="zh-CN"/>
        </w:rPr>
        <w:t>功能</w:t>
      </w:r>
      <w:bookmarkEnd w:id="1773"/>
      <w:bookmarkEnd w:id="1774"/>
      <w:bookmarkEnd w:id="1775"/>
      <w:bookmarkEnd w:id="1776"/>
      <w:bookmarkEnd w:id="1777"/>
    </w:p>
    <w:p w14:paraId="0F70FA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控制系统具有和上位机通讯的标准化接口，实现就地和远方通讯。同时控制系统具备与变泵站综合自动化联网的功能，卖方提供的SVG控制系统采用RS485或以太网通讯方式，RS485接口可支持MODBUS通讯协议，电力CDT通讯规约，以太网通讯协议为IEC/104。</w:t>
      </w:r>
    </w:p>
    <w:p w14:paraId="7C52BE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78" w:name="_Toc185783325"/>
      <w:bookmarkStart w:id="1779" w:name="_Toc184091849"/>
      <w:bookmarkStart w:id="1780" w:name="_Toc187470218"/>
      <w:bookmarkStart w:id="1781" w:name="_Toc188214760"/>
      <w:bookmarkStart w:id="1782" w:name="_Toc184054134"/>
      <w:r>
        <w:rPr>
          <w:rFonts w:hint="eastAsia" w:ascii="宋体" w:hAnsi="宋体" w:eastAsia="宋体" w:cs="宋体"/>
          <w:color w:val="auto"/>
          <w:sz w:val="24"/>
          <w:szCs w:val="24"/>
          <w:lang w:eastAsia="zh-CN"/>
        </w:rPr>
        <w:t>d.显示功能</w:t>
      </w:r>
      <w:bookmarkEnd w:id="1778"/>
      <w:bookmarkEnd w:id="1779"/>
      <w:bookmarkEnd w:id="1780"/>
      <w:bookmarkEnd w:id="1781"/>
      <w:bookmarkEnd w:id="1782"/>
    </w:p>
    <w:p w14:paraId="0D52C7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控制系统采用液晶显示器，具有友好的人机界面，数据保存6个月以上。可提供如下功能：</w:t>
      </w:r>
    </w:p>
    <w:p w14:paraId="3BC7E8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主回路图；</w:t>
      </w:r>
    </w:p>
    <w:p w14:paraId="7F37041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实时电量参数显示（电压、电流、功率因数等）；</w:t>
      </w:r>
    </w:p>
    <w:p w14:paraId="7CA440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实时曲线和历史曲线（电流、电压、功率）；</w:t>
      </w:r>
    </w:p>
    <w:p w14:paraId="443AAD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历史事件记录（故障记录、操作记录、停机原因记录）；</w:t>
      </w:r>
    </w:p>
    <w:p w14:paraId="1A0DED0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运行数据记录；</w:t>
      </w:r>
    </w:p>
    <w:p w14:paraId="234B9B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故障录波；</w:t>
      </w:r>
    </w:p>
    <w:p w14:paraId="269D76A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无功阶跃录波；</w:t>
      </w:r>
    </w:p>
    <w:p w14:paraId="01DCD8D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电压阶跃录波；</w:t>
      </w:r>
    </w:p>
    <w:p w14:paraId="1077FF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在线电能监测功能；</w:t>
      </w:r>
    </w:p>
    <w:p w14:paraId="6689501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链式装置单元状态监视；</w:t>
      </w:r>
    </w:p>
    <w:p w14:paraId="3CD15D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软件版本查询；</w:t>
      </w:r>
    </w:p>
    <w:p w14:paraId="470313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HMI存储空间查询；</w:t>
      </w:r>
    </w:p>
    <w:p w14:paraId="5C02BB8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显示当前时间、保护动作时间，显示保护类型、保护动作时间等信息。</w:t>
      </w:r>
    </w:p>
    <w:p w14:paraId="6FE1D7C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83" w:name="_Toc184054135"/>
      <w:bookmarkStart w:id="1784" w:name="_Toc184091850"/>
      <w:bookmarkStart w:id="1785" w:name="_Toc187470219"/>
      <w:bookmarkStart w:id="1786" w:name="_Toc188214761"/>
      <w:bookmarkStart w:id="1787" w:name="_Toc185783326"/>
      <w:r>
        <w:rPr>
          <w:rFonts w:hint="eastAsia" w:ascii="宋体" w:hAnsi="宋体" w:eastAsia="宋体" w:cs="宋体"/>
          <w:color w:val="auto"/>
          <w:sz w:val="24"/>
          <w:szCs w:val="24"/>
          <w:lang w:eastAsia="zh-CN"/>
        </w:rPr>
        <w:t>e.保护功能</w:t>
      </w:r>
      <w:bookmarkEnd w:id="1783"/>
      <w:bookmarkEnd w:id="1784"/>
      <w:bookmarkEnd w:id="1785"/>
      <w:bookmarkEnd w:id="1786"/>
      <w:bookmarkEnd w:id="1787"/>
    </w:p>
    <w:p w14:paraId="461FD9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动态无功补偿装置应采用了综合保护策略，以提高装置可靠性。</w:t>
      </w:r>
    </w:p>
    <w:p w14:paraId="4ED6364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动态装置保护类型如下：母线过压、母线欠压、过流、速断、直流过压、电力电子元件损坏检测保护、丢脉冲、触发异常、过压击穿、单元模块功率柜超温、保护输入接口、保护输出接口控制和系统电源异常等保护功能。</w:t>
      </w:r>
    </w:p>
    <w:p w14:paraId="0AEC9C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f.闭锁功能 </w:t>
      </w:r>
    </w:p>
    <w:p w14:paraId="3230638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控制器具有CT断线检测及闭锁调节功能。</w:t>
      </w:r>
    </w:p>
    <w:p w14:paraId="056641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控制器具有PT断线检测及闭锁调节功能。</w:t>
      </w:r>
    </w:p>
    <w:p w14:paraId="3EDA6C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控制器内部电路具有完善的保护功能，内部出现任何电路故障均不会有误动作输出。</w:t>
      </w:r>
    </w:p>
    <w:p w14:paraId="5C8F054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88" w:name="_Toc381214409"/>
      <w:r>
        <w:rPr>
          <w:rFonts w:hint="eastAsia" w:ascii="宋体" w:hAnsi="宋体" w:eastAsia="宋体" w:cs="宋体"/>
          <w:color w:val="auto"/>
          <w:sz w:val="24"/>
          <w:szCs w:val="24"/>
          <w:lang w:eastAsia="zh-TW"/>
        </w:rPr>
        <w:t>SVG</w:t>
      </w:r>
      <w:r>
        <w:rPr>
          <w:rFonts w:hint="eastAsia" w:ascii="宋体" w:hAnsi="宋体" w:eastAsia="宋体" w:cs="宋体"/>
          <w:color w:val="auto"/>
          <w:sz w:val="24"/>
          <w:szCs w:val="24"/>
          <w:lang w:eastAsia="zh-CN"/>
        </w:rPr>
        <w:t xml:space="preserve">开关跳闸时，报警并闭锁主控制器的无功出口。 </w:t>
      </w:r>
    </w:p>
    <w:p w14:paraId="75CAF2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g.事件顺序记录</w:t>
      </w:r>
    </w:p>
    <w:p w14:paraId="05B794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当各类保护动作或监视的状态发生变化时，控制系统将自动记录事件发生的类型、相别及动作值，事件按顺序记录，可通过人机界面进行查询，并通过远程通信上传至终端。</w:t>
      </w:r>
      <w:r>
        <w:rPr>
          <w:rFonts w:hint="eastAsia" w:ascii="宋体" w:hAnsi="宋体" w:eastAsia="宋体" w:cs="宋体"/>
          <w:color w:val="auto"/>
          <w:sz w:val="24"/>
          <w:szCs w:val="24"/>
        </w:rPr>
        <w:t>动作次数可永久保存，即使掉电也不丢失。</w:t>
      </w:r>
    </w:p>
    <w:p w14:paraId="6EC2717E">
      <w:pPr>
        <w:widowControl w:val="0"/>
        <w:numPr>
          <w:ilvl w:val="0"/>
          <w:numId w:val="12"/>
        </w:numPr>
        <w:kinsoku/>
        <w:topLinePunct/>
        <w:autoSpaceDE/>
        <w:autoSpaceDN/>
        <w:spacing w:line="520" w:lineRule="exact"/>
        <w:jc w:val="both"/>
        <w:rPr>
          <w:rFonts w:hint="eastAsia" w:ascii="宋体" w:hAnsi="宋体" w:eastAsia="宋体" w:cs="宋体"/>
          <w:color w:val="auto"/>
          <w:sz w:val="24"/>
          <w:szCs w:val="24"/>
        </w:rPr>
      </w:pPr>
      <w:bookmarkStart w:id="1789" w:name="_Toc31456"/>
      <w:r>
        <w:rPr>
          <w:rFonts w:hint="eastAsia" w:ascii="宋体" w:hAnsi="宋体" w:eastAsia="宋体" w:cs="宋体"/>
          <w:color w:val="auto"/>
          <w:sz w:val="24"/>
          <w:szCs w:val="24"/>
        </w:rPr>
        <w:t>柜体要求</w:t>
      </w:r>
      <w:bookmarkEnd w:id="1789"/>
    </w:p>
    <w:p w14:paraId="3488EF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壳体材质：Q235冷轧钢板，门板厚度2mm。</w:t>
      </w:r>
    </w:p>
    <w:p w14:paraId="044D5E4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喷塑要求：喷塑厚度80～120</w:t>
      </w:r>
      <w:r>
        <w:rPr>
          <w:rFonts w:hint="eastAsia" w:ascii="宋体" w:hAnsi="宋体" w:eastAsia="宋体" w:cs="宋体"/>
          <w:color w:val="auto"/>
          <w:sz w:val="24"/>
          <w:szCs w:val="24"/>
        </w:rPr>
        <w:t>μ</w:t>
      </w:r>
      <w:r>
        <w:rPr>
          <w:rFonts w:hint="eastAsia" w:ascii="宋体" w:hAnsi="宋体" w:eastAsia="宋体" w:cs="宋体"/>
          <w:color w:val="auto"/>
          <w:sz w:val="24"/>
          <w:szCs w:val="24"/>
          <w:lang w:eastAsia="zh-CN"/>
        </w:rPr>
        <w:t>m。</w:t>
      </w:r>
    </w:p>
    <w:p w14:paraId="2725BE9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柜体丝印按图纸加工，要求字体清晰、美观。</w:t>
      </w:r>
    </w:p>
    <w:p w14:paraId="6E0CFA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壳体框架四角都要求加柜体加强板。</w:t>
      </w:r>
    </w:p>
    <w:p w14:paraId="0301255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壳体门板底部要求都要增加黑色支撑轮。</w:t>
      </w:r>
    </w:p>
    <w:p w14:paraId="5E0141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门板上的加强筋一律焊接喷塑。</w:t>
      </w:r>
    </w:p>
    <w:p w14:paraId="714A44E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壳体顶板固定螺栓、框架与槽钢连接螺栓统一用镀白锌六角螺栓。</w:t>
      </w:r>
    </w:p>
    <w:p w14:paraId="49438BF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壳体防护等级IP31，污秽等级I级。</w:t>
      </w:r>
    </w:p>
    <w:p w14:paraId="3F5E83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壳体上所有盖板用到的固定螺栓全部为十字六角组合螺栓（镀白锌）</w:t>
      </w:r>
    </w:p>
    <w:p w14:paraId="27DBA23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壳体底板、顶板、侧板上凡是开孔的地方全部要求加护线套或胶圈。图纸有特殊要求的按照图纸要求加工。</w:t>
      </w:r>
    </w:p>
    <w:p w14:paraId="2FEA6F9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不尽事宜，按PS柜标准执行。</w:t>
      </w:r>
    </w:p>
    <w:p w14:paraId="4FC7F7BB">
      <w:pPr>
        <w:widowControl w:val="0"/>
        <w:numPr>
          <w:ilvl w:val="0"/>
          <w:numId w:val="12"/>
        </w:numPr>
        <w:kinsoku/>
        <w:topLinePunct/>
        <w:autoSpaceDE/>
        <w:autoSpaceDN/>
        <w:spacing w:line="520" w:lineRule="exact"/>
        <w:jc w:val="both"/>
        <w:rPr>
          <w:rFonts w:hint="eastAsia" w:ascii="宋体" w:hAnsi="宋体" w:eastAsia="宋体" w:cs="宋体"/>
          <w:color w:val="auto"/>
          <w:sz w:val="24"/>
          <w:szCs w:val="24"/>
        </w:rPr>
      </w:pPr>
      <w:bookmarkStart w:id="1790" w:name="_Toc25645"/>
      <w:r>
        <w:rPr>
          <w:rFonts w:hint="eastAsia" w:ascii="宋体" w:hAnsi="宋体" w:eastAsia="宋体" w:cs="宋体"/>
          <w:color w:val="auto"/>
          <w:sz w:val="24"/>
          <w:szCs w:val="24"/>
        </w:rPr>
        <w:t>柜体接地处理要求</w:t>
      </w:r>
      <w:bookmarkEnd w:id="1790"/>
    </w:p>
    <w:p w14:paraId="45778EC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所有含转轴的立柱的第3个</w:t>
      </w:r>
      <w:r>
        <w:rPr>
          <w:rFonts w:hint="eastAsia" w:ascii="宋体" w:hAnsi="宋体" w:eastAsia="宋体" w:cs="宋体"/>
          <w:color w:val="auto"/>
          <w:sz w:val="24"/>
          <w:szCs w:val="24"/>
        </w:rPr>
        <w:t>Φ</w:t>
      </w:r>
      <w:r>
        <w:rPr>
          <w:rFonts w:hint="eastAsia" w:ascii="宋体" w:hAnsi="宋体" w:eastAsia="宋体" w:cs="宋体"/>
          <w:color w:val="auto"/>
          <w:sz w:val="24"/>
          <w:szCs w:val="24"/>
          <w:lang w:eastAsia="zh-CN"/>
        </w:rPr>
        <w:t>4.5的孔处不喷塑，该处需要喷导电漆处理。</w:t>
      </w:r>
    </w:p>
    <w:p w14:paraId="16AD84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大小为</w:t>
      </w:r>
      <w:r>
        <w:rPr>
          <w:rFonts w:hint="eastAsia" w:ascii="宋体" w:hAnsi="宋体" w:eastAsia="宋体" w:cs="宋体"/>
          <w:color w:val="auto"/>
          <w:sz w:val="24"/>
          <w:szCs w:val="24"/>
        </w:rPr>
        <w:t>φ</w:t>
      </w:r>
      <w:r>
        <w:rPr>
          <w:rFonts w:hint="eastAsia" w:ascii="宋体" w:hAnsi="宋体" w:eastAsia="宋体" w:cs="宋体"/>
          <w:color w:val="auto"/>
          <w:sz w:val="24"/>
          <w:szCs w:val="24"/>
          <w:lang w:eastAsia="zh-CN"/>
        </w:rPr>
        <w:t>14的圆。柜门、槽钢接地螺钉表面处理为镀铜，喷涂时做好防护使用防护螺母，便于卸下。</w:t>
      </w:r>
    </w:p>
    <w:p w14:paraId="19B911D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91" w:name="_Toc17192"/>
      <w:r>
        <w:rPr>
          <w:rFonts w:hint="eastAsia" w:ascii="宋体" w:hAnsi="宋体" w:eastAsia="宋体" w:cs="宋体"/>
          <w:color w:val="auto"/>
          <w:sz w:val="24"/>
          <w:szCs w:val="24"/>
          <w:lang w:eastAsia="zh-CN"/>
        </w:rPr>
        <w:t>4)供货范围</w:t>
      </w:r>
      <w:bookmarkEnd w:id="1788"/>
      <w:bookmarkEnd w:id="1791"/>
    </w:p>
    <w:p w14:paraId="6BEDD10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92" w:name="_Toc17281"/>
      <w:bookmarkStart w:id="1793" w:name="_Toc381214410"/>
      <w:r>
        <w:rPr>
          <w:rFonts w:hint="eastAsia" w:ascii="宋体" w:hAnsi="宋体" w:eastAsia="宋体" w:cs="宋体"/>
          <w:color w:val="auto"/>
          <w:sz w:val="24"/>
          <w:szCs w:val="24"/>
          <w:lang w:eastAsia="zh-CN"/>
        </w:rPr>
        <w:t>①一般要求</w:t>
      </w:r>
      <w:bookmarkEnd w:id="1792"/>
      <w:bookmarkEnd w:id="1793"/>
    </w:p>
    <w:p w14:paraId="1D78B9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本附件规定了合同材料的供货范围。卖方保证提供材料为全新的、先进的、成熟的、完整的和安全可靠的。</w:t>
      </w:r>
    </w:p>
    <w:p w14:paraId="3B69D5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卖方提供详细供货清单。</w:t>
      </w:r>
    </w:p>
    <w:p w14:paraId="662ACCB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卖方提供所有安装和检修所需专用工具和消耗材料等。</w:t>
      </w:r>
    </w:p>
    <w:p w14:paraId="12FD4FD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bookmarkStart w:id="1794" w:name="_Toc24782"/>
      <w:bookmarkStart w:id="1795" w:name="_Toc381214411"/>
      <w:r>
        <w:rPr>
          <w:rFonts w:hint="eastAsia" w:ascii="宋体" w:hAnsi="宋体" w:eastAsia="宋体" w:cs="宋体"/>
          <w:color w:val="auto"/>
          <w:sz w:val="24"/>
          <w:szCs w:val="24"/>
          <w:lang w:eastAsia="zh-CN"/>
        </w:rPr>
        <w:t>②供货范围</w:t>
      </w:r>
      <w:bookmarkEnd w:id="1794"/>
      <w:bookmarkEnd w:id="1795"/>
    </w:p>
    <w:p w14:paraId="1AECDB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设备明细数量</w:t>
      </w:r>
    </w:p>
    <w:p w14:paraId="0BAD82A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具体供货清单如下表所示： </w:t>
      </w:r>
    </w:p>
    <w:p w14:paraId="1A7A59F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a.动态无功补偿成套装置包括组成该套装置所必需的元器件，以及安装使用的其他元器件。</w:t>
      </w:r>
    </w:p>
    <w:p w14:paraId="62DA715C">
      <w:pPr>
        <w:widowControl w:val="0"/>
        <w:kinsoku/>
        <w:topLinePunct/>
        <w:autoSpaceDE/>
        <w:autoSpaceDN/>
        <w:spacing w:line="520" w:lineRule="exact"/>
        <w:ind w:firstLine="480" w:firstLineChars="200"/>
        <w:jc w:val="both"/>
        <w:rPr>
          <w:color w:val="auto"/>
          <w:lang w:eastAsia="zh-CN"/>
        </w:rPr>
      </w:pPr>
      <w:r>
        <w:rPr>
          <w:rFonts w:hint="eastAsia" w:ascii="宋体" w:hAnsi="宋体" w:eastAsia="宋体" w:cs="宋体"/>
          <w:color w:val="auto"/>
          <w:sz w:val="24"/>
          <w:szCs w:val="24"/>
          <w:lang w:eastAsia="zh-CN"/>
        </w:rPr>
        <w:t>b.控制系统成套装置包括所有状态显示、警报、操作接口、讯息显示屏幕及其它所需接</w:t>
      </w:r>
      <w:r>
        <w:rPr>
          <w:rFonts w:hint="eastAsia"/>
          <w:color w:val="auto"/>
          <w:lang w:eastAsia="zh-CN"/>
        </w:rPr>
        <w:t>口设备。</w:t>
      </w:r>
    </w:p>
    <w:p w14:paraId="713BB0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c.该成套装置与高压开关柜之间的连接电缆、控制电源、通讯电缆，由买方提供。</w:t>
      </w:r>
    </w:p>
    <w:p w14:paraId="19E8AB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d.整机外形尺寸： 4100mm（长）*1400mm（深）*2405mm（高）。</w:t>
      </w:r>
    </w:p>
    <w:p w14:paraId="0E16D273">
      <w:pPr>
        <w:widowControl w:val="0"/>
        <w:kinsoku/>
        <w:topLinePunct/>
        <w:autoSpaceDE/>
        <w:autoSpaceDN/>
        <w:spacing w:line="5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SVG供货清单</w:t>
      </w:r>
    </w:p>
    <w:tbl>
      <w:tblPr>
        <w:tblStyle w:val="6"/>
        <w:tblpPr w:leftFromText="180" w:rightFromText="180" w:vertAnchor="text" w:horzAnchor="margin" w:tblpY="30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2661"/>
        <w:gridCol w:w="2286"/>
        <w:gridCol w:w="744"/>
        <w:gridCol w:w="913"/>
        <w:gridCol w:w="1745"/>
      </w:tblGrid>
      <w:tr w14:paraId="07F7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831" w:type="dxa"/>
          </w:tcPr>
          <w:p w14:paraId="1C9434FC">
            <w:pPr>
              <w:jc w:val="center"/>
              <w:rPr>
                <w:rFonts w:ascii="宋体" w:hAnsi="宋体"/>
                <w:color w:val="auto"/>
                <w:szCs w:val="24"/>
              </w:rPr>
            </w:pPr>
            <w:r>
              <w:rPr>
                <w:rFonts w:hint="eastAsia" w:ascii="宋体" w:hAnsi="宋体"/>
                <w:color w:val="auto"/>
                <w:szCs w:val="24"/>
              </w:rPr>
              <w:t>序号</w:t>
            </w:r>
          </w:p>
        </w:tc>
        <w:tc>
          <w:tcPr>
            <w:tcW w:w="2661" w:type="dxa"/>
            <w:vAlign w:val="center"/>
          </w:tcPr>
          <w:p w14:paraId="7CC16BA7">
            <w:pPr>
              <w:ind w:right="-288" w:rightChars="-137"/>
              <w:jc w:val="center"/>
              <w:rPr>
                <w:rFonts w:ascii="宋体" w:hAnsi="宋体"/>
                <w:color w:val="auto"/>
                <w:szCs w:val="24"/>
              </w:rPr>
            </w:pPr>
            <w:r>
              <w:rPr>
                <w:rFonts w:hint="eastAsia" w:ascii="宋体" w:hAnsi="宋体"/>
                <w:color w:val="auto"/>
                <w:szCs w:val="24"/>
              </w:rPr>
              <w:t>名称</w:t>
            </w:r>
          </w:p>
        </w:tc>
        <w:tc>
          <w:tcPr>
            <w:tcW w:w="2286" w:type="dxa"/>
            <w:vAlign w:val="center"/>
          </w:tcPr>
          <w:p w14:paraId="234BEA25">
            <w:pPr>
              <w:jc w:val="center"/>
              <w:rPr>
                <w:rFonts w:ascii="宋体" w:hAnsi="宋体"/>
                <w:color w:val="auto"/>
                <w:szCs w:val="24"/>
              </w:rPr>
            </w:pPr>
            <w:r>
              <w:rPr>
                <w:rFonts w:hint="eastAsia" w:ascii="宋体" w:hAnsi="宋体"/>
                <w:color w:val="auto"/>
                <w:szCs w:val="24"/>
              </w:rPr>
              <w:t>规格型号</w:t>
            </w:r>
          </w:p>
        </w:tc>
        <w:tc>
          <w:tcPr>
            <w:tcW w:w="744" w:type="dxa"/>
            <w:vAlign w:val="center"/>
          </w:tcPr>
          <w:p w14:paraId="32624650">
            <w:pPr>
              <w:jc w:val="center"/>
              <w:rPr>
                <w:rFonts w:ascii="宋体" w:hAnsi="宋体"/>
                <w:color w:val="auto"/>
                <w:szCs w:val="24"/>
              </w:rPr>
            </w:pPr>
            <w:r>
              <w:rPr>
                <w:rFonts w:hint="eastAsia" w:ascii="宋体" w:hAnsi="宋体"/>
                <w:color w:val="auto"/>
                <w:szCs w:val="24"/>
              </w:rPr>
              <w:t>单位</w:t>
            </w:r>
          </w:p>
        </w:tc>
        <w:tc>
          <w:tcPr>
            <w:tcW w:w="913" w:type="dxa"/>
            <w:vAlign w:val="center"/>
          </w:tcPr>
          <w:p w14:paraId="7F303FBA">
            <w:pPr>
              <w:jc w:val="center"/>
              <w:rPr>
                <w:rFonts w:ascii="宋体" w:hAnsi="宋体"/>
                <w:color w:val="auto"/>
                <w:szCs w:val="24"/>
              </w:rPr>
            </w:pPr>
            <w:r>
              <w:rPr>
                <w:rFonts w:hint="eastAsia" w:ascii="宋体" w:hAnsi="宋体"/>
                <w:color w:val="auto"/>
                <w:szCs w:val="24"/>
              </w:rPr>
              <w:t>数量</w:t>
            </w:r>
          </w:p>
        </w:tc>
        <w:tc>
          <w:tcPr>
            <w:tcW w:w="1745" w:type="dxa"/>
            <w:vAlign w:val="center"/>
          </w:tcPr>
          <w:p w14:paraId="7909CC83">
            <w:pPr>
              <w:jc w:val="center"/>
              <w:rPr>
                <w:rFonts w:ascii="宋体" w:hAnsi="宋体"/>
                <w:color w:val="auto"/>
                <w:szCs w:val="24"/>
              </w:rPr>
            </w:pPr>
            <w:r>
              <w:rPr>
                <w:rFonts w:hint="eastAsia" w:ascii="宋体" w:hAnsi="宋体"/>
                <w:color w:val="auto"/>
                <w:szCs w:val="24"/>
              </w:rPr>
              <w:t>制造厂</w:t>
            </w:r>
          </w:p>
        </w:tc>
      </w:tr>
      <w:tr w14:paraId="7C39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831" w:type="dxa"/>
            <w:vAlign w:val="center"/>
          </w:tcPr>
          <w:p w14:paraId="42C94E11">
            <w:pPr>
              <w:jc w:val="center"/>
              <w:rPr>
                <w:rFonts w:ascii="宋体" w:hAnsi="宋体"/>
                <w:color w:val="auto"/>
                <w:szCs w:val="24"/>
              </w:rPr>
            </w:pPr>
            <w:r>
              <w:rPr>
                <w:rFonts w:hint="eastAsia" w:ascii="宋体" w:hAnsi="宋体"/>
                <w:color w:val="auto"/>
                <w:szCs w:val="24"/>
              </w:rPr>
              <w:t>1</w:t>
            </w:r>
          </w:p>
        </w:tc>
        <w:tc>
          <w:tcPr>
            <w:tcW w:w="2661" w:type="dxa"/>
            <w:vAlign w:val="center"/>
          </w:tcPr>
          <w:p w14:paraId="3FC4BD97">
            <w:pPr>
              <w:rPr>
                <w:rFonts w:ascii="宋体" w:hAnsi="宋体"/>
                <w:color w:val="auto"/>
                <w:szCs w:val="24"/>
              </w:rPr>
            </w:pPr>
            <w:r>
              <w:rPr>
                <w:rFonts w:hint="eastAsia" w:ascii="宋体" w:hAnsi="宋体"/>
                <w:color w:val="auto"/>
                <w:szCs w:val="24"/>
              </w:rPr>
              <w:t>SVG装置部分</w:t>
            </w:r>
          </w:p>
        </w:tc>
        <w:tc>
          <w:tcPr>
            <w:tcW w:w="2286" w:type="dxa"/>
            <w:vAlign w:val="center"/>
          </w:tcPr>
          <w:p w14:paraId="79AA1468">
            <w:pPr>
              <w:jc w:val="center"/>
              <w:rPr>
                <w:rFonts w:ascii="宋体" w:hAnsi="宋体"/>
                <w:color w:val="auto"/>
                <w:szCs w:val="24"/>
              </w:rPr>
            </w:pPr>
          </w:p>
        </w:tc>
        <w:tc>
          <w:tcPr>
            <w:tcW w:w="744" w:type="dxa"/>
            <w:vAlign w:val="center"/>
          </w:tcPr>
          <w:p w14:paraId="0CDDCFB9">
            <w:pPr>
              <w:jc w:val="center"/>
              <w:rPr>
                <w:rFonts w:ascii="宋体" w:hAnsi="宋体"/>
                <w:color w:val="auto"/>
                <w:szCs w:val="24"/>
              </w:rPr>
            </w:pPr>
            <w:r>
              <w:rPr>
                <w:rFonts w:hint="eastAsia" w:ascii="宋体" w:hAnsi="宋体"/>
                <w:color w:val="auto"/>
                <w:szCs w:val="24"/>
              </w:rPr>
              <w:t>套</w:t>
            </w:r>
          </w:p>
        </w:tc>
        <w:tc>
          <w:tcPr>
            <w:tcW w:w="913" w:type="dxa"/>
            <w:vAlign w:val="center"/>
          </w:tcPr>
          <w:p w14:paraId="34769C16">
            <w:pPr>
              <w:jc w:val="center"/>
              <w:rPr>
                <w:rFonts w:ascii="宋体" w:hAnsi="宋体"/>
                <w:color w:val="auto"/>
                <w:szCs w:val="24"/>
              </w:rPr>
            </w:pPr>
            <w:r>
              <w:rPr>
                <w:rFonts w:hint="eastAsia" w:ascii="宋体" w:hAnsi="宋体"/>
                <w:color w:val="auto"/>
                <w:szCs w:val="24"/>
              </w:rPr>
              <w:t>2</w:t>
            </w:r>
          </w:p>
        </w:tc>
        <w:tc>
          <w:tcPr>
            <w:tcW w:w="1745" w:type="dxa"/>
            <w:vAlign w:val="center"/>
          </w:tcPr>
          <w:p w14:paraId="454ED474">
            <w:pPr>
              <w:jc w:val="center"/>
              <w:rPr>
                <w:rFonts w:ascii="宋体" w:hAnsi="宋体"/>
                <w:color w:val="auto"/>
                <w:szCs w:val="24"/>
              </w:rPr>
            </w:pPr>
          </w:p>
        </w:tc>
      </w:tr>
      <w:tr w14:paraId="06AF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831" w:type="dxa"/>
          </w:tcPr>
          <w:p w14:paraId="3C2D0849">
            <w:pPr>
              <w:jc w:val="center"/>
              <w:rPr>
                <w:rFonts w:ascii="宋体" w:hAnsi="宋体"/>
                <w:color w:val="auto"/>
                <w:szCs w:val="24"/>
              </w:rPr>
            </w:pPr>
            <w:r>
              <w:rPr>
                <w:rFonts w:hint="eastAsia" w:ascii="宋体" w:hAnsi="宋体"/>
                <w:color w:val="auto"/>
                <w:szCs w:val="24"/>
              </w:rPr>
              <w:t>2</w:t>
            </w:r>
          </w:p>
        </w:tc>
        <w:tc>
          <w:tcPr>
            <w:tcW w:w="2661" w:type="dxa"/>
            <w:vAlign w:val="center"/>
          </w:tcPr>
          <w:p w14:paraId="26A3B3DC">
            <w:pPr>
              <w:rPr>
                <w:rFonts w:ascii="宋体" w:hAnsi="宋体"/>
                <w:color w:val="auto"/>
                <w:szCs w:val="24"/>
                <w:lang w:eastAsia="zh-CN"/>
              </w:rPr>
            </w:pPr>
            <w:r>
              <w:rPr>
                <w:rFonts w:hint="eastAsia" w:ascii="宋体" w:hAnsi="宋体"/>
                <w:color w:val="auto"/>
                <w:szCs w:val="24"/>
                <w:lang w:eastAsia="zh-CN"/>
              </w:rPr>
              <w:t>成套装置内部连接电缆</w:t>
            </w:r>
          </w:p>
        </w:tc>
        <w:tc>
          <w:tcPr>
            <w:tcW w:w="2286" w:type="dxa"/>
            <w:vAlign w:val="center"/>
          </w:tcPr>
          <w:p w14:paraId="7137C281">
            <w:pPr>
              <w:jc w:val="center"/>
              <w:rPr>
                <w:rFonts w:ascii="宋体" w:hAnsi="宋体"/>
                <w:color w:val="auto"/>
                <w:szCs w:val="24"/>
                <w:lang w:eastAsia="zh-CN"/>
              </w:rPr>
            </w:pPr>
          </w:p>
        </w:tc>
        <w:tc>
          <w:tcPr>
            <w:tcW w:w="744" w:type="dxa"/>
            <w:vAlign w:val="center"/>
          </w:tcPr>
          <w:p w14:paraId="032DC8ED">
            <w:pPr>
              <w:jc w:val="center"/>
              <w:rPr>
                <w:rFonts w:ascii="宋体" w:hAnsi="宋体"/>
                <w:color w:val="auto"/>
                <w:szCs w:val="24"/>
              </w:rPr>
            </w:pPr>
            <w:r>
              <w:rPr>
                <w:rFonts w:hint="eastAsia" w:ascii="宋体" w:hAnsi="宋体"/>
                <w:color w:val="auto"/>
                <w:szCs w:val="24"/>
              </w:rPr>
              <w:t>套</w:t>
            </w:r>
          </w:p>
        </w:tc>
        <w:tc>
          <w:tcPr>
            <w:tcW w:w="913" w:type="dxa"/>
            <w:vAlign w:val="center"/>
          </w:tcPr>
          <w:p w14:paraId="0E81DB88">
            <w:pPr>
              <w:jc w:val="center"/>
              <w:rPr>
                <w:rFonts w:ascii="宋体" w:hAnsi="宋体"/>
                <w:color w:val="auto"/>
                <w:szCs w:val="24"/>
              </w:rPr>
            </w:pPr>
            <w:r>
              <w:rPr>
                <w:rFonts w:hint="eastAsia" w:ascii="宋体" w:hAnsi="宋体"/>
                <w:color w:val="auto"/>
                <w:szCs w:val="24"/>
              </w:rPr>
              <w:t>2</w:t>
            </w:r>
          </w:p>
        </w:tc>
        <w:tc>
          <w:tcPr>
            <w:tcW w:w="1745" w:type="dxa"/>
            <w:vAlign w:val="center"/>
          </w:tcPr>
          <w:p w14:paraId="26CFA310">
            <w:pPr>
              <w:jc w:val="center"/>
              <w:rPr>
                <w:rFonts w:ascii="宋体" w:hAnsi="宋体"/>
                <w:color w:val="auto"/>
                <w:szCs w:val="24"/>
              </w:rPr>
            </w:pPr>
          </w:p>
        </w:tc>
      </w:tr>
      <w:tr w14:paraId="5848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831" w:type="dxa"/>
          </w:tcPr>
          <w:p w14:paraId="10E3FED2">
            <w:pPr>
              <w:jc w:val="center"/>
              <w:rPr>
                <w:rFonts w:ascii="宋体" w:hAnsi="宋体"/>
                <w:color w:val="auto"/>
                <w:szCs w:val="24"/>
              </w:rPr>
            </w:pPr>
            <w:r>
              <w:rPr>
                <w:rFonts w:hint="eastAsia" w:ascii="宋体" w:hAnsi="宋体"/>
                <w:color w:val="auto"/>
                <w:szCs w:val="24"/>
              </w:rPr>
              <w:t>3</w:t>
            </w:r>
          </w:p>
        </w:tc>
        <w:tc>
          <w:tcPr>
            <w:tcW w:w="2661" w:type="dxa"/>
            <w:vAlign w:val="center"/>
          </w:tcPr>
          <w:p w14:paraId="15B38938">
            <w:pPr>
              <w:rPr>
                <w:rFonts w:ascii="宋体" w:hAnsi="宋体"/>
                <w:color w:val="auto"/>
                <w:szCs w:val="24"/>
              </w:rPr>
            </w:pPr>
            <w:r>
              <w:rPr>
                <w:rFonts w:hint="eastAsia" w:ascii="宋体" w:hAnsi="宋体"/>
                <w:color w:val="auto"/>
                <w:szCs w:val="24"/>
              </w:rPr>
              <w:t>必要的备品备件</w:t>
            </w:r>
          </w:p>
        </w:tc>
        <w:tc>
          <w:tcPr>
            <w:tcW w:w="2286" w:type="dxa"/>
            <w:vAlign w:val="center"/>
          </w:tcPr>
          <w:p w14:paraId="23A3F566">
            <w:pPr>
              <w:jc w:val="center"/>
              <w:rPr>
                <w:rFonts w:ascii="宋体" w:hAnsi="宋体"/>
                <w:color w:val="auto"/>
                <w:szCs w:val="24"/>
              </w:rPr>
            </w:pPr>
          </w:p>
        </w:tc>
        <w:tc>
          <w:tcPr>
            <w:tcW w:w="744" w:type="dxa"/>
            <w:vAlign w:val="center"/>
          </w:tcPr>
          <w:p w14:paraId="640A0B8A">
            <w:pPr>
              <w:jc w:val="center"/>
              <w:rPr>
                <w:rFonts w:ascii="宋体" w:hAnsi="宋体"/>
                <w:color w:val="auto"/>
                <w:szCs w:val="24"/>
              </w:rPr>
            </w:pPr>
            <w:r>
              <w:rPr>
                <w:rFonts w:hint="eastAsia" w:ascii="宋体" w:hAnsi="宋体"/>
                <w:color w:val="auto"/>
                <w:szCs w:val="24"/>
              </w:rPr>
              <w:t>套</w:t>
            </w:r>
          </w:p>
        </w:tc>
        <w:tc>
          <w:tcPr>
            <w:tcW w:w="913" w:type="dxa"/>
            <w:vAlign w:val="center"/>
          </w:tcPr>
          <w:p w14:paraId="7069A3E4">
            <w:pPr>
              <w:jc w:val="center"/>
              <w:rPr>
                <w:rFonts w:ascii="宋体" w:hAnsi="宋体"/>
                <w:color w:val="auto"/>
                <w:szCs w:val="24"/>
              </w:rPr>
            </w:pPr>
            <w:r>
              <w:rPr>
                <w:rFonts w:hint="eastAsia" w:ascii="宋体" w:hAnsi="宋体"/>
                <w:color w:val="auto"/>
                <w:szCs w:val="24"/>
              </w:rPr>
              <w:t>1</w:t>
            </w:r>
          </w:p>
        </w:tc>
        <w:tc>
          <w:tcPr>
            <w:tcW w:w="1745" w:type="dxa"/>
            <w:vAlign w:val="center"/>
          </w:tcPr>
          <w:p w14:paraId="1FC15E36">
            <w:pPr>
              <w:jc w:val="center"/>
              <w:rPr>
                <w:rFonts w:ascii="宋体" w:hAnsi="宋体"/>
                <w:color w:val="auto"/>
                <w:szCs w:val="24"/>
              </w:rPr>
            </w:pPr>
          </w:p>
        </w:tc>
      </w:tr>
      <w:tr w14:paraId="43A6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831" w:type="dxa"/>
          </w:tcPr>
          <w:p w14:paraId="5DFB54BB">
            <w:pPr>
              <w:jc w:val="center"/>
              <w:rPr>
                <w:rFonts w:ascii="宋体" w:hAnsi="宋体"/>
                <w:color w:val="auto"/>
                <w:szCs w:val="24"/>
              </w:rPr>
            </w:pPr>
            <w:r>
              <w:rPr>
                <w:rFonts w:hint="eastAsia" w:ascii="宋体" w:hAnsi="宋体"/>
                <w:color w:val="auto"/>
                <w:szCs w:val="24"/>
              </w:rPr>
              <w:t>4</w:t>
            </w:r>
          </w:p>
        </w:tc>
        <w:tc>
          <w:tcPr>
            <w:tcW w:w="2661" w:type="dxa"/>
            <w:vAlign w:val="center"/>
          </w:tcPr>
          <w:p w14:paraId="0DEE6B6B">
            <w:pPr>
              <w:rPr>
                <w:rFonts w:ascii="宋体" w:hAnsi="宋体"/>
                <w:color w:val="auto"/>
                <w:szCs w:val="24"/>
              </w:rPr>
            </w:pPr>
            <w:r>
              <w:rPr>
                <w:rFonts w:hint="eastAsia" w:ascii="宋体" w:hAnsi="宋体"/>
                <w:color w:val="auto"/>
                <w:szCs w:val="24"/>
              </w:rPr>
              <w:t>连接电抗器</w:t>
            </w:r>
          </w:p>
        </w:tc>
        <w:tc>
          <w:tcPr>
            <w:tcW w:w="2286" w:type="dxa"/>
            <w:vAlign w:val="center"/>
          </w:tcPr>
          <w:p w14:paraId="0E9BA76A">
            <w:pPr>
              <w:jc w:val="center"/>
              <w:rPr>
                <w:rFonts w:ascii="宋体" w:hAnsi="宋体"/>
                <w:color w:val="auto"/>
                <w:szCs w:val="24"/>
              </w:rPr>
            </w:pPr>
          </w:p>
        </w:tc>
        <w:tc>
          <w:tcPr>
            <w:tcW w:w="744" w:type="dxa"/>
            <w:vAlign w:val="center"/>
          </w:tcPr>
          <w:p w14:paraId="04724230">
            <w:pPr>
              <w:jc w:val="center"/>
              <w:rPr>
                <w:rFonts w:ascii="宋体" w:hAnsi="宋体"/>
                <w:color w:val="auto"/>
                <w:szCs w:val="24"/>
              </w:rPr>
            </w:pPr>
            <w:r>
              <w:rPr>
                <w:rFonts w:hint="eastAsia" w:ascii="宋体" w:hAnsi="宋体"/>
                <w:color w:val="auto"/>
                <w:szCs w:val="24"/>
              </w:rPr>
              <w:t>套</w:t>
            </w:r>
          </w:p>
        </w:tc>
        <w:tc>
          <w:tcPr>
            <w:tcW w:w="913" w:type="dxa"/>
            <w:vAlign w:val="center"/>
          </w:tcPr>
          <w:p w14:paraId="2E61D327">
            <w:pPr>
              <w:jc w:val="center"/>
              <w:rPr>
                <w:rFonts w:ascii="宋体" w:hAnsi="宋体"/>
                <w:color w:val="auto"/>
                <w:szCs w:val="24"/>
              </w:rPr>
            </w:pPr>
            <w:r>
              <w:rPr>
                <w:rFonts w:hint="eastAsia" w:ascii="宋体" w:hAnsi="宋体"/>
                <w:color w:val="auto"/>
                <w:szCs w:val="24"/>
              </w:rPr>
              <w:t>1</w:t>
            </w:r>
          </w:p>
        </w:tc>
        <w:tc>
          <w:tcPr>
            <w:tcW w:w="1745" w:type="dxa"/>
            <w:vAlign w:val="center"/>
          </w:tcPr>
          <w:p w14:paraId="79EE3CFB">
            <w:pPr>
              <w:jc w:val="center"/>
              <w:rPr>
                <w:rFonts w:ascii="宋体" w:hAnsi="宋体"/>
                <w:color w:val="auto"/>
                <w:szCs w:val="24"/>
              </w:rPr>
            </w:pPr>
          </w:p>
        </w:tc>
      </w:tr>
      <w:tr w14:paraId="5004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831" w:type="dxa"/>
          </w:tcPr>
          <w:p w14:paraId="614E3656">
            <w:pPr>
              <w:jc w:val="center"/>
              <w:rPr>
                <w:rFonts w:ascii="宋体" w:hAnsi="宋体"/>
                <w:color w:val="auto"/>
                <w:szCs w:val="24"/>
              </w:rPr>
            </w:pPr>
            <w:r>
              <w:rPr>
                <w:rFonts w:hint="eastAsia" w:ascii="宋体" w:hAnsi="宋体"/>
                <w:color w:val="auto"/>
                <w:szCs w:val="24"/>
              </w:rPr>
              <w:t>8</w:t>
            </w:r>
          </w:p>
        </w:tc>
        <w:tc>
          <w:tcPr>
            <w:tcW w:w="2661" w:type="dxa"/>
            <w:vAlign w:val="center"/>
          </w:tcPr>
          <w:p w14:paraId="10875CCF">
            <w:pPr>
              <w:rPr>
                <w:rFonts w:ascii="宋体" w:hAnsi="宋体"/>
                <w:color w:val="auto"/>
                <w:szCs w:val="24"/>
              </w:rPr>
            </w:pPr>
            <w:r>
              <w:rPr>
                <w:rFonts w:hint="eastAsia" w:ascii="宋体" w:hAnsi="宋体"/>
                <w:color w:val="auto"/>
                <w:szCs w:val="24"/>
              </w:rPr>
              <w:t>发货资料</w:t>
            </w:r>
          </w:p>
        </w:tc>
        <w:tc>
          <w:tcPr>
            <w:tcW w:w="2286" w:type="dxa"/>
            <w:vAlign w:val="center"/>
          </w:tcPr>
          <w:p w14:paraId="34002354">
            <w:pPr>
              <w:jc w:val="center"/>
              <w:rPr>
                <w:rFonts w:ascii="宋体" w:hAnsi="宋体"/>
                <w:color w:val="auto"/>
                <w:szCs w:val="24"/>
              </w:rPr>
            </w:pPr>
          </w:p>
        </w:tc>
        <w:tc>
          <w:tcPr>
            <w:tcW w:w="744" w:type="dxa"/>
            <w:vAlign w:val="center"/>
          </w:tcPr>
          <w:p w14:paraId="045814DA">
            <w:pPr>
              <w:jc w:val="center"/>
              <w:rPr>
                <w:rFonts w:ascii="宋体" w:hAnsi="宋体"/>
                <w:color w:val="auto"/>
                <w:szCs w:val="24"/>
              </w:rPr>
            </w:pPr>
            <w:r>
              <w:rPr>
                <w:rFonts w:hint="eastAsia" w:ascii="宋体" w:hAnsi="宋体"/>
                <w:color w:val="auto"/>
                <w:szCs w:val="24"/>
              </w:rPr>
              <w:t>套</w:t>
            </w:r>
          </w:p>
        </w:tc>
        <w:tc>
          <w:tcPr>
            <w:tcW w:w="913" w:type="dxa"/>
            <w:vAlign w:val="center"/>
          </w:tcPr>
          <w:p w14:paraId="42249FAD">
            <w:pPr>
              <w:jc w:val="center"/>
              <w:rPr>
                <w:rFonts w:ascii="宋体" w:hAnsi="宋体"/>
                <w:color w:val="auto"/>
                <w:szCs w:val="24"/>
              </w:rPr>
            </w:pPr>
            <w:r>
              <w:rPr>
                <w:rFonts w:hint="eastAsia" w:ascii="宋体" w:hAnsi="宋体"/>
                <w:color w:val="auto"/>
                <w:szCs w:val="24"/>
              </w:rPr>
              <w:t>1</w:t>
            </w:r>
          </w:p>
        </w:tc>
        <w:tc>
          <w:tcPr>
            <w:tcW w:w="1745" w:type="dxa"/>
            <w:vAlign w:val="center"/>
          </w:tcPr>
          <w:p w14:paraId="120E7755">
            <w:pPr>
              <w:jc w:val="center"/>
              <w:rPr>
                <w:rFonts w:ascii="宋体" w:hAnsi="宋体"/>
                <w:color w:val="auto"/>
                <w:szCs w:val="24"/>
              </w:rPr>
            </w:pPr>
          </w:p>
        </w:tc>
      </w:tr>
    </w:tbl>
    <w:p w14:paraId="5FD240D9">
      <w:pPr>
        <w:rPr>
          <w:color w:val="auto"/>
          <w:szCs w:val="24"/>
        </w:rPr>
      </w:pPr>
    </w:p>
    <w:p w14:paraId="200EAA5D">
      <w:pPr>
        <w:jc w:val="center"/>
        <w:rPr>
          <w:color w:val="auto"/>
          <w:szCs w:val="24"/>
        </w:rPr>
      </w:pPr>
    </w:p>
    <w:p w14:paraId="6DAA69FB">
      <w:pPr>
        <w:jc w:val="center"/>
        <w:rPr>
          <w:color w:val="auto"/>
          <w:szCs w:val="24"/>
        </w:rPr>
      </w:pPr>
    </w:p>
    <w:p w14:paraId="3DB0A4DD">
      <w:pPr>
        <w:jc w:val="center"/>
        <w:rPr>
          <w:color w:val="auto"/>
          <w:szCs w:val="24"/>
        </w:rPr>
      </w:pPr>
      <w:r>
        <w:rPr>
          <w:rFonts w:hint="eastAsia"/>
          <w:color w:val="auto"/>
          <w:szCs w:val="24"/>
        </w:rPr>
        <w:t>备品备件及专用工具</w:t>
      </w:r>
    </w:p>
    <w:tbl>
      <w:tblPr>
        <w:tblStyle w:val="6"/>
        <w:tblW w:w="895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92"/>
        <w:gridCol w:w="1483"/>
        <w:gridCol w:w="2076"/>
        <w:gridCol w:w="1552"/>
        <w:gridCol w:w="1759"/>
        <w:gridCol w:w="991"/>
      </w:tblGrid>
      <w:tr w14:paraId="76E148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8" w:hRule="atLeast"/>
        </w:trPr>
        <w:tc>
          <w:tcPr>
            <w:tcW w:w="1092" w:type="dxa"/>
            <w:tcBorders>
              <w:top w:val="single" w:color="auto" w:sz="4" w:space="0"/>
              <w:left w:val="single" w:color="auto" w:sz="4" w:space="0"/>
              <w:bottom w:val="single" w:color="auto" w:sz="4" w:space="0"/>
              <w:right w:val="single" w:color="auto" w:sz="4" w:space="0"/>
            </w:tcBorders>
            <w:vAlign w:val="center"/>
          </w:tcPr>
          <w:p w14:paraId="3CB194AB">
            <w:pPr>
              <w:jc w:val="center"/>
              <w:rPr>
                <w:rFonts w:ascii="宋体" w:hAnsi="宋体"/>
                <w:color w:val="auto"/>
                <w:kern w:val="2"/>
                <w:szCs w:val="24"/>
              </w:rPr>
            </w:pPr>
            <w:r>
              <w:rPr>
                <w:rFonts w:hint="eastAsia" w:ascii="宋体" w:hAnsi="宋体"/>
                <w:color w:val="auto"/>
                <w:kern w:val="2"/>
                <w:szCs w:val="24"/>
              </w:rPr>
              <w:t>序号</w:t>
            </w:r>
          </w:p>
        </w:tc>
        <w:tc>
          <w:tcPr>
            <w:tcW w:w="1483" w:type="dxa"/>
            <w:tcBorders>
              <w:top w:val="single" w:color="auto" w:sz="4" w:space="0"/>
              <w:left w:val="single" w:color="auto" w:sz="4" w:space="0"/>
              <w:bottom w:val="single" w:color="auto" w:sz="4" w:space="0"/>
              <w:right w:val="single" w:color="auto" w:sz="4" w:space="0"/>
            </w:tcBorders>
            <w:vAlign w:val="center"/>
          </w:tcPr>
          <w:p w14:paraId="03A12A8F">
            <w:pPr>
              <w:jc w:val="center"/>
              <w:rPr>
                <w:rFonts w:ascii="宋体" w:hAnsi="宋体"/>
                <w:color w:val="auto"/>
                <w:kern w:val="2"/>
                <w:szCs w:val="24"/>
              </w:rPr>
            </w:pPr>
            <w:r>
              <w:rPr>
                <w:rFonts w:hint="eastAsia" w:ascii="宋体" w:hAnsi="宋体"/>
                <w:color w:val="auto"/>
                <w:kern w:val="2"/>
                <w:szCs w:val="24"/>
              </w:rPr>
              <w:t>名 称</w:t>
            </w:r>
          </w:p>
        </w:tc>
        <w:tc>
          <w:tcPr>
            <w:tcW w:w="2076" w:type="dxa"/>
            <w:tcBorders>
              <w:top w:val="single" w:color="auto" w:sz="4" w:space="0"/>
              <w:left w:val="single" w:color="auto" w:sz="4" w:space="0"/>
              <w:bottom w:val="single" w:color="auto" w:sz="4" w:space="0"/>
              <w:right w:val="single" w:color="auto" w:sz="4" w:space="0"/>
            </w:tcBorders>
            <w:vAlign w:val="center"/>
          </w:tcPr>
          <w:p w14:paraId="58EA5989">
            <w:pPr>
              <w:jc w:val="center"/>
              <w:rPr>
                <w:rFonts w:ascii="宋体" w:hAnsi="宋体"/>
                <w:color w:val="auto"/>
                <w:kern w:val="2"/>
                <w:szCs w:val="24"/>
              </w:rPr>
            </w:pPr>
            <w:r>
              <w:rPr>
                <w:rFonts w:hint="eastAsia" w:ascii="宋体" w:hAnsi="宋体"/>
                <w:color w:val="auto"/>
                <w:kern w:val="2"/>
                <w:szCs w:val="24"/>
              </w:rPr>
              <w:t>型号规格</w:t>
            </w:r>
          </w:p>
        </w:tc>
        <w:tc>
          <w:tcPr>
            <w:tcW w:w="1552" w:type="dxa"/>
            <w:tcBorders>
              <w:top w:val="single" w:color="auto" w:sz="4" w:space="0"/>
              <w:left w:val="single" w:color="auto" w:sz="4" w:space="0"/>
              <w:bottom w:val="single" w:color="auto" w:sz="4" w:space="0"/>
              <w:right w:val="single" w:color="auto" w:sz="4" w:space="0"/>
            </w:tcBorders>
            <w:vAlign w:val="center"/>
          </w:tcPr>
          <w:p w14:paraId="3179AF57">
            <w:pPr>
              <w:jc w:val="center"/>
              <w:rPr>
                <w:rFonts w:ascii="宋体" w:hAnsi="宋体"/>
                <w:color w:val="auto"/>
                <w:kern w:val="2"/>
                <w:szCs w:val="24"/>
              </w:rPr>
            </w:pPr>
            <w:r>
              <w:rPr>
                <w:rFonts w:hint="eastAsia" w:ascii="宋体" w:hAnsi="宋体"/>
                <w:color w:val="auto"/>
                <w:kern w:val="2"/>
                <w:szCs w:val="24"/>
              </w:rPr>
              <w:t>数量</w:t>
            </w:r>
          </w:p>
        </w:tc>
        <w:tc>
          <w:tcPr>
            <w:tcW w:w="1759" w:type="dxa"/>
            <w:tcBorders>
              <w:top w:val="single" w:color="auto" w:sz="4" w:space="0"/>
              <w:left w:val="single" w:color="auto" w:sz="4" w:space="0"/>
              <w:bottom w:val="single" w:color="auto" w:sz="4" w:space="0"/>
              <w:right w:val="single" w:color="auto" w:sz="4" w:space="0"/>
            </w:tcBorders>
            <w:vAlign w:val="center"/>
          </w:tcPr>
          <w:p w14:paraId="24487CE4">
            <w:pPr>
              <w:jc w:val="center"/>
              <w:rPr>
                <w:rFonts w:ascii="宋体" w:hAnsi="宋体"/>
                <w:color w:val="auto"/>
                <w:kern w:val="2"/>
                <w:szCs w:val="24"/>
              </w:rPr>
            </w:pPr>
            <w:r>
              <w:rPr>
                <w:rFonts w:hint="eastAsia" w:ascii="宋体" w:hAnsi="宋体"/>
                <w:color w:val="auto"/>
                <w:kern w:val="2"/>
                <w:szCs w:val="24"/>
              </w:rPr>
              <w:t>制造厂</w:t>
            </w:r>
          </w:p>
        </w:tc>
        <w:tc>
          <w:tcPr>
            <w:tcW w:w="991" w:type="dxa"/>
            <w:tcBorders>
              <w:top w:val="single" w:color="auto" w:sz="4" w:space="0"/>
              <w:left w:val="single" w:color="auto" w:sz="4" w:space="0"/>
              <w:bottom w:val="single" w:color="auto" w:sz="4" w:space="0"/>
              <w:right w:val="single" w:color="auto" w:sz="4" w:space="0"/>
            </w:tcBorders>
            <w:vAlign w:val="center"/>
          </w:tcPr>
          <w:p w14:paraId="0BEBF9F8">
            <w:pPr>
              <w:jc w:val="center"/>
              <w:rPr>
                <w:rFonts w:ascii="宋体" w:hAnsi="宋体"/>
                <w:color w:val="auto"/>
                <w:kern w:val="2"/>
                <w:szCs w:val="24"/>
              </w:rPr>
            </w:pPr>
            <w:r>
              <w:rPr>
                <w:rFonts w:hint="eastAsia" w:ascii="宋体" w:hAnsi="宋体"/>
                <w:color w:val="auto"/>
                <w:kern w:val="2"/>
                <w:szCs w:val="24"/>
              </w:rPr>
              <w:t>备注</w:t>
            </w:r>
          </w:p>
        </w:tc>
      </w:tr>
      <w:tr w14:paraId="45237A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0" w:hRule="atLeast"/>
        </w:trPr>
        <w:tc>
          <w:tcPr>
            <w:tcW w:w="1092" w:type="dxa"/>
            <w:tcBorders>
              <w:top w:val="single" w:color="auto" w:sz="4" w:space="0"/>
              <w:left w:val="single" w:color="auto" w:sz="4" w:space="0"/>
              <w:bottom w:val="single" w:color="auto" w:sz="4" w:space="0"/>
              <w:right w:val="single" w:color="auto" w:sz="4" w:space="0"/>
            </w:tcBorders>
            <w:vAlign w:val="center"/>
          </w:tcPr>
          <w:p w14:paraId="3BB98D44">
            <w:pPr>
              <w:ind w:left="420"/>
              <w:rPr>
                <w:rFonts w:ascii="宋体" w:hAnsi="宋体"/>
                <w:color w:val="auto"/>
                <w:kern w:val="2"/>
                <w:szCs w:val="24"/>
              </w:rPr>
            </w:pPr>
            <w:r>
              <w:rPr>
                <w:rFonts w:hint="eastAsia" w:ascii="宋体" w:hAnsi="宋体"/>
                <w:color w:val="auto"/>
                <w:kern w:val="2"/>
                <w:szCs w:val="24"/>
              </w:rPr>
              <w:t>1</w:t>
            </w:r>
          </w:p>
        </w:tc>
        <w:tc>
          <w:tcPr>
            <w:tcW w:w="1483" w:type="dxa"/>
            <w:tcBorders>
              <w:top w:val="single" w:color="auto" w:sz="4" w:space="0"/>
              <w:left w:val="single" w:color="auto" w:sz="4" w:space="0"/>
              <w:bottom w:val="single" w:color="auto" w:sz="4" w:space="0"/>
              <w:right w:val="single" w:color="auto" w:sz="4" w:space="0"/>
            </w:tcBorders>
            <w:vAlign w:val="center"/>
          </w:tcPr>
          <w:p w14:paraId="586D39A7">
            <w:pPr>
              <w:jc w:val="center"/>
              <w:rPr>
                <w:rFonts w:ascii="宋体" w:hAnsi="宋体"/>
                <w:color w:val="auto"/>
                <w:kern w:val="2"/>
                <w:szCs w:val="24"/>
              </w:rPr>
            </w:pPr>
            <w:r>
              <w:rPr>
                <w:rFonts w:hint="eastAsia" w:ascii="宋体" w:hAnsi="宋体"/>
                <w:color w:val="auto"/>
                <w:kern w:val="2"/>
                <w:szCs w:val="24"/>
              </w:rPr>
              <w:t>防尘滤网</w:t>
            </w:r>
          </w:p>
        </w:tc>
        <w:tc>
          <w:tcPr>
            <w:tcW w:w="2076" w:type="dxa"/>
            <w:tcBorders>
              <w:top w:val="single" w:color="auto" w:sz="4" w:space="0"/>
              <w:left w:val="single" w:color="auto" w:sz="4" w:space="0"/>
              <w:bottom w:val="single" w:color="auto" w:sz="4" w:space="0"/>
              <w:right w:val="single" w:color="auto" w:sz="4" w:space="0"/>
            </w:tcBorders>
            <w:vAlign w:val="center"/>
          </w:tcPr>
          <w:p w14:paraId="71498E3C">
            <w:pPr>
              <w:jc w:val="center"/>
              <w:rPr>
                <w:rFonts w:ascii="宋体" w:hAnsi="宋体"/>
                <w:color w:val="auto"/>
                <w:kern w:val="2"/>
                <w:szCs w:val="24"/>
              </w:rPr>
            </w:pPr>
            <w:r>
              <w:rPr>
                <w:rFonts w:hint="eastAsia" w:ascii="宋体" w:hAnsi="宋体"/>
                <w:color w:val="auto"/>
                <w:kern w:val="2"/>
                <w:szCs w:val="24"/>
              </w:rPr>
              <w:t>过滤棉</w:t>
            </w:r>
          </w:p>
        </w:tc>
        <w:tc>
          <w:tcPr>
            <w:tcW w:w="1552" w:type="dxa"/>
            <w:tcBorders>
              <w:top w:val="single" w:color="auto" w:sz="4" w:space="0"/>
              <w:left w:val="single" w:color="auto" w:sz="4" w:space="0"/>
              <w:bottom w:val="single" w:color="auto" w:sz="4" w:space="0"/>
              <w:right w:val="single" w:color="auto" w:sz="4" w:space="0"/>
            </w:tcBorders>
            <w:vAlign w:val="center"/>
          </w:tcPr>
          <w:p w14:paraId="2DE29A72">
            <w:pPr>
              <w:jc w:val="center"/>
              <w:rPr>
                <w:rFonts w:ascii="宋体" w:hAnsi="宋体"/>
                <w:color w:val="auto"/>
                <w:kern w:val="2"/>
                <w:szCs w:val="24"/>
              </w:rPr>
            </w:pPr>
            <w:r>
              <w:rPr>
                <w:rFonts w:hint="eastAsia" w:ascii="宋体" w:hAnsi="宋体"/>
                <w:color w:val="auto"/>
                <w:kern w:val="2"/>
                <w:szCs w:val="24"/>
              </w:rPr>
              <w:t>1套</w:t>
            </w:r>
          </w:p>
        </w:tc>
        <w:tc>
          <w:tcPr>
            <w:tcW w:w="1759" w:type="dxa"/>
            <w:tcBorders>
              <w:top w:val="single" w:color="auto" w:sz="4" w:space="0"/>
              <w:left w:val="single" w:color="auto" w:sz="4" w:space="0"/>
              <w:bottom w:val="single" w:color="auto" w:sz="4" w:space="0"/>
              <w:right w:val="single" w:color="auto" w:sz="4" w:space="0"/>
            </w:tcBorders>
            <w:vAlign w:val="center"/>
          </w:tcPr>
          <w:p w14:paraId="694BCA9F">
            <w:pPr>
              <w:jc w:val="center"/>
              <w:rPr>
                <w:rFonts w:ascii="宋体" w:hAnsi="宋体"/>
                <w:color w:val="auto"/>
                <w:kern w:val="2"/>
                <w:szCs w:val="24"/>
              </w:rPr>
            </w:pPr>
          </w:p>
        </w:tc>
        <w:tc>
          <w:tcPr>
            <w:tcW w:w="991" w:type="dxa"/>
            <w:tcBorders>
              <w:top w:val="single" w:color="auto" w:sz="4" w:space="0"/>
              <w:left w:val="single" w:color="auto" w:sz="4" w:space="0"/>
              <w:bottom w:val="single" w:color="auto" w:sz="4" w:space="0"/>
              <w:right w:val="single" w:color="auto" w:sz="4" w:space="0"/>
            </w:tcBorders>
            <w:vAlign w:val="center"/>
          </w:tcPr>
          <w:p w14:paraId="1BA93358">
            <w:pPr>
              <w:jc w:val="center"/>
              <w:rPr>
                <w:rFonts w:ascii="宋体" w:hAnsi="宋体"/>
                <w:color w:val="auto"/>
                <w:kern w:val="2"/>
                <w:szCs w:val="24"/>
              </w:rPr>
            </w:pPr>
          </w:p>
        </w:tc>
      </w:tr>
      <w:tr w14:paraId="76CA89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6" w:hRule="atLeast"/>
        </w:trPr>
        <w:tc>
          <w:tcPr>
            <w:tcW w:w="1092" w:type="dxa"/>
            <w:tcBorders>
              <w:top w:val="single" w:color="auto" w:sz="4" w:space="0"/>
              <w:left w:val="single" w:color="auto" w:sz="4" w:space="0"/>
              <w:bottom w:val="single" w:color="auto" w:sz="4" w:space="0"/>
              <w:right w:val="single" w:color="auto" w:sz="4" w:space="0"/>
            </w:tcBorders>
            <w:vAlign w:val="center"/>
          </w:tcPr>
          <w:p w14:paraId="7D2FCCA1">
            <w:pPr>
              <w:ind w:left="420"/>
              <w:rPr>
                <w:rFonts w:ascii="宋体" w:hAnsi="宋体"/>
                <w:color w:val="auto"/>
                <w:kern w:val="2"/>
                <w:szCs w:val="24"/>
              </w:rPr>
            </w:pPr>
            <w:r>
              <w:rPr>
                <w:rFonts w:hint="eastAsia" w:ascii="宋体" w:hAnsi="宋体"/>
                <w:color w:val="auto"/>
                <w:kern w:val="2"/>
                <w:szCs w:val="24"/>
              </w:rPr>
              <w:t>2</w:t>
            </w:r>
          </w:p>
        </w:tc>
        <w:tc>
          <w:tcPr>
            <w:tcW w:w="1483" w:type="dxa"/>
            <w:tcBorders>
              <w:top w:val="single" w:color="auto" w:sz="4" w:space="0"/>
              <w:left w:val="single" w:color="auto" w:sz="4" w:space="0"/>
              <w:bottom w:val="single" w:color="auto" w:sz="4" w:space="0"/>
              <w:right w:val="single" w:color="auto" w:sz="4" w:space="0"/>
            </w:tcBorders>
            <w:vAlign w:val="center"/>
          </w:tcPr>
          <w:p w14:paraId="2DCA4A54">
            <w:pPr>
              <w:jc w:val="center"/>
              <w:rPr>
                <w:rFonts w:ascii="宋体" w:hAnsi="宋体"/>
                <w:color w:val="auto"/>
                <w:kern w:val="2"/>
                <w:szCs w:val="24"/>
              </w:rPr>
            </w:pPr>
            <w:r>
              <w:rPr>
                <w:rFonts w:hint="eastAsia" w:ascii="宋体" w:hAnsi="宋体"/>
                <w:color w:val="auto"/>
                <w:kern w:val="2"/>
                <w:szCs w:val="24"/>
              </w:rPr>
              <w:t>光纤</w:t>
            </w:r>
          </w:p>
        </w:tc>
        <w:tc>
          <w:tcPr>
            <w:tcW w:w="2076" w:type="dxa"/>
            <w:tcBorders>
              <w:top w:val="single" w:color="auto" w:sz="4" w:space="0"/>
              <w:left w:val="single" w:color="auto" w:sz="4" w:space="0"/>
              <w:bottom w:val="single" w:color="auto" w:sz="4" w:space="0"/>
              <w:right w:val="single" w:color="auto" w:sz="4" w:space="0"/>
            </w:tcBorders>
            <w:vAlign w:val="center"/>
          </w:tcPr>
          <w:p w14:paraId="44924C83">
            <w:pPr>
              <w:jc w:val="center"/>
              <w:rPr>
                <w:rFonts w:ascii="宋体" w:hAnsi="宋体"/>
                <w:color w:val="auto"/>
                <w:kern w:val="2"/>
                <w:szCs w:val="24"/>
              </w:rPr>
            </w:pPr>
            <w:r>
              <w:rPr>
                <w:rFonts w:hint="eastAsia" w:ascii="宋体" w:hAnsi="宋体"/>
                <w:color w:val="auto"/>
                <w:kern w:val="2"/>
                <w:szCs w:val="24"/>
              </w:rPr>
              <w:t xml:space="preserve"> AX-C22</w:t>
            </w:r>
          </w:p>
        </w:tc>
        <w:tc>
          <w:tcPr>
            <w:tcW w:w="1552" w:type="dxa"/>
            <w:tcBorders>
              <w:top w:val="single" w:color="auto" w:sz="4" w:space="0"/>
              <w:left w:val="single" w:color="auto" w:sz="4" w:space="0"/>
              <w:bottom w:val="single" w:color="auto" w:sz="4" w:space="0"/>
              <w:right w:val="single" w:color="auto" w:sz="4" w:space="0"/>
            </w:tcBorders>
            <w:vAlign w:val="center"/>
          </w:tcPr>
          <w:p w14:paraId="3B8E08D2">
            <w:pPr>
              <w:jc w:val="center"/>
              <w:rPr>
                <w:rFonts w:ascii="宋体" w:hAnsi="宋体"/>
                <w:color w:val="auto"/>
                <w:kern w:val="2"/>
                <w:szCs w:val="24"/>
              </w:rPr>
            </w:pPr>
            <w:r>
              <w:rPr>
                <w:rFonts w:hint="eastAsia" w:ascii="宋体" w:hAnsi="宋体"/>
                <w:color w:val="auto"/>
                <w:kern w:val="2"/>
                <w:szCs w:val="24"/>
              </w:rPr>
              <w:t>10米</w:t>
            </w:r>
          </w:p>
        </w:tc>
        <w:tc>
          <w:tcPr>
            <w:tcW w:w="1759" w:type="dxa"/>
            <w:tcBorders>
              <w:top w:val="single" w:color="auto" w:sz="4" w:space="0"/>
              <w:left w:val="single" w:color="auto" w:sz="4" w:space="0"/>
              <w:bottom w:val="single" w:color="auto" w:sz="4" w:space="0"/>
              <w:right w:val="single" w:color="auto" w:sz="4" w:space="0"/>
            </w:tcBorders>
            <w:vAlign w:val="center"/>
          </w:tcPr>
          <w:p w14:paraId="52F521DA">
            <w:pPr>
              <w:jc w:val="center"/>
              <w:rPr>
                <w:rFonts w:ascii="宋体" w:hAnsi="宋体"/>
                <w:color w:val="auto"/>
                <w:kern w:val="2"/>
                <w:szCs w:val="24"/>
              </w:rPr>
            </w:pPr>
          </w:p>
        </w:tc>
        <w:tc>
          <w:tcPr>
            <w:tcW w:w="991" w:type="dxa"/>
            <w:tcBorders>
              <w:top w:val="single" w:color="auto" w:sz="4" w:space="0"/>
              <w:left w:val="single" w:color="auto" w:sz="4" w:space="0"/>
              <w:bottom w:val="single" w:color="auto" w:sz="4" w:space="0"/>
              <w:right w:val="single" w:color="auto" w:sz="4" w:space="0"/>
            </w:tcBorders>
            <w:vAlign w:val="center"/>
          </w:tcPr>
          <w:p w14:paraId="21207F90">
            <w:pPr>
              <w:jc w:val="center"/>
              <w:rPr>
                <w:rFonts w:ascii="宋体" w:hAnsi="宋体"/>
                <w:color w:val="auto"/>
                <w:kern w:val="2"/>
                <w:szCs w:val="24"/>
              </w:rPr>
            </w:pPr>
          </w:p>
        </w:tc>
      </w:tr>
    </w:tbl>
    <w:p w14:paraId="52FEA48C">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25.3.4.2 0.4kV低压开关柜</w:t>
      </w:r>
    </w:p>
    <w:p w14:paraId="0DFB7717">
      <w:pPr>
        <w:widowControl w:val="0"/>
        <w:numPr>
          <w:ilvl w:val="0"/>
          <w:numId w:val="13"/>
        </w:numPr>
        <w:kinsoku/>
        <w:topLinePunct/>
        <w:autoSpaceDE/>
        <w:autoSpaceDN/>
        <w:spacing w:line="520" w:lineRule="exact"/>
        <w:ind w:left="0" w:firstLine="425"/>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型式</w:t>
      </w:r>
    </w:p>
    <w:p w14:paraId="031453D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MNS/MLS型低压成套开关设备。</w:t>
      </w:r>
    </w:p>
    <w:p w14:paraId="3DE2536D">
      <w:pPr>
        <w:widowControl w:val="0"/>
        <w:numPr>
          <w:ilvl w:val="0"/>
          <w:numId w:val="13"/>
        </w:numPr>
        <w:kinsoku/>
        <w:topLinePunct/>
        <w:autoSpaceDE/>
        <w:autoSpaceDN/>
        <w:spacing w:line="520" w:lineRule="exact"/>
        <w:ind w:left="0" w:firstLine="425"/>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额定值</w:t>
      </w:r>
    </w:p>
    <w:p w14:paraId="2EA746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额定电压（最高电压）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0.38/0.66kV</w:t>
      </w:r>
    </w:p>
    <w:p w14:paraId="62366BA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额定频率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50 Hz</w:t>
      </w:r>
    </w:p>
    <w:p w14:paraId="5CCDFD0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额定电流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2000A</w:t>
      </w:r>
    </w:p>
    <w:p w14:paraId="6571CB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额定短路开断电流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50kA</w:t>
      </w:r>
    </w:p>
    <w:p w14:paraId="59A4E09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额定热稳定电流（有效值）/持续时间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80kA/1s</w:t>
      </w:r>
    </w:p>
    <w:p w14:paraId="25484477">
      <w:pPr>
        <w:widowControl w:val="0"/>
        <w:numPr>
          <w:ilvl w:val="0"/>
          <w:numId w:val="13"/>
        </w:numPr>
        <w:kinsoku/>
        <w:topLinePunct/>
        <w:autoSpaceDE/>
        <w:autoSpaceDN/>
        <w:spacing w:line="520" w:lineRule="exact"/>
        <w:ind w:left="0" w:firstLine="425"/>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主要性能、结构及材料要求</w:t>
      </w:r>
    </w:p>
    <w:p w14:paraId="607753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 智能型空气断路器</w:t>
      </w:r>
    </w:p>
    <w:p w14:paraId="5CD055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低压万能式断路器应按有关的要求设计与制造并符合每台低压开关柜和控制柜的操作要求。</w:t>
      </w:r>
    </w:p>
    <w:p w14:paraId="3F7A6A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a.操作机构应为电机储能型，带有手动和电机储能，操作电源AC220V。</w:t>
      </w:r>
    </w:p>
    <w:p w14:paraId="5655B1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b.每台断路器以抽屉方式允许在隔离条件下调换、试验及维修、抽屉应联锁防止断路器在闭合位置时推拉并允许安全试验及维修。</w:t>
      </w:r>
    </w:p>
    <w:p w14:paraId="307B20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c.每个装置应提供闭锁继电器及附件并应与主断路器的设计及额定值相一致。</w:t>
      </w:r>
    </w:p>
    <w:p w14:paraId="7E960DF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d.每台断路器带欠电压及分励脱扣器。</w:t>
      </w:r>
    </w:p>
    <w:p w14:paraId="5DA1B5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e.断路器具有速断、长延时、短延时、接地等保护功能。</w:t>
      </w:r>
    </w:p>
    <w:p w14:paraId="1FB0B5C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 低压塑壳断路器</w:t>
      </w:r>
    </w:p>
    <w:p w14:paraId="593B384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低压塑壳断路器采用转动手柄操作，每台低压塑壳断路器应按有关的标准设计与制造并符合操作要求。。</w:t>
      </w:r>
    </w:p>
    <w:p w14:paraId="4FEA446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 断路器短路分断能力不小于50kA。</w:t>
      </w:r>
    </w:p>
    <w:p w14:paraId="694FB4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 每台断路器以抽屉方式允许在隔离条件下调换、试验及维修。抽屉应联锁，防止断路器在闭合位置时推拉并允许安全试验及维修。</w:t>
      </w:r>
    </w:p>
    <w:p w14:paraId="31BF42F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c. 断路器带辅助触点等设备。 </w:t>
      </w:r>
    </w:p>
    <w:p w14:paraId="1178CE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 断路器具有长延时、瞬时短路保护功能。</w:t>
      </w:r>
    </w:p>
    <w:p w14:paraId="62A27C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e. 机械寿命不小于10000次，电寿命不小于5000次。</w:t>
      </w:r>
    </w:p>
    <w:p w14:paraId="0E9C334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 无功补偿装置</w:t>
      </w:r>
    </w:p>
    <w:p w14:paraId="1968D9B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低压无功补偿采用一体式调谐智能电容器模组。</w:t>
      </w:r>
    </w:p>
    <w:p w14:paraId="66759CB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技术要求</w:t>
      </w:r>
    </w:p>
    <w:p w14:paraId="490A2B1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a.低压无功补偿为了安装和维护方便，采用调谐智能电容器模组，具有过零投切性能，具有自动分步补偿电容的方式，补偿无功缺额的同时，具备5、7次谐波抑制功能。</w:t>
      </w:r>
    </w:p>
    <w:p w14:paraId="2624E36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b.调谐智能电容器模组须提供中国质量认证中心出具的CQC认证证书。</w:t>
      </w:r>
    </w:p>
    <w:p w14:paraId="7035E26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c.功率因数控制器须提供中国质量认证中心出具的CQC认证证书。</w:t>
      </w:r>
    </w:p>
    <w:p w14:paraId="5E3A80E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d.无功补偿系统中调谐智能电容器模组和功率因数控制器采用同一品牌，功率因数控制器通过通讯方式控制电容器模组投切。</w:t>
      </w:r>
    </w:p>
    <w:p w14:paraId="056FD3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e.调谐智能电容器模组包含电容器、电抗器、复合开关、保护元件、人机界面和监控模块。具有停电保护、短路保护、电压缺项保护、电容器过温保护等功能，有效保护电容器的安全，延长电容器的使用寿命。能够显示投切状态、投切开关故障状态、通讯状态。并可方便实现调试/工作状态切换、手动/自动操作功能。</w:t>
      </w:r>
    </w:p>
    <w:p w14:paraId="2E115DB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f.智能电容器模组内电容器满足如下要求：</w:t>
      </w:r>
    </w:p>
    <w:p w14:paraId="6B461B1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电容器额定电压：不小于480V</w:t>
      </w:r>
    </w:p>
    <w:p w14:paraId="7B8B003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频率：50Hz</w:t>
      </w:r>
    </w:p>
    <w:p w14:paraId="1E95737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环境温度：  上限+55℃，下限-10℃</w:t>
      </w:r>
    </w:p>
    <w:p w14:paraId="667C4CF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最大过电压： 1.1Un（间隙使用，每日不超过8小时）</w:t>
      </w:r>
    </w:p>
    <w:p w14:paraId="49A16F4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最大过电流： 1.3In（连续运行）</w:t>
      </w:r>
    </w:p>
    <w:p w14:paraId="5137D9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绝缘耐压：   3kV/10s</w:t>
      </w:r>
    </w:p>
    <w:p w14:paraId="669D1F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损耗：  小于0.25W/kvar（包含外部放电装置的损耗）</w:t>
      </w:r>
    </w:p>
    <w:p w14:paraId="34CDBFA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电容器为干式，采用聚丙烯薄膜为电介质，具有自愈功能。</w:t>
      </w:r>
    </w:p>
    <w:p w14:paraId="543F0B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电容器需内置放电电阻，在电源切离后1分钟内端子间的残余电压降至50V以下。</w:t>
      </w:r>
    </w:p>
    <w:p w14:paraId="11A2EA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g.智能电容器模组内电抗器满足如下要求：</w:t>
      </w:r>
    </w:p>
    <w:p w14:paraId="321DB25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电抗器的电抗系数为7%，具有超温自保护功能，额定电压400V，线性度及连续过电流达到额定电流的1.35倍以上。</w:t>
      </w:r>
    </w:p>
    <w:p w14:paraId="384FA9E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为避免谐波过载及谐振，电抗器和对应容量的电容器串接在一个补偿支路中，同步实现投切。</w:t>
      </w:r>
    </w:p>
    <w:p w14:paraId="63366E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短路容量可承受25倍之额定电流。</w:t>
      </w:r>
    </w:p>
    <w:p w14:paraId="3A4AF3D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绝缘等级： H级</w:t>
      </w:r>
    </w:p>
    <w:p w14:paraId="68791BE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电气特性： 符合IEC76标准。</w:t>
      </w:r>
    </w:p>
    <w:p w14:paraId="092F56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制造标准符合IEC831-1 &amp; IEC831-2。</w:t>
      </w:r>
    </w:p>
    <w:p w14:paraId="7828EFF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h.自动功率因数控制器需具有以下功能：</w:t>
      </w:r>
    </w:p>
    <w:p w14:paraId="558BB3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支持手动、自动投切，具有投切状态指示；</w:t>
      </w:r>
    </w:p>
    <w:p w14:paraId="6B61A49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实时监视功率因数变化情况；</w:t>
      </w:r>
    </w:p>
    <w:p w14:paraId="1BF4E42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实时监测系统电压、电流、功率、电压畸变率等数据监视；</w:t>
      </w:r>
    </w:p>
    <w:p w14:paraId="1CE203E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采用无功潮流预测和延时多点采样技术，确保投切无振荡；</w:t>
      </w:r>
    </w:p>
    <w:p w14:paraId="25BBF32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具有过压、欠压、欠流和电压谐波保护功能；</w:t>
      </w:r>
    </w:p>
    <w:p w14:paraId="366B26C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具有RS485通讯接口，可以将数据共享给第三方；</w:t>
      </w:r>
    </w:p>
    <w:p w14:paraId="47BABE4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通过专用通讯接口与智能电容器模块组成完整的无功补偿系统，电容器可以不按容量比随意搭配接入。</w:t>
      </w:r>
    </w:p>
    <w:p w14:paraId="6222E0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④多功能电力仪表</w:t>
      </w:r>
    </w:p>
    <w:p w14:paraId="6F018FA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多功能电力仪表采用彩屏触摸大显示屏。</w:t>
      </w:r>
    </w:p>
    <w:p w14:paraId="29F1C1E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电力仪表应具有以下功能：</w:t>
      </w:r>
    </w:p>
    <w:p w14:paraId="3AA998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全电气参数精确测量，包括电流、电压、有功功率、无功功率、视在功率、分相功率、功率因数、频率；此外还提供负荷性质、负荷百分比、功率四象限显示等信息等，提供高精度的双向计量，有功电能和无功电能分别提供负载输入、发电输出、绝对值电能、净电能总共8个分量；分时电能提供6个时区，每个时区12个时段，4种费率的灵活配置。</w:t>
      </w:r>
    </w:p>
    <w:p w14:paraId="174AA7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可实时监测电流和电压2-63次谐波，并提供总谐波，分次谐波，奇次谐波，偶次谐波等，电话干扰系数，电流K系数，波峰系数等全面的电能质量参数。分次谐波在界面上可以数值显示及频谱柱状图显示。</w:t>
      </w:r>
    </w:p>
    <w:p w14:paraId="26183C3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波形存储功能，可是记录触发点之前5个周波，或者之后任意时刻的波形；示波器功能，可以查看实时信号波形,可以实时呈现电流电压的波形 , 各相电压，各相电流，最短78us瞬变，并根据设定条件存储波形，不少于存储10条。还包括不平衡度及谐波总畸变率等测量功能，电压/电流精度达0.2S级, 有背光彩屏显示屏，继电器状态及负荷率图形，可显示波形图，矢量图，谐波频谱图，提供双向四象限电度测量功能，直观显示精确的电度量。</w:t>
      </w:r>
    </w:p>
    <w:p w14:paraId="0ACB92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高级电能质量分析：电压骤升骤降，波动和闪变，电力系统频率波动及记录，间谐波分析等功能</w:t>
      </w:r>
    </w:p>
    <w:p w14:paraId="3EB3B40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数字输出可作为KYZ电能脉冲输出⾄PLC、RTU和其他⾮数字通讯设备，可用于报警。4～20mA模拟量信号可以输出⾄PLC等⾮数字设备。</w:t>
      </w:r>
    </w:p>
    <w:p w14:paraId="0F0DFE5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具备4DI,2DO,可扩展，实现断路器分合、故障状态的监视。</w:t>
      </w:r>
    </w:p>
    <w:p w14:paraId="26E2C68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支持Modbus RTU通讯协议，能够扩展1路RS485、1路以太⽹通信接口，利⽤RS485开放式的Modbus协议能够轻松接⼊第三⽅电力监控系统。</w:t>
      </w:r>
    </w:p>
    <w:p w14:paraId="64E776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PIR人体红外探头：热释电红外感应自动点亮背光，极大的方便现场数据读取，并且极大的节省设备自身功耗，PIR 人体红外感应状态可做为现场入侵安防信号，远程报警。</w:t>
      </w:r>
    </w:p>
    <w:p w14:paraId="1EC541B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⑤开关柜主要性能、结构及材料要求</w:t>
      </w:r>
    </w:p>
    <w:p w14:paraId="10768F2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a.开关柜内所配一次设备（含接地开关）都应与断路器参数相配合，各元件的动、热稳定性必须满足要求。</w:t>
      </w:r>
    </w:p>
    <w:p w14:paraId="2F5F83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b.开关柜应为低压抽屉式框架结构。所有部件有足够的强度，能承受运输、安装和运行时短路所引起的作用力而不致于损坏。</w:t>
      </w:r>
    </w:p>
    <w:p w14:paraId="7E4C0F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c.开关柜抽屉的推进，抽出应灵活方便。相同容量的抽屉应有互换性。</w:t>
      </w:r>
    </w:p>
    <w:p w14:paraId="46E9E87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d.柜内采用绝缘母线，并应具有防潮和阻燃性能以及足够的介电强度，其对母线容量的影响由承包人考虑。</w:t>
      </w:r>
    </w:p>
    <w:p w14:paraId="16891F5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e.所有用螺栓固定的主母线和分支线线接头，对铜导体镀银，并保证其温升不超过标准值，在长期使用期间，从标准温度到额定满负荷温度，固定螺栓的初始接触压力值不应降低，每个连接点不应少于两个螺栓。</w:t>
      </w:r>
    </w:p>
    <w:p w14:paraId="2583FFD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f.开关柜的外形应平整美观，外表层颜色由发包方确定。钢构件和钢封板采用敷铝锌钢板并符合材质厚度要求(厚度≮2mm)，门和封板采用环氧树脂粉末喷涂，颜色由业主确定。</w:t>
      </w:r>
    </w:p>
    <w:p w14:paraId="53FB57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g.操动机构应与断路器配套，操动机构辅助电源电压AC380/220V。</w:t>
      </w:r>
    </w:p>
    <w:p w14:paraId="6C5FE0B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h.抽屉的进出位置应至少留有2个常开和2个常闭备用的辅助接点供用户单位使用。</w:t>
      </w:r>
    </w:p>
    <w:p w14:paraId="353BB36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i.开关柜内应有防凝露措施。</w:t>
      </w:r>
    </w:p>
    <w:p w14:paraId="4E5E4CC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j.设备配置图见电附图：低压配电屏订货图。</w:t>
      </w:r>
    </w:p>
    <w:p w14:paraId="12B58B9A">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25.3.4.3 配电柜（箱）、控制柜（箱）</w:t>
      </w:r>
    </w:p>
    <w:p w14:paraId="59B943B9">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柜（箱）内断路器和隔离开关等设备应采用与低压成套开关柜同系列产品。</w:t>
      </w:r>
      <w:r>
        <w:rPr>
          <w:rFonts w:hint="eastAsia" w:ascii="宋体" w:hAnsi="宋体" w:eastAsia="宋体" w:cs="宋体"/>
          <w:color w:val="auto"/>
          <w:sz w:val="24"/>
          <w:szCs w:val="24"/>
        </w:rPr>
        <w:t>设备配置图见附图。</w:t>
      </w:r>
    </w:p>
    <w:p w14:paraId="3367F390">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的板材的各种指标必须符合国家的有关要求。所有配电柜（箱）、控制柜（箱）要求采用符合国家标准的冷轧钢板。落地柜用2.0mm厚冷轧板制作，照明配电箱及控制箱大于等于600mm的用2.0mm厚冷轧钢板、小于600mm的用1.5mm厚冷轧钢板制做。二层底板需用2mm厚冷轧板。柜体防护等级为IP4X。</w:t>
      </w:r>
    </w:p>
    <w:p w14:paraId="35F7AF9C">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柜（箱）采用按锁，采用通用锁,每把锁配两把钥匙。</w:t>
      </w:r>
    </w:p>
    <w:p w14:paraId="7A18B468">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柜（箱）的金属部分：包括电器的安装板、支架和电器金属外壳等均良好接地，柜（箱）的门、敷板等处装设电器，并可开启时以裸铜软线穿透明塑料管与接地金属构架可靠连接。</w:t>
      </w:r>
    </w:p>
    <w:p w14:paraId="20CDF797">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暗装箱箱体板厚低于3mm的在箱体左侧背后附一根通长40×4镀锌扁钢，两端各长出箱体15cm。箱体板厚大于3mm的在箱体左侧背后上、下两端各焊（镀锌扁钢与箱体焊接时的焊接长度要符合规范要求）一根40×4镀锌扁钢，超出箱体15cm。暗装箱左、右两侧的中间上下各10cm处各敷设一根L40×4×50角钢（以备安装时固定箱体使用）。</w:t>
      </w:r>
    </w:p>
    <w:p w14:paraId="18A00E6F">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两台或两台以上的柜（箱）相邻敷设时，箱、柜的高度、厚度应一致。</w:t>
      </w:r>
    </w:p>
    <w:p w14:paraId="4F56831A">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柜（箱）内，地排、零排、必须有预留压线位置，接地螺栓，不小于M10，镀锌螺栓，接地点必须在箱体内左下角。</w:t>
      </w:r>
    </w:p>
    <w:p w14:paraId="44F060ED">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柜（箱）的电器、仪表等需进行检测及电气耐压、耐流实验，如设计图纸中设计的电表由供电部门安装，配电箱柜应留有装表计量的位置，中标后不调价（不含表）</w:t>
      </w:r>
    </w:p>
    <w:p w14:paraId="54C32DD3">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柜（箱）内二次回路导线采用截面不小于2.5mm</w:t>
      </w:r>
      <w:r>
        <w:rPr>
          <w:rFonts w:hint="eastAsia" w:ascii="宋体" w:hAnsi="宋体" w:eastAsia="宋体" w:cs="宋体"/>
          <w:color w:val="auto"/>
          <w:sz w:val="24"/>
          <w:szCs w:val="24"/>
          <w:vertAlign w:val="superscript"/>
          <w:lang w:eastAsia="zh-CN"/>
        </w:rPr>
        <w:t>2</w:t>
      </w:r>
      <w:r>
        <w:rPr>
          <w:rFonts w:hint="eastAsia" w:ascii="宋体" w:hAnsi="宋体" w:eastAsia="宋体" w:cs="宋体"/>
          <w:color w:val="auto"/>
          <w:sz w:val="24"/>
          <w:szCs w:val="24"/>
          <w:lang w:eastAsia="zh-CN"/>
        </w:rPr>
        <w:t>的屏蔽导线，电流回路截面不小于4mm</w:t>
      </w:r>
      <w:r>
        <w:rPr>
          <w:rFonts w:hint="eastAsia" w:ascii="宋体" w:hAnsi="宋体" w:eastAsia="宋体" w:cs="宋体"/>
          <w:color w:val="auto"/>
          <w:sz w:val="24"/>
          <w:szCs w:val="24"/>
          <w:vertAlign w:val="superscript"/>
          <w:lang w:eastAsia="zh-CN"/>
        </w:rPr>
        <w:t>2</w:t>
      </w:r>
      <w:r>
        <w:rPr>
          <w:rFonts w:hint="eastAsia" w:ascii="宋体" w:hAnsi="宋体" w:eastAsia="宋体" w:cs="宋体"/>
          <w:color w:val="auto"/>
          <w:sz w:val="24"/>
          <w:szCs w:val="24"/>
          <w:lang w:eastAsia="zh-CN"/>
        </w:rPr>
        <w:t>，绝缘电压不低于500V。</w:t>
      </w:r>
    </w:p>
    <w:p w14:paraId="5EC1EDAA">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柜（箱）上的电器，仪表应符合电器、仪表排列间距要求。</w:t>
      </w:r>
    </w:p>
    <w:p w14:paraId="50C76FD1">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全部紧固件均采用镀锌件。</w:t>
      </w:r>
    </w:p>
    <w:p w14:paraId="0E1995B2">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二次配线均采用黑色线，加套管编序。</w:t>
      </w:r>
    </w:p>
    <w:p w14:paraId="06908F4E">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分层配电箱接线应考虑干线进出。</w:t>
      </w:r>
    </w:p>
    <w:p w14:paraId="72D65B4E">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电器安装后的配线须排列整齐，用尼龙带绑扎成束或敷于专用线槽内，并卡固在板后或柜内安装架处，配线应留适当长度。</w:t>
      </w:r>
    </w:p>
    <w:p w14:paraId="2479B37A">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柜（箱）所装的各种开关、继电器，当处于断开状态时，可动部分不宜带电；垂直安装时上端接电源，下端接负荷，水平安装时，左端接电源，右端接负荷。</w:t>
      </w:r>
    </w:p>
    <w:p w14:paraId="6BE717C6">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柜（箱）电源指示等，应接在总电源开关前侧。</w:t>
      </w:r>
    </w:p>
    <w:p w14:paraId="1B87F993">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柜（箱）内的配线须按设计图纸相序分色。动力配电柜（箱）内的电源母线，应有颜色分相标志：</w:t>
      </w:r>
    </w:p>
    <w:p w14:paraId="4A7E2C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A相：           黄色  </w:t>
      </w:r>
    </w:p>
    <w:p w14:paraId="658122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B相：           绿色    </w:t>
      </w:r>
    </w:p>
    <w:p w14:paraId="26060E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C相：           红色</w:t>
      </w:r>
    </w:p>
    <w:p w14:paraId="51612A1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中性线（N）：   淡蓝色</w:t>
      </w:r>
    </w:p>
    <w:p w14:paraId="1797E82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接地线（PE）：  黄绿色</w:t>
      </w:r>
    </w:p>
    <w:p w14:paraId="39B2046C">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配线整齐、清晰，导线绝缘良好。导线穿过铁制安装孔、面板时要加装橡皮或塑料护套。</w:t>
      </w:r>
    </w:p>
    <w:p w14:paraId="7D607E6B">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柜（箱）内的N线、PE线必须设汇流排，汇流排的大小必须符合有关规范要求，导线不得盘成弹簧状。</w:t>
      </w:r>
    </w:p>
    <w:p w14:paraId="79DED13E">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凡是两根以上电缆（包括有∏接的电缆）进一个开关的配电箱总开关上端须要设过渡处理装置，过渡处理装置的规格必须与系统图中电缆规格相匹配。</w:t>
      </w:r>
    </w:p>
    <w:p w14:paraId="740E39D2">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柜（箱）内的PE线不得串接，与活动部件连接的PE线必须采用铜质涮锡软编织线穿透明塑料管，同一接地端子最多只能压一根PE线，PE线截面应符合施工规范要求。</w:t>
      </w:r>
    </w:p>
    <w:p w14:paraId="60CD28B2">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不等截面的两根导线严禁压在一个端子上。等截面的导线（6平方毫米以下）一个端子上最多只能压两根。</w:t>
      </w:r>
    </w:p>
    <w:p w14:paraId="399F14CC">
      <w:pPr>
        <w:widowControl w:val="0"/>
        <w:numPr>
          <w:ilvl w:val="0"/>
          <w:numId w:val="14"/>
        </w:numPr>
        <w:kinsoku/>
        <w:topLinePunct/>
        <w:autoSpaceDE/>
        <w:autoSpaceDN/>
        <w:spacing w:line="520" w:lineRule="exact"/>
        <w:ind w:left="0" w:firstLine="4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柜（箱）靠墙安装为前开门，暗装箱为前配线，明装箱为后配线。</w:t>
      </w:r>
    </w:p>
    <w:p w14:paraId="26EDB1AC">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25.3.5 备品备件</w:t>
      </w:r>
    </w:p>
    <w:p w14:paraId="07C5EBF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25.3.5.1 承包人应按招标文件中有关规定提供正常运行所必须的备品备件，至少包括：全套用于日常维护和保证合同设备正常运行所必须的元件。规定的备品备件价格已包括在投标书中。</w:t>
      </w:r>
    </w:p>
    <w:p w14:paraId="4EFA9D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承包人还应根据对所提供设备的了解、以往类似工程的经验推荐运行3年所需的备品备件，推荐的备品备件应分别列出报价明细并已在投标书中申报（但不进入总报价），以便于发包人选购。</w:t>
      </w:r>
    </w:p>
    <w:p w14:paraId="7F6BB80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25.3.5.2 备品备件</w:t>
      </w:r>
    </w:p>
    <w:p w14:paraId="627F129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（1）合同中规定的有关设备测试、运输、付款期限、质量保证等条件，同样适用于备品备件。</w:t>
      </w:r>
    </w:p>
    <w:p w14:paraId="3FF84FF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（2）所提供的全部备品备件应能与原部件相互替换，其材料、工艺及构造均与原部件相同。</w:t>
      </w:r>
    </w:p>
    <w:p w14:paraId="3420AA4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所有备件的包装和处理均应适合于长期贮存，每个备品备件的包装箱上均要清楚地标明名称和用途。当几个品种的备品备件装在一个箱里时，则应在箱外给出目录，箱内附有详细装箱清单。所有箱子都应标志清楚并进行编号。</w:t>
      </w:r>
    </w:p>
    <w:p w14:paraId="6430F65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（4）备品备件应随设备一起运抵工地。</w:t>
      </w:r>
    </w:p>
    <w:p w14:paraId="4567BA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（5）承包人应提供配套于本工程高、低压开关柜适用的、如下规定的备品备件：</w:t>
      </w:r>
    </w:p>
    <w:p w14:paraId="375794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信号灯：各种型号和规格各10只；</w:t>
      </w:r>
    </w:p>
    <w:p w14:paraId="35D5A37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低压熔断器：各种型号和规格各10只；</w:t>
      </w:r>
    </w:p>
    <w:p w14:paraId="5FECA9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按钮：各种型号和规格各10只；</w:t>
      </w:r>
    </w:p>
    <w:p w14:paraId="151F3B7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塑壳断路器；各种型号规格各2只；</w:t>
      </w:r>
    </w:p>
    <w:p w14:paraId="6A39C80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数显电流表：各种规格各2只；</w:t>
      </w:r>
    </w:p>
    <w:p w14:paraId="45BAC4E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多功能仪表：各种规格各1只；</w:t>
      </w:r>
    </w:p>
    <w:p w14:paraId="2920930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智能温湿度控制器：控制器1只、加热器1只、温湿度传感器10只。</w:t>
      </w:r>
    </w:p>
    <w:p w14:paraId="61B56DD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25.3.6 专用工器具</w:t>
      </w:r>
    </w:p>
    <w:p w14:paraId="08432247">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25.3.6.1 概述</w:t>
      </w:r>
    </w:p>
    <w:p w14:paraId="1286C3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提供合同设备长期安全稳定运行所需要的、正常维护和保养所需要的专用维修工具和试验设备。安装、调试和试运行阶段所需的各种工具和消耗品应由承包人提供，不计入本条所列的专用工具之中。</w:t>
      </w:r>
    </w:p>
    <w:p w14:paraId="5705F65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（2）在本章规定提供的所有工具和仪器所需的内部连接电缆、测量用电缆、探测器、电源线和其他专用工具、仪器的辅助设备应包括在供货范围内。</w:t>
      </w:r>
    </w:p>
    <w:p w14:paraId="1AC7307C">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25.3.6.2 专用工器具</w:t>
      </w:r>
    </w:p>
    <w:p w14:paraId="669BBB3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（1）承包人应提供专用于高低压成套合同设备日常维修的专用工具各1套；</w:t>
      </w:r>
    </w:p>
    <w:p w14:paraId="7F6A39B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（2）投标人推荐的工具（不包括上述工具），应在附件表中注明“推荐”二字分别报价，但报价不进入总价，目的是供发包人选用。</w:t>
      </w:r>
    </w:p>
    <w:p w14:paraId="2934402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25.3.7 试验</w:t>
      </w:r>
    </w:p>
    <w:p w14:paraId="548DCD9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开关柜应按DL/T 404、GB/T 3906进行型式试验、出厂试验，并应提供供货范围内主要元件的型式试验和出厂试验报告。现场交接试验应符合DL/T 404和GB 50150的要求。</w:t>
      </w:r>
    </w:p>
    <w:p w14:paraId="5F150740">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25.3.7.1 型式试验</w:t>
      </w:r>
    </w:p>
    <w:p w14:paraId="44C4039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型式试验的目在于验证开关柜、控制回路、控制设备及辅助设备的各种性能是否符合设计的要求。</w:t>
      </w:r>
    </w:p>
    <w:p w14:paraId="2ECA431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由于所用元件的类型、额定参数和组合的多样性，所以不可能对所有方案都进行型式试验。型式试验只能在典型的功能单元上进行试验。任一种具体方案的性能可以引用类似方案的试验数据。</w:t>
      </w:r>
    </w:p>
    <w:p w14:paraId="207CD300">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25.3.7.2 出厂试验</w:t>
      </w:r>
    </w:p>
    <w:p w14:paraId="6FB7745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每台开关柜均应在工厂内进行整台组装并进行出厂试验，出厂试验的技术数据应随产品一起交付买方。产品在拆前应对关键的连接部位和部件做好标记。</w:t>
      </w:r>
    </w:p>
    <w:p w14:paraId="6BF67F5F">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25.3.7.3 现场交接试验</w:t>
      </w:r>
    </w:p>
    <w:p w14:paraId="6A815D0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开关柜安装完毕后应进行现场交接试验，试验应符合的DL/T 404和GB 50150《电气装置安装工程电气设备交接试验标准》的要求。试验时卖方应派代表参加，所有试验结果均应符合产品的技术要求。</w:t>
      </w:r>
    </w:p>
    <w:p w14:paraId="7FDA45E1">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796" w:name="_Toc3242"/>
      <w:bookmarkStart w:id="1797" w:name="_Toc20226"/>
      <w:bookmarkStart w:id="1798" w:name="_Toc17688"/>
      <w:bookmarkStart w:id="1799" w:name="_Toc8425"/>
      <w:r>
        <w:rPr>
          <w:rFonts w:hint="eastAsia" w:ascii="宋体" w:hAnsi="宋体" w:eastAsia="宋体" w:cs="宋体"/>
          <w:b/>
          <w:bCs/>
          <w:color w:val="auto"/>
          <w:sz w:val="24"/>
          <w:szCs w:val="24"/>
          <w:lang w:eastAsia="zh-CN"/>
        </w:rPr>
        <w:t>25.4变压器</w:t>
      </w:r>
      <w:bookmarkEnd w:id="1796"/>
      <w:bookmarkEnd w:id="1797"/>
      <w:bookmarkEnd w:id="1798"/>
      <w:bookmarkEnd w:id="1799"/>
    </w:p>
    <w:p w14:paraId="73B7CA5D">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25.4.1 承包范围</w:t>
      </w:r>
    </w:p>
    <w:p w14:paraId="6CDB34E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承担变压器供货范围内设备的设计、材料采购、制造、出厂前的预装配和试验、包装、运输、交货、现场指导安装、现场试验、试运行和验收，对买方技术人员的培训，编制和提交技术文件等售后服务，并完全符合合同要求。</w:t>
      </w:r>
    </w:p>
    <w:p w14:paraId="3089DAD6">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25.4.2 供货范围</w:t>
      </w:r>
    </w:p>
    <w:p w14:paraId="339D17E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承包人应成套供给合同要求的所有设备及设备安装、试验、拆卸和重新组装所必需的专用工具、专用设备、配件、特殊安装、检验和试验用材料和其他设备。</w:t>
      </w:r>
    </w:p>
    <w:p w14:paraId="2CAA38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为本合同设备运行和维护所需的备品备件。</w:t>
      </w:r>
    </w:p>
    <w:p w14:paraId="194B582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单位应提供相互协调和完善的设计。任何元件或装置，如果招标文件中未专门提到，但它对于一套完整的和性能良好的变压器又是必不可少的，或者对于稳定运行，改善变压器运行品质都是必要的话，那么这些元件或装置，也应由承包单位提供，其费用包括在总价中。</w:t>
      </w:r>
    </w:p>
    <w:p w14:paraId="7A826819">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1800" w:name="_Toc395177353"/>
      <w:bookmarkStart w:id="1801" w:name="_Toc308525960"/>
      <w:bookmarkStart w:id="1802" w:name="_Toc308526597"/>
      <w:bookmarkStart w:id="1803" w:name="_Toc56481348"/>
      <w:r>
        <w:rPr>
          <w:rFonts w:hint="eastAsia" w:ascii="宋体" w:hAnsi="宋体" w:eastAsia="宋体" w:cs="宋体"/>
          <w:b/>
          <w:bCs/>
          <w:color w:val="auto"/>
          <w:sz w:val="24"/>
          <w:szCs w:val="24"/>
          <w:lang w:eastAsia="zh-CN"/>
        </w:rPr>
        <w:t>25.4.3 标准及规范</w:t>
      </w:r>
      <w:bookmarkEnd w:id="1800"/>
      <w:bookmarkEnd w:id="1801"/>
      <w:bookmarkEnd w:id="1802"/>
      <w:bookmarkEnd w:id="1803"/>
    </w:p>
    <w:p w14:paraId="77E0784C">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25.4.3.1 采用的技术标准</w:t>
      </w:r>
    </w:p>
    <w:p w14:paraId="7973E72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变压器的设计、制造、试验、包装、运输、安装除应满足本规范规定的要求外，尚须遵照如下规程规范与标准。若这些标准作出修改时，应以修订后的新标准执行。本合同应遵照的主要规程、规范与标准有：</w:t>
      </w:r>
    </w:p>
    <w:p w14:paraId="6E76D0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311.1    绝缘配合 第1部分  定义、原则和规则</w:t>
      </w:r>
    </w:p>
    <w:p w14:paraId="5F1689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1094.1   电力变压器 第1部分  总则</w:t>
      </w:r>
    </w:p>
    <w:p w14:paraId="7E9E788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1094.2   电力变压器 第2部分  液浸式变压器的温升</w:t>
      </w:r>
    </w:p>
    <w:p w14:paraId="2082FB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1094.3   电力变压器 第3部分  绝缘水平、绝缘试验和外绝缘空气间隙</w:t>
      </w:r>
    </w:p>
    <w:p w14:paraId="5BFC44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1094.5   电力变压器 第5部分  承受短路的能力</w:t>
      </w:r>
    </w:p>
    <w:p w14:paraId="77C99F2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5273     高压电器端子尺寸标准化</w:t>
      </w:r>
    </w:p>
    <w:p w14:paraId="0CEB44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6451   油浸式电力变压器技术参数和要求</w:t>
      </w:r>
    </w:p>
    <w:p w14:paraId="38BF328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7354     高电压试验技术 局部放电测量</w:t>
      </w:r>
    </w:p>
    <w:p w14:paraId="1A01378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10228  干式电力变压器技术参数和要求</w:t>
      </w:r>
    </w:p>
    <w:p w14:paraId="3BBB5C5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16926.1  高电压试验技术 第1部分：一般定义及试验要求</w:t>
      </w:r>
    </w:p>
    <w:p w14:paraId="1DD2D8A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26218  污秽条件下使用的高压绝缘子的选择和尺寸确定</w:t>
      </w:r>
    </w:p>
    <w:p w14:paraId="3CCDCD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GB/T 50150  电气装置安装工程 电气设备交接试验标准</w:t>
      </w:r>
    </w:p>
    <w:p w14:paraId="3E4975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DL/T 596    电力设备预防性试验规程</w:t>
      </w:r>
    </w:p>
    <w:p w14:paraId="23217C1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JB/T 10088  6kV～1000kV级电力变压器声级</w:t>
      </w:r>
    </w:p>
    <w:p w14:paraId="56A26D66">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电力机械两部颁发的有关技术要求及规定。</w:t>
      </w:r>
    </w:p>
    <w:p w14:paraId="304BC33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25.4.3.2 所有螺丝、螺母、螺栓、螺杆和有关管件的螺纹应使用GB标准。</w:t>
      </w:r>
    </w:p>
    <w:p w14:paraId="658DC53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25.4.3.3 设备制造应采用先进的工艺，以保证各种运行情况下运行可靠。所有部件的结构、尺寸和材料应做到在各种应力下不产生扭曲和过量磨损。零部件应有良好的互换性和便于安装及检修。</w:t>
      </w:r>
    </w:p>
    <w:p w14:paraId="0AD2ADF7">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1804" w:name="_Toc308526598"/>
      <w:bookmarkStart w:id="1805" w:name="_Toc56481349"/>
      <w:bookmarkStart w:id="1806" w:name="_Toc395177354"/>
      <w:bookmarkStart w:id="1807" w:name="_Toc308525961"/>
      <w:r>
        <w:rPr>
          <w:rFonts w:hint="eastAsia" w:ascii="宋体" w:hAnsi="宋体" w:eastAsia="宋体" w:cs="宋体"/>
          <w:b/>
          <w:bCs/>
          <w:color w:val="auto"/>
          <w:sz w:val="24"/>
          <w:szCs w:val="24"/>
          <w:lang w:eastAsia="zh-CN"/>
        </w:rPr>
        <w:t>25.4.4 技术要求</w:t>
      </w:r>
      <w:bookmarkEnd w:id="1804"/>
      <w:bookmarkEnd w:id="1805"/>
      <w:bookmarkEnd w:id="1806"/>
      <w:bookmarkEnd w:id="1807"/>
    </w:p>
    <w:p w14:paraId="4F6882F1">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25.4.4.1 概述</w:t>
      </w:r>
    </w:p>
    <w:p w14:paraId="777449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本规范未说明，但又与设计、制造、安装、试验、运输、包装保管和运行、维护等有关的技术要求，按招标文件规定的有关标准执行。</w:t>
      </w:r>
    </w:p>
    <w:p w14:paraId="4340B0D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25.4.4.2 主要技术参数</w:t>
      </w:r>
    </w:p>
    <w:p w14:paraId="23CD00B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干式变压器</w:t>
      </w:r>
    </w:p>
    <w:p w14:paraId="0AA274A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户内、三相、风冷、无励磁调压型环氧树脂浇注降压变压器</w:t>
      </w:r>
    </w:p>
    <w:p w14:paraId="15621FA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型号：SCB18-1000/10</w:t>
      </w:r>
    </w:p>
    <w:p w14:paraId="706452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容量：1000kVA</w:t>
      </w:r>
    </w:p>
    <w:p w14:paraId="53ADCD5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相数：三相</w:t>
      </w:r>
    </w:p>
    <w:p w14:paraId="4DAC4B9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频率：50Hz</w:t>
      </w:r>
    </w:p>
    <w:p w14:paraId="65DDB64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电压比：10±2</w:t>
      </w:r>
      <w:r>
        <w:rPr>
          <w:rFonts w:hint="eastAsia" w:ascii="宋体" w:hAnsi="宋体" w:eastAsia="宋体" w:cs="宋体"/>
          <w:color w:val="auto"/>
          <w:sz w:val="24"/>
          <w:szCs w:val="24"/>
        </w:rPr>
        <w:sym w:font="Symbol" w:char="F0B4"/>
      </w:r>
      <w:r>
        <w:rPr>
          <w:rFonts w:hint="eastAsia" w:ascii="宋体" w:hAnsi="宋体" w:eastAsia="宋体" w:cs="宋体"/>
          <w:color w:val="auto"/>
          <w:sz w:val="24"/>
          <w:szCs w:val="24"/>
          <w:lang w:eastAsia="zh-CN"/>
        </w:rPr>
        <w:t>2.5%/0.4kV</w:t>
      </w:r>
    </w:p>
    <w:p w14:paraId="05A69F6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阻抗电压（Uk%）：6</w:t>
      </w:r>
    </w:p>
    <w:p w14:paraId="643D210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接线组别：D,yn11</w:t>
      </w:r>
    </w:p>
    <w:p w14:paraId="182A079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调压形式：无励磁调压</w:t>
      </w:r>
    </w:p>
    <w:p w14:paraId="1F727FE8">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10kV侧1min额定工频耐受电压：35kV</w:t>
      </w:r>
    </w:p>
    <w:p w14:paraId="06A19C6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10kV侧额定雷电冲击耐受电压（峰值）：75kV（全波）</w:t>
      </w:r>
    </w:p>
    <w:p w14:paraId="00FA134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空载损耗：≯1.02kW</w:t>
      </w:r>
    </w:p>
    <w:p w14:paraId="14C362C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负载损耗：≯6.885kW （F 120℃）</w:t>
      </w:r>
    </w:p>
    <w:p w14:paraId="26B1B5D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总损耗：≯7.905kW</w:t>
      </w:r>
    </w:p>
    <w:p w14:paraId="0A9A42B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空载电流：≯0.85%</w:t>
      </w:r>
    </w:p>
    <w:p w14:paraId="5AFDAEB2">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套管颜色：棕色</w:t>
      </w:r>
    </w:p>
    <w:p w14:paraId="5123C6C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25.4.4.3 干式变压器结构要求</w:t>
      </w:r>
    </w:p>
    <w:p w14:paraId="648EB0CA">
      <w:pPr>
        <w:widowControl w:val="0"/>
        <w:numPr>
          <w:ilvl w:val="0"/>
          <w:numId w:val="15"/>
        </w:numPr>
        <w:kinsoku/>
        <w:topLinePunct/>
        <w:autoSpaceDE/>
        <w:autoSpaceDN/>
        <w:spacing w:line="520" w:lineRule="exact"/>
        <w:ind w:left="0" w:firstLine="425"/>
        <w:jc w:val="both"/>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防护方式</w:t>
      </w:r>
    </w:p>
    <w:p w14:paraId="51211B0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根据使用环境特征及防护要求，变压器选用IP30防护外壳，应防止直径大于</w:t>
      </w:r>
      <w:r>
        <w:rPr>
          <w:rFonts w:hint="eastAsia" w:ascii="宋体" w:hAnsi="宋体" w:eastAsia="宋体" w:cs="宋体"/>
          <w:color w:val="auto"/>
          <w:sz w:val="24"/>
          <w:szCs w:val="24"/>
          <w:lang w:eastAsia="zh-CN"/>
        </w:rPr>
        <w:t>2.5</w:t>
      </w:r>
      <w:r>
        <w:rPr>
          <w:rFonts w:hint="eastAsia" w:ascii="宋体" w:hAnsi="宋体" w:eastAsia="宋体" w:cs="宋体"/>
          <w:color w:val="auto"/>
          <w:sz w:val="24"/>
          <w:szCs w:val="24"/>
          <w:lang w:val="zh-CN" w:eastAsia="zh-CN"/>
        </w:rPr>
        <w:t>mm的固体异物及鼠、蛇、猫、雀等小动物进入，造成短路停电等恶性故障，为带电部分提供安全屏障。</w:t>
      </w:r>
    </w:p>
    <w:p w14:paraId="7E17FAF1">
      <w:pPr>
        <w:widowControl w:val="0"/>
        <w:numPr>
          <w:ilvl w:val="0"/>
          <w:numId w:val="15"/>
        </w:numPr>
        <w:kinsoku/>
        <w:topLinePunct/>
        <w:autoSpaceDE/>
        <w:autoSpaceDN/>
        <w:spacing w:line="520" w:lineRule="exact"/>
        <w:ind w:left="0" w:firstLine="425"/>
        <w:jc w:val="both"/>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风机自动控制</w:t>
      </w:r>
    </w:p>
    <w:p w14:paraId="7902F059">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应在低压绕组最热处装设Pt100测温电阻测取温度信号。变压器负荷增大，运行温度上升，当绕组温度达到一定值时，系统自动启动风机冷却；当绕组温度降低至规定时，系统自动停止风机。风机控制应自带控制箱。温度控制装置以4～20mA模拟量输出。</w:t>
      </w:r>
    </w:p>
    <w:p w14:paraId="00CB8FD4">
      <w:pPr>
        <w:widowControl w:val="0"/>
        <w:numPr>
          <w:ilvl w:val="0"/>
          <w:numId w:val="15"/>
        </w:numPr>
        <w:kinsoku/>
        <w:topLinePunct/>
        <w:autoSpaceDE/>
        <w:autoSpaceDN/>
        <w:spacing w:line="520" w:lineRule="exact"/>
        <w:ind w:left="0" w:firstLine="425"/>
        <w:jc w:val="both"/>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超温报警、跳闸</w:t>
      </w:r>
    </w:p>
    <w:p w14:paraId="1C59777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在低压绕组应装设测温电阻采集绕组或铁心温度信号。当变压器绕组温度升高到一定值时，应输出超温报警或跳闸信号。温度控制装置以4～20mA模拟量输出。</w:t>
      </w:r>
    </w:p>
    <w:p w14:paraId="2F497DC1">
      <w:pPr>
        <w:widowControl w:val="0"/>
        <w:numPr>
          <w:ilvl w:val="0"/>
          <w:numId w:val="15"/>
        </w:numPr>
        <w:kinsoku/>
        <w:topLinePunct/>
        <w:autoSpaceDE/>
        <w:autoSpaceDN/>
        <w:spacing w:line="520" w:lineRule="exact"/>
        <w:ind w:left="0" w:firstLine="425"/>
        <w:jc w:val="both"/>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冷却方式</w:t>
      </w:r>
    </w:p>
    <w:p w14:paraId="316A32D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为强迫空气冷却(AF)和自然空冷（AN）。自然空冷时，变压器可在额定容量下长期连续运行。强迫风冷时，变压器输出容量应可提高50%。</w:t>
      </w:r>
    </w:p>
    <w:p w14:paraId="522C21A7">
      <w:pPr>
        <w:widowControl w:val="0"/>
        <w:numPr>
          <w:ilvl w:val="0"/>
          <w:numId w:val="15"/>
        </w:numPr>
        <w:kinsoku/>
        <w:topLinePunct/>
        <w:autoSpaceDE/>
        <w:autoSpaceDN/>
        <w:spacing w:line="520" w:lineRule="exact"/>
        <w:ind w:left="0" w:firstLine="425"/>
        <w:jc w:val="both"/>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接线方式</w:t>
      </w:r>
    </w:p>
    <w:p w14:paraId="0213DBD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变压器高低压侧均为</w:t>
      </w:r>
      <w:r>
        <w:rPr>
          <w:rFonts w:hint="eastAsia" w:ascii="宋体" w:hAnsi="宋体" w:eastAsia="宋体" w:cs="宋体"/>
          <w:color w:val="auto"/>
          <w:sz w:val="24"/>
          <w:szCs w:val="24"/>
          <w:lang w:eastAsia="zh-CN"/>
        </w:rPr>
        <w:t>下</w:t>
      </w:r>
      <w:r>
        <w:rPr>
          <w:rFonts w:hint="eastAsia" w:ascii="宋体" w:hAnsi="宋体" w:eastAsia="宋体" w:cs="宋体"/>
          <w:color w:val="auto"/>
          <w:sz w:val="24"/>
          <w:szCs w:val="24"/>
          <w:lang w:val="zh-CN" w:eastAsia="zh-CN"/>
        </w:rPr>
        <w:t xml:space="preserve">部与外部电力电缆联接。 </w:t>
      </w:r>
    </w:p>
    <w:p w14:paraId="4EE4E8D8">
      <w:pPr>
        <w:widowControl w:val="0"/>
        <w:numPr>
          <w:ilvl w:val="0"/>
          <w:numId w:val="15"/>
        </w:numPr>
        <w:kinsoku/>
        <w:topLinePunct/>
        <w:autoSpaceDE/>
        <w:autoSpaceDN/>
        <w:spacing w:line="520" w:lineRule="exact"/>
        <w:ind w:left="0" w:firstLine="425"/>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变压器在任何分接头位置时，故障前满载运行条件下都应能承受对称短路电流及不对称短路电流峰值2秒钟，各部位均应无损坏和明显变形，短路后绕组的平均温度不超过350℃。</w:t>
      </w:r>
    </w:p>
    <w:p w14:paraId="3EC59358">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1808" w:name="_Toc308526601"/>
      <w:bookmarkStart w:id="1809" w:name="_Toc308525964"/>
      <w:bookmarkStart w:id="1810" w:name="_Toc395177355"/>
      <w:bookmarkStart w:id="1811" w:name="_Toc56481351"/>
      <w:r>
        <w:rPr>
          <w:rFonts w:hint="eastAsia" w:ascii="宋体" w:hAnsi="宋体" w:eastAsia="宋体" w:cs="宋体"/>
          <w:b/>
          <w:bCs/>
          <w:color w:val="auto"/>
          <w:sz w:val="24"/>
          <w:szCs w:val="24"/>
          <w:lang w:eastAsia="zh-CN"/>
        </w:rPr>
        <w:t>25.4.5 试验</w:t>
      </w:r>
      <w:bookmarkEnd w:id="1808"/>
      <w:bookmarkEnd w:id="1809"/>
      <w:bookmarkEnd w:id="1810"/>
    </w:p>
    <w:p w14:paraId="3CB25E87">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bookmarkStart w:id="1812" w:name="_Toc308526602"/>
      <w:bookmarkStart w:id="1813" w:name="_Toc308525965"/>
      <w:r>
        <w:rPr>
          <w:rFonts w:hint="eastAsia" w:ascii="宋体" w:hAnsi="宋体" w:eastAsia="宋体" w:cs="宋体"/>
          <w:b/>
          <w:bCs/>
          <w:color w:val="auto"/>
          <w:sz w:val="24"/>
          <w:szCs w:val="24"/>
          <w:lang w:eastAsia="zh-CN"/>
        </w:rPr>
        <w:t>25.4.5.1 出厂试验</w:t>
      </w:r>
      <w:bookmarkEnd w:id="1811"/>
      <w:bookmarkEnd w:id="1812"/>
      <w:bookmarkEnd w:id="1813"/>
    </w:p>
    <w:p w14:paraId="21E1266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(1)设备应进行出厂试验，经质量检验部门确认合格后方能出厂，并应具有证明设备合格的产品出厂证明书。</w:t>
      </w:r>
    </w:p>
    <w:p w14:paraId="558C051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(2)电力变压器出厂试验内容、方法及要求应符合GB1094、GB6451、GB10228等标准的要求。</w:t>
      </w:r>
    </w:p>
    <w:p w14:paraId="77ABB62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(3)承包单位的质量检验部门应按产品设计图样、业主提供的订货资料及本章有关条款逐台检验，只有检验合格后才准予验收，并向业主签发产品合格证书。</w:t>
      </w:r>
    </w:p>
    <w:p w14:paraId="11786AAA">
      <w:pPr>
        <w:widowControl w:val="0"/>
        <w:kinsoku/>
        <w:topLinePunct/>
        <w:autoSpaceDE/>
        <w:autoSpaceDN/>
        <w:spacing w:line="520" w:lineRule="exact"/>
        <w:ind w:firstLine="482" w:firstLineChars="200"/>
        <w:jc w:val="both"/>
        <w:outlineLvl w:val="4"/>
        <w:rPr>
          <w:rFonts w:hint="eastAsia" w:ascii="宋体" w:hAnsi="宋体" w:eastAsia="宋体" w:cs="宋体"/>
          <w:b/>
          <w:bCs/>
          <w:color w:val="auto"/>
          <w:sz w:val="24"/>
          <w:szCs w:val="24"/>
          <w:lang w:eastAsia="zh-CN"/>
        </w:rPr>
      </w:pPr>
      <w:bookmarkStart w:id="1814" w:name="_Toc308526603"/>
      <w:bookmarkStart w:id="1815" w:name="_Toc308525966"/>
      <w:bookmarkStart w:id="1816" w:name="_Toc510511115"/>
      <w:bookmarkStart w:id="1817" w:name="_Toc56481352"/>
      <w:bookmarkStart w:id="1818" w:name="_Toc510510948"/>
      <w:r>
        <w:rPr>
          <w:rFonts w:hint="eastAsia" w:ascii="宋体" w:hAnsi="宋体" w:eastAsia="宋体" w:cs="宋体"/>
          <w:b/>
          <w:bCs/>
          <w:color w:val="auto"/>
          <w:sz w:val="24"/>
          <w:szCs w:val="24"/>
          <w:lang w:eastAsia="zh-CN"/>
        </w:rPr>
        <w:t>25.4.5.2 现场试验</w:t>
      </w:r>
      <w:bookmarkEnd w:id="1814"/>
      <w:bookmarkEnd w:id="1815"/>
      <w:bookmarkEnd w:id="1816"/>
      <w:bookmarkEnd w:id="1817"/>
      <w:bookmarkEnd w:id="1818"/>
    </w:p>
    <w:p w14:paraId="53A0A38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设备安装完成后，制造单位应监督、指导安装单位进行系统调整、校正及测试以证明整个设备的性能达到本技术规范的要求。现场试验应经历两个主要阶段：即现场初步验收试验和最终验收试验。在所有合同设备保证期期满之前一个月内对整个系统以最终的验收。</w:t>
      </w:r>
    </w:p>
    <w:p w14:paraId="54AEF6A5">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制造单位应提供一个验证设备是否达到规定要求的程序和试验大纲给监理单位复核。</w:t>
      </w:r>
    </w:p>
    <w:p w14:paraId="5738E80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现场试验的步骤应至少在计划试验时间的一个月前提供。</w:t>
      </w:r>
    </w:p>
    <w:p w14:paraId="3D2AA824">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制造单位应提供一个完整的现场试验报告，以表明设备的特定部件或整个完全符合规定的性能要求。</w:t>
      </w:r>
    </w:p>
    <w:p w14:paraId="2881451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现场试验应在安装完毕的设备上进行。任何部件不能满足规范书要求以及制造厂保证性能时，应由制造厂无偿地加以更换，完成所要求的测量所必需的全部试验设备由制造厂提供。</w:t>
      </w:r>
    </w:p>
    <w:p w14:paraId="02457A2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最终验收试验重点应放在初步验收试验中不完全满意或在保证期运行中有故障的部分设备的重新试验上。</w:t>
      </w:r>
    </w:p>
    <w:p w14:paraId="3E6BCD0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当所有局部最终验收试验完成后，应进行最终设备验收试验以验证是否完全达到其保证的性能指标。</w:t>
      </w:r>
    </w:p>
    <w:p w14:paraId="48A4B153">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1819" w:name="_Toc395177356"/>
      <w:bookmarkStart w:id="1820" w:name="_Toc308525967"/>
      <w:bookmarkStart w:id="1821" w:name="_Toc308526604"/>
      <w:bookmarkStart w:id="1822" w:name="_Toc56481386"/>
      <w:bookmarkStart w:id="1823" w:name="_Toc510511118"/>
      <w:bookmarkStart w:id="1824" w:name="_Toc56481353"/>
      <w:bookmarkStart w:id="1825" w:name="_Toc510510951"/>
      <w:r>
        <w:rPr>
          <w:rFonts w:hint="eastAsia" w:ascii="宋体" w:hAnsi="宋体" w:eastAsia="宋体" w:cs="宋体"/>
          <w:b/>
          <w:bCs/>
          <w:color w:val="auto"/>
          <w:sz w:val="24"/>
          <w:szCs w:val="24"/>
          <w:lang w:eastAsia="zh-CN"/>
        </w:rPr>
        <w:t>25.4.6 备品备件</w:t>
      </w:r>
      <w:bookmarkEnd w:id="1819"/>
      <w:bookmarkEnd w:id="1820"/>
      <w:bookmarkEnd w:id="1821"/>
    </w:p>
    <w:bookmarkEnd w:id="1822"/>
    <w:bookmarkEnd w:id="1823"/>
    <w:bookmarkEnd w:id="1824"/>
    <w:bookmarkEnd w:id="1825"/>
    <w:p w14:paraId="7133A7B3">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供方提供变压器长期安全稳定运行所需的备品备件，安装、调试和试运行阶段所需的各种消耗品应由供方提供。</w:t>
      </w:r>
    </w:p>
    <w:p w14:paraId="65B5631B">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提供的备品备件应能可替换并且是用同一种材料制成的，使用相同的生产标准，按相应的技术指标生产。所有的备品备件，应装箱保存，以防存放时损坏，在密封的包装箱中，应适当地给予标记和说明，并附清单。</w:t>
      </w:r>
    </w:p>
    <w:p w14:paraId="7AA7DDF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供方应按报价表中的备品备件的总价，提供备品备件，此外，在合同表的附件中提供这些备品备件的每项分价。</w:t>
      </w:r>
    </w:p>
    <w:p w14:paraId="14FC5BA7">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投标人应提供如下规定的备品备件：</w:t>
      </w:r>
    </w:p>
    <w:p w14:paraId="3054CB3E">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温控仪：2只</w:t>
      </w:r>
    </w:p>
    <w:p w14:paraId="4005DE7E">
      <w:pPr>
        <w:widowControl w:val="0"/>
        <w:kinsoku/>
        <w:topLinePunct/>
        <w:autoSpaceDE/>
        <w:autoSpaceDN/>
        <w:spacing w:line="520" w:lineRule="exact"/>
        <w:jc w:val="both"/>
        <w:outlineLvl w:val="3"/>
        <w:rPr>
          <w:rFonts w:hint="eastAsia" w:ascii="宋体" w:hAnsi="宋体" w:eastAsia="宋体" w:cs="宋体"/>
          <w:b/>
          <w:bCs/>
          <w:color w:val="auto"/>
          <w:sz w:val="24"/>
          <w:szCs w:val="24"/>
          <w:lang w:eastAsia="zh-CN"/>
        </w:rPr>
      </w:pPr>
      <w:bookmarkStart w:id="1826" w:name="_Toc395177357"/>
      <w:bookmarkStart w:id="1827" w:name="_Toc308526605"/>
      <w:bookmarkStart w:id="1828" w:name="_Toc308525968"/>
      <w:r>
        <w:rPr>
          <w:rFonts w:hint="eastAsia" w:ascii="宋体" w:hAnsi="宋体" w:eastAsia="宋体" w:cs="宋体"/>
          <w:b/>
          <w:bCs/>
          <w:color w:val="auto"/>
          <w:sz w:val="24"/>
          <w:szCs w:val="24"/>
          <w:lang w:eastAsia="zh-CN"/>
        </w:rPr>
        <w:t>25.4.7 专用工器具</w:t>
      </w:r>
      <w:bookmarkEnd w:id="1826"/>
      <w:bookmarkEnd w:id="1827"/>
      <w:bookmarkEnd w:id="1828"/>
    </w:p>
    <w:p w14:paraId="3C3560DD">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供方提供变压器长期安全稳定运行和正常维护及保养所需的维修工具和试验设备，安装、调试和试运行阶段所需的各种工具和消耗品应由供方提供。</w:t>
      </w:r>
    </w:p>
    <w:p w14:paraId="66D1D700">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供方提供及推荐的所有工具和仪器所需的内部连接电缆、测量用电缆、探测器、电源线和其他专用工具、仪器的辅助设备应包括在供货范围内。</w:t>
      </w:r>
    </w:p>
    <w:p w14:paraId="1B31F73D">
      <w:pPr>
        <w:widowControl w:val="0"/>
        <w:kinsoku/>
        <w:topLinePunct/>
        <w:autoSpaceDE/>
        <w:autoSpaceDN/>
        <w:spacing w:line="520" w:lineRule="exact"/>
        <w:ind w:firstLine="480" w:firstLineChars="200"/>
        <w:jc w:val="both"/>
        <w:rPr>
          <w:rFonts w:hint="eastAsia" w:ascii="宋体" w:hAnsi="宋体" w:eastAsia="宋体" w:cs="宋体"/>
          <w:b/>
          <w:bCs/>
          <w:color w:val="auto"/>
          <w:sz w:val="28"/>
          <w:szCs w:val="28"/>
          <w:lang w:eastAsia="zh-CN"/>
        </w:rPr>
      </w:pPr>
      <w:r>
        <w:rPr>
          <w:rFonts w:hint="eastAsia" w:ascii="宋体" w:hAnsi="宋体" w:eastAsia="宋体" w:cs="宋体"/>
          <w:color w:val="auto"/>
          <w:sz w:val="24"/>
          <w:szCs w:val="24"/>
          <w:lang w:eastAsia="zh-CN"/>
        </w:rPr>
        <w:t>供方应按报价表中的专用工具的总价，提供专用工具，在合同表的附件中提供这些专用工具的每项分价。</w:t>
      </w:r>
    </w:p>
    <w:p w14:paraId="66E6A9A3">
      <w:pPr>
        <w:widowControl w:val="0"/>
        <w:kinsoku/>
        <w:topLinePunct/>
        <w:autoSpaceDE/>
        <w:autoSpaceDN/>
        <w:spacing w:line="520" w:lineRule="exact"/>
        <w:jc w:val="both"/>
        <w:outlineLvl w:val="2"/>
        <w:rPr>
          <w:rFonts w:hint="eastAsia" w:ascii="宋体" w:hAnsi="宋体" w:eastAsia="宋体" w:cs="宋体"/>
          <w:b/>
          <w:bCs/>
          <w:color w:val="auto"/>
          <w:sz w:val="24"/>
          <w:szCs w:val="24"/>
          <w:lang w:eastAsia="zh-CN"/>
        </w:rPr>
      </w:pPr>
      <w:bookmarkStart w:id="1829" w:name="_Toc9212"/>
      <w:bookmarkStart w:id="1830" w:name="_Toc8423"/>
      <w:r>
        <w:rPr>
          <w:rFonts w:hint="eastAsia" w:ascii="宋体" w:hAnsi="宋体" w:eastAsia="宋体" w:cs="宋体"/>
          <w:b/>
          <w:bCs/>
          <w:color w:val="auto"/>
          <w:sz w:val="24"/>
          <w:szCs w:val="24"/>
          <w:lang w:eastAsia="zh-CN"/>
        </w:rPr>
        <w:t>25.5计量与支付</w:t>
      </w:r>
      <w:bookmarkEnd w:id="1829"/>
      <w:bookmarkEnd w:id="1830"/>
    </w:p>
    <w:p w14:paraId="3A06C12F">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(1)本章规定设备制造工程项目的支付，将按该项目施工（制造）图纸所示的数量，以台/套为单位进行计量。并按《工程量清单》所列该项目的总价进行支付。</w:t>
      </w:r>
    </w:p>
    <w:p w14:paraId="302E024A">
      <w:pPr>
        <w:widowControl w:val="0"/>
        <w:kinsoku/>
        <w:topLinePunct/>
        <w:autoSpaceDE/>
        <w:autoSpaceDN/>
        <w:spacing w:line="52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总价中已包括所有制造设备（包括附属设备），从非标设计、设备及材料采购、成套制造、厂内预组装及试验、防腐蚀、专用工具、备品备件、联调试验、出厂验收、包装、运输至工地发包人指定的卸货地点交接验收、配合卸货和在工地安装、调试、试运行、验收过程中的现场技术服务以及合同规定应由承包人完成的其他工作。合同履行期所发生的直接费、间接费、保险、税金、利润等一切费用均由投标人承担，并计入报价中。</w:t>
      </w:r>
    </w:p>
    <w:p w14:paraId="701A9F08">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bookmarkEnd w:id="1043"/>
    <w:bookmarkEnd w:id="1044"/>
    <w:p w14:paraId="4853E10E">
      <w:pPr>
        <w:spacing w:line="360" w:lineRule="auto"/>
        <w:jc w:val="center"/>
        <w:outlineLvl w:val="0"/>
        <w:rPr>
          <w:rFonts w:hint="eastAsia" w:ascii="黑体" w:hAnsi="黑体" w:eastAsia="黑体" w:cs="黑体"/>
          <w:color w:val="auto"/>
          <w:sz w:val="48"/>
          <w:szCs w:val="48"/>
          <w:lang w:eastAsia="zh-CN"/>
        </w:rPr>
      </w:pPr>
      <w:bookmarkStart w:id="1831" w:name="bookmark643"/>
      <w:bookmarkEnd w:id="1831"/>
      <w:bookmarkStart w:id="1832" w:name="_Toc5063"/>
      <w:bookmarkStart w:id="1833" w:name="_Toc28094"/>
      <w:bookmarkStart w:id="1834" w:name="_Toc20562"/>
      <w:bookmarkStart w:id="1835" w:name="_Toc29905"/>
      <w:r>
        <w:rPr>
          <w:rFonts w:ascii="黑体" w:hAnsi="黑体" w:eastAsia="黑体" w:cs="黑体"/>
          <w:b/>
          <w:bCs/>
          <w:color w:val="auto"/>
          <w:sz w:val="48"/>
          <w:szCs w:val="48"/>
          <w:lang w:eastAsia="zh-CN"/>
        </w:rPr>
        <w:t>第四卷</w:t>
      </w:r>
      <w:bookmarkEnd w:id="1832"/>
      <w:bookmarkEnd w:id="1833"/>
      <w:bookmarkEnd w:id="1834"/>
      <w:bookmarkEnd w:id="1835"/>
    </w:p>
    <w:p w14:paraId="54EDA655">
      <w:pPr>
        <w:spacing w:line="360" w:lineRule="auto"/>
        <w:jc w:val="center"/>
        <w:rPr>
          <w:rFonts w:hint="eastAsia" w:ascii="黑体" w:hAnsi="黑体" w:eastAsia="黑体" w:cs="黑体"/>
          <w:color w:val="auto"/>
          <w:sz w:val="48"/>
          <w:szCs w:val="48"/>
          <w:lang w:eastAsia="zh-CN"/>
        </w:rPr>
      </w:pPr>
      <w:r>
        <w:rPr>
          <w:rFonts w:ascii="黑体" w:hAnsi="黑体" w:eastAsia="黑体" w:cs="黑体"/>
          <w:color w:val="auto"/>
          <w:sz w:val="48"/>
          <w:szCs w:val="48"/>
          <w:lang w:eastAsia="zh-CN"/>
        </w:rPr>
        <w:br w:type="page"/>
      </w:r>
    </w:p>
    <w:p w14:paraId="3C12F953">
      <w:pPr>
        <w:pStyle w:val="8"/>
        <w:spacing w:line="243" w:lineRule="auto"/>
        <w:rPr>
          <w:color w:val="auto"/>
          <w:lang w:eastAsia="zh-CN"/>
        </w:rPr>
      </w:pPr>
    </w:p>
    <w:p w14:paraId="3EF3B4F4">
      <w:pPr>
        <w:pStyle w:val="8"/>
        <w:spacing w:line="243" w:lineRule="auto"/>
        <w:rPr>
          <w:color w:val="auto"/>
          <w:lang w:eastAsia="zh-CN"/>
        </w:rPr>
      </w:pPr>
    </w:p>
    <w:p w14:paraId="2671B947">
      <w:pPr>
        <w:pStyle w:val="8"/>
        <w:spacing w:line="243" w:lineRule="auto"/>
        <w:rPr>
          <w:color w:val="auto"/>
          <w:lang w:eastAsia="zh-CN"/>
        </w:rPr>
      </w:pPr>
    </w:p>
    <w:p w14:paraId="73DD9AF4">
      <w:pPr>
        <w:pStyle w:val="8"/>
        <w:spacing w:line="243" w:lineRule="auto"/>
        <w:rPr>
          <w:color w:val="auto"/>
          <w:lang w:eastAsia="zh-CN"/>
        </w:rPr>
      </w:pPr>
    </w:p>
    <w:p w14:paraId="178E6B65">
      <w:pPr>
        <w:spacing w:before="117" w:line="219" w:lineRule="auto"/>
        <w:ind w:left="2404"/>
        <w:outlineLvl w:val="0"/>
        <w:rPr>
          <w:rFonts w:hint="eastAsia" w:ascii="宋体" w:hAnsi="宋体" w:eastAsia="宋体" w:cs="宋体"/>
          <w:b/>
          <w:bCs/>
          <w:color w:val="auto"/>
          <w:spacing w:val="-4"/>
          <w:sz w:val="36"/>
          <w:szCs w:val="36"/>
          <w:lang w:eastAsia="zh-CN"/>
        </w:rPr>
      </w:pPr>
      <w:bookmarkStart w:id="1836" w:name="bookmark644"/>
      <w:bookmarkEnd w:id="1836"/>
      <w:bookmarkStart w:id="1837" w:name="_Toc29295"/>
      <w:bookmarkStart w:id="1838" w:name="_Toc12207"/>
      <w:bookmarkStart w:id="1839" w:name="_Toc22795"/>
      <w:bookmarkStart w:id="1840" w:name="_Toc10096"/>
      <w:r>
        <w:rPr>
          <w:rFonts w:ascii="宋体" w:hAnsi="宋体" w:eastAsia="宋体" w:cs="宋体"/>
          <w:b/>
          <w:bCs/>
          <w:color w:val="auto"/>
          <w:spacing w:val="-4"/>
          <w:sz w:val="36"/>
          <w:szCs w:val="36"/>
          <w:lang w:eastAsia="zh-CN"/>
        </w:rPr>
        <w:t>第八章</w:t>
      </w:r>
      <w:r>
        <w:rPr>
          <w:rFonts w:hint="eastAsia" w:ascii="宋体" w:hAnsi="宋体" w:eastAsia="宋体" w:cs="宋体"/>
          <w:color w:val="auto"/>
          <w:spacing w:val="-4"/>
          <w:sz w:val="36"/>
          <w:szCs w:val="36"/>
          <w:lang w:eastAsia="zh-CN"/>
        </w:rPr>
        <w:t>　</w:t>
      </w:r>
      <w:r>
        <w:rPr>
          <w:rFonts w:ascii="宋体" w:hAnsi="宋体" w:eastAsia="宋体" w:cs="宋体"/>
          <w:b/>
          <w:bCs/>
          <w:color w:val="auto"/>
          <w:spacing w:val="-4"/>
          <w:sz w:val="36"/>
          <w:szCs w:val="36"/>
          <w:lang w:eastAsia="zh-CN"/>
        </w:rPr>
        <w:t>投标文件格式</w:t>
      </w:r>
      <w:bookmarkEnd w:id="1837"/>
      <w:bookmarkEnd w:id="1838"/>
      <w:bookmarkEnd w:id="1839"/>
      <w:bookmarkEnd w:id="1840"/>
    </w:p>
    <w:p w14:paraId="4DBAB2C5">
      <w:pPr>
        <w:rPr>
          <w:rFonts w:hint="eastAsia" w:ascii="宋体" w:hAnsi="宋体" w:eastAsia="宋体" w:cs="宋体"/>
          <w:b/>
          <w:bCs/>
          <w:color w:val="auto"/>
          <w:spacing w:val="-4"/>
          <w:sz w:val="36"/>
          <w:szCs w:val="36"/>
          <w:lang w:eastAsia="zh-CN"/>
        </w:rPr>
      </w:pPr>
      <w:r>
        <w:rPr>
          <w:rFonts w:ascii="宋体" w:hAnsi="宋体" w:eastAsia="宋体" w:cs="宋体"/>
          <w:b/>
          <w:bCs/>
          <w:color w:val="auto"/>
          <w:spacing w:val="-4"/>
          <w:sz w:val="36"/>
          <w:szCs w:val="36"/>
          <w:lang w:eastAsia="zh-CN"/>
        </w:rPr>
        <w:br w:type="page"/>
      </w:r>
    </w:p>
    <w:p w14:paraId="0E69086F">
      <w:pPr>
        <w:rPr>
          <w:rFonts w:hint="eastAsia" w:ascii="宋体" w:hAnsi="宋体" w:eastAsia="宋体" w:cs="宋体"/>
          <w:color w:val="auto"/>
          <w:sz w:val="36"/>
          <w:szCs w:val="36"/>
          <w:lang w:eastAsia="zh-CN"/>
        </w:rPr>
      </w:pPr>
    </w:p>
    <w:p w14:paraId="6E754E22">
      <w:pPr>
        <w:pStyle w:val="8"/>
        <w:spacing w:line="264" w:lineRule="auto"/>
        <w:rPr>
          <w:color w:val="auto"/>
          <w:lang w:eastAsia="zh-CN"/>
        </w:rPr>
      </w:pPr>
    </w:p>
    <w:p w14:paraId="254356F4">
      <w:pPr>
        <w:pStyle w:val="8"/>
        <w:spacing w:line="264" w:lineRule="auto"/>
        <w:rPr>
          <w:color w:val="auto"/>
          <w:lang w:eastAsia="zh-CN"/>
        </w:rPr>
      </w:pPr>
    </w:p>
    <w:p w14:paraId="236B97FF">
      <w:pPr>
        <w:pStyle w:val="8"/>
        <w:spacing w:line="264" w:lineRule="auto"/>
        <w:rPr>
          <w:color w:val="auto"/>
          <w:lang w:eastAsia="zh-CN"/>
        </w:rPr>
      </w:pPr>
    </w:p>
    <w:p w14:paraId="71B2E4CE">
      <w:pPr>
        <w:tabs>
          <w:tab w:val="left" w:pos="3486"/>
        </w:tabs>
        <w:spacing w:line="5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u w:val="single"/>
          <w:lang w:eastAsia="zh-CN"/>
        </w:rPr>
        <w:t>　　　　</w:t>
      </w:r>
      <w:r>
        <w:rPr>
          <w:rFonts w:ascii="宋体" w:hAnsi="宋体" w:eastAsia="宋体" w:cs="宋体"/>
          <w:color w:val="auto"/>
          <w:spacing w:val="-1"/>
          <w:sz w:val="24"/>
          <w:szCs w:val="24"/>
          <w:lang w:eastAsia="zh-CN"/>
        </w:rPr>
        <w:t>（</w:t>
      </w:r>
      <w:r>
        <w:rPr>
          <w:rFonts w:ascii="宋体" w:hAnsi="宋体" w:eastAsia="宋体" w:cs="宋体"/>
          <w:i/>
          <w:iCs/>
          <w:color w:val="auto"/>
          <w:spacing w:val="-1"/>
          <w:sz w:val="25"/>
          <w:szCs w:val="25"/>
          <w:lang w:eastAsia="zh-CN"/>
        </w:rPr>
        <w:t>项目名称</w:t>
      </w:r>
      <w:r>
        <w:rPr>
          <w:rFonts w:ascii="宋体" w:hAnsi="宋体" w:eastAsia="宋体" w:cs="宋体"/>
          <w:color w:val="auto"/>
          <w:spacing w:val="-25"/>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25"/>
          <w:sz w:val="24"/>
          <w:szCs w:val="24"/>
          <w:lang w:eastAsia="zh-CN"/>
        </w:rPr>
        <w:t>（</w:t>
      </w:r>
      <w:r>
        <w:rPr>
          <w:rFonts w:ascii="宋体" w:hAnsi="宋体" w:eastAsia="宋体" w:cs="宋体"/>
          <w:i/>
          <w:iCs/>
          <w:color w:val="auto"/>
          <w:spacing w:val="-1"/>
          <w:sz w:val="25"/>
          <w:szCs w:val="25"/>
          <w:lang w:eastAsia="zh-CN"/>
        </w:rPr>
        <w:t>标段名称</w:t>
      </w:r>
      <w:r>
        <w:rPr>
          <w:rFonts w:ascii="宋体" w:hAnsi="宋体" w:eastAsia="宋体" w:cs="宋体"/>
          <w:color w:val="auto"/>
          <w:spacing w:val="-1"/>
          <w:sz w:val="24"/>
          <w:szCs w:val="24"/>
          <w:lang w:eastAsia="zh-CN"/>
        </w:rPr>
        <w:t>）</w:t>
      </w:r>
    </w:p>
    <w:p w14:paraId="7700A480">
      <w:pPr>
        <w:pStyle w:val="8"/>
        <w:spacing w:line="244" w:lineRule="auto"/>
        <w:rPr>
          <w:color w:val="auto"/>
          <w:lang w:eastAsia="zh-CN"/>
        </w:rPr>
      </w:pPr>
    </w:p>
    <w:p w14:paraId="6EB3B177">
      <w:pPr>
        <w:pStyle w:val="8"/>
        <w:spacing w:line="245" w:lineRule="auto"/>
        <w:rPr>
          <w:color w:val="auto"/>
          <w:lang w:eastAsia="zh-CN"/>
        </w:rPr>
      </w:pPr>
    </w:p>
    <w:p w14:paraId="7EAC22E1">
      <w:pPr>
        <w:pStyle w:val="8"/>
        <w:spacing w:line="245" w:lineRule="auto"/>
        <w:rPr>
          <w:color w:val="auto"/>
          <w:lang w:eastAsia="zh-CN"/>
        </w:rPr>
      </w:pPr>
    </w:p>
    <w:p w14:paraId="2CC30D4C">
      <w:pPr>
        <w:pStyle w:val="8"/>
        <w:spacing w:line="245" w:lineRule="auto"/>
        <w:rPr>
          <w:color w:val="auto"/>
          <w:lang w:eastAsia="zh-CN"/>
        </w:rPr>
      </w:pPr>
    </w:p>
    <w:p w14:paraId="51E1E451">
      <w:pPr>
        <w:pStyle w:val="8"/>
        <w:spacing w:line="245" w:lineRule="auto"/>
        <w:rPr>
          <w:color w:val="auto"/>
          <w:lang w:eastAsia="zh-CN"/>
        </w:rPr>
      </w:pPr>
    </w:p>
    <w:p w14:paraId="6200CABF">
      <w:pPr>
        <w:pStyle w:val="8"/>
        <w:spacing w:line="245" w:lineRule="auto"/>
        <w:rPr>
          <w:color w:val="auto"/>
          <w:lang w:eastAsia="zh-CN"/>
        </w:rPr>
      </w:pPr>
    </w:p>
    <w:p w14:paraId="536EDAA0">
      <w:pPr>
        <w:spacing w:before="140" w:line="223" w:lineRule="auto"/>
        <w:rPr>
          <w:rFonts w:hint="eastAsia" w:ascii="宋体" w:hAnsi="宋体" w:eastAsia="宋体" w:cs="宋体"/>
          <w:b/>
          <w:bCs/>
          <w:color w:val="auto"/>
          <w:spacing w:val="-14"/>
          <w:sz w:val="43"/>
          <w:szCs w:val="43"/>
          <w:lang w:eastAsia="zh-CN"/>
        </w:rPr>
      </w:pPr>
    </w:p>
    <w:p w14:paraId="5EC612C6">
      <w:pPr>
        <w:widowControl w:val="0"/>
        <w:kinsoku/>
        <w:topLinePunct/>
        <w:autoSpaceDE/>
        <w:autoSpaceDN/>
        <w:spacing w:line="520" w:lineRule="exact"/>
        <w:jc w:val="center"/>
        <w:rPr>
          <w:rFonts w:hint="eastAsia" w:ascii="宋体" w:hAnsi="宋体" w:eastAsia="宋体" w:cs="宋体"/>
          <w:color w:val="auto"/>
          <w:sz w:val="43"/>
          <w:szCs w:val="43"/>
          <w:lang w:eastAsia="zh-CN"/>
        </w:rPr>
      </w:pPr>
      <w:r>
        <w:rPr>
          <w:rFonts w:ascii="宋体" w:hAnsi="宋体" w:eastAsia="宋体" w:cs="宋体"/>
          <w:b/>
          <w:bCs/>
          <w:color w:val="auto"/>
          <w:spacing w:val="-14"/>
          <w:sz w:val="43"/>
          <w:szCs w:val="43"/>
          <w:lang w:eastAsia="zh-CN"/>
        </w:rPr>
        <w:t>投</w:t>
      </w:r>
      <w:r>
        <w:rPr>
          <w:rFonts w:hint="eastAsia" w:ascii="宋体" w:hAnsi="宋体" w:eastAsia="宋体" w:cs="宋体"/>
          <w:b/>
          <w:bCs/>
          <w:color w:val="auto"/>
          <w:spacing w:val="-14"/>
          <w:sz w:val="43"/>
          <w:szCs w:val="43"/>
          <w:lang w:eastAsia="zh-CN"/>
        </w:rPr>
        <w:t xml:space="preserve"> </w:t>
      </w:r>
      <w:r>
        <w:rPr>
          <w:rFonts w:ascii="宋体" w:hAnsi="宋体" w:eastAsia="宋体" w:cs="宋体"/>
          <w:b/>
          <w:bCs/>
          <w:color w:val="auto"/>
          <w:spacing w:val="-14"/>
          <w:sz w:val="43"/>
          <w:szCs w:val="43"/>
          <w:lang w:eastAsia="zh-CN"/>
        </w:rPr>
        <w:t>标</w:t>
      </w:r>
      <w:r>
        <w:rPr>
          <w:rFonts w:hint="eastAsia" w:ascii="宋体" w:hAnsi="宋体" w:eastAsia="宋体" w:cs="宋体"/>
          <w:b/>
          <w:bCs/>
          <w:color w:val="auto"/>
          <w:spacing w:val="-14"/>
          <w:sz w:val="43"/>
          <w:szCs w:val="43"/>
          <w:lang w:eastAsia="zh-CN"/>
        </w:rPr>
        <w:t xml:space="preserve"> </w:t>
      </w:r>
      <w:r>
        <w:rPr>
          <w:rFonts w:ascii="宋体" w:hAnsi="宋体" w:eastAsia="宋体" w:cs="宋体"/>
          <w:b/>
          <w:bCs/>
          <w:color w:val="auto"/>
          <w:spacing w:val="-14"/>
          <w:sz w:val="43"/>
          <w:szCs w:val="43"/>
          <w:lang w:eastAsia="zh-CN"/>
        </w:rPr>
        <w:t>文</w:t>
      </w:r>
      <w:r>
        <w:rPr>
          <w:rFonts w:hint="eastAsia" w:ascii="宋体" w:hAnsi="宋体" w:eastAsia="宋体" w:cs="宋体"/>
          <w:b/>
          <w:bCs/>
          <w:color w:val="auto"/>
          <w:spacing w:val="-14"/>
          <w:sz w:val="43"/>
          <w:szCs w:val="43"/>
          <w:lang w:eastAsia="zh-CN"/>
        </w:rPr>
        <w:t xml:space="preserve"> </w:t>
      </w:r>
      <w:r>
        <w:rPr>
          <w:rFonts w:ascii="宋体" w:hAnsi="宋体" w:eastAsia="宋体" w:cs="宋体"/>
          <w:b/>
          <w:bCs/>
          <w:color w:val="auto"/>
          <w:spacing w:val="-14"/>
          <w:sz w:val="43"/>
          <w:szCs w:val="43"/>
          <w:lang w:eastAsia="zh-CN"/>
        </w:rPr>
        <w:t>件</w:t>
      </w:r>
    </w:p>
    <w:p w14:paraId="6FCB3049">
      <w:pPr>
        <w:widowControl w:val="0"/>
        <w:kinsoku/>
        <w:topLinePunct/>
        <w:autoSpaceDE/>
        <w:autoSpaceDN/>
        <w:spacing w:line="520" w:lineRule="exact"/>
        <w:jc w:val="center"/>
        <w:outlineLvl w:val="1"/>
        <w:rPr>
          <w:rFonts w:hint="eastAsia" w:ascii="宋体" w:hAnsi="宋体" w:eastAsia="宋体" w:cs="宋体"/>
          <w:color w:val="auto"/>
          <w:sz w:val="24"/>
          <w:szCs w:val="24"/>
          <w:lang w:eastAsia="zh-CN"/>
        </w:rPr>
      </w:pPr>
      <w:bookmarkStart w:id="1841" w:name="_Toc1722"/>
      <w:bookmarkStart w:id="1842" w:name="_Toc4619"/>
      <w:r>
        <w:rPr>
          <w:rFonts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eastAsia="zh-CN"/>
        </w:rPr>
        <w:t>资格审查资料</w:t>
      </w:r>
      <w:r>
        <w:rPr>
          <w:rFonts w:ascii="宋体" w:hAnsi="宋体" w:eastAsia="宋体" w:cs="宋体"/>
          <w:color w:val="auto"/>
          <w:spacing w:val="-4"/>
          <w:sz w:val="24"/>
          <w:szCs w:val="24"/>
          <w:lang w:eastAsia="zh-CN"/>
        </w:rPr>
        <w:t>）</w:t>
      </w:r>
      <w:bookmarkEnd w:id="1841"/>
      <w:bookmarkEnd w:id="1842"/>
    </w:p>
    <w:p w14:paraId="6108521C">
      <w:pPr>
        <w:pStyle w:val="8"/>
        <w:widowControl w:val="0"/>
        <w:kinsoku/>
        <w:topLinePunct/>
        <w:autoSpaceDE/>
        <w:autoSpaceDN/>
        <w:spacing w:line="520" w:lineRule="exact"/>
        <w:rPr>
          <w:color w:val="auto"/>
          <w:lang w:eastAsia="zh-CN"/>
        </w:rPr>
      </w:pPr>
    </w:p>
    <w:p w14:paraId="1742E41A">
      <w:pPr>
        <w:pStyle w:val="8"/>
        <w:widowControl w:val="0"/>
        <w:kinsoku/>
        <w:topLinePunct/>
        <w:autoSpaceDE/>
        <w:autoSpaceDN/>
        <w:spacing w:line="520" w:lineRule="exact"/>
        <w:rPr>
          <w:color w:val="auto"/>
          <w:lang w:eastAsia="zh-CN"/>
        </w:rPr>
      </w:pPr>
    </w:p>
    <w:p w14:paraId="7C356A72">
      <w:pPr>
        <w:pStyle w:val="8"/>
        <w:spacing w:line="248" w:lineRule="auto"/>
        <w:rPr>
          <w:color w:val="auto"/>
          <w:lang w:eastAsia="zh-CN"/>
        </w:rPr>
      </w:pPr>
    </w:p>
    <w:p w14:paraId="28418FAD">
      <w:pPr>
        <w:pStyle w:val="8"/>
        <w:spacing w:line="248" w:lineRule="auto"/>
        <w:rPr>
          <w:color w:val="auto"/>
          <w:lang w:eastAsia="zh-CN"/>
        </w:rPr>
      </w:pPr>
    </w:p>
    <w:p w14:paraId="7631A7DA">
      <w:pPr>
        <w:pStyle w:val="8"/>
        <w:spacing w:line="248" w:lineRule="auto"/>
        <w:rPr>
          <w:color w:val="auto"/>
          <w:lang w:eastAsia="zh-CN"/>
        </w:rPr>
      </w:pPr>
    </w:p>
    <w:p w14:paraId="6A014563">
      <w:pPr>
        <w:pStyle w:val="8"/>
        <w:spacing w:line="248" w:lineRule="auto"/>
        <w:rPr>
          <w:color w:val="auto"/>
          <w:lang w:eastAsia="zh-CN"/>
        </w:rPr>
      </w:pPr>
    </w:p>
    <w:p w14:paraId="4DCFD615">
      <w:pPr>
        <w:pStyle w:val="8"/>
        <w:spacing w:line="248" w:lineRule="auto"/>
        <w:rPr>
          <w:color w:val="auto"/>
          <w:lang w:eastAsia="zh-CN"/>
        </w:rPr>
      </w:pPr>
    </w:p>
    <w:p w14:paraId="3954CBC8">
      <w:pPr>
        <w:pStyle w:val="8"/>
        <w:spacing w:line="248" w:lineRule="auto"/>
        <w:rPr>
          <w:color w:val="auto"/>
          <w:lang w:eastAsia="zh-CN"/>
        </w:rPr>
      </w:pPr>
    </w:p>
    <w:p w14:paraId="051A7D91">
      <w:pPr>
        <w:pStyle w:val="8"/>
        <w:spacing w:line="248" w:lineRule="auto"/>
        <w:rPr>
          <w:color w:val="auto"/>
          <w:lang w:eastAsia="zh-CN"/>
        </w:rPr>
      </w:pPr>
    </w:p>
    <w:p w14:paraId="644FE935">
      <w:pPr>
        <w:pStyle w:val="8"/>
        <w:spacing w:line="248" w:lineRule="auto"/>
        <w:rPr>
          <w:color w:val="auto"/>
          <w:lang w:eastAsia="zh-CN"/>
        </w:rPr>
      </w:pPr>
    </w:p>
    <w:p w14:paraId="68B285AC">
      <w:pPr>
        <w:pStyle w:val="8"/>
        <w:spacing w:line="248" w:lineRule="auto"/>
        <w:rPr>
          <w:color w:val="auto"/>
          <w:lang w:eastAsia="zh-CN"/>
        </w:rPr>
      </w:pPr>
    </w:p>
    <w:p w14:paraId="23BEF526">
      <w:pPr>
        <w:pStyle w:val="8"/>
        <w:spacing w:line="248" w:lineRule="auto"/>
        <w:rPr>
          <w:color w:val="auto"/>
          <w:lang w:eastAsia="zh-CN"/>
        </w:rPr>
      </w:pPr>
    </w:p>
    <w:p w14:paraId="6FCF683A">
      <w:pPr>
        <w:pStyle w:val="8"/>
        <w:spacing w:line="248" w:lineRule="auto"/>
        <w:rPr>
          <w:color w:val="auto"/>
          <w:lang w:eastAsia="zh-CN"/>
        </w:rPr>
      </w:pPr>
    </w:p>
    <w:p w14:paraId="02DE6678">
      <w:pPr>
        <w:pStyle w:val="8"/>
        <w:spacing w:line="248" w:lineRule="auto"/>
        <w:rPr>
          <w:color w:val="auto"/>
          <w:lang w:eastAsia="zh-CN"/>
        </w:rPr>
      </w:pPr>
    </w:p>
    <w:p w14:paraId="290DC490">
      <w:pPr>
        <w:pStyle w:val="8"/>
        <w:spacing w:line="248" w:lineRule="auto"/>
        <w:rPr>
          <w:color w:val="auto"/>
          <w:lang w:eastAsia="zh-CN"/>
        </w:rPr>
      </w:pPr>
    </w:p>
    <w:p w14:paraId="103AA049">
      <w:pPr>
        <w:pStyle w:val="8"/>
        <w:spacing w:line="248" w:lineRule="auto"/>
        <w:rPr>
          <w:color w:val="auto"/>
          <w:lang w:eastAsia="zh-CN"/>
        </w:rPr>
      </w:pPr>
    </w:p>
    <w:p w14:paraId="3423BE14">
      <w:pPr>
        <w:pStyle w:val="8"/>
        <w:spacing w:line="248" w:lineRule="auto"/>
        <w:rPr>
          <w:color w:val="auto"/>
          <w:lang w:eastAsia="zh-CN"/>
        </w:rPr>
      </w:pPr>
    </w:p>
    <w:p w14:paraId="5A3FC986">
      <w:pPr>
        <w:pStyle w:val="8"/>
        <w:spacing w:line="248" w:lineRule="auto"/>
        <w:rPr>
          <w:color w:val="auto"/>
          <w:lang w:eastAsia="zh-CN"/>
        </w:rPr>
      </w:pPr>
    </w:p>
    <w:p w14:paraId="5C2305BA">
      <w:pPr>
        <w:pStyle w:val="8"/>
        <w:spacing w:line="248" w:lineRule="auto"/>
        <w:rPr>
          <w:color w:val="auto"/>
          <w:lang w:eastAsia="zh-CN"/>
        </w:rPr>
      </w:pPr>
    </w:p>
    <w:p w14:paraId="469F8790">
      <w:pPr>
        <w:spacing w:before="78" w:line="219" w:lineRule="auto"/>
        <w:ind w:left="112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投</w:t>
      </w:r>
      <w:r>
        <w:rPr>
          <w:rFonts w:hint="eastAsia" w:ascii="宋体" w:hAnsi="宋体" w:eastAsia="宋体" w:cs="宋体"/>
          <w:color w:val="auto"/>
          <w:spacing w:val="15"/>
          <w:sz w:val="24"/>
          <w:szCs w:val="24"/>
          <w:lang w:eastAsia="zh-CN"/>
        </w:rPr>
        <w:t>　</w:t>
      </w:r>
      <w:r>
        <w:rPr>
          <w:rFonts w:ascii="宋体" w:hAnsi="宋体" w:eastAsia="宋体" w:cs="宋体"/>
          <w:color w:val="auto"/>
          <w:spacing w:val="-1"/>
          <w:sz w:val="24"/>
          <w:szCs w:val="24"/>
          <w:lang w:eastAsia="zh-CN"/>
        </w:rPr>
        <w:t>标</w:t>
      </w:r>
      <w:r>
        <w:rPr>
          <w:rFonts w:hint="eastAsia" w:ascii="宋体" w:hAnsi="宋体" w:eastAsia="宋体" w:cs="宋体"/>
          <w:color w:val="auto"/>
          <w:spacing w:val="15"/>
          <w:sz w:val="24"/>
          <w:szCs w:val="24"/>
          <w:lang w:eastAsia="zh-CN"/>
        </w:rPr>
        <w:t>　</w:t>
      </w:r>
      <w:r>
        <w:rPr>
          <w:rFonts w:ascii="宋体" w:hAnsi="宋体" w:eastAsia="宋体" w:cs="宋体"/>
          <w:color w:val="auto"/>
          <w:spacing w:val="-1"/>
          <w:sz w:val="24"/>
          <w:szCs w:val="24"/>
          <w:lang w:eastAsia="zh-CN"/>
        </w:rPr>
        <w:t>人</w:t>
      </w:r>
      <w:r>
        <w:rPr>
          <w:rFonts w:ascii="宋体" w:hAnsi="宋体" w:eastAsia="宋体" w:cs="宋体"/>
          <w:color w:val="auto"/>
          <w:spacing w:val="-31"/>
          <w:sz w:val="24"/>
          <w:szCs w:val="24"/>
          <w:lang w:eastAsia="zh-CN"/>
        </w:rPr>
        <w:t>：</w:t>
      </w:r>
      <w:r>
        <w:rPr>
          <w:rFonts w:hint="eastAsia" w:ascii="宋体" w:hAnsi="宋体" w:eastAsia="宋体" w:cs="宋体"/>
          <w:color w:val="auto"/>
          <w:spacing w:val="17"/>
          <w:sz w:val="24"/>
          <w:szCs w:val="24"/>
          <w:u w:val="single"/>
          <w:lang w:eastAsia="zh-CN"/>
        </w:rPr>
        <w:t>　　　</w:t>
      </w:r>
      <w:r>
        <w:rPr>
          <w:rFonts w:ascii="宋体" w:hAnsi="宋体" w:eastAsia="宋体" w:cs="宋体"/>
          <w:color w:val="auto"/>
          <w:spacing w:val="-31"/>
          <w:sz w:val="24"/>
          <w:szCs w:val="24"/>
          <w:u w:val="single"/>
          <w:lang w:eastAsia="zh-CN"/>
        </w:rPr>
        <w:t>（</w:t>
      </w:r>
      <w:r>
        <w:rPr>
          <w:rFonts w:ascii="宋体" w:hAnsi="宋体" w:eastAsia="宋体" w:cs="宋体"/>
          <w:color w:val="auto"/>
          <w:spacing w:val="-1"/>
          <w:sz w:val="24"/>
          <w:szCs w:val="24"/>
          <w:u w:val="single"/>
          <w:lang w:eastAsia="zh-CN"/>
        </w:rPr>
        <w:t>盖单位公章）</w:t>
      </w:r>
      <w:r>
        <w:rPr>
          <w:rFonts w:hint="eastAsia" w:ascii="宋体" w:hAnsi="宋体" w:eastAsia="宋体" w:cs="宋体"/>
          <w:color w:val="auto"/>
          <w:sz w:val="24"/>
          <w:szCs w:val="24"/>
          <w:u w:val="single"/>
          <w:lang w:eastAsia="zh-CN"/>
        </w:rPr>
        <w:t>　　　　　　</w:t>
      </w:r>
    </w:p>
    <w:p w14:paraId="712074BA">
      <w:pPr>
        <w:pStyle w:val="8"/>
        <w:spacing w:line="257" w:lineRule="auto"/>
        <w:rPr>
          <w:color w:val="auto"/>
          <w:lang w:eastAsia="zh-CN"/>
        </w:rPr>
      </w:pPr>
    </w:p>
    <w:p w14:paraId="052B0679">
      <w:pPr>
        <w:pStyle w:val="8"/>
        <w:spacing w:line="258" w:lineRule="auto"/>
        <w:rPr>
          <w:color w:val="auto"/>
          <w:lang w:eastAsia="zh-CN"/>
        </w:rPr>
      </w:pPr>
    </w:p>
    <w:p w14:paraId="5EA41005">
      <w:pPr>
        <w:tabs>
          <w:tab w:val="left" w:pos="4125"/>
        </w:tabs>
        <w:spacing w:before="78" w:line="362" w:lineRule="auto"/>
        <w:ind w:left="2805" w:right="1808" w:hanging="1684"/>
        <w:rPr>
          <w:rFonts w:hint="eastAsia" w:ascii="宋体" w:hAnsi="宋体" w:eastAsia="宋体" w:cs="宋体"/>
          <w:color w:val="auto"/>
          <w:sz w:val="24"/>
          <w:szCs w:val="24"/>
          <w:u w:val="single"/>
          <w:lang w:eastAsia="zh-CN"/>
        </w:rPr>
      </w:pPr>
      <w:r>
        <w:rPr>
          <w:rFonts w:ascii="宋体" w:hAnsi="宋体" w:eastAsia="宋体" w:cs="宋体"/>
          <w:color w:val="auto"/>
          <w:spacing w:val="2"/>
          <w:sz w:val="24"/>
          <w:szCs w:val="24"/>
          <w:lang w:eastAsia="zh-CN"/>
        </w:rPr>
        <w:t>法定代表人或委托代理人</w:t>
      </w:r>
      <w:r>
        <w:rPr>
          <w:rFonts w:ascii="宋体" w:hAnsi="宋体" w:eastAsia="宋体" w:cs="宋体"/>
          <w:color w:val="auto"/>
          <w:spacing w:val="-14"/>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14"/>
          <w:sz w:val="24"/>
          <w:szCs w:val="24"/>
          <w:u w:val="single"/>
          <w:lang w:eastAsia="zh-CN"/>
        </w:rPr>
        <w:t>（</w:t>
      </w:r>
      <w:r>
        <w:rPr>
          <w:rFonts w:ascii="宋体" w:hAnsi="宋体" w:eastAsia="宋体" w:cs="宋体"/>
          <w:color w:val="auto"/>
          <w:spacing w:val="2"/>
          <w:sz w:val="24"/>
          <w:szCs w:val="24"/>
          <w:u w:val="single"/>
          <w:lang w:eastAsia="zh-CN"/>
        </w:rPr>
        <w:t>签字或盖章）</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u w:val="single"/>
          <w:lang w:eastAsia="zh-CN"/>
        </w:rPr>
        <w:tab/>
      </w:r>
    </w:p>
    <w:p w14:paraId="57077545">
      <w:pPr>
        <w:tabs>
          <w:tab w:val="left" w:pos="4125"/>
        </w:tabs>
        <w:spacing w:before="78" w:line="362" w:lineRule="auto"/>
        <w:ind w:left="2805" w:right="1808" w:hanging="1684"/>
        <w:rPr>
          <w:rFonts w:hint="eastAsia" w:ascii="宋体" w:hAnsi="宋体" w:eastAsia="宋体" w:cs="宋体"/>
          <w:color w:val="auto"/>
          <w:sz w:val="24"/>
          <w:szCs w:val="24"/>
          <w:u w:val="single"/>
          <w:lang w:eastAsia="zh-CN"/>
        </w:rPr>
      </w:pPr>
    </w:p>
    <w:p w14:paraId="542AAFA8">
      <w:pPr>
        <w:tabs>
          <w:tab w:val="left" w:pos="4125"/>
        </w:tabs>
        <w:spacing w:before="78" w:line="362" w:lineRule="auto"/>
        <w:ind w:left="2805" w:right="1808" w:hanging="1684"/>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日</w:t>
      </w:r>
    </w:p>
    <w:p w14:paraId="04A1A6D6">
      <w:pPr>
        <w:pStyle w:val="8"/>
        <w:spacing w:line="286" w:lineRule="auto"/>
        <w:rPr>
          <w:color w:val="auto"/>
          <w:lang w:eastAsia="zh-CN"/>
        </w:rPr>
      </w:pPr>
    </w:p>
    <w:p w14:paraId="488A1B4F">
      <w:pPr>
        <w:pStyle w:val="8"/>
        <w:spacing w:line="287" w:lineRule="auto"/>
        <w:rPr>
          <w:color w:val="auto"/>
          <w:lang w:eastAsia="zh-CN"/>
        </w:rPr>
      </w:pPr>
    </w:p>
    <w:p w14:paraId="75468F0C">
      <w:pPr>
        <w:pStyle w:val="8"/>
        <w:spacing w:line="287" w:lineRule="auto"/>
        <w:rPr>
          <w:color w:val="auto"/>
          <w:lang w:eastAsia="zh-CN"/>
        </w:rPr>
      </w:pPr>
    </w:p>
    <w:p w14:paraId="2EEAA809">
      <w:pPr>
        <w:spacing w:before="82" w:line="211" w:lineRule="auto"/>
        <w:rPr>
          <w:rFonts w:hint="eastAsia" w:ascii="宋体" w:hAnsi="宋体" w:eastAsia="宋体" w:cs="宋体"/>
          <w:i/>
          <w:iCs/>
          <w:color w:val="auto"/>
          <w:spacing w:val="-19"/>
          <w:sz w:val="25"/>
          <w:szCs w:val="25"/>
          <w:lang w:eastAsia="zh-CN"/>
        </w:rPr>
      </w:pPr>
      <w:r>
        <w:rPr>
          <w:rFonts w:ascii="宋体" w:hAnsi="宋体" w:eastAsia="宋体" w:cs="宋体"/>
          <w:i/>
          <w:iCs/>
          <w:color w:val="auto"/>
          <w:spacing w:val="-19"/>
          <w:sz w:val="25"/>
          <w:szCs w:val="25"/>
          <w:lang w:eastAsia="zh-CN"/>
        </w:rPr>
        <w:t>注：本页同时适用于封面或扉页。</w:t>
      </w:r>
    </w:p>
    <w:p w14:paraId="7B3D31AA">
      <w:pPr>
        <w:rPr>
          <w:rFonts w:hint="eastAsia" w:ascii="宋体" w:hAnsi="宋体" w:eastAsia="宋体" w:cs="宋体"/>
          <w:i/>
          <w:iCs/>
          <w:color w:val="auto"/>
          <w:spacing w:val="-19"/>
          <w:sz w:val="25"/>
          <w:szCs w:val="25"/>
          <w:lang w:eastAsia="zh-CN"/>
        </w:rPr>
      </w:pPr>
      <w:r>
        <w:rPr>
          <w:rFonts w:ascii="宋体" w:hAnsi="宋体" w:eastAsia="宋体" w:cs="宋体"/>
          <w:i/>
          <w:iCs/>
          <w:color w:val="auto"/>
          <w:spacing w:val="-19"/>
          <w:sz w:val="25"/>
          <w:szCs w:val="25"/>
          <w:lang w:eastAsia="zh-CN"/>
        </w:rPr>
        <w:br w:type="page"/>
      </w:r>
    </w:p>
    <w:p w14:paraId="75A74323">
      <w:pPr>
        <w:spacing w:before="91" w:line="220" w:lineRule="auto"/>
        <w:ind w:left="3420"/>
        <w:rPr>
          <w:rFonts w:hint="eastAsia" w:ascii="宋体" w:hAnsi="宋体" w:eastAsia="宋体" w:cs="宋体"/>
          <w:color w:val="auto"/>
          <w:sz w:val="28"/>
          <w:szCs w:val="28"/>
        </w:rPr>
      </w:pPr>
      <w:r>
        <w:rPr>
          <w:rFonts w:ascii="宋体" w:hAnsi="宋体" w:eastAsia="宋体" w:cs="宋体"/>
          <w:b/>
          <w:bCs/>
          <w:color w:val="auto"/>
          <w:spacing w:val="-4"/>
          <w:sz w:val="28"/>
          <w:szCs w:val="28"/>
        </w:rPr>
        <w:t>评审因素索引表</w:t>
      </w:r>
    </w:p>
    <w:p w14:paraId="2CC783A3">
      <w:pPr>
        <w:spacing w:before="47"/>
        <w:rPr>
          <w:color w:val="auto"/>
        </w:rPr>
      </w:pPr>
    </w:p>
    <w:tbl>
      <w:tblPr>
        <w:tblStyle w:val="20"/>
        <w:tblW w:w="900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4"/>
        <w:gridCol w:w="5410"/>
        <w:gridCol w:w="2664"/>
      </w:tblGrid>
      <w:tr w14:paraId="697C0A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934" w:type="dxa"/>
            <w:tcBorders>
              <w:top w:val="single" w:color="000000" w:sz="6" w:space="0"/>
              <w:left w:val="single" w:color="000000" w:sz="6" w:space="0"/>
            </w:tcBorders>
            <w:vAlign w:val="center"/>
          </w:tcPr>
          <w:p w14:paraId="7D11C9AC">
            <w:pPr>
              <w:pStyle w:val="21"/>
              <w:jc w:val="center"/>
              <w:rPr>
                <w:rFonts w:hint="eastAsia"/>
                <w:color w:val="auto"/>
                <w:sz w:val="24"/>
                <w:szCs w:val="24"/>
              </w:rPr>
            </w:pPr>
            <w:r>
              <w:rPr>
                <w:color w:val="auto"/>
                <w:spacing w:val="-3"/>
                <w:sz w:val="24"/>
                <w:szCs w:val="24"/>
              </w:rPr>
              <w:t>序号</w:t>
            </w:r>
          </w:p>
        </w:tc>
        <w:tc>
          <w:tcPr>
            <w:tcW w:w="5410" w:type="dxa"/>
            <w:tcBorders>
              <w:top w:val="single" w:color="000000" w:sz="6" w:space="0"/>
            </w:tcBorders>
            <w:vAlign w:val="center"/>
          </w:tcPr>
          <w:p w14:paraId="2E72B3F0">
            <w:pPr>
              <w:pStyle w:val="21"/>
              <w:jc w:val="center"/>
              <w:rPr>
                <w:rFonts w:hint="eastAsia"/>
                <w:color w:val="auto"/>
                <w:sz w:val="24"/>
                <w:szCs w:val="24"/>
              </w:rPr>
            </w:pPr>
            <w:r>
              <w:rPr>
                <w:color w:val="auto"/>
                <w:spacing w:val="-15"/>
                <w:sz w:val="24"/>
                <w:szCs w:val="24"/>
              </w:rPr>
              <w:t>评</w:t>
            </w:r>
            <w:r>
              <w:rPr>
                <w:rFonts w:hint="eastAsia"/>
                <w:color w:val="auto"/>
                <w:spacing w:val="7"/>
                <w:sz w:val="24"/>
                <w:szCs w:val="24"/>
                <w:lang w:eastAsia="zh-CN"/>
              </w:rPr>
              <w:t>　</w:t>
            </w:r>
            <w:r>
              <w:rPr>
                <w:color w:val="auto"/>
                <w:spacing w:val="-15"/>
                <w:sz w:val="24"/>
                <w:szCs w:val="24"/>
              </w:rPr>
              <w:t>审</w:t>
            </w:r>
            <w:r>
              <w:rPr>
                <w:rFonts w:hint="eastAsia"/>
                <w:color w:val="auto"/>
                <w:spacing w:val="9"/>
                <w:sz w:val="24"/>
                <w:szCs w:val="24"/>
                <w:lang w:eastAsia="zh-CN"/>
              </w:rPr>
              <w:t>　</w:t>
            </w:r>
            <w:r>
              <w:rPr>
                <w:color w:val="auto"/>
                <w:spacing w:val="-15"/>
                <w:sz w:val="24"/>
                <w:szCs w:val="24"/>
              </w:rPr>
              <w:t>因</w:t>
            </w:r>
            <w:r>
              <w:rPr>
                <w:rFonts w:hint="eastAsia"/>
                <w:color w:val="auto"/>
                <w:spacing w:val="4"/>
                <w:sz w:val="24"/>
                <w:szCs w:val="24"/>
                <w:lang w:eastAsia="zh-CN"/>
              </w:rPr>
              <w:t>　</w:t>
            </w:r>
            <w:r>
              <w:rPr>
                <w:color w:val="auto"/>
                <w:spacing w:val="-15"/>
                <w:sz w:val="24"/>
                <w:szCs w:val="24"/>
              </w:rPr>
              <w:t>素</w:t>
            </w:r>
          </w:p>
        </w:tc>
        <w:tc>
          <w:tcPr>
            <w:tcW w:w="2664" w:type="dxa"/>
            <w:tcBorders>
              <w:top w:val="single" w:color="000000" w:sz="6" w:space="0"/>
              <w:right w:val="single" w:color="000000" w:sz="6" w:space="0"/>
            </w:tcBorders>
            <w:vAlign w:val="center"/>
          </w:tcPr>
          <w:p w14:paraId="016DB9C2">
            <w:pPr>
              <w:pStyle w:val="21"/>
              <w:jc w:val="center"/>
              <w:rPr>
                <w:rFonts w:hint="eastAsia"/>
                <w:color w:val="auto"/>
                <w:sz w:val="24"/>
                <w:szCs w:val="24"/>
              </w:rPr>
            </w:pPr>
            <w:r>
              <w:rPr>
                <w:color w:val="auto"/>
                <w:spacing w:val="-2"/>
                <w:sz w:val="24"/>
                <w:szCs w:val="24"/>
              </w:rPr>
              <w:t>投标文件页码范围</w:t>
            </w:r>
          </w:p>
        </w:tc>
      </w:tr>
      <w:tr w14:paraId="1D27C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56AA398B">
            <w:pPr>
              <w:jc w:val="both"/>
              <w:rPr>
                <w:color w:val="auto"/>
              </w:rPr>
            </w:pPr>
          </w:p>
        </w:tc>
        <w:tc>
          <w:tcPr>
            <w:tcW w:w="5410" w:type="dxa"/>
            <w:vAlign w:val="center"/>
          </w:tcPr>
          <w:p w14:paraId="5B6E6548">
            <w:pPr>
              <w:jc w:val="both"/>
              <w:rPr>
                <w:color w:val="auto"/>
              </w:rPr>
            </w:pPr>
          </w:p>
        </w:tc>
        <w:tc>
          <w:tcPr>
            <w:tcW w:w="2664" w:type="dxa"/>
            <w:tcBorders>
              <w:right w:val="single" w:color="000000" w:sz="6" w:space="0"/>
            </w:tcBorders>
            <w:vAlign w:val="center"/>
          </w:tcPr>
          <w:p w14:paraId="3530688D">
            <w:pPr>
              <w:jc w:val="both"/>
              <w:rPr>
                <w:color w:val="auto"/>
              </w:rPr>
            </w:pPr>
          </w:p>
        </w:tc>
      </w:tr>
      <w:tr w14:paraId="6E1A1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934" w:type="dxa"/>
            <w:tcBorders>
              <w:left w:val="single" w:color="000000" w:sz="6" w:space="0"/>
            </w:tcBorders>
            <w:vAlign w:val="center"/>
          </w:tcPr>
          <w:p w14:paraId="1A92818E">
            <w:pPr>
              <w:jc w:val="both"/>
              <w:rPr>
                <w:color w:val="auto"/>
              </w:rPr>
            </w:pPr>
          </w:p>
        </w:tc>
        <w:tc>
          <w:tcPr>
            <w:tcW w:w="5410" w:type="dxa"/>
            <w:vAlign w:val="center"/>
          </w:tcPr>
          <w:p w14:paraId="0180E182">
            <w:pPr>
              <w:jc w:val="both"/>
              <w:rPr>
                <w:color w:val="auto"/>
              </w:rPr>
            </w:pPr>
          </w:p>
        </w:tc>
        <w:tc>
          <w:tcPr>
            <w:tcW w:w="2664" w:type="dxa"/>
            <w:tcBorders>
              <w:right w:val="single" w:color="000000" w:sz="6" w:space="0"/>
            </w:tcBorders>
            <w:vAlign w:val="center"/>
          </w:tcPr>
          <w:p w14:paraId="4857DF30">
            <w:pPr>
              <w:jc w:val="both"/>
              <w:rPr>
                <w:color w:val="auto"/>
              </w:rPr>
            </w:pPr>
          </w:p>
        </w:tc>
      </w:tr>
      <w:tr w14:paraId="7C60E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7B3D78EC">
            <w:pPr>
              <w:jc w:val="both"/>
              <w:rPr>
                <w:color w:val="auto"/>
              </w:rPr>
            </w:pPr>
          </w:p>
        </w:tc>
        <w:tc>
          <w:tcPr>
            <w:tcW w:w="5410" w:type="dxa"/>
            <w:vAlign w:val="center"/>
          </w:tcPr>
          <w:p w14:paraId="0054F08C">
            <w:pPr>
              <w:jc w:val="both"/>
              <w:rPr>
                <w:color w:val="auto"/>
              </w:rPr>
            </w:pPr>
          </w:p>
        </w:tc>
        <w:tc>
          <w:tcPr>
            <w:tcW w:w="2664" w:type="dxa"/>
            <w:tcBorders>
              <w:right w:val="single" w:color="000000" w:sz="6" w:space="0"/>
            </w:tcBorders>
            <w:vAlign w:val="center"/>
          </w:tcPr>
          <w:p w14:paraId="559CD33F">
            <w:pPr>
              <w:jc w:val="both"/>
              <w:rPr>
                <w:color w:val="auto"/>
              </w:rPr>
            </w:pPr>
          </w:p>
        </w:tc>
      </w:tr>
      <w:tr w14:paraId="53B4D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2D9972F8">
            <w:pPr>
              <w:jc w:val="both"/>
              <w:rPr>
                <w:color w:val="auto"/>
              </w:rPr>
            </w:pPr>
          </w:p>
        </w:tc>
        <w:tc>
          <w:tcPr>
            <w:tcW w:w="5410" w:type="dxa"/>
            <w:vAlign w:val="center"/>
          </w:tcPr>
          <w:p w14:paraId="72DC4C83">
            <w:pPr>
              <w:jc w:val="both"/>
              <w:rPr>
                <w:color w:val="auto"/>
              </w:rPr>
            </w:pPr>
          </w:p>
        </w:tc>
        <w:tc>
          <w:tcPr>
            <w:tcW w:w="2664" w:type="dxa"/>
            <w:tcBorders>
              <w:right w:val="single" w:color="000000" w:sz="6" w:space="0"/>
            </w:tcBorders>
            <w:vAlign w:val="center"/>
          </w:tcPr>
          <w:p w14:paraId="0870352E">
            <w:pPr>
              <w:jc w:val="both"/>
              <w:rPr>
                <w:color w:val="auto"/>
              </w:rPr>
            </w:pPr>
          </w:p>
        </w:tc>
      </w:tr>
      <w:tr w14:paraId="1FB02F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5B675ED5">
            <w:pPr>
              <w:jc w:val="both"/>
              <w:rPr>
                <w:color w:val="auto"/>
              </w:rPr>
            </w:pPr>
          </w:p>
        </w:tc>
        <w:tc>
          <w:tcPr>
            <w:tcW w:w="5410" w:type="dxa"/>
            <w:vAlign w:val="center"/>
          </w:tcPr>
          <w:p w14:paraId="27AE0140">
            <w:pPr>
              <w:jc w:val="both"/>
              <w:rPr>
                <w:color w:val="auto"/>
              </w:rPr>
            </w:pPr>
          </w:p>
        </w:tc>
        <w:tc>
          <w:tcPr>
            <w:tcW w:w="2664" w:type="dxa"/>
            <w:tcBorders>
              <w:right w:val="single" w:color="000000" w:sz="6" w:space="0"/>
            </w:tcBorders>
            <w:vAlign w:val="center"/>
          </w:tcPr>
          <w:p w14:paraId="5972AEFE">
            <w:pPr>
              <w:jc w:val="both"/>
              <w:rPr>
                <w:color w:val="auto"/>
              </w:rPr>
            </w:pPr>
          </w:p>
        </w:tc>
      </w:tr>
      <w:tr w14:paraId="08D92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4522AF4F">
            <w:pPr>
              <w:jc w:val="both"/>
              <w:rPr>
                <w:color w:val="auto"/>
              </w:rPr>
            </w:pPr>
          </w:p>
        </w:tc>
        <w:tc>
          <w:tcPr>
            <w:tcW w:w="5410" w:type="dxa"/>
            <w:vAlign w:val="center"/>
          </w:tcPr>
          <w:p w14:paraId="5EAC35E6">
            <w:pPr>
              <w:jc w:val="both"/>
              <w:rPr>
                <w:color w:val="auto"/>
              </w:rPr>
            </w:pPr>
          </w:p>
        </w:tc>
        <w:tc>
          <w:tcPr>
            <w:tcW w:w="2664" w:type="dxa"/>
            <w:tcBorders>
              <w:right w:val="single" w:color="000000" w:sz="6" w:space="0"/>
            </w:tcBorders>
            <w:vAlign w:val="center"/>
          </w:tcPr>
          <w:p w14:paraId="0F9CAE58">
            <w:pPr>
              <w:jc w:val="both"/>
              <w:rPr>
                <w:color w:val="auto"/>
              </w:rPr>
            </w:pPr>
          </w:p>
        </w:tc>
      </w:tr>
      <w:tr w14:paraId="6F772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0ECB5865">
            <w:pPr>
              <w:jc w:val="both"/>
              <w:rPr>
                <w:color w:val="auto"/>
              </w:rPr>
            </w:pPr>
          </w:p>
        </w:tc>
        <w:tc>
          <w:tcPr>
            <w:tcW w:w="5410" w:type="dxa"/>
            <w:vAlign w:val="center"/>
          </w:tcPr>
          <w:p w14:paraId="2A0ADB35">
            <w:pPr>
              <w:jc w:val="both"/>
              <w:rPr>
                <w:color w:val="auto"/>
              </w:rPr>
            </w:pPr>
          </w:p>
        </w:tc>
        <w:tc>
          <w:tcPr>
            <w:tcW w:w="2664" w:type="dxa"/>
            <w:tcBorders>
              <w:right w:val="single" w:color="000000" w:sz="6" w:space="0"/>
            </w:tcBorders>
            <w:vAlign w:val="center"/>
          </w:tcPr>
          <w:p w14:paraId="7D8842C9">
            <w:pPr>
              <w:jc w:val="both"/>
              <w:rPr>
                <w:color w:val="auto"/>
              </w:rPr>
            </w:pPr>
          </w:p>
        </w:tc>
      </w:tr>
      <w:tr w14:paraId="08686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934" w:type="dxa"/>
            <w:tcBorders>
              <w:left w:val="single" w:color="000000" w:sz="6" w:space="0"/>
            </w:tcBorders>
            <w:vAlign w:val="center"/>
          </w:tcPr>
          <w:p w14:paraId="48C45DCC">
            <w:pPr>
              <w:jc w:val="both"/>
              <w:rPr>
                <w:color w:val="auto"/>
              </w:rPr>
            </w:pPr>
          </w:p>
        </w:tc>
        <w:tc>
          <w:tcPr>
            <w:tcW w:w="5410" w:type="dxa"/>
            <w:vAlign w:val="center"/>
          </w:tcPr>
          <w:p w14:paraId="304F2EF5">
            <w:pPr>
              <w:jc w:val="both"/>
              <w:rPr>
                <w:color w:val="auto"/>
              </w:rPr>
            </w:pPr>
          </w:p>
        </w:tc>
        <w:tc>
          <w:tcPr>
            <w:tcW w:w="2664" w:type="dxa"/>
            <w:tcBorders>
              <w:right w:val="single" w:color="000000" w:sz="6" w:space="0"/>
            </w:tcBorders>
            <w:vAlign w:val="center"/>
          </w:tcPr>
          <w:p w14:paraId="68C92A4B">
            <w:pPr>
              <w:jc w:val="both"/>
              <w:rPr>
                <w:color w:val="auto"/>
              </w:rPr>
            </w:pPr>
          </w:p>
        </w:tc>
      </w:tr>
      <w:tr w14:paraId="6E579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29870C20">
            <w:pPr>
              <w:jc w:val="both"/>
              <w:rPr>
                <w:color w:val="auto"/>
              </w:rPr>
            </w:pPr>
          </w:p>
        </w:tc>
        <w:tc>
          <w:tcPr>
            <w:tcW w:w="5410" w:type="dxa"/>
            <w:vAlign w:val="center"/>
          </w:tcPr>
          <w:p w14:paraId="3CE90091">
            <w:pPr>
              <w:jc w:val="both"/>
              <w:rPr>
                <w:color w:val="auto"/>
              </w:rPr>
            </w:pPr>
          </w:p>
        </w:tc>
        <w:tc>
          <w:tcPr>
            <w:tcW w:w="2664" w:type="dxa"/>
            <w:tcBorders>
              <w:right w:val="single" w:color="000000" w:sz="6" w:space="0"/>
            </w:tcBorders>
            <w:vAlign w:val="center"/>
          </w:tcPr>
          <w:p w14:paraId="51C78574">
            <w:pPr>
              <w:jc w:val="both"/>
              <w:rPr>
                <w:color w:val="auto"/>
              </w:rPr>
            </w:pPr>
          </w:p>
        </w:tc>
      </w:tr>
      <w:tr w14:paraId="419ED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3160787E">
            <w:pPr>
              <w:jc w:val="both"/>
              <w:rPr>
                <w:color w:val="auto"/>
              </w:rPr>
            </w:pPr>
          </w:p>
        </w:tc>
        <w:tc>
          <w:tcPr>
            <w:tcW w:w="5410" w:type="dxa"/>
            <w:vAlign w:val="center"/>
          </w:tcPr>
          <w:p w14:paraId="5CFB496C">
            <w:pPr>
              <w:jc w:val="both"/>
              <w:rPr>
                <w:color w:val="auto"/>
              </w:rPr>
            </w:pPr>
          </w:p>
        </w:tc>
        <w:tc>
          <w:tcPr>
            <w:tcW w:w="2664" w:type="dxa"/>
            <w:tcBorders>
              <w:right w:val="single" w:color="000000" w:sz="6" w:space="0"/>
            </w:tcBorders>
            <w:vAlign w:val="center"/>
          </w:tcPr>
          <w:p w14:paraId="2F3C914C">
            <w:pPr>
              <w:jc w:val="both"/>
              <w:rPr>
                <w:color w:val="auto"/>
              </w:rPr>
            </w:pPr>
          </w:p>
        </w:tc>
      </w:tr>
      <w:tr w14:paraId="1DD8A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0644EA18">
            <w:pPr>
              <w:jc w:val="both"/>
              <w:rPr>
                <w:color w:val="auto"/>
              </w:rPr>
            </w:pPr>
          </w:p>
        </w:tc>
        <w:tc>
          <w:tcPr>
            <w:tcW w:w="5410" w:type="dxa"/>
            <w:vAlign w:val="center"/>
          </w:tcPr>
          <w:p w14:paraId="1CD552B1">
            <w:pPr>
              <w:jc w:val="both"/>
              <w:rPr>
                <w:color w:val="auto"/>
              </w:rPr>
            </w:pPr>
          </w:p>
        </w:tc>
        <w:tc>
          <w:tcPr>
            <w:tcW w:w="2664" w:type="dxa"/>
            <w:tcBorders>
              <w:right w:val="single" w:color="000000" w:sz="6" w:space="0"/>
            </w:tcBorders>
            <w:vAlign w:val="center"/>
          </w:tcPr>
          <w:p w14:paraId="3ED21E14">
            <w:pPr>
              <w:jc w:val="both"/>
              <w:rPr>
                <w:color w:val="auto"/>
              </w:rPr>
            </w:pPr>
          </w:p>
        </w:tc>
      </w:tr>
      <w:tr w14:paraId="1D075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1C879EBF">
            <w:pPr>
              <w:jc w:val="both"/>
              <w:rPr>
                <w:color w:val="auto"/>
              </w:rPr>
            </w:pPr>
          </w:p>
        </w:tc>
        <w:tc>
          <w:tcPr>
            <w:tcW w:w="5410" w:type="dxa"/>
            <w:vAlign w:val="center"/>
          </w:tcPr>
          <w:p w14:paraId="19E1BDA9">
            <w:pPr>
              <w:jc w:val="both"/>
              <w:rPr>
                <w:color w:val="auto"/>
              </w:rPr>
            </w:pPr>
          </w:p>
        </w:tc>
        <w:tc>
          <w:tcPr>
            <w:tcW w:w="2664" w:type="dxa"/>
            <w:tcBorders>
              <w:right w:val="single" w:color="000000" w:sz="6" w:space="0"/>
            </w:tcBorders>
            <w:vAlign w:val="center"/>
          </w:tcPr>
          <w:p w14:paraId="0435BFAF">
            <w:pPr>
              <w:jc w:val="both"/>
              <w:rPr>
                <w:color w:val="auto"/>
              </w:rPr>
            </w:pPr>
          </w:p>
        </w:tc>
      </w:tr>
      <w:tr w14:paraId="0512AF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3D3D8CE5">
            <w:pPr>
              <w:jc w:val="both"/>
              <w:rPr>
                <w:color w:val="auto"/>
              </w:rPr>
            </w:pPr>
          </w:p>
        </w:tc>
        <w:tc>
          <w:tcPr>
            <w:tcW w:w="5410" w:type="dxa"/>
            <w:vAlign w:val="center"/>
          </w:tcPr>
          <w:p w14:paraId="7D52FDBC">
            <w:pPr>
              <w:jc w:val="both"/>
              <w:rPr>
                <w:color w:val="auto"/>
              </w:rPr>
            </w:pPr>
          </w:p>
        </w:tc>
        <w:tc>
          <w:tcPr>
            <w:tcW w:w="2664" w:type="dxa"/>
            <w:tcBorders>
              <w:right w:val="single" w:color="000000" w:sz="6" w:space="0"/>
            </w:tcBorders>
            <w:vAlign w:val="center"/>
          </w:tcPr>
          <w:p w14:paraId="73DD1F9D">
            <w:pPr>
              <w:jc w:val="both"/>
              <w:rPr>
                <w:color w:val="auto"/>
              </w:rPr>
            </w:pPr>
          </w:p>
        </w:tc>
      </w:tr>
      <w:tr w14:paraId="584E2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934" w:type="dxa"/>
            <w:tcBorders>
              <w:left w:val="single" w:color="000000" w:sz="6" w:space="0"/>
              <w:bottom w:val="single" w:color="000000" w:sz="6" w:space="0"/>
            </w:tcBorders>
            <w:vAlign w:val="center"/>
          </w:tcPr>
          <w:p w14:paraId="38F1856E">
            <w:pPr>
              <w:jc w:val="both"/>
              <w:rPr>
                <w:color w:val="auto"/>
              </w:rPr>
            </w:pPr>
          </w:p>
        </w:tc>
        <w:tc>
          <w:tcPr>
            <w:tcW w:w="5410" w:type="dxa"/>
            <w:tcBorders>
              <w:bottom w:val="single" w:color="000000" w:sz="6" w:space="0"/>
            </w:tcBorders>
            <w:vAlign w:val="center"/>
          </w:tcPr>
          <w:p w14:paraId="2498A621">
            <w:pPr>
              <w:jc w:val="both"/>
              <w:rPr>
                <w:color w:val="auto"/>
              </w:rPr>
            </w:pPr>
          </w:p>
        </w:tc>
        <w:tc>
          <w:tcPr>
            <w:tcW w:w="2664" w:type="dxa"/>
            <w:tcBorders>
              <w:bottom w:val="single" w:color="000000" w:sz="6" w:space="0"/>
              <w:right w:val="single" w:color="000000" w:sz="6" w:space="0"/>
            </w:tcBorders>
            <w:vAlign w:val="center"/>
          </w:tcPr>
          <w:p w14:paraId="0F29F950">
            <w:pPr>
              <w:jc w:val="both"/>
              <w:rPr>
                <w:color w:val="auto"/>
              </w:rPr>
            </w:pPr>
          </w:p>
        </w:tc>
      </w:tr>
    </w:tbl>
    <w:p w14:paraId="48C0D3C7">
      <w:pPr>
        <w:spacing w:before="82" w:line="211" w:lineRule="auto"/>
        <w:rPr>
          <w:rFonts w:hint="eastAsia" w:ascii="宋体" w:hAnsi="宋体" w:eastAsia="宋体" w:cs="宋体"/>
          <w:i/>
          <w:iCs/>
          <w:color w:val="auto"/>
          <w:spacing w:val="-19"/>
          <w:sz w:val="25"/>
          <w:szCs w:val="25"/>
        </w:rPr>
      </w:pPr>
    </w:p>
    <w:p w14:paraId="288964BE">
      <w:pPr>
        <w:rPr>
          <w:rFonts w:hint="eastAsia" w:ascii="宋体" w:hAnsi="宋体" w:eastAsia="宋体" w:cs="宋体"/>
          <w:color w:val="auto"/>
          <w:sz w:val="25"/>
          <w:szCs w:val="25"/>
        </w:rPr>
      </w:pPr>
      <w:r>
        <w:rPr>
          <w:rFonts w:ascii="宋体" w:hAnsi="宋体" w:eastAsia="宋体" w:cs="宋体"/>
          <w:color w:val="auto"/>
          <w:sz w:val="25"/>
          <w:szCs w:val="25"/>
        </w:rPr>
        <w:br w:type="page"/>
      </w:r>
    </w:p>
    <w:p w14:paraId="39EA92A2">
      <w:pPr>
        <w:spacing w:line="520" w:lineRule="exact"/>
        <w:ind w:left="3373"/>
        <w:outlineLvl w:val="2"/>
        <w:rPr>
          <w:rFonts w:hint="eastAsia" w:ascii="宋体" w:hAnsi="宋体" w:eastAsia="宋体" w:cs="宋体"/>
          <w:color w:val="auto"/>
          <w:sz w:val="28"/>
          <w:szCs w:val="28"/>
        </w:rPr>
      </w:pPr>
      <w:bookmarkStart w:id="1843" w:name="_Toc7213"/>
      <w:bookmarkStart w:id="1844" w:name="_Toc25197"/>
      <w:bookmarkStart w:id="1845" w:name="_Toc10275"/>
      <w:bookmarkStart w:id="1846" w:name="_Toc18527"/>
      <w:r>
        <w:rPr>
          <w:rFonts w:ascii="宋体" w:hAnsi="宋体" w:eastAsia="宋体" w:cs="宋体"/>
          <w:b/>
          <w:bCs/>
          <w:color w:val="auto"/>
          <w:spacing w:val="-6"/>
          <w:sz w:val="28"/>
          <w:szCs w:val="28"/>
        </w:rPr>
        <w:t>资格审查目录</w:t>
      </w:r>
      <w:bookmarkEnd w:id="1843"/>
      <w:bookmarkEnd w:id="1844"/>
      <w:bookmarkEnd w:id="1845"/>
      <w:bookmarkEnd w:id="1846"/>
    </w:p>
    <w:p w14:paraId="770820DF">
      <w:pPr>
        <w:pStyle w:val="8"/>
        <w:spacing w:line="520" w:lineRule="exact"/>
        <w:rPr>
          <w:color w:val="auto"/>
        </w:rPr>
      </w:pPr>
    </w:p>
    <w:p w14:paraId="0DE20AEB">
      <w:pPr>
        <w:spacing w:line="520" w:lineRule="exact"/>
        <w:ind w:left="296"/>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一、法定代表人身份证明、授权委托书（若有）</w:t>
      </w:r>
    </w:p>
    <w:p w14:paraId="33C98F3F">
      <w:pPr>
        <w:spacing w:line="520" w:lineRule="exact"/>
        <w:ind w:left="296"/>
        <w:rPr>
          <w:rFonts w:hint="eastAsia" w:ascii="宋体" w:hAnsi="宋体" w:eastAsia="宋体" w:cs="宋体"/>
          <w:strike/>
          <w:color w:val="auto"/>
          <w:spacing w:val="-2"/>
          <w:sz w:val="24"/>
          <w:szCs w:val="24"/>
          <w:lang w:eastAsia="zh-CN"/>
        </w:rPr>
      </w:pPr>
      <w:r>
        <w:rPr>
          <w:rFonts w:ascii="宋体" w:hAnsi="宋体" w:eastAsia="宋体" w:cs="宋体"/>
          <w:strike/>
          <w:color w:val="auto"/>
          <w:spacing w:val="-2"/>
          <w:sz w:val="24"/>
          <w:szCs w:val="24"/>
          <w:lang w:eastAsia="zh-CN"/>
        </w:rPr>
        <w:t>二、联合体协议书</w:t>
      </w:r>
    </w:p>
    <w:p w14:paraId="56892E5D">
      <w:pPr>
        <w:spacing w:line="520" w:lineRule="exact"/>
        <w:ind w:left="296"/>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三、投标保证金</w:t>
      </w:r>
    </w:p>
    <w:p w14:paraId="67C494C0">
      <w:pPr>
        <w:spacing w:line="520" w:lineRule="exact"/>
        <w:ind w:left="296"/>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四、资格审查资料</w:t>
      </w:r>
    </w:p>
    <w:p w14:paraId="7B8B8A53">
      <w:pPr>
        <w:spacing w:line="520" w:lineRule="exact"/>
        <w:ind w:left="296"/>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五、其他材料</w:t>
      </w:r>
    </w:p>
    <w:p w14:paraId="334686AB">
      <w:pPr>
        <w:spacing w:line="520" w:lineRule="exact"/>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br w:type="page"/>
      </w:r>
    </w:p>
    <w:p w14:paraId="33A912FB">
      <w:pPr>
        <w:spacing w:before="91" w:line="219" w:lineRule="auto"/>
        <w:ind w:left="1447"/>
        <w:outlineLvl w:val="2"/>
        <w:rPr>
          <w:rFonts w:hint="eastAsia" w:ascii="宋体" w:hAnsi="宋体" w:eastAsia="宋体" w:cs="宋体"/>
          <w:color w:val="auto"/>
          <w:sz w:val="28"/>
          <w:szCs w:val="28"/>
          <w:lang w:eastAsia="zh-CN"/>
        </w:rPr>
      </w:pPr>
      <w:bookmarkStart w:id="1847" w:name="_Toc14919"/>
      <w:bookmarkStart w:id="1848" w:name="_Toc31897"/>
      <w:bookmarkStart w:id="1849" w:name="_Toc12246"/>
      <w:bookmarkStart w:id="1850" w:name="_Toc25247"/>
      <w:r>
        <w:rPr>
          <w:rFonts w:ascii="宋体" w:hAnsi="宋体" w:eastAsia="宋体" w:cs="宋体"/>
          <w:b/>
          <w:bCs/>
          <w:color w:val="auto"/>
          <w:spacing w:val="-4"/>
          <w:sz w:val="28"/>
          <w:szCs w:val="28"/>
          <w:lang w:eastAsia="zh-CN"/>
        </w:rPr>
        <w:t>一、法定代表人身份证明、授权委托书（若有）</w:t>
      </w:r>
      <w:bookmarkEnd w:id="1847"/>
      <w:bookmarkEnd w:id="1848"/>
      <w:bookmarkEnd w:id="1849"/>
      <w:bookmarkEnd w:id="1850"/>
    </w:p>
    <w:p w14:paraId="7849FE3F">
      <w:pPr>
        <w:spacing w:before="332" w:line="220" w:lineRule="auto"/>
        <w:ind w:left="2996"/>
        <w:rPr>
          <w:rFonts w:hint="eastAsia"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（一）法定代表人身份证明</w:t>
      </w:r>
    </w:p>
    <w:p w14:paraId="49ABB9A3">
      <w:pPr>
        <w:spacing w:before="205" w:line="220" w:lineRule="auto"/>
        <w:ind w:left="481"/>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投标人名称：</w:t>
      </w:r>
      <w:r>
        <w:rPr>
          <w:rFonts w:hint="eastAsia" w:ascii="宋体" w:hAnsi="宋体" w:eastAsia="宋体" w:cs="宋体"/>
          <w:color w:val="auto"/>
          <w:sz w:val="24"/>
          <w:szCs w:val="24"/>
          <w:u w:val="single"/>
          <w:lang w:eastAsia="zh-CN"/>
        </w:rPr>
        <w:t>　　　　　　　　　　　　　　　　</w:t>
      </w:r>
    </w:p>
    <w:p w14:paraId="5BFD7AB4">
      <w:pPr>
        <w:spacing w:before="179" w:line="220" w:lineRule="auto"/>
        <w:ind w:left="480"/>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单位性质：</w:t>
      </w:r>
      <w:r>
        <w:rPr>
          <w:rFonts w:hint="eastAsia" w:ascii="宋体" w:hAnsi="宋体" w:eastAsia="宋体" w:cs="宋体"/>
          <w:color w:val="auto"/>
          <w:sz w:val="24"/>
          <w:szCs w:val="24"/>
          <w:u w:val="single"/>
          <w:lang w:eastAsia="zh-CN"/>
        </w:rPr>
        <w:t>　　　　　　　　　　　　　　　　　</w:t>
      </w:r>
    </w:p>
    <w:p w14:paraId="26593916">
      <w:pPr>
        <w:spacing w:before="181" w:line="229" w:lineRule="auto"/>
        <w:ind w:left="479"/>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地址：</w:t>
      </w:r>
      <w:r>
        <w:rPr>
          <w:rFonts w:hint="eastAsia" w:ascii="宋体" w:hAnsi="宋体" w:eastAsia="宋体" w:cs="宋体"/>
          <w:color w:val="auto"/>
          <w:sz w:val="24"/>
          <w:szCs w:val="24"/>
          <w:u w:val="single"/>
          <w:lang w:eastAsia="zh-CN"/>
        </w:rPr>
        <w:t>　　　　　　　　　　　　　　　　　　　</w:t>
      </w:r>
    </w:p>
    <w:p w14:paraId="47EFD7D5">
      <w:pPr>
        <w:spacing w:before="170" w:line="220" w:lineRule="auto"/>
        <w:ind w:left="480"/>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成立时间：</w:t>
      </w:r>
      <w:r>
        <w:rPr>
          <w:rFonts w:hint="eastAsia" w:ascii="宋体" w:hAnsi="宋体" w:eastAsia="宋体" w:cs="宋体"/>
          <w:color w:val="auto"/>
          <w:spacing w:val="-2"/>
          <w:sz w:val="24"/>
          <w:szCs w:val="24"/>
          <w:u w:val="single"/>
          <w:lang w:eastAsia="zh-CN"/>
        </w:rPr>
        <w:t>　　　　</w:t>
      </w:r>
      <w:r>
        <w:rPr>
          <w:rFonts w:ascii="宋体" w:hAnsi="宋体" w:eastAsia="宋体" w:cs="宋体"/>
          <w:color w:val="auto"/>
          <w:spacing w:val="-2"/>
          <w:sz w:val="24"/>
          <w:szCs w:val="24"/>
          <w:lang w:eastAsia="zh-CN"/>
        </w:rPr>
        <w:t>年</w:t>
      </w:r>
      <w:r>
        <w:rPr>
          <w:rFonts w:hint="eastAsia" w:ascii="宋体" w:hAnsi="宋体" w:eastAsia="宋体" w:cs="宋体"/>
          <w:color w:val="auto"/>
          <w:spacing w:val="-2"/>
          <w:sz w:val="24"/>
          <w:szCs w:val="24"/>
          <w:u w:val="single"/>
          <w:lang w:eastAsia="zh-CN"/>
        </w:rPr>
        <w:t>　　</w:t>
      </w:r>
      <w:r>
        <w:rPr>
          <w:rFonts w:ascii="宋体" w:hAnsi="宋体" w:eastAsia="宋体" w:cs="宋体"/>
          <w:color w:val="auto"/>
          <w:spacing w:val="-2"/>
          <w:sz w:val="24"/>
          <w:szCs w:val="24"/>
          <w:lang w:eastAsia="zh-CN"/>
        </w:rPr>
        <w:t>月</w:t>
      </w:r>
      <w:r>
        <w:rPr>
          <w:rFonts w:hint="eastAsia" w:ascii="宋体" w:hAnsi="宋体" w:eastAsia="宋体" w:cs="宋体"/>
          <w:color w:val="auto"/>
          <w:spacing w:val="40"/>
          <w:sz w:val="24"/>
          <w:szCs w:val="24"/>
          <w:u w:val="single"/>
          <w:lang w:eastAsia="zh-CN"/>
        </w:rPr>
        <w:t>　　</w:t>
      </w:r>
      <w:r>
        <w:rPr>
          <w:rFonts w:ascii="宋体" w:hAnsi="宋体" w:eastAsia="宋体" w:cs="宋体"/>
          <w:color w:val="auto"/>
          <w:spacing w:val="-2"/>
          <w:sz w:val="24"/>
          <w:szCs w:val="24"/>
          <w:lang w:eastAsia="zh-CN"/>
        </w:rPr>
        <w:t>日</w:t>
      </w:r>
    </w:p>
    <w:p w14:paraId="5737F439">
      <w:pPr>
        <w:spacing w:before="180" w:line="220" w:lineRule="auto"/>
        <w:ind w:left="480"/>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经营期限：</w:t>
      </w:r>
      <w:r>
        <w:rPr>
          <w:rFonts w:hint="eastAsia" w:ascii="宋体" w:hAnsi="宋体" w:eastAsia="宋体" w:cs="宋体"/>
          <w:color w:val="auto"/>
          <w:sz w:val="24"/>
          <w:szCs w:val="24"/>
          <w:u w:val="single"/>
          <w:lang w:eastAsia="zh-CN"/>
        </w:rPr>
        <w:t>　　　　　　　　　　　　　　　　</w:t>
      </w:r>
    </w:p>
    <w:p w14:paraId="18A1137D">
      <w:pPr>
        <w:spacing w:before="181" w:line="220" w:lineRule="auto"/>
        <w:ind w:left="479"/>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姓名：</w:t>
      </w:r>
      <w:r>
        <w:rPr>
          <w:rFonts w:hint="eastAsia" w:ascii="宋体" w:hAnsi="宋体" w:eastAsia="宋体" w:cs="宋体"/>
          <w:color w:val="auto"/>
          <w:spacing w:val="-3"/>
          <w:sz w:val="24"/>
          <w:szCs w:val="24"/>
          <w:u w:val="single"/>
          <w:lang w:eastAsia="zh-CN"/>
        </w:rPr>
        <w:t>　　　　</w:t>
      </w:r>
      <w:r>
        <w:rPr>
          <w:rFonts w:ascii="宋体" w:hAnsi="宋体" w:eastAsia="宋体" w:cs="宋体"/>
          <w:color w:val="auto"/>
          <w:spacing w:val="-3"/>
          <w:sz w:val="24"/>
          <w:szCs w:val="24"/>
          <w:lang w:eastAsia="zh-CN"/>
        </w:rPr>
        <w:t>性别：</w:t>
      </w:r>
      <w:r>
        <w:rPr>
          <w:rFonts w:hint="eastAsia" w:ascii="宋体" w:hAnsi="宋体" w:eastAsia="宋体" w:cs="宋体"/>
          <w:color w:val="auto"/>
          <w:spacing w:val="-3"/>
          <w:sz w:val="24"/>
          <w:szCs w:val="24"/>
          <w:u w:val="single"/>
          <w:lang w:eastAsia="zh-CN"/>
        </w:rPr>
        <w:t>　　</w:t>
      </w:r>
      <w:r>
        <w:rPr>
          <w:rFonts w:ascii="宋体" w:hAnsi="宋体" w:eastAsia="宋体" w:cs="宋体"/>
          <w:color w:val="auto"/>
          <w:spacing w:val="-3"/>
          <w:sz w:val="24"/>
          <w:szCs w:val="24"/>
          <w:lang w:eastAsia="zh-CN"/>
        </w:rPr>
        <w:t>年龄：</w:t>
      </w:r>
      <w:r>
        <w:rPr>
          <w:rFonts w:hint="eastAsia" w:ascii="宋体" w:hAnsi="宋体" w:eastAsia="宋体" w:cs="宋体"/>
          <w:color w:val="auto"/>
          <w:spacing w:val="-3"/>
          <w:sz w:val="24"/>
          <w:szCs w:val="24"/>
          <w:u w:val="single"/>
          <w:lang w:eastAsia="zh-CN"/>
        </w:rPr>
        <w:t>　　</w:t>
      </w:r>
      <w:r>
        <w:rPr>
          <w:rFonts w:ascii="宋体" w:hAnsi="宋体" w:eastAsia="宋体" w:cs="宋体"/>
          <w:color w:val="auto"/>
          <w:spacing w:val="-3"/>
          <w:sz w:val="24"/>
          <w:szCs w:val="24"/>
          <w:lang w:eastAsia="zh-CN"/>
        </w:rPr>
        <w:t>身份证号码：</w:t>
      </w:r>
      <w:r>
        <w:rPr>
          <w:rFonts w:hint="eastAsia" w:ascii="宋体" w:hAnsi="宋体" w:eastAsia="宋体" w:cs="宋体"/>
          <w:color w:val="auto"/>
          <w:spacing w:val="-3"/>
          <w:sz w:val="24"/>
          <w:szCs w:val="24"/>
          <w:u w:val="single"/>
          <w:lang w:eastAsia="zh-CN"/>
        </w:rPr>
        <w:t>　　　　　　　　　</w:t>
      </w:r>
      <w:r>
        <w:rPr>
          <w:rFonts w:hint="eastAsia" w:ascii="宋体" w:hAnsi="宋体" w:eastAsia="宋体" w:cs="宋体"/>
          <w:color w:val="auto"/>
          <w:spacing w:val="-4"/>
          <w:sz w:val="24"/>
          <w:szCs w:val="24"/>
          <w:u w:val="single"/>
          <w:lang w:eastAsia="zh-CN"/>
        </w:rPr>
        <w:t>　　　</w:t>
      </w:r>
    </w:p>
    <w:p w14:paraId="767561A6">
      <w:pPr>
        <w:spacing w:before="181" w:line="285" w:lineRule="auto"/>
        <w:ind w:right="184" w:firstLine="476" w:firstLineChars="200"/>
        <w:rPr>
          <w:rFonts w:hint="eastAsia" w:ascii="宋体" w:hAnsi="宋体" w:eastAsia="宋体" w:cs="宋体"/>
          <w:color w:val="auto"/>
          <w:spacing w:val="-2"/>
          <w:sz w:val="24"/>
          <w:szCs w:val="24"/>
          <w:lang w:eastAsia="zh-CN"/>
        </w:rPr>
      </w:pPr>
      <w:r>
        <w:rPr>
          <w:rFonts w:ascii="宋体" w:hAnsi="宋体" w:eastAsia="宋体" w:cs="宋体"/>
          <w:color w:val="auto"/>
          <w:spacing w:val="-1"/>
          <w:sz w:val="24"/>
          <w:szCs w:val="24"/>
          <w:lang w:eastAsia="zh-CN"/>
        </w:rPr>
        <w:t>职务：</w:t>
      </w:r>
      <w:r>
        <w:rPr>
          <w:rFonts w:hint="eastAsia" w:ascii="宋体" w:hAnsi="宋体" w:eastAsia="宋体" w:cs="宋体"/>
          <w:color w:val="auto"/>
          <w:spacing w:val="-1"/>
          <w:sz w:val="24"/>
          <w:szCs w:val="24"/>
          <w:u w:val="single"/>
          <w:lang w:eastAsia="zh-CN"/>
        </w:rPr>
        <w:t>　　　　　</w:t>
      </w:r>
      <w:r>
        <w:rPr>
          <w:rFonts w:ascii="宋体" w:hAnsi="宋体" w:eastAsia="宋体" w:cs="宋体"/>
          <w:color w:val="auto"/>
          <w:spacing w:val="-1"/>
          <w:sz w:val="24"/>
          <w:szCs w:val="24"/>
          <w:lang w:eastAsia="zh-CN"/>
        </w:rPr>
        <w:t>系</w:t>
      </w:r>
      <w:r>
        <w:rPr>
          <w:rFonts w:hint="eastAsia" w:ascii="宋体" w:hAnsi="宋体" w:eastAsia="宋体" w:cs="宋体"/>
          <w:color w:val="auto"/>
          <w:spacing w:val="-1"/>
          <w:sz w:val="24"/>
          <w:szCs w:val="24"/>
          <w:u w:val="single"/>
          <w:lang w:eastAsia="zh-CN"/>
        </w:rPr>
        <w:t>　　　　　　　　　　</w:t>
      </w:r>
      <w:r>
        <w:rPr>
          <w:rFonts w:ascii="宋体" w:hAnsi="宋体" w:eastAsia="宋体" w:cs="宋体"/>
          <w:color w:val="auto"/>
          <w:spacing w:val="-1"/>
          <w:sz w:val="24"/>
          <w:szCs w:val="24"/>
          <w:lang w:eastAsia="zh-CN"/>
        </w:rPr>
        <w:t>（投标人名称）</w:t>
      </w:r>
      <w:r>
        <w:rPr>
          <w:rFonts w:ascii="宋体" w:hAnsi="宋体" w:eastAsia="宋体" w:cs="宋体"/>
          <w:color w:val="auto"/>
          <w:spacing w:val="-2"/>
          <w:sz w:val="24"/>
          <w:szCs w:val="24"/>
          <w:lang w:eastAsia="zh-CN"/>
        </w:rPr>
        <w:t>的法定代表人。</w:t>
      </w:r>
    </w:p>
    <w:p w14:paraId="103002D6">
      <w:pPr>
        <w:spacing w:before="181" w:line="285" w:lineRule="auto"/>
        <w:ind w:right="184" w:firstLine="480" w:firstLineChars="200"/>
        <w:rPr>
          <w:rFonts w:hint="eastAsia" w:ascii="宋体" w:hAnsi="宋体" w:eastAsia="宋体" w:cs="宋体"/>
          <w:color w:val="auto"/>
          <w:sz w:val="24"/>
          <w:szCs w:val="24"/>
        </w:rPr>
      </w:pPr>
      <w:r>
        <w:rPr>
          <w:rFonts w:ascii="宋体" w:hAnsi="宋体" w:eastAsia="宋体" w:cs="宋体"/>
          <w:color w:val="auto"/>
          <w:sz w:val="24"/>
          <w:szCs w:val="24"/>
        </w:rPr>
        <w:t>附</w:t>
      </w:r>
    </w:p>
    <w:tbl>
      <w:tblPr>
        <w:tblStyle w:val="20"/>
        <w:tblW w:w="6666" w:type="dxa"/>
        <w:tblInd w:w="117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6666"/>
      </w:tblGrid>
      <w:tr w14:paraId="6494A15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53" w:hRule="atLeast"/>
        </w:trPr>
        <w:tc>
          <w:tcPr>
            <w:tcW w:w="6666" w:type="dxa"/>
          </w:tcPr>
          <w:p w14:paraId="1CE98404">
            <w:pPr>
              <w:spacing w:line="267" w:lineRule="auto"/>
              <w:rPr>
                <w:color w:val="auto"/>
                <w:lang w:eastAsia="zh-CN"/>
              </w:rPr>
            </w:pPr>
          </w:p>
          <w:p w14:paraId="457A50BD">
            <w:pPr>
              <w:spacing w:line="268" w:lineRule="auto"/>
              <w:rPr>
                <w:color w:val="auto"/>
                <w:lang w:eastAsia="zh-CN"/>
              </w:rPr>
            </w:pPr>
          </w:p>
          <w:p w14:paraId="007840D9">
            <w:pPr>
              <w:spacing w:line="268" w:lineRule="auto"/>
              <w:rPr>
                <w:color w:val="auto"/>
                <w:lang w:eastAsia="zh-CN"/>
              </w:rPr>
            </w:pPr>
          </w:p>
          <w:p w14:paraId="205C84AC">
            <w:pPr>
              <w:spacing w:line="268" w:lineRule="auto"/>
              <w:rPr>
                <w:color w:val="auto"/>
                <w:lang w:eastAsia="zh-CN"/>
              </w:rPr>
            </w:pPr>
          </w:p>
          <w:p w14:paraId="185A8B09">
            <w:pPr>
              <w:pStyle w:val="21"/>
              <w:spacing w:before="78" w:line="220" w:lineRule="auto"/>
              <w:ind w:left="1692"/>
              <w:rPr>
                <w:rFonts w:hint="eastAsia"/>
                <w:color w:val="auto"/>
                <w:sz w:val="24"/>
                <w:szCs w:val="24"/>
                <w:lang w:eastAsia="zh-CN"/>
              </w:rPr>
            </w:pPr>
            <w:r>
              <w:rPr>
                <w:color w:val="auto"/>
                <w:spacing w:val="-2"/>
                <w:sz w:val="24"/>
                <w:szCs w:val="24"/>
                <w:lang w:eastAsia="zh-CN"/>
              </w:rPr>
              <w:t>法定代表人身份证复制件（双面）</w:t>
            </w:r>
          </w:p>
        </w:tc>
      </w:tr>
    </w:tbl>
    <w:p w14:paraId="34FF3AC0">
      <w:pPr>
        <w:pStyle w:val="8"/>
        <w:spacing w:line="368" w:lineRule="auto"/>
        <w:rPr>
          <w:color w:val="auto"/>
          <w:lang w:eastAsia="zh-CN"/>
        </w:rPr>
      </w:pPr>
    </w:p>
    <w:p w14:paraId="3E7D9E55">
      <w:pPr>
        <w:spacing w:before="78" w:line="220" w:lineRule="auto"/>
        <w:ind w:left="959"/>
        <w:rPr>
          <w:rFonts w:hint="eastAsia" w:ascii="宋体" w:hAnsi="宋体" w:eastAsia="宋体" w:cs="宋体"/>
          <w:color w:val="auto"/>
          <w:sz w:val="24"/>
          <w:szCs w:val="24"/>
          <w:lang w:eastAsia="zh-CN"/>
        </w:rPr>
      </w:pPr>
      <w:r>
        <w:rPr>
          <w:rFonts w:ascii="宋体" w:hAnsi="宋体" w:eastAsia="宋体" w:cs="宋体"/>
          <w:color w:val="auto"/>
          <w:spacing w:val="-8"/>
          <w:sz w:val="24"/>
          <w:szCs w:val="24"/>
          <w:lang w:eastAsia="zh-CN"/>
        </w:rPr>
        <w:t>特此证明。</w:t>
      </w:r>
    </w:p>
    <w:p w14:paraId="743000C3">
      <w:pPr>
        <w:pStyle w:val="8"/>
        <w:spacing w:line="256" w:lineRule="auto"/>
        <w:rPr>
          <w:color w:val="auto"/>
          <w:lang w:eastAsia="zh-CN"/>
        </w:rPr>
      </w:pPr>
    </w:p>
    <w:p w14:paraId="709A2988">
      <w:pPr>
        <w:pStyle w:val="8"/>
        <w:spacing w:line="257" w:lineRule="auto"/>
        <w:rPr>
          <w:color w:val="auto"/>
          <w:lang w:eastAsia="zh-CN"/>
        </w:rPr>
      </w:pPr>
    </w:p>
    <w:p w14:paraId="65382770">
      <w:pPr>
        <w:spacing w:before="79" w:line="219" w:lineRule="auto"/>
        <w:ind w:left="479"/>
        <w:rPr>
          <w:rFonts w:hint="eastAsia" w:ascii="宋体" w:hAnsi="宋体" w:eastAsia="宋体" w:cs="宋体"/>
          <w:color w:val="auto"/>
          <w:spacing w:val="-3"/>
          <w:sz w:val="24"/>
          <w:szCs w:val="24"/>
          <w:lang w:eastAsia="zh-CN"/>
        </w:rPr>
      </w:pPr>
      <w:r>
        <w:rPr>
          <w:rFonts w:ascii="宋体" w:hAnsi="宋体" w:eastAsia="宋体" w:cs="宋体"/>
          <w:color w:val="auto"/>
          <w:spacing w:val="-3"/>
          <w:sz w:val="24"/>
          <w:szCs w:val="24"/>
          <w:lang w:eastAsia="zh-CN"/>
        </w:rPr>
        <w:t>注</w:t>
      </w:r>
      <w:r>
        <w:rPr>
          <w:rFonts w:ascii="宋体" w:hAnsi="宋体" w:eastAsia="宋体" w:cs="宋体"/>
          <w:strike/>
          <w:color w:val="auto"/>
          <w:spacing w:val="-3"/>
          <w:sz w:val="24"/>
          <w:szCs w:val="24"/>
          <w:lang w:eastAsia="zh-CN"/>
        </w:rPr>
        <w:t>：</w:t>
      </w:r>
      <w:r>
        <w:rPr>
          <w:rFonts w:hint="eastAsia" w:ascii="Times New Roman" w:hAnsi="Times New Roman" w:eastAsia="宋体" w:cs="Times New Roman"/>
          <w:strike/>
          <w:color w:val="auto"/>
          <w:spacing w:val="-4"/>
          <w:sz w:val="24"/>
          <w:szCs w:val="24"/>
          <w:lang w:eastAsia="zh-CN"/>
        </w:rPr>
        <w:t>1</w:t>
      </w:r>
      <w:r>
        <w:rPr>
          <w:rFonts w:ascii="Times New Roman" w:hAnsi="Times New Roman" w:eastAsia="Times New Roman" w:cs="Times New Roman"/>
          <w:strike/>
          <w:color w:val="auto"/>
          <w:spacing w:val="-4"/>
          <w:sz w:val="24"/>
          <w:szCs w:val="24"/>
          <w:lang w:eastAsia="zh-CN"/>
        </w:rPr>
        <w:t>.</w:t>
      </w:r>
      <w:r>
        <w:rPr>
          <w:rFonts w:ascii="宋体" w:hAnsi="宋体" w:eastAsia="宋体" w:cs="宋体"/>
          <w:strike/>
          <w:color w:val="auto"/>
          <w:spacing w:val="-3"/>
          <w:sz w:val="24"/>
          <w:szCs w:val="24"/>
          <w:lang w:eastAsia="zh-CN"/>
        </w:rPr>
        <w:t>若投标人为联合体，由牵头人出具即可。</w:t>
      </w:r>
    </w:p>
    <w:p w14:paraId="364DD638">
      <w:pPr>
        <w:spacing w:before="259" w:line="233" w:lineRule="auto"/>
        <w:ind w:left="954"/>
        <w:rPr>
          <w:rFonts w:hint="eastAsia" w:ascii="宋体" w:hAnsi="宋体" w:eastAsia="宋体" w:cs="宋体"/>
          <w:color w:val="auto"/>
          <w:sz w:val="24"/>
          <w:szCs w:val="24"/>
          <w:lang w:eastAsia="zh-CN"/>
        </w:rPr>
      </w:pPr>
      <w:r>
        <w:rPr>
          <w:rFonts w:ascii="Times New Roman" w:hAnsi="Times New Roman" w:eastAsia="Times New Roman" w:cs="Times New Roman"/>
          <w:color w:val="auto"/>
          <w:spacing w:val="-4"/>
          <w:sz w:val="24"/>
          <w:szCs w:val="24"/>
          <w:lang w:eastAsia="zh-CN"/>
        </w:rPr>
        <w:t>2.</w:t>
      </w:r>
      <w:r>
        <w:rPr>
          <w:rFonts w:ascii="宋体" w:hAnsi="宋体" w:eastAsia="宋体" w:cs="宋体"/>
          <w:color w:val="auto"/>
          <w:spacing w:val="-4"/>
          <w:sz w:val="24"/>
          <w:szCs w:val="24"/>
          <w:lang w:eastAsia="zh-CN"/>
        </w:rPr>
        <w:t>以上地址是法律文书送达的确认地址。</w:t>
      </w:r>
    </w:p>
    <w:p w14:paraId="631FF6B6">
      <w:pPr>
        <w:spacing w:before="79" w:line="219" w:lineRule="auto"/>
        <w:ind w:left="479"/>
        <w:rPr>
          <w:rFonts w:hint="eastAsia" w:ascii="宋体" w:hAnsi="宋体" w:eastAsia="宋体" w:cs="宋体"/>
          <w:color w:val="auto"/>
          <w:spacing w:val="-3"/>
          <w:sz w:val="24"/>
          <w:szCs w:val="24"/>
          <w:lang w:eastAsia="zh-CN"/>
        </w:rPr>
      </w:pPr>
    </w:p>
    <w:p w14:paraId="5C48922F">
      <w:pPr>
        <w:pStyle w:val="8"/>
        <w:spacing w:line="267" w:lineRule="auto"/>
        <w:rPr>
          <w:color w:val="auto"/>
          <w:lang w:eastAsia="zh-CN"/>
        </w:rPr>
      </w:pPr>
    </w:p>
    <w:p w14:paraId="671D0EC1">
      <w:pPr>
        <w:pStyle w:val="8"/>
        <w:spacing w:line="267" w:lineRule="auto"/>
        <w:rPr>
          <w:color w:val="auto"/>
          <w:lang w:eastAsia="zh-CN"/>
        </w:rPr>
      </w:pPr>
    </w:p>
    <w:p w14:paraId="60CC01B7">
      <w:pPr>
        <w:pStyle w:val="8"/>
        <w:spacing w:line="267" w:lineRule="auto"/>
        <w:rPr>
          <w:color w:val="auto"/>
          <w:lang w:eastAsia="zh-CN"/>
        </w:rPr>
      </w:pPr>
    </w:p>
    <w:p w14:paraId="0D6AB023">
      <w:pPr>
        <w:pStyle w:val="8"/>
        <w:spacing w:line="268" w:lineRule="auto"/>
        <w:rPr>
          <w:color w:val="auto"/>
          <w:lang w:eastAsia="zh-CN"/>
        </w:rPr>
      </w:pPr>
    </w:p>
    <w:p w14:paraId="50F3DC58">
      <w:pPr>
        <w:pStyle w:val="8"/>
        <w:spacing w:line="268" w:lineRule="auto"/>
        <w:rPr>
          <w:color w:val="auto"/>
          <w:lang w:eastAsia="zh-CN"/>
        </w:rPr>
      </w:pPr>
    </w:p>
    <w:p w14:paraId="36590D90">
      <w:pPr>
        <w:spacing w:before="79" w:line="219" w:lineRule="auto"/>
        <w:ind w:left="3961"/>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投标人</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color w:val="auto"/>
          <w:spacing w:val="-3"/>
          <w:sz w:val="24"/>
          <w:szCs w:val="24"/>
          <w:lang w:eastAsia="zh-CN"/>
        </w:rPr>
        <w:t>盖单位公章）</w:t>
      </w:r>
    </w:p>
    <w:p w14:paraId="116A0EE1">
      <w:pPr>
        <w:pStyle w:val="8"/>
        <w:spacing w:line="257" w:lineRule="auto"/>
        <w:rPr>
          <w:color w:val="auto"/>
          <w:lang w:eastAsia="zh-CN"/>
        </w:rPr>
      </w:pPr>
    </w:p>
    <w:p w14:paraId="2CC97EBE">
      <w:pPr>
        <w:pStyle w:val="8"/>
        <w:spacing w:line="257" w:lineRule="auto"/>
        <w:rPr>
          <w:color w:val="auto"/>
          <w:lang w:eastAsia="zh-CN"/>
        </w:rPr>
      </w:pPr>
    </w:p>
    <w:p w14:paraId="491010EB">
      <w:pPr>
        <w:tabs>
          <w:tab w:val="left" w:pos="5869"/>
        </w:tabs>
        <w:spacing w:before="78" w:line="220" w:lineRule="auto"/>
        <w:ind w:left="4909"/>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年</w:t>
      </w:r>
      <w:r>
        <w:rPr>
          <w:rFonts w:hint="eastAsia" w:ascii="宋体" w:hAnsi="宋体" w:eastAsia="宋体" w:cs="宋体"/>
          <w:color w:val="auto"/>
          <w:spacing w:val="40"/>
          <w:sz w:val="24"/>
          <w:szCs w:val="24"/>
          <w:u w:val="single"/>
          <w:lang w:eastAsia="zh-CN"/>
        </w:rPr>
        <w:t>　　</w:t>
      </w:r>
      <w:r>
        <w:rPr>
          <w:rFonts w:ascii="宋体" w:hAnsi="宋体" w:eastAsia="宋体" w:cs="宋体"/>
          <w:color w:val="auto"/>
          <w:spacing w:val="-9"/>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日</w:t>
      </w:r>
    </w:p>
    <w:p w14:paraId="0865F5AB">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4A8E62FC">
      <w:pPr>
        <w:spacing w:before="91" w:line="219" w:lineRule="auto"/>
        <w:ind w:left="2955"/>
        <w:rPr>
          <w:rFonts w:hint="eastAsia" w:ascii="宋体" w:hAnsi="宋体" w:eastAsia="宋体" w:cs="宋体"/>
          <w:color w:val="auto"/>
          <w:sz w:val="28"/>
          <w:szCs w:val="28"/>
          <w:lang w:eastAsia="zh-CN"/>
        </w:rPr>
      </w:pPr>
      <w:r>
        <w:rPr>
          <w:rFonts w:ascii="宋体" w:hAnsi="宋体" w:eastAsia="宋体" w:cs="宋体"/>
          <w:b/>
          <w:bCs/>
          <w:color w:val="auto"/>
          <w:spacing w:val="-5"/>
          <w:sz w:val="28"/>
          <w:szCs w:val="28"/>
          <w:lang w:eastAsia="zh-CN"/>
        </w:rPr>
        <w:t>（二）授权委托书（若有）</w:t>
      </w:r>
    </w:p>
    <w:p w14:paraId="53782A6C">
      <w:pPr>
        <w:pStyle w:val="8"/>
        <w:spacing w:line="329" w:lineRule="auto"/>
        <w:rPr>
          <w:color w:val="auto"/>
          <w:lang w:eastAsia="zh-CN"/>
        </w:rPr>
      </w:pPr>
    </w:p>
    <w:p w14:paraId="44005903">
      <w:pPr>
        <w:pStyle w:val="8"/>
        <w:spacing w:line="329" w:lineRule="auto"/>
        <w:rPr>
          <w:color w:val="auto"/>
          <w:lang w:eastAsia="zh-CN"/>
        </w:rPr>
      </w:pPr>
    </w:p>
    <w:p w14:paraId="5C639185">
      <w:pPr>
        <w:widowControl w:val="0"/>
        <w:kinsoku/>
        <w:wordWrap w:val="0"/>
        <w:topLinePunct/>
        <w:autoSpaceDE/>
        <w:autoSpaceDN/>
        <w:spacing w:before="78" w:line="360" w:lineRule="auto"/>
        <w:ind w:right="34" w:firstLine="476"/>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（姓名）系</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（投标人名称）的法定代表人，现委托</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（姓名）</w:t>
      </w:r>
      <w:r>
        <w:rPr>
          <w:rFonts w:hint="eastAsia" w:ascii="宋体" w:hAnsi="宋体" w:eastAsia="宋体" w:cs="宋体"/>
          <w:color w:val="auto"/>
          <w:sz w:val="24"/>
          <w:szCs w:val="24"/>
          <w:u w:val="single"/>
          <w:lang w:eastAsia="zh-CN"/>
        </w:rPr>
        <w:t>　　　　　　</w:t>
      </w:r>
      <w:r>
        <w:rPr>
          <w:rFonts w:ascii="宋体" w:hAnsi="宋体" w:eastAsia="宋体" w:cs="宋体"/>
          <w:color w:val="auto"/>
          <w:spacing w:val="-13"/>
          <w:sz w:val="24"/>
          <w:szCs w:val="24"/>
          <w:lang w:eastAsia="zh-CN"/>
        </w:rPr>
        <w:t>（</w:t>
      </w:r>
      <w:r>
        <w:rPr>
          <w:rFonts w:ascii="宋体" w:hAnsi="宋体" w:eastAsia="宋体" w:cs="宋体"/>
          <w:i/>
          <w:iCs/>
          <w:color w:val="auto"/>
          <w:spacing w:val="-3"/>
          <w:sz w:val="25"/>
          <w:szCs w:val="25"/>
          <w:lang w:eastAsia="zh-CN"/>
        </w:rPr>
        <w:t>身份证号码</w:t>
      </w:r>
      <w:r>
        <w:rPr>
          <w:rFonts w:ascii="宋体" w:hAnsi="宋体" w:eastAsia="宋体" w:cs="宋体"/>
          <w:color w:val="auto"/>
          <w:spacing w:val="-3"/>
          <w:sz w:val="24"/>
          <w:szCs w:val="24"/>
          <w:lang w:eastAsia="zh-CN"/>
        </w:rPr>
        <w:t>）</w:t>
      </w:r>
      <w:r>
        <w:rPr>
          <w:rFonts w:ascii="宋体" w:hAnsi="宋体" w:eastAsia="宋体" w:cs="宋体"/>
          <w:color w:val="auto"/>
          <w:sz w:val="24"/>
          <w:szCs w:val="24"/>
          <w:lang w:eastAsia="zh-CN"/>
        </w:rPr>
        <w:t>为我方代理人。代理人根据授权，在投标有效期满前以我方名义签署、澄清、说明、补正、递交、撤回、修改</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（项目</w:t>
      </w:r>
      <w:r>
        <w:rPr>
          <w:rFonts w:hint="eastAsia" w:ascii="宋体" w:hAnsi="宋体" w:eastAsia="宋体" w:cs="宋体"/>
          <w:color w:val="auto"/>
          <w:sz w:val="24"/>
          <w:szCs w:val="24"/>
          <w:lang w:eastAsia="zh-CN"/>
        </w:rPr>
        <w:t>名称</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（标段名称）投标文件、出席开标会议、签订合同和处理有关事宜，其法律后果由我方承担。</w:t>
      </w:r>
    </w:p>
    <w:p w14:paraId="72D27574">
      <w:pPr>
        <w:spacing w:line="219" w:lineRule="auto"/>
        <w:ind w:left="478"/>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代理人无转委托权。</w:t>
      </w:r>
    </w:p>
    <w:p w14:paraId="0EF0D0B0">
      <w:pPr>
        <w:spacing w:before="180" w:line="212" w:lineRule="auto"/>
        <w:ind w:left="497"/>
        <w:rPr>
          <w:rFonts w:hint="eastAsia" w:ascii="宋体" w:hAnsi="宋体" w:eastAsia="宋体" w:cs="宋体"/>
          <w:color w:val="auto"/>
          <w:sz w:val="24"/>
          <w:szCs w:val="24"/>
          <w:lang w:eastAsia="zh-CN"/>
        </w:rPr>
      </w:pPr>
      <w:r>
        <w:rPr>
          <w:rFonts w:ascii="宋体" w:hAnsi="宋体" w:eastAsia="宋体" w:cs="宋体"/>
          <w:color w:val="auto"/>
          <w:spacing w:val="-21"/>
          <w:sz w:val="24"/>
          <w:szCs w:val="24"/>
          <w:lang w:eastAsia="zh-CN"/>
        </w:rPr>
        <w:t>附：</w:t>
      </w:r>
    </w:p>
    <w:tbl>
      <w:tblPr>
        <w:tblStyle w:val="20"/>
        <w:tblW w:w="6666" w:type="dxa"/>
        <w:tblInd w:w="117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6666"/>
      </w:tblGrid>
      <w:tr w14:paraId="7CFFC5E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53" w:hRule="atLeast"/>
        </w:trPr>
        <w:tc>
          <w:tcPr>
            <w:tcW w:w="6666" w:type="dxa"/>
            <w:vAlign w:val="center"/>
          </w:tcPr>
          <w:p w14:paraId="4782B8FE">
            <w:pPr>
              <w:pStyle w:val="21"/>
              <w:spacing w:before="78" w:line="220" w:lineRule="auto"/>
              <w:jc w:val="center"/>
              <w:rPr>
                <w:rFonts w:hint="eastAsia"/>
                <w:color w:val="auto"/>
                <w:sz w:val="24"/>
                <w:szCs w:val="24"/>
                <w:lang w:eastAsia="zh-CN"/>
              </w:rPr>
            </w:pPr>
            <w:r>
              <w:rPr>
                <w:color w:val="auto"/>
                <w:spacing w:val="-2"/>
                <w:sz w:val="24"/>
                <w:szCs w:val="24"/>
                <w:lang w:eastAsia="zh-CN"/>
              </w:rPr>
              <w:t>委托代理人身份证复制件（双面）</w:t>
            </w:r>
          </w:p>
        </w:tc>
      </w:tr>
    </w:tbl>
    <w:p w14:paraId="7B593D9C">
      <w:pPr>
        <w:pStyle w:val="8"/>
        <w:spacing w:line="260" w:lineRule="auto"/>
        <w:rPr>
          <w:color w:val="auto"/>
          <w:lang w:eastAsia="zh-CN"/>
        </w:rPr>
      </w:pPr>
    </w:p>
    <w:p w14:paraId="299D7725">
      <w:pPr>
        <w:pStyle w:val="8"/>
        <w:spacing w:line="260" w:lineRule="auto"/>
        <w:rPr>
          <w:color w:val="auto"/>
          <w:lang w:eastAsia="zh-CN"/>
        </w:rPr>
      </w:pPr>
    </w:p>
    <w:p w14:paraId="18F08875">
      <w:pPr>
        <w:pStyle w:val="8"/>
        <w:spacing w:line="261" w:lineRule="auto"/>
        <w:rPr>
          <w:color w:val="auto"/>
          <w:lang w:eastAsia="zh-CN"/>
        </w:rPr>
      </w:pPr>
    </w:p>
    <w:p w14:paraId="5EAFA4F4">
      <w:pPr>
        <w:spacing w:line="360" w:lineRule="auto"/>
        <w:jc w:val="right"/>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投标人</w:t>
      </w:r>
      <w:r>
        <w:rPr>
          <w:rFonts w:ascii="宋体" w:hAnsi="宋体" w:eastAsia="宋体" w:cs="宋体"/>
          <w:color w:val="auto"/>
          <w:spacing w:val="1"/>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1"/>
          <w:sz w:val="24"/>
          <w:szCs w:val="24"/>
          <w:lang w:eastAsia="zh-CN"/>
        </w:rPr>
        <w:t>（</w:t>
      </w:r>
      <w:r>
        <w:rPr>
          <w:rFonts w:ascii="宋体" w:hAnsi="宋体" w:eastAsia="宋体" w:cs="宋体"/>
          <w:color w:val="auto"/>
          <w:spacing w:val="-1"/>
          <w:sz w:val="24"/>
          <w:szCs w:val="24"/>
          <w:lang w:eastAsia="zh-CN"/>
        </w:rPr>
        <w:t>盖单位公章）</w:t>
      </w:r>
    </w:p>
    <w:p w14:paraId="1358042D">
      <w:pPr>
        <w:spacing w:line="360" w:lineRule="auto"/>
        <w:ind w:left="3360"/>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法定代表人</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color w:val="auto"/>
          <w:spacing w:val="-3"/>
          <w:sz w:val="24"/>
          <w:szCs w:val="24"/>
          <w:lang w:eastAsia="zh-CN"/>
        </w:rPr>
        <w:t>签字）</w:t>
      </w:r>
    </w:p>
    <w:p w14:paraId="32A4FC87">
      <w:pPr>
        <w:spacing w:line="360" w:lineRule="auto"/>
        <w:ind w:left="3365"/>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身份证号码：</w:t>
      </w:r>
      <w:r>
        <w:rPr>
          <w:rFonts w:hint="eastAsia" w:ascii="宋体" w:hAnsi="宋体" w:eastAsia="宋体" w:cs="宋体"/>
          <w:color w:val="auto"/>
          <w:sz w:val="24"/>
          <w:szCs w:val="24"/>
          <w:u w:val="single"/>
          <w:lang w:eastAsia="zh-CN"/>
        </w:rPr>
        <w:t>　　　　　　　　　　　　　　</w:t>
      </w:r>
    </w:p>
    <w:p w14:paraId="7E789A23">
      <w:pPr>
        <w:tabs>
          <w:tab w:val="left" w:pos="5749"/>
        </w:tabs>
        <w:spacing w:line="360" w:lineRule="auto"/>
        <w:ind w:left="5029"/>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日</w:t>
      </w:r>
    </w:p>
    <w:p w14:paraId="73BE1B69">
      <w:pPr>
        <w:widowControl w:val="0"/>
        <w:kinsoku/>
        <w:wordWrap w:val="0"/>
        <w:topLinePunct/>
        <w:autoSpaceDE/>
        <w:autoSpaceDN/>
        <w:spacing w:before="182" w:line="219" w:lineRule="auto"/>
        <w:ind w:firstLine="232" w:firstLineChars="100"/>
        <w:jc w:val="both"/>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注：</w:t>
      </w:r>
    </w:p>
    <w:p w14:paraId="5F2E7E28">
      <w:pPr>
        <w:widowControl w:val="0"/>
        <w:kinsoku/>
        <w:wordWrap w:val="0"/>
        <w:topLinePunct/>
        <w:autoSpaceDE/>
        <w:autoSpaceDN/>
        <w:spacing w:before="78" w:line="360" w:lineRule="auto"/>
        <w:ind w:right="34" w:firstLine="22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1.电子招投标原则上不再需要提供授权委托书。</w:t>
      </w:r>
    </w:p>
    <w:p w14:paraId="15AABDD8">
      <w:pPr>
        <w:widowControl w:val="0"/>
        <w:kinsoku/>
        <w:wordWrap w:val="0"/>
        <w:topLinePunct/>
        <w:autoSpaceDE/>
        <w:autoSpaceDN/>
        <w:spacing w:before="183" w:line="219" w:lineRule="auto"/>
        <w:ind w:firstLine="240" w:firstLineChars="100"/>
        <w:jc w:val="both"/>
        <w:rPr>
          <w:rFonts w:hint="eastAsia" w:ascii="宋体" w:hAnsi="宋体" w:eastAsia="宋体" w:cs="宋体"/>
          <w:strike/>
          <w:color w:val="auto"/>
          <w:spacing w:val="-3"/>
          <w:sz w:val="24"/>
          <w:szCs w:val="24"/>
          <w:lang w:eastAsia="zh-CN"/>
        </w:rPr>
      </w:pPr>
      <w:r>
        <w:rPr>
          <w:rFonts w:hint="eastAsia" w:ascii="宋体" w:hAnsi="宋体" w:eastAsia="宋体" w:cs="宋体"/>
          <w:strike/>
          <w:color w:val="auto"/>
          <w:sz w:val="24"/>
          <w:szCs w:val="24"/>
          <w:lang w:eastAsia="zh-CN"/>
        </w:rPr>
        <w:t>2</w:t>
      </w:r>
      <w:r>
        <w:rPr>
          <w:rFonts w:ascii="宋体" w:hAnsi="宋体" w:eastAsia="宋体" w:cs="宋体"/>
          <w:strike/>
          <w:color w:val="auto"/>
          <w:sz w:val="24"/>
          <w:szCs w:val="24"/>
          <w:lang w:eastAsia="zh-CN"/>
        </w:rPr>
        <w:t>.若投标人为联合体，由牵头人出具即可。</w:t>
      </w:r>
    </w:p>
    <w:p w14:paraId="5241BDDE">
      <w:pPr>
        <w:spacing w:line="360" w:lineRule="auto"/>
        <w:ind w:firstLine="480" w:firstLineChars="200"/>
        <w:rPr>
          <w:rFonts w:hint="eastAsia" w:ascii="宋体" w:hAnsi="宋体" w:eastAsia="宋体" w:cs="宋体"/>
          <w:color w:val="auto"/>
          <w:sz w:val="24"/>
          <w:szCs w:val="24"/>
          <w:lang w:eastAsia="zh-CN"/>
        </w:rPr>
      </w:pPr>
    </w:p>
    <w:p w14:paraId="3F1DC28B">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73BD209D">
      <w:pPr>
        <w:spacing w:before="91" w:line="219" w:lineRule="auto"/>
        <w:ind w:left="3275"/>
        <w:outlineLvl w:val="2"/>
        <w:rPr>
          <w:rFonts w:hint="eastAsia" w:ascii="宋体" w:hAnsi="宋体" w:eastAsia="宋体" w:cs="宋体"/>
          <w:strike/>
          <w:color w:val="auto"/>
          <w:sz w:val="28"/>
          <w:szCs w:val="28"/>
          <w:lang w:eastAsia="zh-CN"/>
        </w:rPr>
      </w:pPr>
      <w:bookmarkStart w:id="1851" w:name="_Toc27539"/>
      <w:bookmarkStart w:id="1852" w:name="_Toc21545"/>
      <w:bookmarkStart w:id="1853" w:name="_Toc22501"/>
      <w:bookmarkStart w:id="1854" w:name="_Toc27996"/>
      <w:r>
        <w:rPr>
          <w:rFonts w:ascii="宋体" w:hAnsi="宋体" w:eastAsia="宋体" w:cs="宋体"/>
          <w:b/>
          <w:bCs/>
          <w:strike/>
          <w:color w:val="auto"/>
          <w:sz w:val="28"/>
          <w:szCs w:val="28"/>
          <w:lang w:eastAsia="zh-CN"/>
        </w:rPr>
        <w:t>二、联合体协议书</w:t>
      </w:r>
      <w:bookmarkEnd w:id="1851"/>
      <w:bookmarkEnd w:id="1852"/>
      <w:bookmarkEnd w:id="1853"/>
      <w:bookmarkEnd w:id="1854"/>
    </w:p>
    <w:p w14:paraId="39992A3C">
      <w:pPr>
        <w:pStyle w:val="8"/>
        <w:spacing w:line="326" w:lineRule="auto"/>
        <w:rPr>
          <w:strike/>
          <w:color w:val="auto"/>
          <w:lang w:eastAsia="zh-CN"/>
        </w:rPr>
      </w:pPr>
    </w:p>
    <w:p w14:paraId="43F61BBC">
      <w:pPr>
        <w:pStyle w:val="8"/>
        <w:spacing w:line="326" w:lineRule="auto"/>
        <w:rPr>
          <w:strike/>
          <w:color w:val="auto"/>
          <w:lang w:eastAsia="zh-CN"/>
        </w:rPr>
      </w:pPr>
    </w:p>
    <w:p w14:paraId="5392D044">
      <w:pPr>
        <w:tabs>
          <w:tab w:val="left" w:pos="2151"/>
        </w:tabs>
        <w:autoSpaceDE/>
        <w:autoSpaceDN/>
        <w:spacing w:line="440" w:lineRule="exact"/>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w:t>
      </w:r>
      <w:r>
        <w:rPr>
          <w:rFonts w:ascii="宋体" w:hAnsi="宋体" w:eastAsia="宋体" w:cs="宋体"/>
          <w:i/>
          <w:iCs/>
          <w:strike/>
          <w:color w:val="auto"/>
          <w:sz w:val="25"/>
          <w:szCs w:val="25"/>
          <w:lang w:eastAsia="zh-CN"/>
        </w:rPr>
        <w:t>所有成员单位名称</w:t>
      </w:r>
      <w:r>
        <w:rPr>
          <w:rFonts w:ascii="宋体" w:hAnsi="宋体" w:eastAsia="宋体" w:cs="宋体"/>
          <w:strike/>
          <w:color w:val="auto"/>
          <w:sz w:val="24"/>
          <w:szCs w:val="24"/>
          <w:lang w:eastAsia="zh-CN"/>
        </w:rPr>
        <w:t>）自愿组成</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w:t>
      </w:r>
      <w:r>
        <w:rPr>
          <w:rFonts w:ascii="宋体" w:hAnsi="宋体" w:eastAsia="宋体" w:cs="宋体"/>
          <w:i/>
          <w:iCs/>
          <w:strike/>
          <w:color w:val="auto"/>
          <w:sz w:val="25"/>
          <w:szCs w:val="25"/>
          <w:lang w:eastAsia="zh-CN"/>
        </w:rPr>
        <w:t>联合体名称</w:t>
      </w:r>
      <w:r>
        <w:rPr>
          <w:rFonts w:ascii="宋体" w:hAnsi="宋体" w:eastAsia="宋体" w:cs="宋体"/>
          <w:strike/>
          <w:color w:val="auto"/>
          <w:sz w:val="24"/>
          <w:szCs w:val="24"/>
          <w:lang w:eastAsia="zh-CN"/>
        </w:rPr>
        <w:t>），共同参加</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w:t>
      </w:r>
      <w:r>
        <w:rPr>
          <w:rFonts w:ascii="宋体" w:hAnsi="宋体" w:eastAsia="宋体" w:cs="宋体"/>
          <w:i/>
          <w:iCs/>
          <w:strike/>
          <w:color w:val="auto"/>
          <w:sz w:val="25"/>
          <w:szCs w:val="25"/>
          <w:lang w:eastAsia="zh-CN"/>
        </w:rPr>
        <w:t>项目名称</w:t>
      </w:r>
      <w:r>
        <w:rPr>
          <w:rFonts w:ascii="宋体" w:hAnsi="宋体" w:eastAsia="宋体" w:cs="宋体"/>
          <w:strike/>
          <w:color w:val="auto"/>
          <w:sz w:val="24"/>
          <w:szCs w:val="24"/>
          <w:lang w:eastAsia="zh-CN"/>
        </w:rPr>
        <w:t>）</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w:t>
      </w:r>
      <w:r>
        <w:rPr>
          <w:rFonts w:ascii="宋体" w:hAnsi="宋体" w:eastAsia="宋体" w:cs="宋体"/>
          <w:i/>
          <w:iCs/>
          <w:strike/>
          <w:color w:val="auto"/>
          <w:sz w:val="25"/>
          <w:szCs w:val="25"/>
          <w:lang w:eastAsia="zh-CN"/>
        </w:rPr>
        <w:t>标段名称</w:t>
      </w:r>
      <w:r>
        <w:rPr>
          <w:rFonts w:ascii="宋体" w:hAnsi="宋体" w:eastAsia="宋体" w:cs="宋体"/>
          <w:strike/>
          <w:color w:val="auto"/>
          <w:sz w:val="24"/>
          <w:szCs w:val="24"/>
          <w:lang w:eastAsia="zh-CN"/>
        </w:rPr>
        <w:t>）投标。现就联合体投标事宜订立如下协议。</w:t>
      </w:r>
    </w:p>
    <w:p w14:paraId="424C99CB">
      <w:pPr>
        <w:autoSpaceDE/>
        <w:autoSpaceDN/>
        <w:spacing w:line="440" w:lineRule="exact"/>
        <w:ind w:firstLine="480" w:firstLineChars="200"/>
        <w:jc w:val="both"/>
        <w:rPr>
          <w:rFonts w:hint="eastAsia" w:ascii="宋体" w:hAnsi="宋体" w:eastAsia="宋体" w:cs="宋体"/>
          <w:strike/>
          <w:color w:val="auto"/>
          <w:sz w:val="24"/>
          <w:szCs w:val="24"/>
          <w:lang w:eastAsia="zh-CN"/>
        </w:rPr>
      </w:pPr>
      <w:r>
        <w:rPr>
          <w:rFonts w:ascii="Times New Roman" w:hAnsi="Times New Roman" w:eastAsia="Times New Roman" w:cs="Times New Roman"/>
          <w:strike/>
          <w:color w:val="auto"/>
          <w:sz w:val="24"/>
          <w:szCs w:val="24"/>
        </w:rPr>
        <w:t>1.</w:t>
      </w:r>
      <w:r>
        <w:rPr>
          <w:rFonts w:hint="eastAsia" w:ascii="Times New Roman" w:hAnsi="Times New Roman" w:eastAsia="宋体" w:cs="Times New Roman"/>
          <w:strike/>
          <w:color w:val="auto"/>
          <w:sz w:val="24"/>
          <w:szCs w:val="24"/>
          <w:u w:val="single"/>
          <w:lang w:eastAsia="zh-CN"/>
        </w:rPr>
        <w:t>　　　　　　　　　　　　</w:t>
      </w:r>
      <w:r>
        <w:rPr>
          <w:rFonts w:ascii="宋体" w:hAnsi="宋体" w:eastAsia="宋体" w:cs="宋体"/>
          <w:strike/>
          <w:color w:val="auto"/>
          <w:sz w:val="24"/>
          <w:szCs w:val="24"/>
          <w:lang w:eastAsia="zh-CN"/>
        </w:rPr>
        <w:t>（</w:t>
      </w:r>
      <w:r>
        <w:rPr>
          <w:rFonts w:ascii="宋体" w:hAnsi="宋体" w:eastAsia="宋体" w:cs="宋体"/>
          <w:i/>
          <w:iCs/>
          <w:strike/>
          <w:color w:val="auto"/>
          <w:sz w:val="25"/>
          <w:szCs w:val="25"/>
          <w:lang w:eastAsia="zh-CN"/>
        </w:rPr>
        <w:t>某成员单位名称</w:t>
      </w:r>
      <w:r>
        <w:rPr>
          <w:rFonts w:ascii="宋体" w:hAnsi="宋体" w:eastAsia="宋体" w:cs="宋体"/>
          <w:strike/>
          <w:color w:val="auto"/>
          <w:sz w:val="24"/>
          <w:szCs w:val="24"/>
          <w:lang w:eastAsia="zh-CN"/>
        </w:rPr>
        <w:t>）为</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w:t>
      </w:r>
      <w:r>
        <w:rPr>
          <w:rFonts w:ascii="宋体" w:hAnsi="宋体" w:eastAsia="宋体" w:cs="宋体"/>
          <w:i/>
          <w:iCs/>
          <w:strike/>
          <w:color w:val="auto"/>
          <w:sz w:val="25"/>
          <w:szCs w:val="25"/>
          <w:lang w:eastAsia="zh-CN"/>
        </w:rPr>
        <w:t>联合体名称</w:t>
      </w:r>
      <w:r>
        <w:rPr>
          <w:rFonts w:ascii="宋体" w:hAnsi="宋体" w:eastAsia="宋体" w:cs="宋体"/>
          <w:strike/>
          <w:color w:val="auto"/>
          <w:sz w:val="24"/>
          <w:szCs w:val="24"/>
          <w:lang w:eastAsia="zh-CN"/>
        </w:rPr>
        <w:t>）牵头人。</w:t>
      </w:r>
    </w:p>
    <w:p w14:paraId="0FB4D977">
      <w:pPr>
        <w:autoSpaceDE/>
        <w:autoSpaceDN/>
        <w:spacing w:line="440" w:lineRule="exact"/>
        <w:ind w:firstLine="480" w:firstLineChars="200"/>
        <w:jc w:val="both"/>
        <w:rPr>
          <w:rFonts w:hint="eastAsia" w:ascii="宋体" w:hAnsi="宋体" w:eastAsia="宋体" w:cs="宋体"/>
          <w:strike/>
          <w:color w:val="auto"/>
          <w:sz w:val="24"/>
          <w:szCs w:val="24"/>
          <w:lang w:eastAsia="zh-CN"/>
        </w:rPr>
      </w:pPr>
      <w:r>
        <w:rPr>
          <w:rFonts w:ascii="Times New Roman" w:hAnsi="Times New Roman" w:eastAsia="Times New Roman" w:cs="Times New Roman"/>
          <w:strike/>
          <w:color w:val="auto"/>
          <w:sz w:val="24"/>
          <w:szCs w:val="24"/>
          <w:lang w:eastAsia="zh-CN"/>
        </w:rPr>
        <w:t>2</w:t>
      </w:r>
      <w:r>
        <w:rPr>
          <w:rFonts w:ascii="宋体" w:hAnsi="宋体" w:eastAsia="宋体" w:cs="宋体"/>
          <w:strike/>
          <w:color w:val="auto"/>
          <w:sz w:val="24"/>
          <w:szCs w:val="24"/>
          <w:lang w:eastAsia="zh-CN"/>
        </w:rPr>
        <w:t>．联合体牵头人合法代表联合体各成员负责本标段施工招标投标文件递交和合同谈判活动，并代表联合体提交和接受相关的资料、信息及指示，处理与之有关的一切事务，并负责合同实施阶段的主办、组织和协调工作。</w:t>
      </w:r>
    </w:p>
    <w:p w14:paraId="2807601B">
      <w:pPr>
        <w:autoSpaceDE/>
        <w:autoSpaceDN/>
        <w:spacing w:line="440" w:lineRule="exact"/>
        <w:ind w:firstLine="480" w:firstLineChars="200"/>
        <w:jc w:val="both"/>
        <w:rPr>
          <w:rFonts w:hint="eastAsia" w:ascii="宋体" w:hAnsi="宋体" w:eastAsia="宋体" w:cs="宋体"/>
          <w:strike/>
          <w:color w:val="auto"/>
          <w:sz w:val="24"/>
          <w:szCs w:val="24"/>
          <w:lang w:eastAsia="zh-CN"/>
        </w:rPr>
      </w:pPr>
      <w:r>
        <w:rPr>
          <w:rFonts w:ascii="Times New Roman" w:hAnsi="Times New Roman" w:eastAsia="Times New Roman" w:cs="Times New Roman"/>
          <w:strike/>
          <w:color w:val="auto"/>
          <w:sz w:val="24"/>
          <w:szCs w:val="24"/>
          <w:lang w:eastAsia="zh-CN"/>
        </w:rPr>
        <w:t>3</w:t>
      </w:r>
      <w:r>
        <w:rPr>
          <w:rFonts w:ascii="宋体" w:hAnsi="宋体" w:eastAsia="宋体" w:cs="宋体"/>
          <w:strike/>
          <w:color w:val="auto"/>
          <w:sz w:val="24"/>
          <w:szCs w:val="24"/>
          <w:lang w:eastAsia="zh-CN"/>
        </w:rPr>
        <w:t>．联合体将严格按照招标文件的各项要求，编制投标文件，履行合同，并向招标人承担连带责任。</w:t>
      </w:r>
    </w:p>
    <w:p w14:paraId="3DFEB64A">
      <w:pPr>
        <w:autoSpaceDE/>
        <w:autoSpaceDN/>
        <w:spacing w:line="440" w:lineRule="exact"/>
        <w:ind w:firstLine="480" w:firstLineChars="200"/>
        <w:jc w:val="both"/>
        <w:rPr>
          <w:rFonts w:hint="eastAsia" w:ascii="宋体" w:hAnsi="宋体" w:eastAsia="宋体" w:cs="宋体"/>
          <w:strike/>
          <w:color w:val="auto"/>
          <w:sz w:val="24"/>
          <w:szCs w:val="24"/>
          <w:lang w:eastAsia="zh-CN"/>
        </w:rPr>
      </w:pPr>
      <w:r>
        <w:rPr>
          <w:rFonts w:ascii="Times New Roman" w:hAnsi="Times New Roman" w:eastAsia="Times New Roman" w:cs="Times New Roman"/>
          <w:strike/>
          <w:color w:val="auto"/>
          <w:sz w:val="24"/>
          <w:szCs w:val="24"/>
          <w:lang w:eastAsia="zh-CN"/>
        </w:rPr>
        <w:t>4</w:t>
      </w:r>
      <w:r>
        <w:rPr>
          <w:rFonts w:ascii="宋体" w:hAnsi="宋体" w:eastAsia="宋体" w:cs="宋体"/>
          <w:strike/>
          <w:color w:val="auto"/>
          <w:sz w:val="24"/>
          <w:szCs w:val="24"/>
          <w:lang w:eastAsia="zh-CN"/>
        </w:rPr>
        <w:t>．联合体内部各成员单位的职责分工如下：</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w:t>
      </w:r>
    </w:p>
    <w:p w14:paraId="6FA3FD7C">
      <w:pPr>
        <w:autoSpaceDE/>
        <w:autoSpaceDN/>
        <w:spacing w:line="440" w:lineRule="exact"/>
        <w:ind w:firstLine="480" w:firstLineChars="200"/>
        <w:jc w:val="both"/>
        <w:rPr>
          <w:rFonts w:hint="eastAsia" w:ascii="宋体" w:hAnsi="宋体" w:eastAsia="宋体" w:cs="宋体"/>
          <w:strike/>
          <w:color w:val="auto"/>
          <w:sz w:val="24"/>
          <w:szCs w:val="24"/>
          <w:lang w:eastAsia="zh-CN"/>
        </w:rPr>
      </w:pPr>
      <w:r>
        <w:rPr>
          <w:rFonts w:ascii="Times New Roman" w:hAnsi="Times New Roman" w:eastAsia="Times New Roman" w:cs="Times New Roman"/>
          <w:strike/>
          <w:color w:val="auto"/>
          <w:sz w:val="24"/>
          <w:szCs w:val="24"/>
          <w:lang w:eastAsia="zh-CN"/>
        </w:rPr>
        <w:t>5</w:t>
      </w:r>
      <w:r>
        <w:rPr>
          <w:rFonts w:ascii="宋体" w:hAnsi="宋体" w:eastAsia="宋体" w:cs="宋体"/>
          <w:strike/>
          <w:color w:val="auto"/>
          <w:sz w:val="24"/>
          <w:szCs w:val="24"/>
          <w:lang w:eastAsia="zh-CN"/>
        </w:rPr>
        <w:t>．牵头人承担综合协调管理工作，联合体内部各成员单位根据职责分工，按照相关法律法规分别承担相应工作内容的质量与安全主体责任。</w:t>
      </w:r>
    </w:p>
    <w:p w14:paraId="01407EA1">
      <w:pPr>
        <w:autoSpaceDE/>
        <w:autoSpaceDN/>
        <w:spacing w:line="440" w:lineRule="exact"/>
        <w:ind w:firstLine="480" w:firstLineChars="200"/>
        <w:jc w:val="both"/>
        <w:rPr>
          <w:rFonts w:hint="eastAsia" w:ascii="宋体" w:hAnsi="宋体" w:eastAsia="宋体" w:cs="宋体"/>
          <w:strike/>
          <w:color w:val="auto"/>
          <w:sz w:val="24"/>
          <w:szCs w:val="24"/>
          <w:lang w:eastAsia="zh-CN"/>
        </w:rPr>
      </w:pPr>
      <w:r>
        <w:rPr>
          <w:rFonts w:ascii="Times New Roman" w:hAnsi="Times New Roman" w:eastAsia="Times New Roman" w:cs="Times New Roman"/>
          <w:strike/>
          <w:color w:val="auto"/>
          <w:sz w:val="24"/>
          <w:szCs w:val="24"/>
          <w:lang w:eastAsia="zh-CN"/>
        </w:rPr>
        <w:t>6</w:t>
      </w:r>
      <w:r>
        <w:rPr>
          <w:rFonts w:ascii="宋体" w:hAnsi="宋体" w:eastAsia="宋体" w:cs="宋体"/>
          <w:strike/>
          <w:color w:val="auto"/>
          <w:sz w:val="24"/>
          <w:szCs w:val="24"/>
          <w:lang w:eastAsia="zh-CN"/>
        </w:rPr>
        <w:t>．本协议书自签署之日起生效，合同履行完毕后自动失效。</w:t>
      </w:r>
    </w:p>
    <w:p w14:paraId="22468E47">
      <w:pPr>
        <w:autoSpaceDE/>
        <w:autoSpaceDN/>
        <w:spacing w:line="440" w:lineRule="exact"/>
        <w:ind w:firstLine="480" w:firstLineChars="200"/>
        <w:jc w:val="both"/>
        <w:rPr>
          <w:rFonts w:hint="eastAsia" w:ascii="宋体" w:hAnsi="宋体" w:eastAsia="宋体" w:cs="宋体"/>
          <w:strike/>
          <w:color w:val="auto"/>
          <w:sz w:val="24"/>
          <w:szCs w:val="24"/>
          <w:lang w:eastAsia="zh-CN"/>
        </w:rPr>
      </w:pPr>
      <w:r>
        <w:rPr>
          <w:rFonts w:ascii="Times New Roman" w:hAnsi="Times New Roman" w:eastAsia="Times New Roman" w:cs="Times New Roman"/>
          <w:strike/>
          <w:color w:val="auto"/>
          <w:sz w:val="24"/>
          <w:szCs w:val="24"/>
          <w:lang w:eastAsia="zh-CN"/>
        </w:rPr>
        <w:t>7</w:t>
      </w:r>
      <w:r>
        <w:rPr>
          <w:rFonts w:ascii="宋体" w:hAnsi="宋体" w:eastAsia="宋体" w:cs="宋体"/>
          <w:strike/>
          <w:color w:val="auto"/>
          <w:sz w:val="24"/>
          <w:szCs w:val="24"/>
          <w:lang w:eastAsia="zh-CN"/>
        </w:rPr>
        <w:t>．本协议书一式</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份，联合体成员和招标人各执一份。</w:t>
      </w:r>
    </w:p>
    <w:p w14:paraId="07CCFE95">
      <w:pPr>
        <w:pStyle w:val="8"/>
        <w:spacing w:line="257" w:lineRule="auto"/>
        <w:rPr>
          <w:strike/>
          <w:color w:val="auto"/>
          <w:lang w:eastAsia="zh-CN"/>
        </w:rPr>
      </w:pPr>
    </w:p>
    <w:p w14:paraId="5E4F4F5D">
      <w:pPr>
        <w:pStyle w:val="8"/>
        <w:spacing w:line="257" w:lineRule="auto"/>
        <w:rPr>
          <w:strike/>
          <w:color w:val="auto"/>
          <w:lang w:eastAsia="zh-CN"/>
        </w:rPr>
      </w:pPr>
    </w:p>
    <w:p w14:paraId="23A491F1">
      <w:pPr>
        <w:spacing w:before="79" w:line="219" w:lineRule="auto"/>
        <w:ind w:left="2"/>
        <w:rPr>
          <w:rFonts w:hint="eastAsia" w:ascii="宋体" w:hAnsi="宋体" w:eastAsia="宋体" w:cs="宋体"/>
          <w:strike/>
          <w:color w:val="auto"/>
          <w:sz w:val="24"/>
          <w:szCs w:val="24"/>
          <w:lang w:eastAsia="zh-CN"/>
        </w:rPr>
      </w:pPr>
      <w:r>
        <w:rPr>
          <w:rFonts w:ascii="宋体" w:hAnsi="宋体" w:eastAsia="宋体" w:cs="宋体"/>
          <w:strike/>
          <w:color w:val="auto"/>
          <w:sz w:val="24"/>
          <w:szCs w:val="24"/>
          <w:lang w:eastAsia="zh-CN"/>
        </w:rPr>
        <w:t>牵头人名称：</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（盖单位公章）</w:t>
      </w:r>
    </w:p>
    <w:p w14:paraId="7B7FA2F6">
      <w:pPr>
        <w:spacing w:before="183" w:line="219" w:lineRule="auto"/>
        <w:ind w:left="1"/>
        <w:rPr>
          <w:rFonts w:hint="eastAsia" w:ascii="宋体" w:hAnsi="宋体" w:eastAsia="宋体" w:cs="宋体"/>
          <w:strike/>
          <w:color w:val="auto"/>
          <w:sz w:val="24"/>
          <w:szCs w:val="24"/>
          <w:lang w:eastAsia="zh-CN"/>
        </w:rPr>
      </w:pPr>
      <w:r>
        <w:rPr>
          <w:rFonts w:ascii="宋体" w:hAnsi="宋体" w:eastAsia="宋体" w:cs="宋体"/>
          <w:strike/>
          <w:color w:val="auto"/>
          <w:sz w:val="24"/>
          <w:szCs w:val="24"/>
          <w:lang w:eastAsia="zh-CN"/>
        </w:rPr>
        <w:t>法定代表人或其委托代理人：</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（签字或盖章）</w:t>
      </w:r>
    </w:p>
    <w:p w14:paraId="6A9BC474">
      <w:pPr>
        <w:pStyle w:val="8"/>
        <w:spacing w:line="257" w:lineRule="auto"/>
        <w:rPr>
          <w:strike/>
          <w:color w:val="auto"/>
          <w:lang w:eastAsia="zh-CN"/>
        </w:rPr>
      </w:pPr>
    </w:p>
    <w:p w14:paraId="74CC978A">
      <w:pPr>
        <w:pStyle w:val="8"/>
        <w:spacing w:line="257" w:lineRule="auto"/>
        <w:rPr>
          <w:strike/>
          <w:color w:val="auto"/>
          <w:lang w:eastAsia="zh-CN"/>
        </w:rPr>
      </w:pPr>
    </w:p>
    <w:p w14:paraId="67DE7D92">
      <w:pPr>
        <w:spacing w:before="79" w:line="219" w:lineRule="auto"/>
        <w:ind w:left="2"/>
        <w:rPr>
          <w:rFonts w:hint="eastAsia" w:ascii="宋体" w:hAnsi="宋体" w:eastAsia="宋体" w:cs="宋体"/>
          <w:strike/>
          <w:color w:val="auto"/>
          <w:sz w:val="24"/>
          <w:szCs w:val="24"/>
          <w:lang w:eastAsia="zh-CN"/>
        </w:rPr>
      </w:pPr>
      <w:r>
        <w:rPr>
          <w:rFonts w:ascii="宋体" w:hAnsi="宋体" w:eastAsia="宋体" w:cs="宋体"/>
          <w:strike/>
          <w:color w:val="auto"/>
          <w:sz w:val="24"/>
          <w:szCs w:val="24"/>
          <w:lang w:eastAsia="zh-CN"/>
        </w:rPr>
        <w:t>成员一名称：</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（盖单位公章）</w:t>
      </w:r>
    </w:p>
    <w:p w14:paraId="5D842E5E">
      <w:pPr>
        <w:spacing w:before="181" w:line="219" w:lineRule="auto"/>
        <w:ind w:left="1"/>
        <w:rPr>
          <w:rFonts w:hint="eastAsia" w:ascii="宋体" w:hAnsi="宋体" w:eastAsia="宋体" w:cs="宋体"/>
          <w:strike/>
          <w:color w:val="auto"/>
          <w:sz w:val="24"/>
          <w:szCs w:val="24"/>
          <w:lang w:eastAsia="zh-CN"/>
        </w:rPr>
      </w:pPr>
      <w:r>
        <w:rPr>
          <w:rFonts w:ascii="宋体" w:hAnsi="宋体" w:eastAsia="宋体" w:cs="宋体"/>
          <w:strike/>
          <w:color w:val="auto"/>
          <w:sz w:val="24"/>
          <w:szCs w:val="24"/>
          <w:lang w:eastAsia="zh-CN"/>
        </w:rPr>
        <w:t>法定代表人或其委托代理人：</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（签字或盖章）</w:t>
      </w:r>
    </w:p>
    <w:p w14:paraId="32F3AE4E">
      <w:pPr>
        <w:pStyle w:val="8"/>
        <w:spacing w:line="257" w:lineRule="auto"/>
        <w:rPr>
          <w:strike/>
          <w:color w:val="auto"/>
          <w:lang w:eastAsia="zh-CN"/>
        </w:rPr>
      </w:pPr>
    </w:p>
    <w:p w14:paraId="4972BE3A">
      <w:pPr>
        <w:pStyle w:val="8"/>
        <w:spacing w:line="257" w:lineRule="auto"/>
        <w:rPr>
          <w:strike/>
          <w:color w:val="auto"/>
          <w:lang w:eastAsia="zh-CN"/>
        </w:rPr>
      </w:pPr>
    </w:p>
    <w:p w14:paraId="51F89362">
      <w:pPr>
        <w:spacing w:before="79" w:line="219" w:lineRule="auto"/>
        <w:ind w:left="2"/>
        <w:rPr>
          <w:rFonts w:hint="eastAsia" w:ascii="宋体" w:hAnsi="宋体" w:eastAsia="宋体" w:cs="宋体"/>
          <w:strike/>
          <w:color w:val="auto"/>
          <w:sz w:val="24"/>
          <w:szCs w:val="24"/>
          <w:lang w:eastAsia="zh-CN"/>
        </w:rPr>
      </w:pPr>
      <w:r>
        <w:rPr>
          <w:rFonts w:ascii="宋体" w:hAnsi="宋体" w:eastAsia="宋体" w:cs="宋体"/>
          <w:strike/>
          <w:color w:val="auto"/>
          <w:sz w:val="24"/>
          <w:szCs w:val="24"/>
          <w:lang w:eastAsia="zh-CN"/>
        </w:rPr>
        <w:t>成员二名称：</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（盖单位公章）</w:t>
      </w:r>
    </w:p>
    <w:p w14:paraId="483AE80C">
      <w:pPr>
        <w:spacing w:before="183" w:line="219" w:lineRule="auto"/>
        <w:ind w:left="1"/>
        <w:rPr>
          <w:rFonts w:hint="eastAsia" w:ascii="宋体" w:hAnsi="宋体" w:eastAsia="宋体" w:cs="宋体"/>
          <w:strike/>
          <w:color w:val="auto"/>
          <w:sz w:val="24"/>
          <w:szCs w:val="24"/>
          <w:lang w:eastAsia="zh-CN"/>
        </w:rPr>
      </w:pPr>
      <w:r>
        <w:rPr>
          <w:rFonts w:ascii="宋体" w:hAnsi="宋体" w:eastAsia="宋体" w:cs="宋体"/>
          <w:strike/>
          <w:color w:val="auto"/>
          <w:sz w:val="24"/>
          <w:szCs w:val="24"/>
          <w:lang w:eastAsia="zh-CN"/>
        </w:rPr>
        <w:t>法定代表人或其委托代理人：</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lang w:eastAsia="zh-CN"/>
        </w:rPr>
        <w:t>（签字或盖章）</w:t>
      </w:r>
    </w:p>
    <w:p w14:paraId="16E4FF36">
      <w:pPr>
        <w:pStyle w:val="8"/>
        <w:spacing w:line="277" w:lineRule="auto"/>
        <w:rPr>
          <w:strike/>
          <w:color w:val="auto"/>
          <w:lang w:eastAsia="zh-CN"/>
        </w:rPr>
      </w:pPr>
    </w:p>
    <w:p w14:paraId="6A1F6ED7">
      <w:pPr>
        <w:spacing w:before="69" w:line="75" w:lineRule="exact"/>
        <w:ind w:left="18"/>
        <w:rPr>
          <w:rFonts w:ascii="Times New Roman" w:hAnsi="Times New Roman" w:eastAsia="宋体" w:cs="Times New Roman"/>
          <w:strike/>
          <w:color w:val="auto"/>
          <w:sz w:val="24"/>
          <w:szCs w:val="24"/>
          <w:lang w:eastAsia="zh-CN"/>
        </w:rPr>
      </w:pPr>
      <w:r>
        <w:rPr>
          <w:rFonts w:hint="eastAsia" w:ascii="Times New Roman" w:hAnsi="Times New Roman" w:eastAsia="宋体" w:cs="Times New Roman"/>
          <w:strike/>
          <w:color w:val="auto"/>
          <w:sz w:val="24"/>
          <w:szCs w:val="24"/>
          <w:lang w:eastAsia="zh-CN"/>
        </w:rPr>
        <w:t>……</w:t>
      </w:r>
    </w:p>
    <w:p w14:paraId="52EC1F19">
      <w:pPr>
        <w:pStyle w:val="8"/>
        <w:spacing w:line="252" w:lineRule="auto"/>
        <w:rPr>
          <w:strike/>
          <w:color w:val="auto"/>
        </w:rPr>
      </w:pPr>
    </w:p>
    <w:p w14:paraId="4771D8A0">
      <w:pPr>
        <w:tabs>
          <w:tab w:val="left" w:pos="7100"/>
        </w:tabs>
        <w:spacing w:before="78" w:line="221" w:lineRule="auto"/>
        <w:ind w:left="5102"/>
        <w:rPr>
          <w:rFonts w:hint="eastAsia" w:ascii="宋体" w:hAnsi="宋体" w:eastAsia="宋体" w:cs="宋体"/>
          <w:strike/>
          <w:color w:val="auto"/>
          <w:sz w:val="24"/>
          <w:szCs w:val="24"/>
        </w:rPr>
      </w:pP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rPr>
        <w:t>年</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rPr>
        <w:t>月</w:t>
      </w:r>
      <w:r>
        <w:rPr>
          <w:rFonts w:hint="eastAsia" w:ascii="宋体" w:hAnsi="宋体" w:eastAsia="宋体" w:cs="宋体"/>
          <w:strike/>
          <w:color w:val="auto"/>
          <w:sz w:val="24"/>
          <w:szCs w:val="24"/>
          <w:u w:val="single"/>
          <w:lang w:eastAsia="zh-CN"/>
        </w:rPr>
        <w:t>　　</w:t>
      </w:r>
      <w:r>
        <w:rPr>
          <w:rFonts w:ascii="宋体" w:hAnsi="宋体" w:eastAsia="宋体" w:cs="宋体"/>
          <w:strike/>
          <w:color w:val="auto"/>
          <w:sz w:val="24"/>
          <w:szCs w:val="24"/>
        </w:rPr>
        <w:t>日</w:t>
      </w:r>
    </w:p>
    <w:p w14:paraId="75904418">
      <w:pPr>
        <w:pStyle w:val="8"/>
        <w:spacing w:line="258" w:lineRule="auto"/>
        <w:rPr>
          <w:strike/>
          <w:color w:val="auto"/>
        </w:rPr>
      </w:pPr>
    </w:p>
    <w:p w14:paraId="3A9141FB">
      <w:pPr>
        <w:pStyle w:val="8"/>
        <w:spacing w:line="258" w:lineRule="auto"/>
        <w:rPr>
          <w:strike/>
          <w:color w:val="auto"/>
        </w:rPr>
      </w:pPr>
    </w:p>
    <w:p w14:paraId="719D1E5C">
      <w:pPr>
        <w:spacing w:before="78" w:line="219" w:lineRule="auto"/>
        <w:jc w:val="right"/>
        <w:rPr>
          <w:rFonts w:hint="eastAsia" w:ascii="宋体" w:hAnsi="宋体" w:eastAsia="宋体" w:cs="宋体"/>
          <w:strike/>
          <w:color w:val="auto"/>
          <w:sz w:val="24"/>
          <w:szCs w:val="24"/>
          <w:lang w:eastAsia="zh-CN"/>
        </w:rPr>
      </w:pPr>
      <w:r>
        <w:rPr>
          <w:rFonts w:ascii="宋体" w:hAnsi="宋体" w:eastAsia="宋体" w:cs="宋体"/>
          <w:strike/>
          <w:color w:val="auto"/>
          <w:sz w:val="24"/>
          <w:szCs w:val="24"/>
          <w:lang w:eastAsia="zh-CN"/>
        </w:rPr>
        <w:t>注：本协议书由委托代理人签字或盖章时，应附法定代表人签字的授权委托书。</w:t>
      </w:r>
    </w:p>
    <w:p w14:paraId="33A2AA01">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0260C880">
      <w:pPr>
        <w:spacing w:before="91" w:line="221" w:lineRule="auto"/>
        <w:ind w:left="3421"/>
        <w:outlineLvl w:val="2"/>
        <w:rPr>
          <w:rFonts w:hint="eastAsia" w:ascii="宋体" w:hAnsi="宋体" w:eastAsia="宋体" w:cs="宋体"/>
          <w:color w:val="auto"/>
          <w:sz w:val="28"/>
          <w:szCs w:val="28"/>
          <w:lang w:eastAsia="zh-CN"/>
        </w:rPr>
      </w:pPr>
      <w:bookmarkStart w:id="1855" w:name="_Toc27112"/>
      <w:bookmarkStart w:id="1856" w:name="_Toc18408"/>
      <w:bookmarkStart w:id="1857" w:name="_Toc2825"/>
      <w:bookmarkStart w:id="1858" w:name="_Toc31663"/>
      <w:r>
        <w:rPr>
          <w:rFonts w:ascii="宋体" w:hAnsi="宋体" w:eastAsia="宋体" w:cs="宋体"/>
          <w:b/>
          <w:bCs/>
          <w:color w:val="auto"/>
          <w:sz w:val="28"/>
          <w:szCs w:val="28"/>
          <w:lang w:eastAsia="zh-CN"/>
        </w:rPr>
        <w:t>三、投标保证金</w:t>
      </w:r>
      <w:bookmarkEnd w:id="1855"/>
      <w:bookmarkEnd w:id="1856"/>
      <w:bookmarkEnd w:id="1857"/>
      <w:bookmarkEnd w:id="1858"/>
    </w:p>
    <w:p w14:paraId="55F88BB3">
      <w:pPr>
        <w:pStyle w:val="8"/>
        <w:spacing w:line="241" w:lineRule="auto"/>
        <w:rPr>
          <w:color w:val="auto"/>
          <w:lang w:eastAsia="zh-CN"/>
        </w:rPr>
      </w:pPr>
    </w:p>
    <w:p w14:paraId="3B142A85">
      <w:pPr>
        <w:tabs>
          <w:tab w:val="left" w:pos="2160"/>
        </w:tabs>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w:t>
      </w:r>
      <w:r>
        <w:rPr>
          <w:rFonts w:ascii="宋体" w:hAnsi="宋体" w:eastAsia="宋体" w:cs="宋体"/>
          <w:i/>
          <w:iCs/>
          <w:color w:val="auto"/>
          <w:sz w:val="25"/>
          <w:szCs w:val="25"/>
          <w:lang w:eastAsia="zh-CN"/>
        </w:rPr>
        <w:t>招标人名称</w:t>
      </w:r>
      <w:r>
        <w:rPr>
          <w:rFonts w:ascii="宋体" w:hAnsi="宋体" w:eastAsia="宋体" w:cs="宋体"/>
          <w:color w:val="auto"/>
          <w:sz w:val="24"/>
          <w:szCs w:val="24"/>
          <w:lang w:eastAsia="zh-CN"/>
        </w:rPr>
        <w:t>）：</w:t>
      </w:r>
    </w:p>
    <w:p w14:paraId="0FB00EA8">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鉴于</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lang w:eastAsia="zh-CN"/>
        </w:rPr>
        <w:t>投标人名称，以下称“投标人”</w:t>
      </w:r>
      <w:r>
        <w:rPr>
          <w:rFonts w:hint="eastAsia" w:ascii="宋体" w:hAnsi="宋体" w:eastAsia="宋体" w:cs="宋体"/>
          <w:color w:val="auto"/>
          <w:sz w:val="24"/>
          <w:szCs w:val="24"/>
          <w:lang w:eastAsia="zh-CN"/>
        </w:rPr>
        <w:t>）已于</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月　</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日参加</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lang w:eastAsia="zh-CN"/>
        </w:rPr>
        <w:t>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lang w:eastAsia="zh-CN"/>
        </w:rPr>
        <w:t>标段名称</w:t>
      </w:r>
      <w:r>
        <w:rPr>
          <w:rFonts w:hint="eastAsia" w:ascii="宋体" w:hAnsi="宋体" w:eastAsia="宋体" w:cs="宋体"/>
          <w:color w:val="auto"/>
          <w:sz w:val="24"/>
          <w:szCs w:val="24"/>
          <w:lang w:eastAsia="zh-CN"/>
        </w:rPr>
        <w:t>）的投标，</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担保人名称，以下简称“我方”）无条件地、不可撤销地保证：投标人在规定的投标有效期内补充、修改、替代或撤回其投标文件的，或者投标人在收到中标通知书后无正当理由拒签合同或拒交规定履约担保的，我方承担保证责任。收到你方书面通知后，在7日内无条件向你方支付人民币（大写）</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元(￥</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14:paraId="702EEA71">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本担保在投标有效期内保持有效。要求我方承担保证责任的书面通知应在投标有效期内送达我方。</w:t>
      </w:r>
    </w:p>
    <w:p w14:paraId="52E4DFB8">
      <w:pPr>
        <w:pStyle w:val="8"/>
        <w:widowControl w:val="0"/>
        <w:kinsoku/>
        <w:topLinePunct/>
        <w:autoSpaceDE/>
        <w:autoSpaceDN/>
        <w:spacing w:line="287" w:lineRule="auto"/>
        <w:rPr>
          <w:color w:val="auto"/>
          <w:lang w:eastAsia="zh-CN"/>
        </w:rPr>
      </w:pPr>
    </w:p>
    <w:p w14:paraId="31677AA0">
      <w:pPr>
        <w:pStyle w:val="8"/>
        <w:spacing w:line="287" w:lineRule="auto"/>
        <w:rPr>
          <w:color w:val="auto"/>
          <w:lang w:eastAsia="zh-CN"/>
        </w:rPr>
      </w:pPr>
    </w:p>
    <w:p w14:paraId="69D80B5D">
      <w:pPr>
        <w:pStyle w:val="8"/>
        <w:spacing w:line="288" w:lineRule="auto"/>
        <w:rPr>
          <w:color w:val="auto"/>
          <w:lang w:eastAsia="zh-CN"/>
        </w:rPr>
      </w:pPr>
    </w:p>
    <w:p w14:paraId="2038D451">
      <w:pPr>
        <w:pStyle w:val="8"/>
        <w:spacing w:line="288" w:lineRule="auto"/>
        <w:rPr>
          <w:color w:val="auto"/>
          <w:lang w:eastAsia="zh-CN"/>
        </w:rPr>
      </w:pPr>
    </w:p>
    <w:p w14:paraId="3F35DF9F">
      <w:pPr>
        <w:spacing w:before="78" w:line="219" w:lineRule="auto"/>
        <w:ind w:left="253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担保人：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（盖单位公章）</w:t>
      </w:r>
    </w:p>
    <w:p w14:paraId="10D0B972">
      <w:pPr>
        <w:spacing w:before="180" w:line="220" w:lineRule="auto"/>
        <w:ind w:left="2484"/>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法定代表人或其委托代理人：</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（签字）</w:t>
      </w:r>
    </w:p>
    <w:p w14:paraId="3267065C">
      <w:pPr>
        <w:spacing w:before="183" w:line="229" w:lineRule="auto"/>
        <w:ind w:left="2529"/>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地</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址：</w:t>
      </w:r>
      <w:r>
        <w:rPr>
          <w:rFonts w:hint="eastAsia" w:ascii="宋体" w:hAnsi="宋体" w:eastAsia="宋体" w:cs="宋体"/>
          <w:color w:val="auto"/>
          <w:sz w:val="24"/>
          <w:szCs w:val="24"/>
          <w:u w:val="single"/>
          <w:lang w:eastAsia="zh-CN"/>
        </w:rPr>
        <w:t>　　　　　　　　　　　　　　　　</w:t>
      </w:r>
    </w:p>
    <w:p w14:paraId="356BB6E3">
      <w:pPr>
        <w:spacing w:before="167" w:line="220" w:lineRule="auto"/>
        <w:ind w:left="2547"/>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邮政编码：</w:t>
      </w:r>
      <w:r>
        <w:rPr>
          <w:rFonts w:hint="eastAsia" w:ascii="宋体" w:hAnsi="宋体" w:eastAsia="宋体" w:cs="宋体"/>
          <w:color w:val="auto"/>
          <w:sz w:val="24"/>
          <w:szCs w:val="24"/>
          <w:u w:val="single"/>
          <w:lang w:eastAsia="zh-CN"/>
        </w:rPr>
        <w:t>　　　　　　              　　　</w:t>
      </w:r>
    </w:p>
    <w:p w14:paraId="0053F68A">
      <w:pPr>
        <w:spacing w:before="182" w:line="222" w:lineRule="auto"/>
        <w:ind w:left="2557"/>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电</w:t>
      </w:r>
      <w:r>
        <w:rPr>
          <w:rFonts w:hint="eastAsia" w:ascii="宋体" w:hAnsi="宋体" w:eastAsia="宋体" w:cs="宋体"/>
          <w:color w:val="auto"/>
          <w:sz w:val="24"/>
          <w:szCs w:val="24"/>
          <w:lang w:eastAsia="zh-CN"/>
        </w:rPr>
        <w:t>　　</w:t>
      </w:r>
      <w:r>
        <w:rPr>
          <w:rFonts w:ascii="宋体" w:hAnsi="宋体" w:eastAsia="宋体" w:cs="宋体"/>
          <w:color w:val="auto"/>
          <w:sz w:val="24"/>
          <w:szCs w:val="24"/>
          <w:lang w:eastAsia="zh-CN"/>
        </w:rPr>
        <w:t>话：</w:t>
      </w:r>
      <w:r>
        <w:rPr>
          <w:rFonts w:hint="eastAsia" w:ascii="宋体" w:hAnsi="宋体" w:eastAsia="宋体" w:cs="宋体"/>
          <w:color w:val="auto"/>
          <w:sz w:val="24"/>
          <w:szCs w:val="24"/>
          <w:u w:val="single"/>
          <w:lang w:eastAsia="zh-CN"/>
        </w:rPr>
        <w:t>　　　　                　　　　</w:t>
      </w:r>
    </w:p>
    <w:p w14:paraId="3025B7F8">
      <w:pPr>
        <w:pStyle w:val="8"/>
        <w:spacing w:line="255" w:lineRule="auto"/>
        <w:rPr>
          <w:rFonts w:eastAsia="宋体"/>
          <w:color w:val="auto"/>
          <w:lang w:eastAsia="zh-CN"/>
        </w:rPr>
      </w:pPr>
      <w:r>
        <w:rPr>
          <w:rFonts w:hint="eastAsia" w:eastAsia="宋体"/>
          <w:color w:val="auto"/>
          <w:lang w:eastAsia="zh-CN"/>
        </w:rPr>
        <w:t xml:space="preserve">      </w:t>
      </w:r>
    </w:p>
    <w:p w14:paraId="320F628A">
      <w:pPr>
        <w:pStyle w:val="8"/>
        <w:spacing w:line="255" w:lineRule="auto"/>
        <w:rPr>
          <w:color w:val="auto"/>
          <w:lang w:eastAsia="zh-CN"/>
        </w:rPr>
      </w:pPr>
    </w:p>
    <w:p w14:paraId="134407E6">
      <w:pPr>
        <w:tabs>
          <w:tab w:val="left" w:pos="7107"/>
        </w:tabs>
        <w:spacing w:line="360" w:lineRule="auto"/>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w:t>
      </w:r>
    </w:p>
    <w:p w14:paraId="33EFCC23">
      <w:pPr>
        <w:pStyle w:val="8"/>
        <w:spacing w:line="308" w:lineRule="auto"/>
        <w:rPr>
          <w:color w:val="auto"/>
          <w:lang w:eastAsia="zh-CN"/>
        </w:rPr>
      </w:pPr>
    </w:p>
    <w:p w14:paraId="11771C6E">
      <w:pPr>
        <w:widowControl w:val="0"/>
        <w:kinsoku/>
        <w:wordWrap w:val="0"/>
        <w:topLinePunct/>
        <w:autoSpaceDE/>
        <w:autoSpaceDN/>
        <w:spacing w:before="182" w:line="219" w:lineRule="auto"/>
        <w:ind w:firstLine="232" w:firstLineChars="100"/>
        <w:jc w:val="both"/>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注：</w:t>
      </w:r>
    </w:p>
    <w:p w14:paraId="218A66E7">
      <w:pPr>
        <w:widowControl w:val="0"/>
        <w:kinsoku/>
        <w:wordWrap w:val="0"/>
        <w:topLinePunct/>
        <w:autoSpaceDE/>
        <w:autoSpaceDN/>
        <w:spacing w:before="78" w:line="360" w:lineRule="auto"/>
        <w:ind w:right="34" w:firstLine="22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1.采用转账形式缴纳的，提供银行转账凭证（记录）及基本账户开户证明。</w:t>
      </w:r>
    </w:p>
    <w:p w14:paraId="559A7592">
      <w:pPr>
        <w:widowControl w:val="0"/>
        <w:kinsoku/>
        <w:wordWrap w:val="0"/>
        <w:topLinePunct/>
        <w:autoSpaceDE/>
        <w:autoSpaceDN/>
        <w:spacing w:before="78" w:line="360" w:lineRule="auto"/>
        <w:ind w:right="34" w:firstLine="22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2.采用银行保函或投标保险保单或担保保函的，提供保函、购买保险或办理保函、担保等保证金相关费用从投标人基本账户转出的凭证、基本账户开户证明。</w:t>
      </w:r>
    </w:p>
    <w:p w14:paraId="219D5116">
      <w:pPr>
        <w:widowControl w:val="0"/>
        <w:kinsoku/>
        <w:wordWrap w:val="0"/>
        <w:topLinePunct/>
        <w:autoSpaceDE/>
        <w:autoSpaceDN/>
        <w:spacing w:before="78" w:line="360" w:lineRule="auto"/>
        <w:ind w:right="34" w:firstLine="22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ascii="宋体" w:hAnsi="宋体" w:eastAsia="宋体" w:cs="宋体"/>
          <w:color w:val="auto"/>
          <w:sz w:val="24"/>
          <w:szCs w:val="24"/>
          <w:lang w:eastAsia="zh-CN"/>
        </w:rPr>
        <w:t>.委托代理人签字的</w:t>
      </w:r>
      <w:r>
        <w:rPr>
          <w:rFonts w:hint="eastAsia" w:ascii="宋体" w:hAnsi="宋体" w:eastAsia="宋体" w:cs="宋体"/>
          <w:color w:val="auto"/>
          <w:sz w:val="24"/>
          <w:szCs w:val="24"/>
          <w:lang w:eastAsia="zh-CN"/>
        </w:rPr>
        <w:t>，</w:t>
      </w:r>
      <w:r>
        <w:rPr>
          <w:rFonts w:ascii="宋体" w:hAnsi="宋体" w:eastAsia="宋体" w:cs="宋体"/>
          <w:color w:val="auto"/>
          <w:sz w:val="24"/>
          <w:szCs w:val="24"/>
          <w:lang w:eastAsia="zh-CN"/>
        </w:rPr>
        <w:t>应附授权委托书。</w:t>
      </w:r>
    </w:p>
    <w:p w14:paraId="2B3C73D0">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4933BC97">
      <w:pPr>
        <w:spacing w:line="360" w:lineRule="auto"/>
        <w:jc w:val="center"/>
        <w:outlineLvl w:val="2"/>
        <w:rPr>
          <w:rFonts w:hint="eastAsia" w:ascii="宋体" w:hAnsi="宋体" w:eastAsia="宋体" w:cs="宋体"/>
          <w:color w:val="auto"/>
          <w:sz w:val="28"/>
          <w:szCs w:val="28"/>
          <w:lang w:eastAsia="zh-CN"/>
        </w:rPr>
      </w:pPr>
      <w:bookmarkStart w:id="1859" w:name="_Toc12889"/>
      <w:bookmarkStart w:id="1860" w:name="_Toc3550"/>
      <w:bookmarkStart w:id="1861" w:name="_Toc26475"/>
      <w:bookmarkStart w:id="1862" w:name="_Toc29236"/>
      <w:r>
        <w:rPr>
          <w:rFonts w:hint="eastAsia" w:ascii="宋体" w:hAnsi="宋体" w:eastAsia="宋体" w:cs="宋体"/>
          <w:b/>
          <w:bCs/>
          <w:color w:val="auto"/>
          <w:spacing w:val="-5"/>
          <w:sz w:val="28"/>
          <w:szCs w:val="28"/>
          <w:lang w:eastAsia="zh-CN"/>
        </w:rPr>
        <w:t>四、资格审查资料</w:t>
      </w:r>
      <w:bookmarkEnd w:id="1859"/>
      <w:bookmarkEnd w:id="1860"/>
      <w:bookmarkEnd w:id="1861"/>
      <w:bookmarkEnd w:id="1862"/>
    </w:p>
    <w:p w14:paraId="60D6D860">
      <w:pPr>
        <w:spacing w:line="360" w:lineRule="auto"/>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2D37CDD1">
      <w:pPr>
        <w:spacing w:before="78" w:line="220" w:lineRule="auto"/>
        <w:ind w:left="3590"/>
        <w:rPr>
          <w:rFonts w:hint="eastAsia"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资格审查自审表</w:t>
      </w:r>
    </w:p>
    <w:p w14:paraId="50DF96D4">
      <w:pPr>
        <w:spacing w:line="146" w:lineRule="exact"/>
        <w:rPr>
          <w:color w:val="auto"/>
          <w:lang w:eastAsia="zh-CN"/>
        </w:rPr>
      </w:pPr>
    </w:p>
    <w:tbl>
      <w:tblPr>
        <w:tblStyle w:val="20"/>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1"/>
        <w:gridCol w:w="4742"/>
        <w:gridCol w:w="968"/>
        <w:gridCol w:w="970"/>
        <w:gridCol w:w="1521"/>
      </w:tblGrid>
      <w:tr w14:paraId="4E5BC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611" w:type="dxa"/>
            <w:tcBorders>
              <w:top w:val="single" w:color="000000" w:sz="6" w:space="0"/>
              <w:left w:val="single" w:color="000000" w:sz="6" w:space="0"/>
            </w:tcBorders>
            <w:vAlign w:val="center"/>
          </w:tcPr>
          <w:p w14:paraId="2CAA1CEE">
            <w:pPr>
              <w:pStyle w:val="21"/>
              <w:jc w:val="center"/>
              <w:rPr>
                <w:rFonts w:hint="eastAsia"/>
                <w:color w:val="auto"/>
                <w:sz w:val="24"/>
                <w:szCs w:val="24"/>
              </w:rPr>
            </w:pPr>
            <w:r>
              <w:rPr>
                <w:color w:val="auto"/>
                <w:spacing w:val="-3"/>
                <w:sz w:val="24"/>
                <w:szCs w:val="24"/>
              </w:rPr>
              <w:t>序号</w:t>
            </w:r>
          </w:p>
        </w:tc>
        <w:tc>
          <w:tcPr>
            <w:tcW w:w="4742" w:type="dxa"/>
            <w:tcBorders>
              <w:top w:val="single" w:color="000000" w:sz="6" w:space="0"/>
            </w:tcBorders>
            <w:vAlign w:val="center"/>
          </w:tcPr>
          <w:p w14:paraId="1524AF1B">
            <w:pPr>
              <w:pStyle w:val="21"/>
              <w:jc w:val="center"/>
              <w:rPr>
                <w:rFonts w:hint="eastAsia"/>
                <w:color w:val="auto"/>
                <w:sz w:val="24"/>
                <w:szCs w:val="24"/>
              </w:rPr>
            </w:pPr>
            <w:r>
              <w:rPr>
                <w:color w:val="auto"/>
                <w:spacing w:val="-16"/>
                <w:sz w:val="24"/>
                <w:szCs w:val="24"/>
              </w:rPr>
              <w:t>审</w:t>
            </w:r>
            <w:r>
              <w:rPr>
                <w:rFonts w:hint="eastAsia"/>
                <w:color w:val="auto"/>
                <w:spacing w:val="6"/>
                <w:sz w:val="24"/>
                <w:szCs w:val="24"/>
                <w:lang w:eastAsia="zh-CN"/>
              </w:rPr>
              <w:t>　</w:t>
            </w:r>
            <w:r>
              <w:rPr>
                <w:color w:val="auto"/>
                <w:spacing w:val="-16"/>
                <w:sz w:val="24"/>
                <w:szCs w:val="24"/>
              </w:rPr>
              <w:t>查</w:t>
            </w:r>
            <w:r>
              <w:rPr>
                <w:rFonts w:hint="eastAsia"/>
                <w:color w:val="auto"/>
                <w:spacing w:val="14"/>
                <w:sz w:val="24"/>
                <w:szCs w:val="24"/>
                <w:lang w:eastAsia="zh-CN"/>
              </w:rPr>
              <w:t>　</w:t>
            </w:r>
            <w:r>
              <w:rPr>
                <w:color w:val="auto"/>
                <w:spacing w:val="-16"/>
                <w:sz w:val="24"/>
                <w:szCs w:val="24"/>
              </w:rPr>
              <w:t>因</w:t>
            </w:r>
            <w:r>
              <w:rPr>
                <w:rFonts w:hint="eastAsia"/>
                <w:color w:val="auto"/>
                <w:spacing w:val="6"/>
                <w:sz w:val="24"/>
                <w:szCs w:val="24"/>
                <w:lang w:eastAsia="zh-CN"/>
              </w:rPr>
              <w:t>　</w:t>
            </w:r>
            <w:r>
              <w:rPr>
                <w:color w:val="auto"/>
                <w:spacing w:val="-16"/>
                <w:sz w:val="24"/>
                <w:szCs w:val="24"/>
              </w:rPr>
              <w:t>素</w:t>
            </w:r>
          </w:p>
        </w:tc>
        <w:tc>
          <w:tcPr>
            <w:tcW w:w="968" w:type="dxa"/>
            <w:tcBorders>
              <w:top w:val="single" w:color="000000" w:sz="6" w:space="0"/>
            </w:tcBorders>
            <w:vAlign w:val="center"/>
          </w:tcPr>
          <w:p w14:paraId="3B5E4DB7">
            <w:pPr>
              <w:pStyle w:val="21"/>
              <w:jc w:val="center"/>
              <w:rPr>
                <w:rFonts w:hint="eastAsia"/>
                <w:color w:val="auto"/>
                <w:sz w:val="24"/>
                <w:szCs w:val="24"/>
              </w:rPr>
            </w:pPr>
            <w:r>
              <w:rPr>
                <w:color w:val="auto"/>
                <w:spacing w:val="-6"/>
                <w:sz w:val="24"/>
                <w:szCs w:val="24"/>
              </w:rPr>
              <w:t>审查</w:t>
            </w:r>
          </w:p>
          <w:p w14:paraId="2BD83415">
            <w:pPr>
              <w:pStyle w:val="21"/>
              <w:jc w:val="center"/>
              <w:rPr>
                <w:rFonts w:hint="eastAsia"/>
                <w:color w:val="auto"/>
                <w:sz w:val="24"/>
                <w:szCs w:val="24"/>
              </w:rPr>
            </w:pPr>
            <w:r>
              <w:rPr>
                <w:color w:val="auto"/>
                <w:spacing w:val="-3"/>
                <w:sz w:val="24"/>
                <w:szCs w:val="24"/>
              </w:rPr>
              <w:t>标准</w:t>
            </w:r>
          </w:p>
        </w:tc>
        <w:tc>
          <w:tcPr>
            <w:tcW w:w="970" w:type="dxa"/>
            <w:tcBorders>
              <w:top w:val="single" w:color="000000" w:sz="6" w:space="0"/>
            </w:tcBorders>
            <w:vAlign w:val="center"/>
          </w:tcPr>
          <w:p w14:paraId="2052D1DD">
            <w:pPr>
              <w:pStyle w:val="21"/>
              <w:jc w:val="center"/>
              <w:rPr>
                <w:rFonts w:hint="eastAsia"/>
                <w:color w:val="auto"/>
                <w:sz w:val="24"/>
                <w:szCs w:val="24"/>
              </w:rPr>
            </w:pPr>
            <w:r>
              <w:rPr>
                <w:color w:val="auto"/>
                <w:spacing w:val="-6"/>
                <w:sz w:val="24"/>
                <w:szCs w:val="24"/>
              </w:rPr>
              <w:t>审查</w:t>
            </w:r>
          </w:p>
          <w:p w14:paraId="2449C2A9">
            <w:pPr>
              <w:pStyle w:val="21"/>
              <w:jc w:val="center"/>
              <w:rPr>
                <w:rFonts w:hint="eastAsia"/>
                <w:color w:val="auto"/>
                <w:sz w:val="24"/>
                <w:szCs w:val="24"/>
              </w:rPr>
            </w:pPr>
            <w:r>
              <w:rPr>
                <w:color w:val="auto"/>
                <w:spacing w:val="-4"/>
                <w:sz w:val="24"/>
                <w:szCs w:val="24"/>
              </w:rPr>
              <w:t>结果</w:t>
            </w:r>
          </w:p>
        </w:tc>
        <w:tc>
          <w:tcPr>
            <w:tcW w:w="1521" w:type="dxa"/>
            <w:tcBorders>
              <w:top w:val="single" w:color="000000" w:sz="6" w:space="0"/>
              <w:right w:val="single" w:color="000000" w:sz="6" w:space="0"/>
            </w:tcBorders>
            <w:vAlign w:val="center"/>
          </w:tcPr>
          <w:p w14:paraId="3CBD89CA">
            <w:pPr>
              <w:pStyle w:val="21"/>
              <w:jc w:val="center"/>
              <w:rPr>
                <w:rFonts w:hint="eastAsia"/>
                <w:color w:val="auto"/>
                <w:sz w:val="24"/>
                <w:szCs w:val="24"/>
                <w:lang w:eastAsia="zh-CN"/>
              </w:rPr>
            </w:pPr>
            <w:r>
              <w:rPr>
                <w:color w:val="auto"/>
                <w:spacing w:val="-5"/>
                <w:sz w:val="24"/>
                <w:szCs w:val="24"/>
                <w:lang w:eastAsia="zh-CN"/>
              </w:rPr>
              <w:t>引用的证明材</w:t>
            </w:r>
            <w:r>
              <w:rPr>
                <w:color w:val="auto"/>
                <w:spacing w:val="-2"/>
                <w:sz w:val="24"/>
                <w:szCs w:val="24"/>
                <w:lang w:eastAsia="zh-CN"/>
              </w:rPr>
              <w:t>料对应页码</w:t>
            </w:r>
          </w:p>
        </w:tc>
      </w:tr>
      <w:tr w14:paraId="5B0CD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center"/>
          </w:tcPr>
          <w:p w14:paraId="32DF97F4">
            <w:pPr>
              <w:jc w:val="center"/>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1</w:t>
            </w:r>
          </w:p>
        </w:tc>
        <w:tc>
          <w:tcPr>
            <w:tcW w:w="4742" w:type="dxa"/>
            <w:vAlign w:val="center"/>
          </w:tcPr>
          <w:p w14:paraId="46D54016">
            <w:pPr>
              <w:pStyle w:val="21"/>
              <w:jc w:val="center"/>
              <w:rPr>
                <w:rFonts w:hint="eastAsia"/>
                <w:color w:val="auto"/>
                <w:sz w:val="24"/>
                <w:szCs w:val="24"/>
              </w:rPr>
            </w:pPr>
            <w:r>
              <w:rPr>
                <w:b/>
                <w:bCs/>
                <w:color w:val="auto"/>
                <w:spacing w:val="-6"/>
                <w:sz w:val="24"/>
                <w:szCs w:val="24"/>
              </w:rPr>
              <w:t>企业</w:t>
            </w:r>
          </w:p>
        </w:tc>
        <w:tc>
          <w:tcPr>
            <w:tcW w:w="968" w:type="dxa"/>
            <w:vAlign w:val="center"/>
          </w:tcPr>
          <w:p w14:paraId="7E085AAA">
            <w:pPr>
              <w:jc w:val="center"/>
              <w:rPr>
                <w:color w:val="auto"/>
              </w:rPr>
            </w:pPr>
          </w:p>
        </w:tc>
        <w:tc>
          <w:tcPr>
            <w:tcW w:w="970" w:type="dxa"/>
            <w:vAlign w:val="center"/>
          </w:tcPr>
          <w:p w14:paraId="218B2153">
            <w:pPr>
              <w:jc w:val="center"/>
              <w:rPr>
                <w:color w:val="auto"/>
              </w:rPr>
            </w:pPr>
          </w:p>
        </w:tc>
        <w:tc>
          <w:tcPr>
            <w:tcW w:w="1521" w:type="dxa"/>
            <w:tcBorders>
              <w:right w:val="single" w:color="000000" w:sz="6" w:space="0"/>
            </w:tcBorders>
            <w:vAlign w:val="center"/>
          </w:tcPr>
          <w:p w14:paraId="718A207A">
            <w:pPr>
              <w:jc w:val="center"/>
              <w:rPr>
                <w:color w:val="auto"/>
              </w:rPr>
            </w:pPr>
          </w:p>
        </w:tc>
      </w:tr>
      <w:tr w14:paraId="4DB72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15F13481">
            <w:pPr>
              <w:jc w:val="center"/>
              <w:rPr>
                <w:color w:val="auto"/>
              </w:rPr>
            </w:pPr>
          </w:p>
        </w:tc>
        <w:tc>
          <w:tcPr>
            <w:tcW w:w="4742" w:type="dxa"/>
            <w:vAlign w:val="center"/>
          </w:tcPr>
          <w:p w14:paraId="61780656">
            <w:pPr>
              <w:jc w:val="center"/>
              <w:rPr>
                <w:color w:val="auto"/>
              </w:rPr>
            </w:pPr>
          </w:p>
        </w:tc>
        <w:tc>
          <w:tcPr>
            <w:tcW w:w="968" w:type="dxa"/>
            <w:vAlign w:val="center"/>
          </w:tcPr>
          <w:p w14:paraId="54980A66">
            <w:pPr>
              <w:jc w:val="center"/>
              <w:rPr>
                <w:color w:val="auto"/>
              </w:rPr>
            </w:pPr>
          </w:p>
        </w:tc>
        <w:tc>
          <w:tcPr>
            <w:tcW w:w="970" w:type="dxa"/>
            <w:vAlign w:val="center"/>
          </w:tcPr>
          <w:p w14:paraId="67D3E03E">
            <w:pPr>
              <w:jc w:val="center"/>
              <w:rPr>
                <w:color w:val="auto"/>
              </w:rPr>
            </w:pPr>
          </w:p>
        </w:tc>
        <w:tc>
          <w:tcPr>
            <w:tcW w:w="1521" w:type="dxa"/>
            <w:tcBorders>
              <w:right w:val="single" w:color="000000" w:sz="6" w:space="0"/>
            </w:tcBorders>
            <w:vAlign w:val="center"/>
          </w:tcPr>
          <w:p w14:paraId="464E87A9">
            <w:pPr>
              <w:jc w:val="center"/>
              <w:rPr>
                <w:color w:val="auto"/>
              </w:rPr>
            </w:pPr>
          </w:p>
        </w:tc>
      </w:tr>
      <w:tr w14:paraId="536B7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07B05616">
            <w:pPr>
              <w:jc w:val="center"/>
              <w:rPr>
                <w:color w:val="auto"/>
              </w:rPr>
            </w:pPr>
          </w:p>
        </w:tc>
        <w:tc>
          <w:tcPr>
            <w:tcW w:w="4742" w:type="dxa"/>
            <w:vAlign w:val="center"/>
          </w:tcPr>
          <w:p w14:paraId="12E34257">
            <w:pPr>
              <w:jc w:val="center"/>
              <w:rPr>
                <w:color w:val="auto"/>
              </w:rPr>
            </w:pPr>
          </w:p>
        </w:tc>
        <w:tc>
          <w:tcPr>
            <w:tcW w:w="968" w:type="dxa"/>
            <w:vAlign w:val="center"/>
          </w:tcPr>
          <w:p w14:paraId="3374CDDC">
            <w:pPr>
              <w:jc w:val="center"/>
              <w:rPr>
                <w:color w:val="auto"/>
              </w:rPr>
            </w:pPr>
          </w:p>
        </w:tc>
        <w:tc>
          <w:tcPr>
            <w:tcW w:w="970" w:type="dxa"/>
            <w:vAlign w:val="center"/>
          </w:tcPr>
          <w:p w14:paraId="230A4AFD">
            <w:pPr>
              <w:jc w:val="center"/>
              <w:rPr>
                <w:color w:val="auto"/>
              </w:rPr>
            </w:pPr>
          </w:p>
        </w:tc>
        <w:tc>
          <w:tcPr>
            <w:tcW w:w="1521" w:type="dxa"/>
            <w:tcBorders>
              <w:right w:val="single" w:color="000000" w:sz="6" w:space="0"/>
            </w:tcBorders>
            <w:vAlign w:val="center"/>
          </w:tcPr>
          <w:p w14:paraId="5CEB8C1F">
            <w:pPr>
              <w:jc w:val="center"/>
              <w:rPr>
                <w:color w:val="auto"/>
              </w:rPr>
            </w:pPr>
          </w:p>
        </w:tc>
      </w:tr>
      <w:tr w14:paraId="78C06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center"/>
          </w:tcPr>
          <w:p w14:paraId="5C66FA04">
            <w:pPr>
              <w:jc w:val="center"/>
              <w:rPr>
                <w:color w:val="auto"/>
              </w:rPr>
            </w:pPr>
          </w:p>
        </w:tc>
        <w:tc>
          <w:tcPr>
            <w:tcW w:w="4742" w:type="dxa"/>
            <w:vAlign w:val="center"/>
          </w:tcPr>
          <w:p w14:paraId="75925300">
            <w:pPr>
              <w:jc w:val="center"/>
              <w:rPr>
                <w:color w:val="auto"/>
              </w:rPr>
            </w:pPr>
          </w:p>
        </w:tc>
        <w:tc>
          <w:tcPr>
            <w:tcW w:w="968" w:type="dxa"/>
            <w:vAlign w:val="center"/>
          </w:tcPr>
          <w:p w14:paraId="09872841">
            <w:pPr>
              <w:jc w:val="center"/>
              <w:rPr>
                <w:color w:val="auto"/>
              </w:rPr>
            </w:pPr>
          </w:p>
        </w:tc>
        <w:tc>
          <w:tcPr>
            <w:tcW w:w="970" w:type="dxa"/>
            <w:vAlign w:val="center"/>
          </w:tcPr>
          <w:p w14:paraId="212005D4">
            <w:pPr>
              <w:jc w:val="center"/>
              <w:rPr>
                <w:color w:val="auto"/>
              </w:rPr>
            </w:pPr>
          </w:p>
        </w:tc>
        <w:tc>
          <w:tcPr>
            <w:tcW w:w="1521" w:type="dxa"/>
            <w:tcBorders>
              <w:right w:val="single" w:color="000000" w:sz="6" w:space="0"/>
            </w:tcBorders>
            <w:vAlign w:val="center"/>
          </w:tcPr>
          <w:p w14:paraId="648C630A">
            <w:pPr>
              <w:jc w:val="center"/>
              <w:rPr>
                <w:color w:val="auto"/>
              </w:rPr>
            </w:pPr>
          </w:p>
        </w:tc>
      </w:tr>
      <w:tr w14:paraId="5A431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09095386">
            <w:pPr>
              <w:jc w:val="center"/>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2</w:t>
            </w:r>
          </w:p>
        </w:tc>
        <w:tc>
          <w:tcPr>
            <w:tcW w:w="4742" w:type="dxa"/>
            <w:vAlign w:val="center"/>
          </w:tcPr>
          <w:p w14:paraId="45D5F05B">
            <w:pPr>
              <w:pStyle w:val="21"/>
              <w:jc w:val="center"/>
              <w:rPr>
                <w:rFonts w:hint="eastAsia"/>
                <w:color w:val="auto"/>
                <w:sz w:val="24"/>
                <w:szCs w:val="24"/>
              </w:rPr>
            </w:pPr>
            <w:r>
              <w:rPr>
                <w:b/>
                <w:bCs/>
                <w:color w:val="auto"/>
                <w:spacing w:val="-3"/>
                <w:sz w:val="24"/>
                <w:szCs w:val="24"/>
              </w:rPr>
              <w:t>拟派项目组主要人员</w:t>
            </w:r>
          </w:p>
        </w:tc>
        <w:tc>
          <w:tcPr>
            <w:tcW w:w="968" w:type="dxa"/>
            <w:vAlign w:val="center"/>
          </w:tcPr>
          <w:p w14:paraId="3B72A122">
            <w:pPr>
              <w:jc w:val="center"/>
              <w:rPr>
                <w:color w:val="auto"/>
              </w:rPr>
            </w:pPr>
          </w:p>
        </w:tc>
        <w:tc>
          <w:tcPr>
            <w:tcW w:w="970" w:type="dxa"/>
            <w:vAlign w:val="center"/>
          </w:tcPr>
          <w:p w14:paraId="379C7988">
            <w:pPr>
              <w:jc w:val="center"/>
              <w:rPr>
                <w:color w:val="auto"/>
              </w:rPr>
            </w:pPr>
          </w:p>
        </w:tc>
        <w:tc>
          <w:tcPr>
            <w:tcW w:w="1521" w:type="dxa"/>
            <w:tcBorders>
              <w:right w:val="single" w:color="000000" w:sz="6" w:space="0"/>
            </w:tcBorders>
            <w:vAlign w:val="center"/>
          </w:tcPr>
          <w:p w14:paraId="08EF2AA1">
            <w:pPr>
              <w:jc w:val="center"/>
              <w:rPr>
                <w:color w:val="auto"/>
              </w:rPr>
            </w:pPr>
          </w:p>
        </w:tc>
      </w:tr>
      <w:tr w14:paraId="1E5AE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center"/>
          </w:tcPr>
          <w:p w14:paraId="5B9FEB8A">
            <w:pPr>
              <w:jc w:val="center"/>
              <w:rPr>
                <w:color w:val="auto"/>
              </w:rPr>
            </w:pPr>
          </w:p>
        </w:tc>
        <w:tc>
          <w:tcPr>
            <w:tcW w:w="4742" w:type="dxa"/>
            <w:vAlign w:val="center"/>
          </w:tcPr>
          <w:p w14:paraId="211BE5A0">
            <w:pPr>
              <w:jc w:val="center"/>
              <w:rPr>
                <w:color w:val="auto"/>
              </w:rPr>
            </w:pPr>
          </w:p>
        </w:tc>
        <w:tc>
          <w:tcPr>
            <w:tcW w:w="968" w:type="dxa"/>
            <w:vAlign w:val="center"/>
          </w:tcPr>
          <w:p w14:paraId="4644F275">
            <w:pPr>
              <w:jc w:val="center"/>
              <w:rPr>
                <w:color w:val="auto"/>
              </w:rPr>
            </w:pPr>
          </w:p>
        </w:tc>
        <w:tc>
          <w:tcPr>
            <w:tcW w:w="970" w:type="dxa"/>
            <w:vAlign w:val="center"/>
          </w:tcPr>
          <w:p w14:paraId="5E164958">
            <w:pPr>
              <w:jc w:val="center"/>
              <w:rPr>
                <w:color w:val="auto"/>
              </w:rPr>
            </w:pPr>
          </w:p>
        </w:tc>
        <w:tc>
          <w:tcPr>
            <w:tcW w:w="1521" w:type="dxa"/>
            <w:tcBorders>
              <w:right w:val="single" w:color="000000" w:sz="6" w:space="0"/>
            </w:tcBorders>
            <w:vAlign w:val="center"/>
          </w:tcPr>
          <w:p w14:paraId="1808A2D1">
            <w:pPr>
              <w:jc w:val="center"/>
              <w:rPr>
                <w:color w:val="auto"/>
              </w:rPr>
            </w:pPr>
          </w:p>
        </w:tc>
      </w:tr>
      <w:tr w14:paraId="4E8F1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20DCF136">
            <w:pPr>
              <w:jc w:val="center"/>
              <w:rPr>
                <w:color w:val="auto"/>
              </w:rPr>
            </w:pPr>
          </w:p>
        </w:tc>
        <w:tc>
          <w:tcPr>
            <w:tcW w:w="4742" w:type="dxa"/>
            <w:vAlign w:val="center"/>
          </w:tcPr>
          <w:p w14:paraId="571E63C8">
            <w:pPr>
              <w:jc w:val="center"/>
              <w:rPr>
                <w:color w:val="auto"/>
              </w:rPr>
            </w:pPr>
          </w:p>
        </w:tc>
        <w:tc>
          <w:tcPr>
            <w:tcW w:w="968" w:type="dxa"/>
            <w:vAlign w:val="center"/>
          </w:tcPr>
          <w:p w14:paraId="43E6CE37">
            <w:pPr>
              <w:jc w:val="center"/>
              <w:rPr>
                <w:color w:val="auto"/>
              </w:rPr>
            </w:pPr>
          </w:p>
        </w:tc>
        <w:tc>
          <w:tcPr>
            <w:tcW w:w="970" w:type="dxa"/>
            <w:vAlign w:val="center"/>
          </w:tcPr>
          <w:p w14:paraId="0881F6AA">
            <w:pPr>
              <w:jc w:val="center"/>
              <w:rPr>
                <w:color w:val="auto"/>
              </w:rPr>
            </w:pPr>
          </w:p>
        </w:tc>
        <w:tc>
          <w:tcPr>
            <w:tcW w:w="1521" w:type="dxa"/>
            <w:tcBorders>
              <w:right w:val="single" w:color="000000" w:sz="6" w:space="0"/>
            </w:tcBorders>
            <w:vAlign w:val="center"/>
          </w:tcPr>
          <w:p w14:paraId="7CE093B2">
            <w:pPr>
              <w:jc w:val="center"/>
              <w:rPr>
                <w:color w:val="auto"/>
              </w:rPr>
            </w:pPr>
          </w:p>
        </w:tc>
      </w:tr>
      <w:tr w14:paraId="07A4B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center"/>
          </w:tcPr>
          <w:p w14:paraId="63C5E8B4">
            <w:pPr>
              <w:jc w:val="center"/>
              <w:rPr>
                <w:color w:val="auto"/>
              </w:rPr>
            </w:pPr>
          </w:p>
        </w:tc>
        <w:tc>
          <w:tcPr>
            <w:tcW w:w="4742" w:type="dxa"/>
            <w:vAlign w:val="center"/>
          </w:tcPr>
          <w:p w14:paraId="3A7D1A8E">
            <w:pPr>
              <w:jc w:val="center"/>
              <w:rPr>
                <w:color w:val="auto"/>
              </w:rPr>
            </w:pPr>
          </w:p>
        </w:tc>
        <w:tc>
          <w:tcPr>
            <w:tcW w:w="968" w:type="dxa"/>
            <w:vAlign w:val="center"/>
          </w:tcPr>
          <w:p w14:paraId="6C709944">
            <w:pPr>
              <w:jc w:val="center"/>
              <w:rPr>
                <w:color w:val="auto"/>
              </w:rPr>
            </w:pPr>
          </w:p>
        </w:tc>
        <w:tc>
          <w:tcPr>
            <w:tcW w:w="970" w:type="dxa"/>
            <w:vAlign w:val="center"/>
          </w:tcPr>
          <w:p w14:paraId="36B4C42F">
            <w:pPr>
              <w:jc w:val="center"/>
              <w:rPr>
                <w:color w:val="auto"/>
              </w:rPr>
            </w:pPr>
          </w:p>
        </w:tc>
        <w:tc>
          <w:tcPr>
            <w:tcW w:w="1521" w:type="dxa"/>
            <w:tcBorders>
              <w:right w:val="single" w:color="000000" w:sz="6" w:space="0"/>
            </w:tcBorders>
            <w:vAlign w:val="center"/>
          </w:tcPr>
          <w:p w14:paraId="4FD709ED">
            <w:pPr>
              <w:jc w:val="center"/>
              <w:rPr>
                <w:color w:val="auto"/>
              </w:rPr>
            </w:pPr>
          </w:p>
        </w:tc>
      </w:tr>
      <w:tr w14:paraId="12065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54AF2478">
            <w:pPr>
              <w:jc w:val="center"/>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3</w:t>
            </w:r>
          </w:p>
        </w:tc>
        <w:tc>
          <w:tcPr>
            <w:tcW w:w="4742" w:type="dxa"/>
            <w:vAlign w:val="center"/>
          </w:tcPr>
          <w:p w14:paraId="5E16DF9E">
            <w:pPr>
              <w:pStyle w:val="21"/>
              <w:jc w:val="center"/>
              <w:rPr>
                <w:rFonts w:hint="eastAsia"/>
                <w:color w:val="auto"/>
                <w:sz w:val="24"/>
                <w:szCs w:val="24"/>
              </w:rPr>
            </w:pPr>
            <w:r>
              <w:rPr>
                <w:b/>
                <w:bCs/>
                <w:color w:val="auto"/>
                <w:spacing w:val="-5"/>
                <w:sz w:val="24"/>
                <w:szCs w:val="24"/>
              </w:rPr>
              <w:t>其他</w:t>
            </w:r>
          </w:p>
        </w:tc>
        <w:tc>
          <w:tcPr>
            <w:tcW w:w="968" w:type="dxa"/>
            <w:vAlign w:val="center"/>
          </w:tcPr>
          <w:p w14:paraId="2E8D89F0">
            <w:pPr>
              <w:jc w:val="center"/>
              <w:rPr>
                <w:color w:val="auto"/>
              </w:rPr>
            </w:pPr>
          </w:p>
        </w:tc>
        <w:tc>
          <w:tcPr>
            <w:tcW w:w="970" w:type="dxa"/>
            <w:vAlign w:val="center"/>
          </w:tcPr>
          <w:p w14:paraId="06F1985A">
            <w:pPr>
              <w:jc w:val="center"/>
              <w:rPr>
                <w:color w:val="auto"/>
              </w:rPr>
            </w:pPr>
          </w:p>
        </w:tc>
        <w:tc>
          <w:tcPr>
            <w:tcW w:w="1521" w:type="dxa"/>
            <w:tcBorders>
              <w:right w:val="single" w:color="000000" w:sz="6" w:space="0"/>
            </w:tcBorders>
            <w:vAlign w:val="center"/>
          </w:tcPr>
          <w:p w14:paraId="7D6E7834">
            <w:pPr>
              <w:jc w:val="center"/>
              <w:rPr>
                <w:color w:val="auto"/>
              </w:rPr>
            </w:pPr>
          </w:p>
        </w:tc>
      </w:tr>
      <w:tr w14:paraId="173EDA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181D5806">
            <w:pPr>
              <w:jc w:val="center"/>
              <w:rPr>
                <w:color w:val="auto"/>
              </w:rPr>
            </w:pPr>
          </w:p>
        </w:tc>
        <w:tc>
          <w:tcPr>
            <w:tcW w:w="4742" w:type="dxa"/>
            <w:vAlign w:val="center"/>
          </w:tcPr>
          <w:p w14:paraId="38C6AFDA">
            <w:pPr>
              <w:jc w:val="center"/>
              <w:rPr>
                <w:color w:val="auto"/>
              </w:rPr>
            </w:pPr>
          </w:p>
        </w:tc>
        <w:tc>
          <w:tcPr>
            <w:tcW w:w="968" w:type="dxa"/>
            <w:vAlign w:val="center"/>
          </w:tcPr>
          <w:p w14:paraId="39551796">
            <w:pPr>
              <w:jc w:val="center"/>
              <w:rPr>
                <w:color w:val="auto"/>
              </w:rPr>
            </w:pPr>
          </w:p>
        </w:tc>
        <w:tc>
          <w:tcPr>
            <w:tcW w:w="970" w:type="dxa"/>
            <w:vAlign w:val="center"/>
          </w:tcPr>
          <w:p w14:paraId="1076A3B8">
            <w:pPr>
              <w:jc w:val="center"/>
              <w:rPr>
                <w:color w:val="auto"/>
              </w:rPr>
            </w:pPr>
          </w:p>
        </w:tc>
        <w:tc>
          <w:tcPr>
            <w:tcW w:w="1521" w:type="dxa"/>
            <w:tcBorders>
              <w:right w:val="single" w:color="000000" w:sz="6" w:space="0"/>
            </w:tcBorders>
            <w:vAlign w:val="center"/>
          </w:tcPr>
          <w:p w14:paraId="32739599">
            <w:pPr>
              <w:jc w:val="center"/>
              <w:rPr>
                <w:color w:val="auto"/>
              </w:rPr>
            </w:pPr>
          </w:p>
        </w:tc>
      </w:tr>
      <w:tr w14:paraId="6BEC9E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center"/>
          </w:tcPr>
          <w:p w14:paraId="615380D4">
            <w:pPr>
              <w:jc w:val="center"/>
              <w:rPr>
                <w:color w:val="auto"/>
              </w:rPr>
            </w:pPr>
          </w:p>
        </w:tc>
        <w:tc>
          <w:tcPr>
            <w:tcW w:w="4742" w:type="dxa"/>
            <w:vAlign w:val="center"/>
          </w:tcPr>
          <w:p w14:paraId="5B823FE6">
            <w:pPr>
              <w:jc w:val="center"/>
              <w:rPr>
                <w:color w:val="auto"/>
              </w:rPr>
            </w:pPr>
          </w:p>
        </w:tc>
        <w:tc>
          <w:tcPr>
            <w:tcW w:w="968" w:type="dxa"/>
            <w:vAlign w:val="center"/>
          </w:tcPr>
          <w:p w14:paraId="2EDA3033">
            <w:pPr>
              <w:jc w:val="center"/>
              <w:rPr>
                <w:color w:val="auto"/>
              </w:rPr>
            </w:pPr>
          </w:p>
        </w:tc>
        <w:tc>
          <w:tcPr>
            <w:tcW w:w="970" w:type="dxa"/>
            <w:vAlign w:val="center"/>
          </w:tcPr>
          <w:p w14:paraId="0377DF9C">
            <w:pPr>
              <w:jc w:val="center"/>
              <w:rPr>
                <w:color w:val="auto"/>
              </w:rPr>
            </w:pPr>
          </w:p>
        </w:tc>
        <w:tc>
          <w:tcPr>
            <w:tcW w:w="1521" w:type="dxa"/>
            <w:tcBorders>
              <w:right w:val="single" w:color="000000" w:sz="6" w:space="0"/>
            </w:tcBorders>
            <w:vAlign w:val="center"/>
          </w:tcPr>
          <w:p w14:paraId="28CA174D">
            <w:pPr>
              <w:jc w:val="center"/>
              <w:rPr>
                <w:color w:val="auto"/>
              </w:rPr>
            </w:pPr>
          </w:p>
        </w:tc>
      </w:tr>
      <w:tr w14:paraId="58B54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6F7E9B7D">
            <w:pPr>
              <w:jc w:val="center"/>
              <w:rPr>
                <w:color w:val="auto"/>
              </w:rPr>
            </w:pPr>
          </w:p>
        </w:tc>
        <w:tc>
          <w:tcPr>
            <w:tcW w:w="4742" w:type="dxa"/>
            <w:vAlign w:val="center"/>
          </w:tcPr>
          <w:p w14:paraId="671FFFD2">
            <w:pPr>
              <w:jc w:val="center"/>
              <w:rPr>
                <w:color w:val="auto"/>
              </w:rPr>
            </w:pPr>
          </w:p>
        </w:tc>
        <w:tc>
          <w:tcPr>
            <w:tcW w:w="968" w:type="dxa"/>
            <w:vAlign w:val="center"/>
          </w:tcPr>
          <w:p w14:paraId="51A60D67">
            <w:pPr>
              <w:jc w:val="center"/>
              <w:rPr>
                <w:color w:val="auto"/>
              </w:rPr>
            </w:pPr>
          </w:p>
        </w:tc>
        <w:tc>
          <w:tcPr>
            <w:tcW w:w="970" w:type="dxa"/>
            <w:vAlign w:val="center"/>
          </w:tcPr>
          <w:p w14:paraId="6A5D1AC2">
            <w:pPr>
              <w:jc w:val="center"/>
              <w:rPr>
                <w:color w:val="auto"/>
              </w:rPr>
            </w:pPr>
          </w:p>
        </w:tc>
        <w:tc>
          <w:tcPr>
            <w:tcW w:w="1521" w:type="dxa"/>
            <w:tcBorders>
              <w:right w:val="single" w:color="000000" w:sz="6" w:space="0"/>
            </w:tcBorders>
            <w:vAlign w:val="center"/>
          </w:tcPr>
          <w:p w14:paraId="10D8655D">
            <w:pPr>
              <w:jc w:val="center"/>
              <w:rPr>
                <w:color w:val="auto"/>
              </w:rPr>
            </w:pPr>
          </w:p>
        </w:tc>
      </w:tr>
      <w:tr w14:paraId="2052D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center"/>
          </w:tcPr>
          <w:p w14:paraId="3EA24932">
            <w:pPr>
              <w:jc w:val="center"/>
              <w:rPr>
                <w:color w:val="auto"/>
              </w:rPr>
            </w:pPr>
          </w:p>
        </w:tc>
        <w:tc>
          <w:tcPr>
            <w:tcW w:w="4742" w:type="dxa"/>
            <w:vAlign w:val="center"/>
          </w:tcPr>
          <w:p w14:paraId="72DECE3D">
            <w:pPr>
              <w:jc w:val="center"/>
              <w:rPr>
                <w:color w:val="auto"/>
              </w:rPr>
            </w:pPr>
          </w:p>
        </w:tc>
        <w:tc>
          <w:tcPr>
            <w:tcW w:w="968" w:type="dxa"/>
            <w:vAlign w:val="center"/>
          </w:tcPr>
          <w:p w14:paraId="689AFA83">
            <w:pPr>
              <w:jc w:val="center"/>
              <w:rPr>
                <w:color w:val="auto"/>
              </w:rPr>
            </w:pPr>
          </w:p>
        </w:tc>
        <w:tc>
          <w:tcPr>
            <w:tcW w:w="970" w:type="dxa"/>
            <w:vAlign w:val="center"/>
          </w:tcPr>
          <w:p w14:paraId="1C895347">
            <w:pPr>
              <w:jc w:val="center"/>
              <w:rPr>
                <w:color w:val="auto"/>
              </w:rPr>
            </w:pPr>
          </w:p>
        </w:tc>
        <w:tc>
          <w:tcPr>
            <w:tcW w:w="1521" w:type="dxa"/>
            <w:tcBorders>
              <w:right w:val="single" w:color="000000" w:sz="6" w:space="0"/>
            </w:tcBorders>
            <w:vAlign w:val="center"/>
          </w:tcPr>
          <w:p w14:paraId="5B4C7C8B">
            <w:pPr>
              <w:jc w:val="center"/>
              <w:rPr>
                <w:color w:val="auto"/>
              </w:rPr>
            </w:pPr>
          </w:p>
        </w:tc>
      </w:tr>
      <w:tr w14:paraId="63454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24441E91">
            <w:pPr>
              <w:jc w:val="center"/>
              <w:rPr>
                <w:color w:val="auto"/>
              </w:rPr>
            </w:pPr>
          </w:p>
        </w:tc>
        <w:tc>
          <w:tcPr>
            <w:tcW w:w="4742" w:type="dxa"/>
            <w:vAlign w:val="center"/>
          </w:tcPr>
          <w:p w14:paraId="64556648">
            <w:pPr>
              <w:jc w:val="center"/>
              <w:rPr>
                <w:color w:val="auto"/>
              </w:rPr>
            </w:pPr>
          </w:p>
        </w:tc>
        <w:tc>
          <w:tcPr>
            <w:tcW w:w="968" w:type="dxa"/>
            <w:vAlign w:val="center"/>
          </w:tcPr>
          <w:p w14:paraId="3B41CE8B">
            <w:pPr>
              <w:jc w:val="center"/>
              <w:rPr>
                <w:color w:val="auto"/>
              </w:rPr>
            </w:pPr>
          </w:p>
        </w:tc>
        <w:tc>
          <w:tcPr>
            <w:tcW w:w="970" w:type="dxa"/>
            <w:vAlign w:val="center"/>
          </w:tcPr>
          <w:p w14:paraId="669D8409">
            <w:pPr>
              <w:jc w:val="center"/>
              <w:rPr>
                <w:color w:val="auto"/>
              </w:rPr>
            </w:pPr>
          </w:p>
        </w:tc>
        <w:tc>
          <w:tcPr>
            <w:tcW w:w="1521" w:type="dxa"/>
            <w:tcBorders>
              <w:right w:val="single" w:color="000000" w:sz="6" w:space="0"/>
            </w:tcBorders>
            <w:vAlign w:val="center"/>
          </w:tcPr>
          <w:p w14:paraId="43DF296E">
            <w:pPr>
              <w:jc w:val="center"/>
              <w:rPr>
                <w:color w:val="auto"/>
              </w:rPr>
            </w:pPr>
          </w:p>
        </w:tc>
      </w:tr>
      <w:tr w14:paraId="5AC8B1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7454C077">
            <w:pPr>
              <w:jc w:val="center"/>
              <w:rPr>
                <w:color w:val="auto"/>
              </w:rPr>
            </w:pPr>
          </w:p>
        </w:tc>
        <w:tc>
          <w:tcPr>
            <w:tcW w:w="4742" w:type="dxa"/>
            <w:vAlign w:val="center"/>
          </w:tcPr>
          <w:p w14:paraId="7268956E">
            <w:pPr>
              <w:jc w:val="center"/>
              <w:rPr>
                <w:color w:val="auto"/>
              </w:rPr>
            </w:pPr>
          </w:p>
        </w:tc>
        <w:tc>
          <w:tcPr>
            <w:tcW w:w="968" w:type="dxa"/>
            <w:vAlign w:val="center"/>
          </w:tcPr>
          <w:p w14:paraId="31399512">
            <w:pPr>
              <w:jc w:val="center"/>
              <w:rPr>
                <w:color w:val="auto"/>
              </w:rPr>
            </w:pPr>
          </w:p>
        </w:tc>
        <w:tc>
          <w:tcPr>
            <w:tcW w:w="970" w:type="dxa"/>
            <w:vAlign w:val="center"/>
          </w:tcPr>
          <w:p w14:paraId="0918B3FA">
            <w:pPr>
              <w:jc w:val="center"/>
              <w:rPr>
                <w:color w:val="auto"/>
              </w:rPr>
            </w:pPr>
          </w:p>
        </w:tc>
        <w:tc>
          <w:tcPr>
            <w:tcW w:w="1521" w:type="dxa"/>
            <w:tcBorders>
              <w:right w:val="single" w:color="000000" w:sz="6" w:space="0"/>
            </w:tcBorders>
            <w:vAlign w:val="center"/>
          </w:tcPr>
          <w:p w14:paraId="13BD2888">
            <w:pPr>
              <w:jc w:val="center"/>
              <w:rPr>
                <w:color w:val="auto"/>
              </w:rPr>
            </w:pPr>
          </w:p>
        </w:tc>
      </w:tr>
      <w:tr w14:paraId="5E81A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center"/>
          </w:tcPr>
          <w:p w14:paraId="604AF856">
            <w:pPr>
              <w:jc w:val="center"/>
              <w:rPr>
                <w:color w:val="auto"/>
              </w:rPr>
            </w:pPr>
          </w:p>
        </w:tc>
        <w:tc>
          <w:tcPr>
            <w:tcW w:w="4742" w:type="dxa"/>
            <w:vAlign w:val="center"/>
          </w:tcPr>
          <w:p w14:paraId="3725EA5D">
            <w:pPr>
              <w:jc w:val="center"/>
              <w:rPr>
                <w:color w:val="auto"/>
              </w:rPr>
            </w:pPr>
          </w:p>
        </w:tc>
        <w:tc>
          <w:tcPr>
            <w:tcW w:w="968" w:type="dxa"/>
            <w:vAlign w:val="center"/>
          </w:tcPr>
          <w:p w14:paraId="449CB392">
            <w:pPr>
              <w:jc w:val="center"/>
              <w:rPr>
                <w:color w:val="auto"/>
              </w:rPr>
            </w:pPr>
          </w:p>
        </w:tc>
        <w:tc>
          <w:tcPr>
            <w:tcW w:w="970" w:type="dxa"/>
            <w:vAlign w:val="center"/>
          </w:tcPr>
          <w:p w14:paraId="4AA1D44F">
            <w:pPr>
              <w:jc w:val="center"/>
              <w:rPr>
                <w:color w:val="auto"/>
              </w:rPr>
            </w:pPr>
          </w:p>
        </w:tc>
        <w:tc>
          <w:tcPr>
            <w:tcW w:w="1521" w:type="dxa"/>
            <w:tcBorders>
              <w:right w:val="single" w:color="000000" w:sz="6" w:space="0"/>
            </w:tcBorders>
            <w:vAlign w:val="center"/>
          </w:tcPr>
          <w:p w14:paraId="3D5AC699">
            <w:pPr>
              <w:jc w:val="center"/>
              <w:rPr>
                <w:color w:val="auto"/>
              </w:rPr>
            </w:pPr>
          </w:p>
        </w:tc>
      </w:tr>
      <w:tr w14:paraId="68D95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2E95DEE0">
            <w:pPr>
              <w:jc w:val="center"/>
              <w:rPr>
                <w:color w:val="auto"/>
              </w:rPr>
            </w:pPr>
          </w:p>
        </w:tc>
        <w:tc>
          <w:tcPr>
            <w:tcW w:w="4742" w:type="dxa"/>
            <w:vAlign w:val="center"/>
          </w:tcPr>
          <w:p w14:paraId="46941329">
            <w:pPr>
              <w:jc w:val="center"/>
              <w:rPr>
                <w:color w:val="auto"/>
              </w:rPr>
            </w:pPr>
          </w:p>
        </w:tc>
        <w:tc>
          <w:tcPr>
            <w:tcW w:w="968" w:type="dxa"/>
            <w:vAlign w:val="center"/>
          </w:tcPr>
          <w:p w14:paraId="39AFF94A">
            <w:pPr>
              <w:jc w:val="center"/>
              <w:rPr>
                <w:color w:val="auto"/>
              </w:rPr>
            </w:pPr>
          </w:p>
        </w:tc>
        <w:tc>
          <w:tcPr>
            <w:tcW w:w="970" w:type="dxa"/>
            <w:vAlign w:val="center"/>
          </w:tcPr>
          <w:p w14:paraId="2EFB6D37">
            <w:pPr>
              <w:jc w:val="center"/>
              <w:rPr>
                <w:color w:val="auto"/>
              </w:rPr>
            </w:pPr>
          </w:p>
        </w:tc>
        <w:tc>
          <w:tcPr>
            <w:tcW w:w="1521" w:type="dxa"/>
            <w:tcBorders>
              <w:right w:val="single" w:color="000000" w:sz="6" w:space="0"/>
            </w:tcBorders>
            <w:vAlign w:val="center"/>
          </w:tcPr>
          <w:p w14:paraId="7E99AEF1">
            <w:pPr>
              <w:jc w:val="center"/>
              <w:rPr>
                <w:color w:val="auto"/>
              </w:rPr>
            </w:pPr>
          </w:p>
        </w:tc>
      </w:tr>
      <w:tr w14:paraId="28FAD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center"/>
          </w:tcPr>
          <w:p w14:paraId="75D91490">
            <w:pPr>
              <w:jc w:val="center"/>
              <w:rPr>
                <w:color w:val="auto"/>
              </w:rPr>
            </w:pPr>
          </w:p>
        </w:tc>
        <w:tc>
          <w:tcPr>
            <w:tcW w:w="4742" w:type="dxa"/>
            <w:vAlign w:val="center"/>
          </w:tcPr>
          <w:p w14:paraId="23F6CA81">
            <w:pPr>
              <w:jc w:val="center"/>
              <w:rPr>
                <w:color w:val="auto"/>
              </w:rPr>
            </w:pPr>
          </w:p>
        </w:tc>
        <w:tc>
          <w:tcPr>
            <w:tcW w:w="968" w:type="dxa"/>
            <w:vAlign w:val="center"/>
          </w:tcPr>
          <w:p w14:paraId="4DC389CF">
            <w:pPr>
              <w:jc w:val="center"/>
              <w:rPr>
                <w:color w:val="auto"/>
              </w:rPr>
            </w:pPr>
          </w:p>
        </w:tc>
        <w:tc>
          <w:tcPr>
            <w:tcW w:w="970" w:type="dxa"/>
            <w:vAlign w:val="center"/>
          </w:tcPr>
          <w:p w14:paraId="618AA6F5">
            <w:pPr>
              <w:jc w:val="center"/>
              <w:rPr>
                <w:color w:val="auto"/>
              </w:rPr>
            </w:pPr>
          </w:p>
        </w:tc>
        <w:tc>
          <w:tcPr>
            <w:tcW w:w="1521" w:type="dxa"/>
            <w:tcBorders>
              <w:right w:val="single" w:color="000000" w:sz="6" w:space="0"/>
            </w:tcBorders>
            <w:vAlign w:val="center"/>
          </w:tcPr>
          <w:p w14:paraId="1F340043">
            <w:pPr>
              <w:jc w:val="center"/>
              <w:rPr>
                <w:color w:val="auto"/>
              </w:rPr>
            </w:pPr>
          </w:p>
        </w:tc>
      </w:tr>
      <w:tr w14:paraId="37B77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center"/>
          </w:tcPr>
          <w:p w14:paraId="3AE877B4">
            <w:pPr>
              <w:jc w:val="center"/>
              <w:rPr>
                <w:color w:val="auto"/>
              </w:rPr>
            </w:pPr>
          </w:p>
        </w:tc>
        <w:tc>
          <w:tcPr>
            <w:tcW w:w="4742" w:type="dxa"/>
            <w:vAlign w:val="center"/>
          </w:tcPr>
          <w:p w14:paraId="03451042">
            <w:pPr>
              <w:jc w:val="center"/>
              <w:rPr>
                <w:color w:val="auto"/>
              </w:rPr>
            </w:pPr>
          </w:p>
        </w:tc>
        <w:tc>
          <w:tcPr>
            <w:tcW w:w="968" w:type="dxa"/>
            <w:vAlign w:val="center"/>
          </w:tcPr>
          <w:p w14:paraId="0B8D5B9E">
            <w:pPr>
              <w:jc w:val="center"/>
              <w:rPr>
                <w:color w:val="auto"/>
              </w:rPr>
            </w:pPr>
          </w:p>
        </w:tc>
        <w:tc>
          <w:tcPr>
            <w:tcW w:w="970" w:type="dxa"/>
            <w:vAlign w:val="center"/>
          </w:tcPr>
          <w:p w14:paraId="49007340">
            <w:pPr>
              <w:jc w:val="center"/>
              <w:rPr>
                <w:color w:val="auto"/>
              </w:rPr>
            </w:pPr>
          </w:p>
        </w:tc>
        <w:tc>
          <w:tcPr>
            <w:tcW w:w="1521" w:type="dxa"/>
            <w:tcBorders>
              <w:right w:val="single" w:color="000000" w:sz="6" w:space="0"/>
            </w:tcBorders>
            <w:vAlign w:val="center"/>
          </w:tcPr>
          <w:p w14:paraId="31522739">
            <w:pPr>
              <w:jc w:val="center"/>
              <w:rPr>
                <w:color w:val="auto"/>
              </w:rPr>
            </w:pPr>
          </w:p>
        </w:tc>
      </w:tr>
      <w:tr w14:paraId="7BB9F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11" w:type="dxa"/>
            <w:tcBorders>
              <w:left w:val="single" w:color="000000" w:sz="6" w:space="0"/>
              <w:bottom w:val="single" w:color="000000" w:sz="6" w:space="0"/>
            </w:tcBorders>
            <w:vAlign w:val="center"/>
          </w:tcPr>
          <w:p w14:paraId="15479F59">
            <w:pPr>
              <w:jc w:val="center"/>
              <w:rPr>
                <w:color w:val="auto"/>
              </w:rPr>
            </w:pPr>
          </w:p>
        </w:tc>
        <w:tc>
          <w:tcPr>
            <w:tcW w:w="4742" w:type="dxa"/>
            <w:tcBorders>
              <w:bottom w:val="single" w:color="000000" w:sz="6" w:space="0"/>
            </w:tcBorders>
            <w:vAlign w:val="center"/>
          </w:tcPr>
          <w:p w14:paraId="77B8DCB1">
            <w:pPr>
              <w:jc w:val="center"/>
              <w:rPr>
                <w:color w:val="auto"/>
              </w:rPr>
            </w:pPr>
          </w:p>
        </w:tc>
        <w:tc>
          <w:tcPr>
            <w:tcW w:w="968" w:type="dxa"/>
            <w:tcBorders>
              <w:bottom w:val="single" w:color="000000" w:sz="6" w:space="0"/>
            </w:tcBorders>
            <w:vAlign w:val="center"/>
          </w:tcPr>
          <w:p w14:paraId="09F75775">
            <w:pPr>
              <w:jc w:val="center"/>
              <w:rPr>
                <w:color w:val="auto"/>
              </w:rPr>
            </w:pPr>
          </w:p>
        </w:tc>
        <w:tc>
          <w:tcPr>
            <w:tcW w:w="970" w:type="dxa"/>
            <w:tcBorders>
              <w:bottom w:val="single" w:color="000000" w:sz="6" w:space="0"/>
            </w:tcBorders>
            <w:vAlign w:val="center"/>
          </w:tcPr>
          <w:p w14:paraId="70E2DF5E">
            <w:pPr>
              <w:jc w:val="center"/>
              <w:rPr>
                <w:color w:val="auto"/>
              </w:rPr>
            </w:pPr>
          </w:p>
        </w:tc>
        <w:tc>
          <w:tcPr>
            <w:tcW w:w="1521" w:type="dxa"/>
            <w:tcBorders>
              <w:bottom w:val="single" w:color="000000" w:sz="6" w:space="0"/>
              <w:right w:val="single" w:color="000000" w:sz="6" w:space="0"/>
            </w:tcBorders>
            <w:vAlign w:val="center"/>
          </w:tcPr>
          <w:p w14:paraId="4AA01E5F">
            <w:pPr>
              <w:jc w:val="center"/>
              <w:rPr>
                <w:color w:val="auto"/>
              </w:rPr>
            </w:pPr>
          </w:p>
        </w:tc>
      </w:tr>
    </w:tbl>
    <w:p w14:paraId="28D95CF5">
      <w:pPr>
        <w:pStyle w:val="8"/>
        <w:rPr>
          <w:color w:val="auto"/>
        </w:rPr>
      </w:pPr>
    </w:p>
    <w:p w14:paraId="35CFDBE0">
      <w:pPr>
        <w:rPr>
          <w:color w:val="auto"/>
        </w:rPr>
        <w:sectPr>
          <w:headerReference r:id="rId11" w:type="default"/>
          <w:footerReference r:id="rId12" w:type="default"/>
          <w:pgSz w:w="11907" w:h="16841"/>
          <w:pgMar w:top="1417" w:right="1511" w:bottom="1254" w:left="1567" w:header="0" w:footer="1093" w:gutter="0"/>
          <w:pgNumType w:fmt="numberInDash"/>
          <w:cols w:space="720" w:num="1"/>
        </w:sectPr>
      </w:pPr>
    </w:p>
    <w:p w14:paraId="0232F50C">
      <w:pPr>
        <w:pStyle w:val="8"/>
        <w:spacing w:line="248" w:lineRule="auto"/>
        <w:rPr>
          <w:color w:val="auto"/>
        </w:rPr>
      </w:pPr>
    </w:p>
    <w:p w14:paraId="77EF8A93">
      <w:pPr>
        <w:spacing w:before="78" w:line="219" w:lineRule="auto"/>
        <w:ind w:left="15"/>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（一）投标人基本情况表</w:t>
      </w:r>
    </w:p>
    <w:p w14:paraId="3BA4129B">
      <w:pPr>
        <w:spacing w:line="147" w:lineRule="exact"/>
        <w:rPr>
          <w:color w:val="auto"/>
          <w:lang w:eastAsia="zh-CN"/>
        </w:rPr>
      </w:pPr>
    </w:p>
    <w:tbl>
      <w:tblPr>
        <w:tblStyle w:val="20"/>
        <w:tblW w:w="882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2"/>
        <w:gridCol w:w="283"/>
        <w:gridCol w:w="642"/>
        <w:gridCol w:w="1090"/>
        <w:gridCol w:w="1176"/>
        <w:gridCol w:w="783"/>
        <w:gridCol w:w="829"/>
        <w:gridCol w:w="970"/>
        <w:gridCol w:w="875"/>
        <w:gridCol w:w="738"/>
      </w:tblGrid>
      <w:tr w14:paraId="07D75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jc w:val="center"/>
        </w:trPr>
        <w:tc>
          <w:tcPr>
            <w:tcW w:w="1442" w:type="dxa"/>
            <w:tcBorders>
              <w:top w:val="single" w:color="000000" w:sz="6" w:space="0"/>
              <w:left w:val="single" w:color="000000" w:sz="6" w:space="0"/>
            </w:tcBorders>
            <w:vAlign w:val="center"/>
          </w:tcPr>
          <w:p w14:paraId="206A8FC3">
            <w:pPr>
              <w:pStyle w:val="21"/>
              <w:jc w:val="center"/>
              <w:rPr>
                <w:rFonts w:hint="eastAsia"/>
                <w:color w:val="auto"/>
                <w:sz w:val="24"/>
                <w:szCs w:val="24"/>
              </w:rPr>
            </w:pPr>
            <w:r>
              <w:rPr>
                <w:color w:val="auto"/>
                <w:spacing w:val="-2"/>
                <w:sz w:val="24"/>
                <w:szCs w:val="24"/>
              </w:rPr>
              <w:t>投标人名称</w:t>
            </w:r>
          </w:p>
        </w:tc>
        <w:tc>
          <w:tcPr>
            <w:tcW w:w="7386" w:type="dxa"/>
            <w:gridSpan w:val="9"/>
            <w:tcBorders>
              <w:top w:val="single" w:color="000000" w:sz="6" w:space="0"/>
              <w:right w:val="single" w:color="000000" w:sz="6" w:space="0"/>
            </w:tcBorders>
            <w:vAlign w:val="center"/>
          </w:tcPr>
          <w:p w14:paraId="331A024F">
            <w:pPr>
              <w:jc w:val="center"/>
              <w:rPr>
                <w:color w:val="auto"/>
              </w:rPr>
            </w:pPr>
          </w:p>
        </w:tc>
      </w:tr>
      <w:tr w14:paraId="35047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1442" w:type="dxa"/>
            <w:tcBorders>
              <w:left w:val="single" w:color="000000" w:sz="6" w:space="0"/>
            </w:tcBorders>
            <w:vAlign w:val="center"/>
          </w:tcPr>
          <w:p w14:paraId="6BE5DB69">
            <w:pPr>
              <w:pStyle w:val="21"/>
              <w:jc w:val="center"/>
              <w:rPr>
                <w:rFonts w:hint="eastAsia"/>
                <w:color w:val="auto"/>
                <w:sz w:val="24"/>
                <w:szCs w:val="24"/>
              </w:rPr>
            </w:pPr>
            <w:r>
              <w:rPr>
                <w:color w:val="auto"/>
                <w:spacing w:val="-2"/>
                <w:sz w:val="24"/>
                <w:szCs w:val="24"/>
              </w:rPr>
              <w:t>注册地址</w:t>
            </w:r>
          </w:p>
        </w:tc>
        <w:tc>
          <w:tcPr>
            <w:tcW w:w="3191" w:type="dxa"/>
            <w:gridSpan w:val="4"/>
            <w:vAlign w:val="center"/>
          </w:tcPr>
          <w:p w14:paraId="6C1F2EDF">
            <w:pPr>
              <w:jc w:val="center"/>
              <w:rPr>
                <w:color w:val="auto"/>
              </w:rPr>
            </w:pPr>
          </w:p>
        </w:tc>
        <w:tc>
          <w:tcPr>
            <w:tcW w:w="1612" w:type="dxa"/>
            <w:gridSpan w:val="2"/>
            <w:vAlign w:val="center"/>
          </w:tcPr>
          <w:p w14:paraId="0356183A">
            <w:pPr>
              <w:pStyle w:val="21"/>
              <w:jc w:val="center"/>
              <w:rPr>
                <w:rFonts w:hint="eastAsia"/>
                <w:color w:val="auto"/>
                <w:sz w:val="24"/>
                <w:szCs w:val="24"/>
              </w:rPr>
            </w:pPr>
            <w:r>
              <w:rPr>
                <w:color w:val="auto"/>
                <w:spacing w:val="-6"/>
                <w:sz w:val="24"/>
                <w:szCs w:val="24"/>
              </w:rPr>
              <w:t>邮政编码</w:t>
            </w:r>
          </w:p>
        </w:tc>
        <w:tc>
          <w:tcPr>
            <w:tcW w:w="2583" w:type="dxa"/>
            <w:gridSpan w:val="3"/>
            <w:tcBorders>
              <w:right w:val="single" w:color="000000" w:sz="6" w:space="0"/>
            </w:tcBorders>
            <w:vAlign w:val="center"/>
          </w:tcPr>
          <w:p w14:paraId="18EC1C40">
            <w:pPr>
              <w:jc w:val="center"/>
              <w:rPr>
                <w:color w:val="auto"/>
              </w:rPr>
            </w:pPr>
          </w:p>
        </w:tc>
      </w:tr>
      <w:tr w14:paraId="47DF0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1442" w:type="dxa"/>
            <w:vMerge w:val="restart"/>
            <w:tcBorders>
              <w:left w:val="single" w:color="000000" w:sz="6" w:space="0"/>
              <w:bottom w:val="nil"/>
            </w:tcBorders>
            <w:vAlign w:val="center"/>
          </w:tcPr>
          <w:p w14:paraId="07A4AB3D">
            <w:pPr>
              <w:pStyle w:val="21"/>
              <w:jc w:val="center"/>
              <w:rPr>
                <w:rFonts w:hint="eastAsia"/>
                <w:color w:val="auto"/>
                <w:sz w:val="24"/>
                <w:szCs w:val="24"/>
              </w:rPr>
            </w:pPr>
            <w:r>
              <w:rPr>
                <w:color w:val="auto"/>
                <w:spacing w:val="-2"/>
                <w:sz w:val="24"/>
                <w:szCs w:val="24"/>
              </w:rPr>
              <w:t>联系方式</w:t>
            </w:r>
          </w:p>
        </w:tc>
        <w:tc>
          <w:tcPr>
            <w:tcW w:w="925" w:type="dxa"/>
            <w:gridSpan w:val="2"/>
            <w:vAlign w:val="center"/>
          </w:tcPr>
          <w:p w14:paraId="5349E986">
            <w:pPr>
              <w:pStyle w:val="21"/>
              <w:jc w:val="center"/>
              <w:rPr>
                <w:rFonts w:hint="eastAsia"/>
                <w:color w:val="auto"/>
                <w:sz w:val="24"/>
                <w:szCs w:val="24"/>
              </w:rPr>
            </w:pPr>
            <w:r>
              <w:rPr>
                <w:color w:val="auto"/>
                <w:spacing w:val="-3"/>
                <w:sz w:val="24"/>
                <w:szCs w:val="24"/>
              </w:rPr>
              <w:t>联系人</w:t>
            </w:r>
          </w:p>
        </w:tc>
        <w:tc>
          <w:tcPr>
            <w:tcW w:w="2266" w:type="dxa"/>
            <w:gridSpan w:val="2"/>
            <w:vAlign w:val="center"/>
          </w:tcPr>
          <w:p w14:paraId="55909385">
            <w:pPr>
              <w:jc w:val="center"/>
              <w:rPr>
                <w:color w:val="auto"/>
              </w:rPr>
            </w:pPr>
          </w:p>
        </w:tc>
        <w:tc>
          <w:tcPr>
            <w:tcW w:w="1612" w:type="dxa"/>
            <w:gridSpan w:val="2"/>
            <w:vAlign w:val="center"/>
          </w:tcPr>
          <w:p w14:paraId="267826FD">
            <w:pPr>
              <w:pStyle w:val="21"/>
              <w:jc w:val="center"/>
              <w:rPr>
                <w:rFonts w:hint="eastAsia"/>
                <w:color w:val="auto"/>
                <w:sz w:val="24"/>
                <w:szCs w:val="24"/>
              </w:rPr>
            </w:pPr>
            <w:r>
              <w:rPr>
                <w:color w:val="auto"/>
                <w:spacing w:val="-19"/>
                <w:sz w:val="24"/>
                <w:szCs w:val="24"/>
              </w:rPr>
              <w:t>电</w:t>
            </w:r>
            <w:r>
              <w:rPr>
                <w:rFonts w:hint="eastAsia"/>
                <w:color w:val="auto"/>
                <w:spacing w:val="4"/>
                <w:sz w:val="24"/>
                <w:szCs w:val="24"/>
                <w:lang w:eastAsia="zh-CN"/>
              </w:rPr>
              <w:t>　</w:t>
            </w:r>
            <w:r>
              <w:rPr>
                <w:color w:val="auto"/>
                <w:spacing w:val="-19"/>
                <w:sz w:val="24"/>
                <w:szCs w:val="24"/>
              </w:rPr>
              <w:t>话</w:t>
            </w:r>
          </w:p>
        </w:tc>
        <w:tc>
          <w:tcPr>
            <w:tcW w:w="2583" w:type="dxa"/>
            <w:gridSpan w:val="3"/>
            <w:tcBorders>
              <w:right w:val="single" w:color="000000" w:sz="6" w:space="0"/>
            </w:tcBorders>
            <w:vAlign w:val="center"/>
          </w:tcPr>
          <w:p w14:paraId="6A7C914C">
            <w:pPr>
              <w:jc w:val="center"/>
              <w:rPr>
                <w:color w:val="auto"/>
              </w:rPr>
            </w:pPr>
          </w:p>
        </w:tc>
      </w:tr>
      <w:tr w14:paraId="64C45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jc w:val="center"/>
        </w:trPr>
        <w:tc>
          <w:tcPr>
            <w:tcW w:w="1442" w:type="dxa"/>
            <w:vMerge w:val="continue"/>
            <w:tcBorders>
              <w:top w:val="nil"/>
              <w:left w:val="single" w:color="000000" w:sz="6" w:space="0"/>
            </w:tcBorders>
            <w:vAlign w:val="center"/>
          </w:tcPr>
          <w:p w14:paraId="51D74147">
            <w:pPr>
              <w:jc w:val="center"/>
              <w:rPr>
                <w:color w:val="auto"/>
              </w:rPr>
            </w:pPr>
          </w:p>
        </w:tc>
        <w:tc>
          <w:tcPr>
            <w:tcW w:w="925" w:type="dxa"/>
            <w:gridSpan w:val="2"/>
            <w:vAlign w:val="center"/>
          </w:tcPr>
          <w:p w14:paraId="49F03322">
            <w:pPr>
              <w:pStyle w:val="21"/>
              <w:jc w:val="center"/>
              <w:rPr>
                <w:rFonts w:hint="eastAsia"/>
                <w:color w:val="auto"/>
                <w:sz w:val="24"/>
                <w:szCs w:val="24"/>
              </w:rPr>
            </w:pPr>
            <w:r>
              <w:rPr>
                <w:color w:val="auto"/>
                <w:spacing w:val="-4"/>
                <w:sz w:val="24"/>
                <w:szCs w:val="24"/>
              </w:rPr>
              <w:t>传真</w:t>
            </w:r>
          </w:p>
        </w:tc>
        <w:tc>
          <w:tcPr>
            <w:tcW w:w="2266" w:type="dxa"/>
            <w:gridSpan w:val="2"/>
            <w:vAlign w:val="center"/>
          </w:tcPr>
          <w:p w14:paraId="1EE6803C">
            <w:pPr>
              <w:jc w:val="center"/>
              <w:rPr>
                <w:color w:val="auto"/>
              </w:rPr>
            </w:pPr>
          </w:p>
        </w:tc>
        <w:tc>
          <w:tcPr>
            <w:tcW w:w="1612" w:type="dxa"/>
            <w:gridSpan w:val="2"/>
            <w:vAlign w:val="center"/>
          </w:tcPr>
          <w:p w14:paraId="0BD25252">
            <w:pPr>
              <w:pStyle w:val="21"/>
              <w:jc w:val="center"/>
              <w:rPr>
                <w:rFonts w:hint="eastAsia"/>
                <w:color w:val="auto"/>
                <w:sz w:val="24"/>
                <w:szCs w:val="24"/>
              </w:rPr>
            </w:pPr>
            <w:r>
              <w:rPr>
                <w:color w:val="auto"/>
                <w:spacing w:val="-8"/>
                <w:sz w:val="24"/>
                <w:szCs w:val="24"/>
              </w:rPr>
              <w:t>电子信箱</w:t>
            </w:r>
          </w:p>
        </w:tc>
        <w:tc>
          <w:tcPr>
            <w:tcW w:w="2583" w:type="dxa"/>
            <w:gridSpan w:val="3"/>
            <w:tcBorders>
              <w:right w:val="single" w:color="000000" w:sz="6" w:space="0"/>
            </w:tcBorders>
            <w:vAlign w:val="center"/>
          </w:tcPr>
          <w:p w14:paraId="1EACC312">
            <w:pPr>
              <w:jc w:val="center"/>
              <w:rPr>
                <w:color w:val="auto"/>
              </w:rPr>
            </w:pPr>
          </w:p>
        </w:tc>
      </w:tr>
      <w:tr w14:paraId="5663B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1442" w:type="dxa"/>
            <w:tcBorders>
              <w:left w:val="single" w:color="000000" w:sz="6" w:space="0"/>
            </w:tcBorders>
            <w:vAlign w:val="center"/>
          </w:tcPr>
          <w:p w14:paraId="5AEF0B63">
            <w:pPr>
              <w:pStyle w:val="21"/>
              <w:jc w:val="center"/>
              <w:rPr>
                <w:rFonts w:hint="eastAsia"/>
                <w:color w:val="auto"/>
                <w:sz w:val="24"/>
                <w:szCs w:val="24"/>
              </w:rPr>
            </w:pPr>
            <w:r>
              <w:rPr>
                <w:color w:val="auto"/>
                <w:spacing w:val="-3"/>
                <w:sz w:val="24"/>
                <w:szCs w:val="24"/>
              </w:rPr>
              <w:t>企业性质</w:t>
            </w:r>
          </w:p>
        </w:tc>
        <w:tc>
          <w:tcPr>
            <w:tcW w:w="2015" w:type="dxa"/>
            <w:gridSpan w:val="3"/>
            <w:vAlign w:val="center"/>
          </w:tcPr>
          <w:p w14:paraId="1F94B493">
            <w:pPr>
              <w:jc w:val="center"/>
              <w:rPr>
                <w:color w:val="auto"/>
              </w:rPr>
            </w:pPr>
          </w:p>
        </w:tc>
        <w:tc>
          <w:tcPr>
            <w:tcW w:w="2788" w:type="dxa"/>
            <w:gridSpan w:val="3"/>
            <w:vAlign w:val="center"/>
          </w:tcPr>
          <w:p w14:paraId="26E03C8D">
            <w:pPr>
              <w:pStyle w:val="21"/>
              <w:jc w:val="center"/>
              <w:rPr>
                <w:rFonts w:hint="eastAsia"/>
                <w:color w:val="auto"/>
                <w:sz w:val="24"/>
                <w:szCs w:val="24"/>
              </w:rPr>
            </w:pPr>
            <w:r>
              <w:rPr>
                <w:color w:val="auto"/>
                <w:spacing w:val="-2"/>
                <w:sz w:val="24"/>
                <w:szCs w:val="24"/>
              </w:rPr>
              <w:t>上级主管单位</w:t>
            </w:r>
          </w:p>
        </w:tc>
        <w:tc>
          <w:tcPr>
            <w:tcW w:w="2583" w:type="dxa"/>
            <w:gridSpan w:val="3"/>
            <w:tcBorders>
              <w:right w:val="single" w:color="000000" w:sz="6" w:space="0"/>
            </w:tcBorders>
            <w:vAlign w:val="center"/>
          </w:tcPr>
          <w:p w14:paraId="037FBC33">
            <w:pPr>
              <w:jc w:val="center"/>
              <w:rPr>
                <w:color w:val="auto"/>
              </w:rPr>
            </w:pPr>
          </w:p>
        </w:tc>
      </w:tr>
      <w:tr w14:paraId="5BE53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1442" w:type="dxa"/>
            <w:tcBorders>
              <w:left w:val="single" w:color="000000" w:sz="6" w:space="0"/>
            </w:tcBorders>
            <w:vAlign w:val="center"/>
          </w:tcPr>
          <w:p w14:paraId="4A2CAE4A">
            <w:pPr>
              <w:pStyle w:val="21"/>
              <w:jc w:val="center"/>
              <w:rPr>
                <w:rFonts w:hint="eastAsia"/>
                <w:color w:val="auto"/>
                <w:sz w:val="24"/>
                <w:szCs w:val="24"/>
              </w:rPr>
            </w:pPr>
            <w:r>
              <w:rPr>
                <w:color w:val="auto"/>
                <w:spacing w:val="-2"/>
                <w:sz w:val="24"/>
                <w:szCs w:val="24"/>
              </w:rPr>
              <w:t>法定代表人</w:t>
            </w:r>
          </w:p>
        </w:tc>
        <w:tc>
          <w:tcPr>
            <w:tcW w:w="925" w:type="dxa"/>
            <w:gridSpan w:val="2"/>
            <w:vAlign w:val="center"/>
          </w:tcPr>
          <w:p w14:paraId="2F273183">
            <w:pPr>
              <w:pStyle w:val="21"/>
              <w:jc w:val="center"/>
              <w:rPr>
                <w:rFonts w:hint="eastAsia"/>
                <w:color w:val="auto"/>
                <w:sz w:val="24"/>
                <w:szCs w:val="24"/>
              </w:rPr>
            </w:pPr>
            <w:r>
              <w:rPr>
                <w:color w:val="auto"/>
                <w:spacing w:val="-3"/>
                <w:sz w:val="24"/>
                <w:szCs w:val="24"/>
              </w:rPr>
              <w:t>姓名</w:t>
            </w:r>
          </w:p>
        </w:tc>
        <w:tc>
          <w:tcPr>
            <w:tcW w:w="1090" w:type="dxa"/>
            <w:vAlign w:val="center"/>
          </w:tcPr>
          <w:p w14:paraId="0DA34642">
            <w:pPr>
              <w:jc w:val="center"/>
              <w:rPr>
                <w:color w:val="auto"/>
              </w:rPr>
            </w:pPr>
          </w:p>
        </w:tc>
        <w:tc>
          <w:tcPr>
            <w:tcW w:w="1176" w:type="dxa"/>
            <w:vAlign w:val="center"/>
          </w:tcPr>
          <w:p w14:paraId="4BCB1962">
            <w:pPr>
              <w:pStyle w:val="21"/>
              <w:jc w:val="center"/>
              <w:rPr>
                <w:rFonts w:hint="eastAsia"/>
                <w:color w:val="auto"/>
                <w:sz w:val="24"/>
                <w:szCs w:val="24"/>
              </w:rPr>
            </w:pPr>
            <w:r>
              <w:rPr>
                <w:color w:val="auto"/>
                <w:spacing w:val="-2"/>
                <w:sz w:val="24"/>
                <w:szCs w:val="24"/>
              </w:rPr>
              <w:t>技术职称</w:t>
            </w:r>
          </w:p>
        </w:tc>
        <w:tc>
          <w:tcPr>
            <w:tcW w:w="1612" w:type="dxa"/>
            <w:gridSpan w:val="2"/>
            <w:vAlign w:val="center"/>
          </w:tcPr>
          <w:p w14:paraId="4999A269">
            <w:pPr>
              <w:jc w:val="center"/>
              <w:rPr>
                <w:color w:val="auto"/>
              </w:rPr>
            </w:pPr>
          </w:p>
        </w:tc>
        <w:tc>
          <w:tcPr>
            <w:tcW w:w="970" w:type="dxa"/>
            <w:vAlign w:val="center"/>
          </w:tcPr>
          <w:p w14:paraId="25F87FDF">
            <w:pPr>
              <w:pStyle w:val="21"/>
              <w:jc w:val="center"/>
              <w:rPr>
                <w:rFonts w:hint="eastAsia"/>
                <w:color w:val="auto"/>
                <w:sz w:val="24"/>
                <w:szCs w:val="24"/>
              </w:rPr>
            </w:pPr>
            <w:r>
              <w:rPr>
                <w:color w:val="auto"/>
                <w:spacing w:val="-10"/>
                <w:sz w:val="24"/>
                <w:szCs w:val="24"/>
              </w:rPr>
              <w:t>电话</w:t>
            </w:r>
          </w:p>
        </w:tc>
        <w:tc>
          <w:tcPr>
            <w:tcW w:w="1613" w:type="dxa"/>
            <w:gridSpan w:val="2"/>
            <w:tcBorders>
              <w:right w:val="single" w:color="000000" w:sz="6" w:space="0"/>
            </w:tcBorders>
            <w:vAlign w:val="center"/>
          </w:tcPr>
          <w:p w14:paraId="494E4CCD">
            <w:pPr>
              <w:jc w:val="center"/>
              <w:rPr>
                <w:color w:val="auto"/>
              </w:rPr>
            </w:pPr>
          </w:p>
        </w:tc>
      </w:tr>
      <w:tr w14:paraId="59FB2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1442" w:type="dxa"/>
            <w:tcBorders>
              <w:left w:val="single" w:color="000000" w:sz="6" w:space="0"/>
            </w:tcBorders>
            <w:vAlign w:val="center"/>
          </w:tcPr>
          <w:p w14:paraId="036AB683">
            <w:pPr>
              <w:pStyle w:val="21"/>
              <w:jc w:val="center"/>
              <w:rPr>
                <w:rFonts w:hint="eastAsia"/>
                <w:color w:val="auto"/>
                <w:sz w:val="24"/>
                <w:szCs w:val="24"/>
              </w:rPr>
            </w:pPr>
            <w:r>
              <w:rPr>
                <w:color w:val="auto"/>
                <w:spacing w:val="-2"/>
                <w:sz w:val="24"/>
                <w:szCs w:val="24"/>
              </w:rPr>
              <w:t>技术负责人</w:t>
            </w:r>
          </w:p>
        </w:tc>
        <w:tc>
          <w:tcPr>
            <w:tcW w:w="925" w:type="dxa"/>
            <w:gridSpan w:val="2"/>
            <w:vAlign w:val="center"/>
          </w:tcPr>
          <w:p w14:paraId="2FE879A9">
            <w:pPr>
              <w:pStyle w:val="21"/>
              <w:jc w:val="center"/>
              <w:rPr>
                <w:rFonts w:hint="eastAsia"/>
                <w:color w:val="auto"/>
                <w:sz w:val="24"/>
                <w:szCs w:val="24"/>
              </w:rPr>
            </w:pPr>
            <w:r>
              <w:rPr>
                <w:color w:val="auto"/>
                <w:spacing w:val="-3"/>
                <w:sz w:val="24"/>
                <w:szCs w:val="24"/>
              </w:rPr>
              <w:t>姓名</w:t>
            </w:r>
          </w:p>
        </w:tc>
        <w:tc>
          <w:tcPr>
            <w:tcW w:w="1090" w:type="dxa"/>
            <w:vAlign w:val="center"/>
          </w:tcPr>
          <w:p w14:paraId="04901979">
            <w:pPr>
              <w:jc w:val="center"/>
              <w:rPr>
                <w:color w:val="auto"/>
              </w:rPr>
            </w:pPr>
          </w:p>
        </w:tc>
        <w:tc>
          <w:tcPr>
            <w:tcW w:w="1176" w:type="dxa"/>
            <w:vAlign w:val="center"/>
          </w:tcPr>
          <w:p w14:paraId="272DD89A">
            <w:pPr>
              <w:pStyle w:val="21"/>
              <w:jc w:val="center"/>
              <w:rPr>
                <w:rFonts w:hint="eastAsia"/>
                <w:color w:val="auto"/>
                <w:sz w:val="24"/>
                <w:szCs w:val="24"/>
              </w:rPr>
            </w:pPr>
            <w:r>
              <w:rPr>
                <w:color w:val="auto"/>
                <w:spacing w:val="-2"/>
                <w:sz w:val="24"/>
                <w:szCs w:val="24"/>
              </w:rPr>
              <w:t>技术职称</w:t>
            </w:r>
          </w:p>
        </w:tc>
        <w:tc>
          <w:tcPr>
            <w:tcW w:w="1612" w:type="dxa"/>
            <w:gridSpan w:val="2"/>
            <w:vAlign w:val="center"/>
          </w:tcPr>
          <w:p w14:paraId="24DB54C7">
            <w:pPr>
              <w:jc w:val="center"/>
              <w:rPr>
                <w:color w:val="auto"/>
              </w:rPr>
            </w:pPr>
          </w:p>
        </w:tc>
        <w:tc>
          <w:tcPr>
            <w:tcW w:w="970" w:type="dxa"/>
            <w:vAlign w:val="center"/>
          </w:tcPr>
          <w:p w14:paraId="0D501F0D">
            <w:pPr>
              <w:pStyle w:val="21"/>
              <w:jc w:val="center"/>
              <w:rPr>
                <w:rFonts w:hint="eastAsia"/>
                <w:color w:val="auto"/>
                <w:sz w:val="24"/>
                <w:szCs w:val="24"/>
              </w:rPr>
            </w:pPr>
            <w:r>
              <w:rPr>
                <w:color w:val="auto"/>
                <w:spacing w:val="-10"/>
                <w:sz w:val="24"/>
                <w:szCs w:val="24"/>
              </w:rPr>
              <w:t>电话</w:t>
            </w:r>
          </w:p>
        </w:tc>
        <w:tc>
          <w:tcPr>
            <w:tcW w:w="1613" w:type="dxa"/>
            <w:gridSpan w:val="2"/>
            <w:tcBorders>
              <w:right w:val="single" w:color="000000" w:sz="6" w:space="0"/>
            </w:tcBorders>
            <w:vAlign w:val="center"/>
          </w:tcPr>
          <w:p w14:paraId="55C3F782">
            <w:pPr>
              <w:jc w:val="center"/>
              <w:rPr>
                <w:color w:val="auto"/>
              </w:rPr>
            </w:pPr>
          </w:p>
        </w:tc>
      </w:tr>
      <w:tr w14:paraId="59689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2367" w:type="dxa"/>
            <w:gridSpan w:val="3"/>
            <w:tcBorders>
              <w:left w:val="single" w:color="000000" w:sz="6" w:space="0"/>
            </w:tcBorders>
            <w:vAlign w:val="center"/>
          </w:tcPr>
          <w:p w14:paraId="12674E09">
            <w:pPr>
              <w:pStyle w:val="21"/>
              <w:jc w:val="center"/>
              <w:rPr>
                <w:rFonts w:hint="eastAsia"/>
                <w:color w:val="auto"/>
                <w:sz w:val="24"/>
                <w:szCs w:val="24"/>
              </w:rPr>
            </w:pPr>
            <w:r>
              <w:rPr>
                <w:color w:val="auto"/>
                <w:spacing w:val="-3"/>
                <w:sz w:val="24"/>
                <w:szCs w:val="24"/>
              </w:rPr>
              <w:t>成立时间</w:t>
            </w:r>
          </w:p>
        </w:tc>
        <w:tc>
          <w:tcPr>
            <w:tcW w:w="2266" w:type="dxa"/>
            <w:gridSpan w:val="2"/>
            <w:vAlign w:val="center"/>
          </w:tcPr>
          <w:p w14:paraId="20297854">
            <w:pPr>
              <w:jc w:val="center"/>
              <w:rPr>
                <w:color w:val="auto"/>
              </w:rPr>
            </w:pPr>
          </w:p>
        </w:tc>
        <w:tc>
          <w:tcPr>
            <w:tcW w:w="3457" w:type="dxa"/>
            <w:gridSpan w:val="4"/>
            <w:vAlign w:val="center"/>
          </w:tcPr>
          <w:p w14:paraId="71F9E5CF">
            <w:pPr>
              <w:pStyle w:val="21"/>
              <w:jc w:val="center"/>
              <w:rPr>
                <w:rFonts w:hint="eastAsia"/>
                <w:color w:val="auto"/>
                <w:sz w:val="24"/>
                <w:szCs w:val="24"/>
              </w:rPr>
            </w:pPr>
            <w:r>
              <w:rPr>
                <w:color w:val="auto"/>
                <w:spacing w:val="-4"/>
                <w:sz w:val="24"/>
                <w:szCs w:val="24"/>
              </w:rPr>
              <w:t>员工总人数（人）</w:t>
            </w:r>
          </w:p>
        </w:tc>
        <w:tc>
          <w:tcPr>
            <w:tcW w:w="738" w:type="dxa"/>
            <w:tcBorders>
              <w:right w:val="single" w:color="000000" w:sz="6" w:space="0"/>
            </w:tcBorders>
            <w:vAlign w:val="center"/>
          </w:tcPr>
          <w:p w14:paraId="1AF2385A">
            <w:pPr>
              <w:jc w:val="center"/>
              <w:rPr>
                <w:color w:val="auto"/>
              </w:rPr>
            </w:pPr>
          </w:p>
        </w:tc>
      </w:tr>
      <w:tr w14:paraId="1BC79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2367" w:type="dxa"/>
            <w:gridSpan w:val="3"/>
            <w:tcBorders>
              <w:left w:val="single" w:color="000000" w:sz="6" w:space="0"/>
            </w:tcBorders>
            <w:vAlign w:val="center"/>
          </w:tcPr>
          <w:p w14:paraId="1D2DEFC6">
            <w:pPr>
              <w:pStyle w:val="21"/>
              <w:jc w:val="center"/>
              <w:rPr>
                <w:rFonts w:hint="eastAsia"/>
                <w:color w:val="auto"/>
                <w:sz w:val="24"/>
                <w:szCs w:val="24"/>
              </w:rPr>
            </w:pPr>
            <w:r>
              <w:rPr>
                <w:color w:val="auto"/>
                <w:spacing w:val="-2"/>
                <w:sz w:val="24"/>
                <w:szCs w:val="24"/>
              </w:rPr>
              <w:t>企业资质等级</w:t>
            </w:r>
          </w:p>
        </w:tc>
        <w:tc>
          <w:tcPr>
            <w:tcW w:w="2266" w:type="dxa"/>
            <w:gridSpan w:val="2"/>
            <w:vAlign w:val="center"/>
          </w:tcPr>
          <w:p w14:paraId="065452C7">
            <w:pPr>
              <w:jc w:val="center"/>
              <w:rPr>
                <w:color w:val="auto"/>
              </w:rPr>
            </w:pPr>
          </w:p>
        </w:tc>
        <w:tc>
          <w:tcPr>
            <w:tcW w:w="783" w:type="dxa"/>
            <w:vMerge w:val="restart"/>
            <w:tcBorders>
              <w:bottom w:val="nil"/>
            </w:tcBorders>
            <w:vAlign w:val="center"/>
          </w:tcPr>
          <w:p w14:paraId="6BF85995">
            <w:pPr>
              <w:pStyle w:val="21"/>
              <w:jc w:val="center"/>
              <w:rPr>
                <w:rFonts w:hint="eastAsia"/>
                <w:color w:val="auto"/>
                <w:sz w:val="24"/>
                <w:szCs w:val="24"/>
              </w:rPr>
            </w:pPr>
            <w:r>
              <w:rPr>
                <w:color w:val="auto"/>
                <w:spacing w:val="-3"/>
                <w:sz w:val="24"/>
                <w:szCs w:val="24"/>
              </w:rPr>
              <w:t>其中</w:t>
            </w:r>
          </w:p>
        </w:tc>
        <w:tc>
          <w:tcPr>
            <w:tcW w:w="2674" w:type="dxa"/>
            <w:gridSpan w:val="3"/>
            <w:vAlign w:val="center"/>
          </w:tcPr>
          <w:p w14:paraId="3191994C">
            <w:pPr>
              <w:pStyle w:val="21"/>
              <w:jc w:val="center"/>
              <w:rPr>
                <w:rFonts w:hint="eastAsia"/>
                <w:color w:val="auto"/>
                <w:sz w:val="24"/>
                <w:szCs w:val="24"/>
              </w:rPr>
            </w:pPr>
            <w:r>
              <w:rPr>
                <w:color w:val="auto"/>
                <w:spacing w:val="-4"/>
                <w:sz w:val="24"/>
                <w:szCs w:val="24"/>
              </w:rPr>
              <w:t>项目负责人（人）</w:t>
            </w:r>
          </w:p>
        </w:tc>
        <w:tc>
          <w:tcPr>
            <w:tcW w:w="738" w:type="dxa"/>
            <w:tcBorders>
              <w:right w:val="single" w:color="000000" w:sz="6" w:space="0"/>
            </w:tcBorders>
            <w:vAlign w:val="center"/>
          </w:tcPr>
          <w:p w14:paraId="39B2CF4D">
            <w:pPr>
              <w:jc w:val="center"/>
              <w:rPr>
                <w:color w:val="auto"/>
              </w:rPr>
            </w:pPr>
          </w:p>
        </w:tc>
      </w:tr>
      <w:tr w14:paraId="06C0F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2367" w:type="dxa"/>
            <w:gridSpan w:val="3"/>
            <w:tcBorders>
              <w:left w:val="single" w:color="000000" w:sz="6" w:space="0"/>
            </w:tcBorders>
            <w:vAlign w:val="center"/>
          </w:tcPr>
          <w:p w14:paraId="53DA50C2">
            <w:pPr>
              <w:pStyle w:val="21"/>
              <w:jc w:val="center"/>
              <w:rPr>
                <w:rFonts w:hint="eastAsia"/>
                <w:color w:val="auto"/>
                <w:sz w:val="24"/>
                <w:szCs w:val="24"/>
              </w:rPr>
            </w:pPr>
            <w:r>
              <w:rPr>
                <w:color w:val="auto"/>
                <w:spacing w:val="-2"/>
                <w:sz w:val="24"/>
                <w:szCs w:val="24"/>
              </w:rPr>
              <w:t>统一社会信用代码</w:t>
            </w:r>
          </w:p>
        </w:tc>
        <w:tc>
          <w:tcPr>
            <w:tcW w:w="2266" w:type="dxa"/>
            <w:gridSpan w:val="2"/>
            <w:vAlign w:val="center"/>
          </w:tcPr>
          <w:p w14:paraId="79590754">
            <w:pPr>
              <w:jc w:val="center"/>
              <w:rPr>
                <w:color w:val="auto"/>
              </w:rPr>
            </w:pPr>
          </w:p>
        </w:tc>
        <w:tc>
          <w:tcPr>
            <w:tcW w:w="783" w:type="dxa"/>
            <w:vMerge w:val="continue"/>
            <w:tcBorders>
              <w:top w:val="nil"/>
              <w:bottom w:val="nil"/>
            </w:tcBorders>
            <w:vAlign w:val="center"/>
          </w:tcPr>
          <w:p w14:paraId="677B0E16">
            <w:pPr>
              <w:jc w:val="center"/>
              <w:rPr>
                <w:color w:val="auto"/>
              </w:rPr>
            </w:pPr>
          </w:p>
        </w:tc>
        <w:tc>
          <w:tcPr>
            <w:tcW w:w="2674" w:type="dxa"/>
            <w:gridSpan w:val="3"/>
            <w:vAlign w:val="center"/>
          </w:tcPr>
          <w:p w14:paraId="76D84379">
            <w:pPr>
              <w:pStyle w:val="21"/>
              <w:jc w:val="center"/>
              <w:rPr>
                <w:rFonts w:hint="eastAsia"/>
                <w:color w:val="auto"/>
                <w:sz w:val="24"/>
                <w:szCs w:val="24"/>
              </w:rPr>
            </w:pPr>
            <w:r>
              <w:rPr>
                <w:color w:val="auto"/>
                <w:spacing w:val="-4"/>
                <w:sz w:val="24"/>
                <w:szCs w:val="24"/>
              </w:rPr>
              <w:t>高级职称人员（人）</w:t>
            </w:r>
          </w:p>
        </w:tc>
        <w:tc>
          <w:tcPr>
            <w:tcW w:w="738" w:type="dxa"/>
            <w:tcBorders>
              <w:right w:val="single" w:color="000000" w:sz="6" w:space="0"/>
            </w:tcBorders>
            <w:vAlign w:val="center"/>
          </w:tcPr>
          <w:p w14:paraId="61A15EDC">
            <w:pPr>
              <w:jc w:val="center"/>
              <w:rPr>
                <w:color w:val="auto"/>
              </w:rPr>
            </w:pPr>
          </w:p>
        </w:tc>
      </w:tr>
      <w:tr w14:paraId="6B94A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2367" w:type="dxa"/>
            <w:gridSpan w:val="3"/>
            <w:tcBorders>
              <w:left w:val="single" w:color="000000" w:sz="6" w:space="0"/>
            </w:tcBorders>
            <w:vAlign w:val="center"/>
          </w:tcPr>
          <w:p w14:paraId="341BC372">
            <w:pPr>
              <w:pStyle w:val="21"/>
              <w:jc w:val="center"/>
              <w:rPr>
                <w:rFonts w:hint="eastAsia"/>
                <w:color w:val="auto"/>
                <w:sz w:val="24"/>
                <w:szCs w:val="24"/>
              </w:rPr>
            </w:pPr>
            <w:r>
              <w:rPr>
                <w:color w:val="auto"/>
                <w:spacing w:val="-2"/>
                <w:sz w:val="24"/>
                <w:szCs w:val="24"/>
              </w:rPr>
              <w:t>注册资金</w:t>
            </w:r>
          </w:p>
        </w:tc>
        <w:tc>
          <w:tcPr>
            <w:tcW w:w="2266" w:type="dxa"/>
            <w:gridSpan w:val="2"/>
            <w:vAlign w:val="center"/>
          </w:tcPr>
          <w:p w14:paraId="2825AA3B">
            <w:pPr>
              <w:jc w:val="center"/>
              <w:rPr>
                <w:color w:val="auto"/>
              </w:rPr>
            </w:pPr>
          </w:p>
        </w:tc>
        <w:tc>
          <w:tcPr>
            <w:tcW w:w="783" w:type="dxa"/>
            <w:vMerge w:val="continue"/>
            <w:tcBorders>
              <w:top w:val="nil"/>
              <w:bottom w:val="nil"/>
            </w:tcBorders>
            <w:vAlign w:val="center"/>
          </w:tcPr>
          <w:p w14:paraId="48006DA7">
            <w:pPr>
              <w:jc w:val="center"/>
              <w:rPr>
                <w:color w:val="auto"/>
              </w:rPr>
            </w:pPr>
          </w:p>
        </w:tc>
        <w:tc>
          <w:tcPr>
            <w:tcW w:w="2674" w:type="dxa"/>
            <w:gridSpan w:val="3"/>
            <w:vAlign w:val="center"/>
          </w:tcPr>
          <w:p w14:paraId="537B7FCD">
            <w:pPr>
              <w:pStyle w:val="21"/>
              <w:jc w:val="center"/>
              <w:rPr>
                <w:rFonts w:hint="eastAsia"/>
                <w:color w:val="auto"/>
                <w:sz w:val="24"/>
                <w:szCs w:val="24"/>
              </w:rPr>
            </w:pPr>
            <w:r>
              <w:rPr>
                <w:color w:val="auto"/>
                <w:spacing w:val="-5"/>
                <w:sz w:val="24"/>
                <w:szCs w:val="24"/>
              </w:rPr>
              <w:t>中级职称人员（人）</w:t>
            </w:r>
          </w:p>
        </w:tc>
        <w:tc>
          <w:tcPr>
            <w:tcW w:w="738" w:type="dxa"/>
            <w:tcBorders>
              <w:right w:val="single" w:color="000000" w:sz="6" w:space="0"/>
            </w:tcBorders>
            <w:vAlign w:val="center"/>
          </w:tcPr>
          <w:p w14:paraId="43E2B709">
            <w:pPr>
              <w:jc w:val="center"/>
              <w:rPr>
                <w:color w:val="auto"/>
              </w:rPr>
            </w:pPr>
          </w:p>
        </w:tc>
      </w:tr>
      <w:tr w14:paraId="17E54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2367" w:type="dxa"/>
            <w:gridSpan w:val="3"/>
            <w:tcBorders>
              <w:left w:val="single" w:color="000000" w:sz="6" w:space="0"/>
            </w:tcBorders>
            <w:vAlign w:val="center"/>
          </w:tcPr>
          <w:p w14:paraId="41B47C2C">
            <w:pPr>
              <w:pStyle w:val="21"/>
              <w:jc w:val="center"/>
              <w:rPr>
                <w:rFonts w:hint="eastAsia"/>
                <w:color w:val="auto"/>
                <w:sz w:val="24"/>
                <w:szCs w:val="24"/>
              </w:rPr>
            </w:pPr>
            <w:r>
              <w:rPr>
                <w:color w:val="auto"/>
                <w:spacing w:val="-2"/>
                <w:sz w:val="24"/>
                <w:szCs w:val="24"/>
              </w:rPr>
              <w:t>基本账户开户银行</w:t>
            </w:r>
          </w:p>
        </w:tc>
        <w:tc>
          <w:tcPr>
            <w:tcW w:w="2266" w:type="dxa"/>
            <w:gridSpan w:val="2"/>
            <w:vAlign w:val="center"/>
          </w:tcPr>
          <w:p w14:paraId="440C7AD4">
            <w:pPr>
              <w:jc w:val="center"/>
              <w:rPr>
                <w:color w:val="auto"/>
              </w:rPr>
            </w:pPr>
          </w:p>
        </w:tc>
        <w:tc>
          <w:tcPr>
            <w:tcW w:w="783" w:type="dxa"/>
            <w:vMerge w:val="continue"/>
            <w:tcBorders>
              <w:top w:val="nil"/>
              <w:bottom w:val="nil"/>
            </w:tcBorders>
            <w:vAlign w:val="center"/>
          </w:tcPr>
          <w:p w14:paraId="2DD0DE80">
            <w:pPr>
              <w:jc w:val="center"/>
              <w:rPr>
                <w:color w:val="auto"/>
              </w:rPr>
            </w:pPr>
          </w:p>
        </w:tc>
        <w:tc>
          <w:tcPr>
            <w:tcW w:w="2674" w:type="dxa"/>
            <w:gridSpan w:val="3"/>
            <w:vAlign w:val="center"/>
          </w:tcPr>
          <w:p w14:paraId="40F492EA">
            <w:pPr>
              <w:pStyle w:val="21"/>
              <w:jc w:val="center"/>
              <w:rPr>
                <w:rFonts w:hint="eastAsia"/>
                <w:color w:val="auto"/>
                <w:sz w:val="24"/>
                <w:szCs w:val="24"/>
              </w:rPr>
            </w:pPr>
            <w:r>
              <w:rPr>
                <w:color w:val="auto"/>
                <w:spacing w:val="-3"/>
                <w:sz w:val="24"/>
                <w:szCs w:val="24"/>
              </w:rPr>
              <w:t>初级职称人员（人）</w:t>
            </w:r>
          </w:p>
        </w:tc>
        <w:tc>
          <w:tcPr>
            <w:tcW w:w="738" w:type="dxa"/>
            <w:tcBorders>
              <w:right w:val="single" w:color="000000" w:sz="6" w:space="0"/>
            </w:tcBorders>
            <w:vAlign w:val="center"/>
          </w:tcPr>
          <w:p w14:paraId="01B5009D">
            <w:pPr>
              <w:jc w:val="center"/>
              <w:rPr>
                <w:color w:val="auto"/>
              </w:rPr>
            </w:pPr>
          </w:p>
        </w:tc>
      </w:tr>
      <w:tr w14:paraId="7E568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2367" w:type="dxa"/>
            <w:gridSpan w:val="3"/>
            <w:tcBorders>
              <w:left w:val="single" w:color="000000" w:sz="6" w:space="0"/>
            </w:tcBorders>
            <w:vAlign w:val="center"/>
          </w:tcPr>
          <w:p w14:paraId="51C2F117">
            <w:pPr>
              <w:pStyle w:val="21"/>
              <w:jc w:val="center"/>
              <w:rPr>
                <w:rFonts w:hint="eastAsia"/>
                <w:color w:val="auto"/>
                <w:sz w:val="24"/>
                <w:szCs w:val="24"/>
              </w:rPr>
            </w:pPr>
            <w:r>
              <w:rPr>
                <w:color w:val="auto"/>
                <w:spacing w:val="-7"/>
                <w:sz w:val="24"/>
                <w:szCs w:val="24"/>
              </w:rPr>
              <w:t>账号</w:t>
            </w:r>
          </w:p>
        </w:tc>
        <w:tc>
          <w:tcPr>
            <w:tcW w:w="2266" w:type="dxa"/>
            <w:gridSpan w:val="2"/>
            <w:vAlign w:val="center"/>
          </w:tcPr>
          <w:p w14:paraId="3EA7D2AD">
            <w:pPr>
              <w:jc w:val="center"/>
              <w:rPr>
                <w:color w:val="auto"/>
              </w:rPr>
            </w:pPr>
          </w:p>
        </w:tc>
        <w:tc>
          <w:tcPr>
            <w:tcW w:w="783" w:type="dxa"/>
            <w:vMerge w:val="continue"/>
            <w:tcBorders>
              <w:top w:val="nil"/>
            </w:tcBorders>
            <w:vAlign w:val="center"/>
          </w:tcPr>
          <w:p w14:paraId="474A1016">
            <w:pPr>
              <w:jc w:val="center"/>
              <w:rPr>
                <w:color w:val="auto"/>
              </w:rPr>
            </w:pPr>
          </w:p>
        </w:tc>
        <w:tc>
          <w:tcPr>
            <w:tcW w:w="2674" w:type="dxa"/>
            <w:gridSpan w:val="3"/>
            <w:vAlign w:val="center"/>
          </w:tcPr>
          <w:p w14:paraId="7F5802A4">
            <w:pPr>
              <w:pStyle w:val="21"/>
              <w:jc w:val="center"/>
              <w:rPr>
                <w:rFonts w:hint="eastAsia"/>
                <w:color w:val="auto"/>
                <w:sz w:val="24"/>
                <w:szCs w:val="24"/>
              </w:rPr>
            </w:pPr>
            <w:r>
              <w:rPr>
                <w:color w:val="auto"/>
                <w:spacing w:val="-5"/>
                <w:sz w:val="24"/>
                <w:szCs w:val="24"/>
              </w:rPr>
              <w:t>技工（人）</w:t>
            </w:r>
          </w:p>
        </w:tc>
        <w:tc>
          <w:tcPr>
            <w:tcW w:w="738" w:type="dxa"/>
            <w:tcBorders>
              <w:right w:val="single" w:color="000000" w:sz="6" w:space="0"/>
            </w:tcBorders>
            <w:vAlign w:val="center"/>
          </w:tcPr>
          <w:p w14:paraId="6E6A47EF">
            <w:pPr>
              <w:jc w:val="center"/>
              <w:rPr>
                <w:color w:val="auto"/>
              </w:rPr>
            </w:pPr>
          </w:p>
        </w:tc>
      </w:tr>
      <w:tr w14:paraId="53FD4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4633" w:type="dxa"/>
            <w:gridSpan w:val="5"/>
            <w:tcBorders>
              <w:left w:val="single" w:color="000000" w:sz="6" w:space="0"/>
            </w:tcBorders>
            <w:vAlign w:val="center"/>
          </w:tcPr>
          <w:p w14:paraId="597EE361">
            <w:pPr>
              <w:pStyle w:val="21"/>
              <w:jc w:val="center"/>
              <w:rPr>
                <w:rFonts w:hint="eastAsia"/>
                <w:color w:val="auto"/>
                <w:sz w:val="24"/>
                <w:szCs w:val="24"/>
                <w:lang w:eastAsia="zh-CN"/>
              </w:rPr>
            </w:pPr>
            <w:r>
              <w:rPr>
                <w:color w:val="auto"/>
                <w:spacing w:val="-2"/>
                <w:sz w:val="24"/>
                <w:szCs w:val="24"/>
                <w:lang w:eastAsia="zh-CN"/>
              </w:rPr>
              <w:t>最近</w:t>
            </w:r>
            <w:r>
              <w:rPr>
                <w:rFonts w:ascii="Times New Roman" w:hAnsi="Times New Roman" w:eastAsia="Times New Roman" w:cs="Times New Roman"/>
                <w:color w:val="auto"/>
                <w:spacing w:val="-2"/>
                <w:sz w:val="24"/>
                <w:szCs w:val="24"/>
                <w:lang w:eastAsia="zh-CN"/>
              </w:rPr>
              <w:t>5</w:t>
            </w:r>
            <w:r>
              <w:rPr>
                <w:color w:val="auto"/>
                <w:spacing w:val="-2"/>
                <w:sz w:val="24"/>
                <w:szCs w:val="24"/>
                <w:lang w:eastAsia="zh-CN"/>
              </w:rPr>
              <w:t>年完成的营业额（万元）</w:t>
            </w:r>
          </w:p>
        </w:tc>
        <w:tc>
          <w:tcPr>
            <w:tcW w:w="4195" w:type="dxa"/>
            <w:gridSpan w:val="5"/>
            <w:tcBorders>
              <w:right w:val="single" w:color="000000" w:sz="6" w:space="0"/>
            </w:tcBorders>
            <w:vAlign w:val="center"/>
          </w:tcPr>
          <w:p w14:paraId="73E5DA86">
            <w:pPr>
              <w:pStyle w:val="21"/>
              <w:jc w:val="center"/>
              <w:rPr>
                <w:rFonts w:hint="eastAsia"/>
                <w:color w:val="auto"/>
                <w:sz w:val="24"/>
                <w:szCs w:val="24"/>
              </w:rPr>
            </w:pPr>
            <w:r>
              <w:rPr>
                <w:color w:val="auto"/>
                <w:spacing w:val="-3"/>
                <w:sz w:val="24"/>
                <w:szCs w:val="24"/>
              </w:rPr>
              <w:t>经营范围</w:t>
            </w:r>
          </w:p>
        </w:tc>
      </w:tr>
      <w:tr w14:paraId="754B1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2367" w:type="dxa"/>
            <w:gridSpan w:val="3"/>
            <w:tcBorders>
              <w:left w:val="single" w:color="000000" w:sz="6" w:space="0"/>
            </w:tcBorders>
            <w:vAlign w:val="center"/>
          </w:tcPr>
          <w:p w14:paraId="35E005EC">
            <w:pPr>
              <w:pStyle w:val="21"/>
              <w:tabs>
                <w:tab w:val="left" w:pos="964"/>
              </w:tabs>
              <w:jc w:val="center"/>
              <w:rPr>
                <w:rFonts w:hint="eastAsia"/>
                <w:color w:val="auto"/>
                <w:sz w:val="24"/>
                <w:szCs w:val="24"/>
              </w:rPr>
            </w:pPr>
            <w:r>
              <w:rPr>
                <w:rFonts w:hint="eastAsia"/>
                <w:color w:val="auto"/>
                <w:sz w:val="24"/>
                <w:szCs w:val="24"/>
                <w:u w:val="single"/>
                <w:lang w:eastAsia="zh-CN"/>
              </w:rPr>
              <w:t>　　　　</w:t>
            </w:r>
            <w:r>
              <w:rPr>
                <w:color w:val="auto"/>
                <w:sz w:val="24"/>
                <w:szCs w:val="24"/>
              </w:rPr>
              <w:t>年</w:t>
            </w:r>
          </w:p>
        </w:tc>
        <w:tc>
          <w:tcPr>
            <w:tcW w:w="2266" w:type="dxa"/>
            <w:gridSpan w:val="2"/>
            <w:vAlign w:val="center"/>
          </w:tcPr>
          <w:p w14:paraId="6E4FFF34">
            <w:pPr>
              <w:jc w:val="center"/>
              <w:rPr>
                <w:color w:val="auto"/>
              </w:rPr>
            </w:pPr>
          </w:p>
        </w:tc>
        <w:tc>
          <w:tcPr>
            <w:tcW w:w="4195" w:type="dxa"/>
            <w:gridSpan w:val="5"/>
            <w:vMerge w:val="restart"/>
            <w:tcBorders>
              <w:bottom w:val="nil"/>
              <w:right w:val="single" w:color="000000" w:sz="6" w:space="0"/>
            </w:tcBorders>
            <w:vAlign w:val="center"/>
          </w:tcPr>
          <w:p w14:paraId="0DFE713E">
            <w:pPr>
              <w:jc w:val="center"/>
              <w:rPr>
                <w:color w:val="auto"/>
              </w:rPr>
            </w:pPr>
          </w:p>
        </w:tc>
      </w:tr>
      <w:tr w14:paraId="7E795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2367" w:type="dxa"/>
            <w:gridSpan w:val="3"/>
            <w:tcBorders>
              <w:left w:val="single" w:color="000000" w:sz="6" w:space="0"/>
            </w:tcBorders>
            <w:vAlign w:val="center"/>
          </w:tcPr>
          <w:p w14:paraId="5D58F4FF">
            <w:pPr>
              <w:pStyle w:val="21"/>
              <w:tabs>
                <w:tab w:val="left" w:pos="1006"/>
              </w:tabs>
              <w:jc w:val="center"/>
              <w:rPr>
                <w:rFonts w:hint="eastAsia"/>
                <w:color w:val="auto"/>
                <w:sz w:val="24"/>
                <w:szCs w:val="24"/>
              </w:rPr>
            </w:pPr>
            <w:r>
              <w:rPr>
                <w:rFonts w:hint="eastAsia"/>
                <w:color w:val="auto"/>
                <w:sz w:val="24"/>
                <w:szCs w:val="24"/>
                <w:u w:val="single"/>
                <w:lang w:eastAsia="zh-CN"/>
              </w:rPr>
              <w:t>　　　　</w:t>
            </w:r>
            <w:r>
              <w:rPr>
                <w:color w:val="auto"/>
                <w:sz w:val="24"/>
                <w:szCs w:val="24"/>
              </w:rPr>
              <w:t>年</w:t>
            </w:r>
          </w:p>
        </w:tc>
        <w:tc>
          <w:tcPr>
            <w:tcW w:w="2266" w:type="dxa"/>
            <w:gridSpan w:val="2"/>
            <w:vAlign w:val="center"/>
          </w:tcPr>
          <w:p w14:paraId="38BBB47A">
            <w:pPr>
              <w:jc w:val="center"/>
              <w:rPr>
                <w:color w:val="auto"/>
              </w:rPr>
            </w:pPr>
          </w:p>
        </w:tc>
        <w:tc>
          <w:tcPr>
            <w:tcW w:w="4195" w:type="dxa"/>
            <w:gridSpan w:val="5"/>
            <w:vMerge w:val="continue"/>
            <w:tcBorders>
              <w:top w:val="nil"/>
              <w:bottom w:val="nil"/>
              <w:right w:val="single" w:color="000000" w:sz="6" w:space="0"/>
            </w:tcBorders>
            <w:vAlign w:val="center"/>
          </w:tcPr>
          <w:p w14:paraId="14077DFF">
            <w:pPr>
              <w:jc w:val="center"/>
              <w:rPr>
                <w:color w:val="auto"/>
              </w:rPr>
            </w:pPr>
          </w:p>
        </w:tc>
      </w:tr>
      <w:tr w14:paraId="342CC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2367" w:type="dxa"/>
            <w:gridSpan w:val="3"/>
            <w:tcBorders>
              <w:left w:val="single" w:color="000000" w:sz="6" w:space="0"/>
            </w:tcBorders>
            <w:vAlign w:val="center"/>
          </w:tcPr>
          <w:p w14:paraId="0F6511FC">
            <w:pPr>
              <w:pStyle w:val="21"/>
              <w:tabs>
                <w:tab w:val="left" w:pos="1006"/>
              </w:tabs>
              <w:jc w:val="center"/>
              <w:rPr>
                <w:rFonts w:hint="eastAsia"/>
                <w:color w:val="auto"/>
                <w:sz w:val="24"/>
                <w:szCs w:val="24"/>
              </w:rPr>
            </w:pPr>
            <w:r>
              <w:rPr>
                <w:rFonts w:hint="eastAsia"/>
                <w:color w:val="auto"/>
                <w:sz w:val="24"/>
                <w:szCs w:val="24"/>
                <w:u w:val="single"/>
                <w:lang w:eastAsia="zh-CN"/>
              </w:rPr>
              <w:t>　　　　</w:t>
            </w:r>
            <w:r>
              <w:rPr>
                <w:color w:val="auto"/>
                <w:sz w:val="24"/>
                <w:szCs w:val="24"/>
              </w:rPr>
              <w:t>年</w:t>
            </w:r>
          </w:p>
        </w:tc>
        <w:tc>
          <w:tcPr>
            <w:tcW w:w="2266" w:type="dxa"/>
            <w:gridSpan w:val="2"/>
            <w:vAlign w:val="center"/>
          </w:tcPr>
          <w:p w14:paraId="336FBC4D">
            <w:pPr>
              <w:jc w:val="center"/>
              <w:rPr>
                <w:color w:val="auto"/>
              </w:rPr>
            </w:pPr>
          </w:p>
        </w:tc>
        <w:tc>
          <w:tcPr>
            <w:tcW w:w="4195" w:type="dxa"/>
            <w:gridSpan w:val="5"/>
            <w:vMerge w:val="continue"/>
            <w:tcBorders>
              <w:top w:val="nil"/>
              <w:bottom w:val="nil"/>
              <w:right w:val="single" w:color="000000" w:sz="6" w:space="0"/>
            </w:tcBorders>
            <w:vAlign w:val="center"/>
          </w:tcPr>
          <w:p w14:paraId="6097A1F3">
            <w:pPr>
              <w:jc w:val="center"/>
              <w:rPr>
                <w:color w:val="auto"/>
              </w:rPr>
            </w:pPr>
          </w:p>
        </w:tc>
      </w:tr>
      <w:tr w14:paraId="2C601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2367" w:type="dxa"/>
            <w:gridSpan w:val="3"/>
            <w:tcBorders>
              <w:left w:val="single" w:color="000000" w:sz="6" w:space="0"/>
            </w:tcBorders>
            <w:vAlign w:val="center"/>
          </w:tcPr>
          <w:p w14:paraId="3507A16A">
            <w:pPr>
              <w:pStyle w:val="21"/>
              <w:tabs>
                <w:tab w:val="left" w:pos="1006"/>
              </w:tabs>
              <w:jc w:val="center"/>
              <w:rPr>
                <w:rFonts w:hint="eastAsia"/>
                <w:color w:val="auto"/>
                <w:sz w:val="24"/>
                <w:szCs w:val="24"/>
              </w:rPr>
            </w:pPr>
            <w:r>
              <w:rPr>
                <w:rFonts w:hint="eastAsia"/>
                <w:color w:val="auto"/>
                <w:sz w:val="24"/>
                <w:szCs w:val="24"/>
                <w:u w:val="single"/>
                <w:lang w:eastAsia="zh-CN"/>
              </w:rPr>
              <w:t>　　　　</w:t>
            </w:r>
            <w:r>
              <w:rPr>
                <w:color w:val="auto"/>
                <w:sz w:val="24"/>
                <w:szCs w:val="24"/>
              </w:rPr>
              <w:t>年</w:t>
            </w:r>
          </w:p>
        </w:tc>
        <w:tc>
          <w:tcPr>
            <w:tcW w:w="2266" w:type="dxa"/>
            <w:gridSpan w:val="2"/>
            <w:vAlign w:val="center"/>
          </w:tcPr>
          <w:p w14:paraId="00C83528">
            <w:pPr>
              <w:jc w:val="center"/>
              <w:rPr>
                <w:color w:val="auto"/>
              </w:rPr>
            </w:pPr>
          </w:p>
        </w:tc>
        <w:tc>
          <w:tcPr>
            <w:tcW w:w="4195" w:type="dxa"/>
            <w:gridSpan w:val="5"/>
            <w:vMerge w:val="continue"/>
            <w:tcBorders>
              <w:top w:val="nil"/>
              <w:bottom w:val="nil"/>
              <w:right w:val="single" w:color="000000" w:sz="6" w:space="0"/>
            </w:tcBorders>
            <w:vAlign w:val="center"/>
          </w:tcPr>
          <w:p w14:paraId="1BABE440">
            <w:pPr>
              <w:jc w:val="center"/>
              <w:rPr>
                <w:color w:val="auto"/>
              </w:rPr>
            </w:pPr>
          </w:p>
        </w:tc>
      </w:tr>
      <w:tr w14:paraId="72F25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2367" w:type="dxa"/>
            <w:gridSpan w:val="3"/>
            <w:tcBorders>
              <w:left w:val="single" w:color="000000" w:sz="6" w:space="0"/>
            </w:tcBorders>
            <w:vAlign w:val="center"/>
          </w:tcPr>
          <w:p w14:paraId="7E8D627B">
            <w:pPr>
              <w:pStyle w:val="21"/>
              <w:tabs>
                <w:tab w:val="left" w:pos="1006"/>
              </w:tabs>
              <w:jc w:val="center"/>
              <w:rPr>
                <w:rFonts w:hint="eastAsia"/>
                <w:color w:val="auto"/>
                <w:sz w:val="24"/>
                <w:szCs w:val="24"/>
              </w:rPr>
            </w:pPr>
            <w:r>
              <w:rPr>
                <w:rFonts w:hint="eastAsia"/>
                <w:color w:val="auto"/>
                <w:sz w:val="24"/>
                <w:szCs w:val="24"/>
                <w:u w:val="single"/>
                <w:lang w:eastAsia="zh-CN"/>
              </w:rPr>
              <w:t>　　　　</w:t>
            </w:r>
            <w:r>
              <w:rPr>
                <w:color w:val="auto"/>
                <w:sz w:val="24"/>
                <w:szCs w:val="24"/>
              </w:rPr>
              <w:t>年</w:t>
            </w:r>
          </w:p>
        </w:tc>
        <w:tc>
          <w:tcPr>
            <w:tcW w:w="2266" w:type="dxa"/>
            <w:gridSpan w:val="2"/>
            <w:vAlign w:val="center"/>
          </w:tcPr>
          <w:p w14:paraId="11080ED9">
            <w:pPr>
              <w:jc w:val="center"/>
              <w:rPr>
                <w:color w:val="auto"/>
              </w:rPr>
            </w:pPr>
          </w:p>
        </w:tc>
        <w:tc>
          <w:tcPr>
            <w:tcW w:w="4195" w:type="dxa"/>
            <w:gridSpan w:val="5"/>
            <w:vMerge w:val="continue"/>
            <w:tcBorders>
              <w:top w:val="nil"/>
              <w:right w:val="single" w:color="000000" w:sz="6" w:space="0"/>
            </w:tcBorders>
            <w:vAlign w:val="center"/>
          </w:tcPr>
          <w:p w14:paraId="7D2E43F7">
            <w:pPr>
              <w:jc w:val="center"/>
              <w:rPr>
                <w:color w:val="auto"/>
              </w:rPr>
            </w:pPr>
          </w:p>
        </w:tc>
      </w:tr>
      <w:tr w14:paraId="3B52CD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4633" w:type="dxa"/>
            <w:gridSpan w:val="5"/>
            <w:tcBorders>
              <w:left w:val="single" w:color="000000" w:sz="6" w:space="0"/>
            </w:tcBorders>
            <w:vAlign w:val="center"/>
          </w:tcPr>
          <w:p w14:paraId="54FC46FD">
            <w:pPr>
              <w:pStyle w:val="21"/>
              <w:jc w:val="center"/>
              <w:rPr>
                <w:rFonts w:hint="eastAsia"/>
                <w:color w:val="auto"/>
                <w:sz w:val="24"/>
                <w:szCs w:val="24"/>
                <w:lang w:eastAsia="zh-CN"/>
              </w:rPr>
            </w:pPr>
            <w:r>
              <w:rPr>
                <w:color w:val="auto"/>
                <w:spacing w:val="-3"/>
                <w:sz w:val="24"/>
                <w:szCs w:val="24"/>
                <w:lang w:eastAsia="zh-CN"/>
              </w:rPr>
              <w:t>能承担的年最大建安工作量（万元）</w:t>
            </w:r>
          </w:p>
        </w:tc>
        <w:tc>
          <w:tcPr>
            <w:tcW w:w="4195" w:type="dxa"/>
            <w:gridSpan w:val="5"/>
            <w:tcBorders>
              <w:right w:val="single" w:color="000000" w:sz="6" w:space="0"/>
            </w:tcBorders>
            <w:vAlign w:val="center"/>
          </w:tcPr>
          <w:p w14:paraId="6D3C3F3C">
            <w:pPr>
              <w:jc w:val="center"/>
              <w:rPr>
                <w:color w:val="auto"/>
                <w:lang w:eastAsia="zh-CN"/>
              </w:rPr>
            </w:pPr>
          </w:p>
        </w:tc>
      </w:tr>
      <w:tr w14:paraId="24216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1725" w:type="dxa"/>
            <w:gridSpan w:val="2"/>
            <w:tcBorders>
              <w:left w:val="single" w:color="000000" w:sz="6" w:space="0"/>
              <w:bottom w:val="single" w:color="000000" w:sz="6" w:space="0"/>
            </w:tcBorders>
            <w:vAlign w:val="center"/>
          </w:tcPr>
          <w:p w14:paraId="7294D117">
            <w:pPr>
              <w:pStyle w:val="21"/>
              <w:jc w:val="center"/>
              <w:rPr>
                <w:rFonts w:hint="eastAsia"/>
                <w:color w:val="auto"/>
                <w:sz w:val="24"/>
                <w:szCs w:val="24"/>
              </w:rPr>
            </w:pPr>
            <w:r>
              <w:rPr>
                <w:color w:val="auto"/>
                <w:spacing w:val="-7"/>
                <w:sz w:val="24"/>
                <w:szCs w:val="24"/>
              </w:rPr>
              <w:t>备</w:t>
            </w:r>
            <w:r>
              <w:rPr>
                <w:rFonts w:hint="eastAsia"/>
                <w:color w:val="auto"/>
                <w:spacing w:val="5"/>
                <w:sz w:val="24"/>
                <w:szCs w:val="24"/>
                <w:lang w:eastAsia="zh-CN"/>
              </w:rPr>
              <w:t>　</w:t>
            </w:r>
            <w:r>
              <w:rPr>
                <w:color w:val="auto"/>
                <w:spacing w:val="-7"/>
                <w:sz w:val="24"/>
                <w:szCs w:val="24"/>
              </w:rPr>
              <w:t>注</w:t>
            </w:r>
          </w:p>
        </w:tc>
        <w:tc>
          <w:tcPr>
            <w:tcW w:w="7103" w:type="dxa"/>
            <w:gridSpan w:val="8"/>
            <w:tcBorders>
              <w:bottom w:val="single" w:color="000000" w:sz="6" w:space="0"/>
              <w:right w:val="single" w:color="000000" w:sz="6" w:space="0"/>
            </w:tcBorders>
            <w:vAlign w:val="center"/>
          </w:tcPr>
          <w:p w14:paraId="52265897">
            <w:pPr>
              <w:jc w:val="center"/>
              <w:rPr>
                <w:color w:val="auto"/>
              </w:rPr>
            </w:pPr>
          </w:p>
        </w:tc>
      </w:tr>
    </w:tbl>
    <w:p w14:paraId="31A46F10">
      <w:pPr>
        <w:spacing w:before="35" w:line="219" w:lineRule="auto"/>
        <w:ind w:left="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注：</w:t>
      </w:r>
      <w:r>
        <w:rPr>
          <w:rFonts w:ascii="Times New Roman" w:hAnsi="Times New Roman" w:eastAsia="Times New Roman" w:cs="Times New Roman"/>
          <w:color w:val="auto"/>
          <w:spacing w:val="-2"/>
          <w:sz w:val="24"/>
          <w:szCs w:val="24"/>
          <w:lang w:eastAsia="zh-CN"/>
        </w:rPr>
        <w:t>1.</w:t>
      </w:r>
      <w:r>
        <w:rPr>
          <w:rFonts w:ascii="宋体" w:hAnsi="宋体" w:eastAsia="宋体" w:cs="宋体"/>
          <w:color w:val="auto"/>
          <w:spacing w:val="-2"/>
          <w:sz w:val="24"/>
          <w:szCs w:val="24"/>
          <w:lang w:eastAsia="zh-CN"/>
        </w:rPr>
        <w:t>相关材料复制件在“原件的复制件”中提供。</w:t>
      </w:r>
    </w:p>
    <w:p w14:paraId="0C458252">
      <w:pPr>
        <w:spacing w:before="181" w:line="219" w:lineRule="auto"/>
        <w:ind w:left="485"/>
        <w:rPr>
          <w:rFonts w:hint="eastAsia" w:ascii="宋体" w:hAnsi="宋体" w:eastAsia="宋体" w:cs="宋体"/>
          <w:strike/>
          <w:color w:val="auto"/>
          <w:sz w:val="24"/>
          <w:szCs w:val="24"/>
          <w:lang w:eastAsia="zh-CN"/>
        </w:rPr>
      </w:pPr>
      <w:r>
        <w:rPr>
          <w:rFonts w:ascii="Times New Roman" w:hAnsi="Times New Roman" w:eastAsia="Times New Roman" w:cs="Times New Roman"/>
          <w:strike/>
          <w:color w:val="auto"/>
          <w:spacing w:val="-2"/>
          <w:sz w:val="24"/>
          <w:szCs w:val="24"/>
          <w:lang w:eastAsia="zh-CN"/>
        </w:rPr>
        <w:t>2.</w:t>
      </w:r>
      <w:r>
        <w:rPr>
          <w:rFonts w:ascii="宋体" w:hAnsi="宋体" w:eastAsia="宋体" w:cs="宋体"/>
          <w:strike/>
          <w:color w:val="auto"/>
          <w:spacing w:val="-2"/>
          <w:sz w:val="24"/>
          <w:szCs w:val="24"/>
          <w:lang w:eastAsia="zh-CN"/>
        </w:rPr>
        <w:t>若投标人为联合体，联合体各成员单位分别填写本表。</w:t>
      </w:r>
    </w:p>
    <w:p w14:paraId="61A53E88">
      <w:pPr>
        <w:spacing w:line="219" w:lineRule="auto"/>
        <w:rPr>
          <w:rFonts w:hint="eastAsia" w:ascii="宋体" w:hAnsi="宋体" w:eastAsia="宋体" w:cs="宋体"/>
          <w:strike/>
          <w:color w:val="auto"/>
          <w:sz w:val="24"/>
          <w:szCs w:val="24"/>
          <w:lang w:eastAsia="zh-CN"/>
        </w:rPr>
        <w:sectPr>
          <w:footerReference r:id="rId13" w:type="default"/>
          <w:pgSz w:w="11907" w:h="16841"/>
          <w:pgMar w:top="1417" w:right="1473" w:bottom="1254" w:left="1588" w:header="0" w:footer="1093" w:gutter="0"/>
          <w:pgNumType w:fmt="numberInDash"/>
          <w:cols w:space="720" w:num="1"/>
        </w:sectPr>
      </w:pPr>
    </w:p>
    <w:p w14:paraId="1B5CD0D5">
      <w:pPr>
        <w:spacing w:before="78" w:line="220" w:lineRule="auto"/>
        <w:ind w:left="6"/>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（二）近年财务状况</w:t>
      </w:r>
    </w:p>
    <w:p w14:paraId="52C444A8">
      <w:pPr>
        <w:spacing w:before="182" w:line="220" w:lineRule="auto"/>
        <w:ind w:left="3792"/>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财务状况表</w:t>
      </w:r>
    </w:p>
    <w:p w14:paraId="4E8AD399">
      <w:pPr>
        <w:spacing w:line="144" w:lineRule="exact"/>
        <w:rPr>
          <w:color w:val="auto"/>
          <w:lang w:eastAsia="zh-CN"/>
        </w:rPr>
      </w:pPr>
    </w:p>
    <w:tbl>
      <w:tblPr>
        <w:tblStyle w:val="20"/>
        <w:tblW w:w="87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160"/>
        <w:gridCol w:w="1802"/>
        <w:gridCol w:w="1804"/>
        <w:gridCol w:w="1811"/>
      </w:tblGrid>
      <w:tr w14:paraId="01D20A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jc w:val="center"/>
        </w:trPr>
        <w:tc>
          <w:tcPr>
            <w:tcW w:w="2199" w:type="dxa"/>
            <w:tcBorders>
              <w:top w:val="single" w:color="000000" w:sz="6" w:space="0"/>
              <w:left w:val="single" w:color="000000" w:sz="6" w:space="0"/>
            </w:tcBorders>
            <w:vAlign w:val="center"/>
          </w:tcPr>
          <w:p w14:paraId="3EE46402">
            <w:pPr>
              <w:pStyle w:val="21"/>
              <w:widowControl w:val="0"/>
              <w:kinsoku/>
              <w:topLinePunct/>
              <w:autoSpaceDE/>
              <w:autoSpaceDN/>
              <w:jc w:val="center"/>
              <w:rPr>
                <w:rFonts w:hint="eastAsia"/>
                <w:color w:val="auto"/>
                <w:sz w:val="24"/>
                <w:szCs w:val="24"/>
              </w:rPr>
            </w:pPr>
            <w:r>
              <w:rPr>
                <w:color w:val="auto"/>
                <w:spacing w:val="-3"/>
                <w:sz w:val="24"/>
                <w:szCs w:val="24"/>
              </w:rPr>
              <w:t>项目名称</w:t>
            </w:r>
          </w:p>
        </w:tc>
        <w:tc>
          <w:tcPr>
            <w:tcW w:w="1160" w:type="dxa"/>
            <w:tcBorders>
              <w:top w:val="single" w:color="000000" w:sz="6" w:space="0"/>
            </w:tcBorders>
            <w:vAlign w:val="center"/>
          </w:tcPr>
          <w:p w14:paraId="5ADD68E2">
            <w:pPr>
              <w:pStyle w:val="21"/>
              <w:widowControl w:val="0"/>
              <w:kinsoku/>
              <w:topLinePunct/>
              <w:autoSpaceDE/>
              <w:autoSpaceDN/>
              <w:jc w:val="center"/>
              <w:rPr>
                <w:rFonts w:hint="eastAsia"/>
                <w:color w:val="auto"/>
                <w:sz w:val="24"/>
                <w:szCs w:val="24"/>
              </w:rPr>
            </w:pPr>
            <w:r>
              <w:rPr>
                <w:color w:val="auto"/>
                <w:spacing w:val="-3"/>
                <w:sz w:val="24"/>
                <w:szCs w:val="24"/>
              </w:rPr>
              <w:t>单位</w:t>
            </w:r>
          </w:p>
        </w:tc>
        <w:tc>
          <w:tcPr>
            <w:tcW w:w="1802" w:type="dxa"/>
            <w:tcBorders>
              <w:top w:val="single" w:color="000000" w:sz="6" w:space="0"/>
            </w:tcBorders>
            <w:vAlign w:val="center"/>
          </w:tcPr>
          <w:p w14:paraId="7B0D7CDE">
            <w:pPr>
              <w:pStyle w:val="21"/>
              <w:widowControl w:val="0"/>
              <w:tabs>
                <w:tab w:val="left" w:pos="1135"/>
              </w:tabs>
              <w:kinsoku/>
              <w:topLinePunct/>
              <w:autoSpaceDE/>
              <w:autoSpaceDN/>
              <w:jc w:val="center"/>
              <w:rPr>
                <w:rFonts w:hint="eastAsia"/>
                <w:color w:val="auto"/>
                <w:sz w:val="24"/>
                <w:szCs w:val="24"/>
              </w:rPr>
            </w:pPr>
            <w:r>
              <w:rPr>
                <w:rFonts w:hint="eastAsia"/>
                <w:color w:val="auto"/>
                <w:sz w:val="24"/>
                <w:szCs w:val="24"/>
                <w:u w:val="single"/>
                <w:lang w:eastAsia="zh-CN"/>
              </w:rPr>
              <w:t>　　　　</w:t>
            </w:r>
            <w:r>
              <w:rPr>
                <w:color w:val="auto"/>
                <w:sz w:val="24"/>
                <w:szCs w:val="24"/>
              </w:rPr>
              <w:t>年</w:t>
            </w:r>
          </w:p>
        </w:tc>
        <w:tc>
          <w:tcPr>
            <w:tcW w:w="1804" w:type="dxa"/>
            <w:tcBorders>
              <w:top w:val="single" w:color="000000" w:sz="6" w:space="0"/>
            </w:tcBorders>
            <w:vAlign w:val="center"/>
          </w:tcPr>
          <w:p w14:paraId="4F7C3786">
            <w:pPr>
              <w:pStyle w:val="21"/>
              <w:widowControl w:val="0"/>
              <w:tabs>
                <w:tab w:val="left" w:pos="1140"/>
              </w:tabs>
              <w:kinsoku/>
              <w:topLinePunct/>
              <w:autoSpaceDE/>
              <w:autoSpaceDN/>
              <w:jc w:val="center"/>
              <w:rPr>
                <w:rFonts w:hint="eastAsia"/>
                <w:color w:val="auto"/>
                <w:sz w:val="24"/>
                <w:szCs w:val="24"/>
              </w:rPr>
            </w:pPr>
            <w:r>
              <w:rPr>
                <w:rFonts w:hint="eastAsia"/>
                <w:color w:val="auto"/>
                <w:sz w:val="24"/>
                <w:szCs w:val="24"/>
                <w:u w:val="single"/>
                <w:lang w:eastAsia="zh-CN"/>
              </w:rPr>
              <w:t>　　　　</w:t>
            </w:r>
            <w:r>
              <w:rPr>
                <w:color w:val="auto"/>
                <w:sz w:val="24"/>
                <w:szCs w:val="24"/>
              </w:rPr>
              <w:t>年</w:t>
            </w:r>
          </w:p>
        </w:tc>
        <w:tc>
          <w:tcPr>
            <w:tcW w:w="1811" w:type="dxa"/>
            <w:tcBorders>
              <w:top w:val="single" w:color="000000" w:sz="6" w:space="0"/>
              <w:right w:val="single" w:color="000000" w:sz="6" w:space="0"/>
            </w:tcBorders>
            <w:vAlign w:val="center"/>
          </w:tcPr>
          <w:p w14:paraId="6B6AF8A7">
            <w:pPr>
              <w:pStyle w:val="21"/>
              <w:widowControl w:val="0"/>
              <w:tabs>
                <w:tab w:val="left" w:pos="1140"/>
              </w:tabs>
              <w:kinsoku/>
              <w:topLinePunct/>
              <w:autoSpaceDE/>
              <w:autoSpaceDN/>
              <w:jc w:val="center"/>
              <w:rPr>
                <w:rFonts w:hint="eastAsia"/>
                <w:color w:val="auto"/>
                <w:sz w:val="24"/>
                <w:szCs w:val="24"/>
              </w:rPr>
            </w:pPr>
            <w:r>
              <w:rPr>
                <w:rFonts w:hint="eastAsia"/>
                <w:color w:val="auto"/>
                <w:sz w:val="24"/>
                <w:szCs w:val="24"/>
                <w:u w:val="single"/>
                <w:lang w:eastAsia="zh-CN"/>
              </w:rPr>
              <w:t>　　　　</w:t>
            </w:r>
            <w:r>
              <w:rPr>
                <w:color w:val="auto"/>
                <w:sz w:val="24"/>
                <w:szCs w:val="24"/>
              </w:rPr>
              <w:t>年</w:t>
            </w:r>
          </w:p>
        </w:tc>
      </w:tr>
      <w:tr w14:paraId="697451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jc w:val="center"/>
        </w:trPr>
        <w:tc>
          <w:tcPr>
            <w:tcW w:w="2199" w:type="dxa"/>
            <w:tcBorders>
              <w:left w:val="single" w:color="000000" w:sz="6" w:space="0"/>
            </w:tcBorders>
            <w:vAlign w:val="center"/>
          </w:tcPr>
          <w:p w14:paraId="71F7A536">
            <w:pPr>
              <w:pStyle w:val="21"/>
              <w:widowControl w:val="0"/>
              <w:kinsoku/>
              <w:topLinePunct/>
              <w:autoSpaceDE/>
              <w:autoSpaceDN/>
              <w:jc w:val="center"/>
              <w:rPr>
                <w:rFonts w:hint="eastAsia"/>
                <w:color w:val="auto"/>
                <w:sz w:val="24"/>
                <w:szCs w:val="24"/>
              </w:rPr>
            </w:pPr>
            <w:r>
              <w:rPr>
                <w:color w:val="auto"/>
                <w:spacing w:val="-4"/>
                <w:sz w:val="24"/>
                <w:szCs w:val="24"/>
              </w:rPr>
              <w:t>一、注册资金</w:t>
            </w:r>
          </w:p>
        </w:tc>
        <w:tc>
          <w:tcPr>
            <w:tcW w:w="1160" w:type="dxa"/>
            <w:vAlign w:val="center"/>
          </w:tcPr>
          <w:p w14:paraId="4489FC29">
            <w:pPr>
              <w:widowControl w:val="0"/>
              <w:kinsoku/>
              <w:topLinePunct/>
              <w:autoSpaceDE/>
              <w:autoSpaceDN/>
              <w:jc w:val="center"/>
              <w:rPr>
                <w:color w:val="auto"/>
              </w:rPr>
            </w:pPr>
          </w:p>
        </w:tc>
        <w:tc>
          <w:tcPr>
            <w:tcW w:w="1802" w:type="dxa"/>
            <w:vAlign w:val="center"/>
          </w:tcPr>
          <w:p w14:paraId="7C9B7EE4">
            <w:pPr>
              <w:widowControl w:val="0"/>
              <w:kinsoku/>
              <w:topLinePunct/>
              <w:autoSpaceDE/>
              <w:autoSpaceDN/>
              <w:jc w:val="center"/>
              <w:rPr>
                <w:color w:val="auto"/>
              </w:rPr>
            </w:pPr>
          </w:p>
        </w:tc>
        <w:tc>
          <w:tcPr>
            <w:tcW w:w="1804" w:type="dxa"/>
            <w:vAlign w:val="center"/>
          </w:tcPr>
          <w:p w14:paraId="745FF466">
            <w:pPr>
              <w:widowControl w:val="0"/>
              <w:kinsoku/>
              <w:topLinePunct/>
              <w:autoSpaceDE/>
              <w:autoSpaceDN/>
              <w:jc w:val="center"/>
              <w:rPr>
                <w:color w:val="auto"/>
              </w:rPr>
            </w:pPr>
          </w:p>
        </w:tc>
        <w:tc>
          <w:tcPr>
            <w:tcW w:w="1811" w:type="dxa"/>
            <w:tcBorders>
              <w:right w:val="single" w:color="000000" w:sz="6" w:space="0"/>
            </w:tcBorders>
            <w:vAlign w:val="center"/>
          </w:tcPr>
          <w:p w14:paraId="202FEBC3">
            <w:pPr>
              <w:widowControl w:val="0"/>
              <w:kinsoku/>
              <w:topLinePunct/>
              <w:autoSpaceDE/>
              <w:autoSpaceDN/>
              <w:jc w:val="center"/>
              <w:rPr>
                <w:color w:val="auto"/>
              </w:rPr>
            </w:pPr>
          </w:p>
        </w:tc>
      </w:tr>
      <w:tr w14:paraId="18F13F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2199" w:type="dxa"/>
            <w:tcBorders>
              <w:left w:val="single" w:color="000000" w:sz="6" w:space="0"/>
            </w:tcBorders>
            <w:vAlign w:val="center"/>
          </w:tcPr>
          <w:p w14:paraId="2E6029C1">
            <w:pPr>
              <w:pStyle w:val="21"/>
              <w:widowControl w:val="0"/>
              <w:kinsoku/>
              <w:topLinePunct/>
              <w:autoSpaceDE/>
              <w:autoSpaceDN/>
              <w:jc w:val="center"/>
              <w:rPr>
                <w:rFonts w:hint="eastAsia"/>
                <w:color w:val="auto"/>
                <w:sz w:val="24"/>
                <w:szCs w:val="24"/>
              </w:rPr>
            </w:pPr>
            <w:r>
              <w:rPr>
                <w:color w:val="auto"/>
                <w:spacing w:val="-3"/>
                <w:sz w:val="24"/>
                <w:szCs w:val="24"/>
              </w:rPr>
              <w:t>二、净资产</w:t>
            </w:r>
          </w:p>
        </w:tc>
        <w:tc>
          <w:tcPr>
            <w:tcW w:w="1160" w:type="dxa"/>
            <w:vAlign w:val="center"/>
          </w:tcPr>
          <w:p w14:paraId="3A2E93BA">
            <w:pPr>
              <w:widowControl w:val="0"/>
              <w:kinsoku/>
              <w:topLinePunct/>
              <w:autoSpaceDE/>
              <w:autoSpaceDN/>
              <w:jc w:val="center"/>
              <w:rPr>
                <w:color w:val="auto"/>
              </w:rPr>
            </w:pPr>
          </w:p>
        </w:tc>
        <w:tc>
          <w:tcPr>
            <w:tcW w:w="1802" w:type="dxa"/>
            <w:vAlign w:val="center"/>
          </w:tcPr>
          <w:p w14:paraId="27E60C68">
            <w:pPr>
              <w:widowControl w:val="0"/>
              <w:kinsoku/>
              <w:topLinePunct/>
              <w:autoSpaceDE/>
              <w:autoSpaceDN/>
              <w:jc w:val="center"/>
              <w:rPr>
                <w:color w:val="auto"/>
              </w:rPr>
            </w:pPr>
          </w:p>
        </w:tc>
        <w:tc>
          <w:tcPr>
            <w:tcW w:w="1804" w:type="dxa"/>
            <w:vAlign w:val="center"/>
          </w:tcPr>
          <w:p w14:paraId="3F76B059">
            <w:pPr>
              <w:widowControl w:val="0"/>
              <w:kinsoku/>
              <w:topLinePunct/>
              <w:autoSpaceDE/>
              <w:autoSpaceDN/>
              <w:jc w:val="center"/>
              <w:rPr>
                <w:color w:val="auto"/>
              </w:rPr>
            </w:pPr>
          </w:p>
        </w:tc>
        <w:tc>
          <w:tcPr>
            <w:tcW w:w="1811" w:type="dxa"/>
            <w:tcBorders>
              <w:right w:val="single" w:color="000000" w:sz="6" w:space="0"/>
            </w:tcBorders>
            <w:vAlign w:val="center"/>
          </w:tcPr>
          <w:p w14:paraId="47581382">
            <w:pPr>
              <w:widowControl w:val="0"/>
              <w:kinsoku/>
              <w:topLinePunct/>
              <w:autoSpaceDE/>
              <w:autoSpaceDN/>
              <w:jc w:val="center"/>
              <w:rPr>
                <w:color w:val="auto"/>
              </w:rPr>
            </w:pPr>
          </w:p>
        </w:tc>
      </w:tr>
      <w:tr w14:paraId="6C51F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2199" w:type="dxa"/>
            <w:tcBorders>
              <w:left w:val="single" w:color="000000" w:sz="6" w:space="0"/>
            </w:tcBorders>
            <w:vAlign w:val="center"/>
          </w:tcPr>
          <w:p w14:paraId="7A1E63E5">
            <w:pPr>
              <w:pStyle w:val="21"/>
              <w:widowControl w:val="0"/>
              <w:kinsoku/>
              <w:topLinePunct/>
              <w:autoSpaceDE/>
              <w:autoSpaceDN/>
              <w:jc w:val="center"/>
              <w:rPr>
                <w:rFonts w:hint="eastAsia"/>
                <w:color w:val="auto"/>
                <w:sz w:val="24"/>
                <w:szCs w:val="24"/>
              </w:rPr>
            </w:pPr>
            <w:r>
              <w:rPr>
                <w:color w:val="auto"/>
                <w:spacing w:val="-2"/>
                <w:sz w:val="24"/>
                <w:szCs w:val="24"/>
              </w:rPr>
              <w:t>三、总资产</w:t>
            </w:r>
          </w:p>
        </w:tc>
        <w:tc>
          <w:tcPr>
            <w:tcW w:w="1160" w:type="dxa"/>
            <w:vAlign w:val="center"/>
          </w:tcPr>
          <w:p w14:paraId="7AEB4A30">
            <w:pPr>
              <w:widowControl w:val="0"/>
              <w:kinsoku/>
              <w:topLinePunct/>
              <w:autoSpaceDE/>
              <w:autoSpaceDN/>
              <w:jc w:val="center"/>
              <w:rPr>
                <w:color w:val="auto"/>
              </w:rPr>
            </w:pPr>
          </w:p>
        </w:tc>
        <w:tc>
          <w:tcPr>
            <w:tcW w:w="1802" w:type="dxa"/>
            <w:vAlign w:val="center"/>
          </w:tcPr>
          <w:p w14:paraId="2F8A1956">
            <w:pPr>
              <w:widowControl w:val="0"/>
              <w:kinsoku/>
              <w:topLinePunct/>
              <w:autoSpaceDE/>
              <w:autoSpaceDN/>
              <w:jc w:val="center"/>
              <w:rPr>
                <w:color w:val="auto"/>
              </w:rPr>
            </w:pPr>
          </w:p>
        </w:tc>
        <w:tc>
          <w:tcPr>
            <w:tcW w:w="1804" w:type="dxa"/>
            <w:vAlign w:val="center"/>
          </w:tcPr>
          <w:p w14:paraId="5FFAC27F">
            <w:pPr>
              <w:widowControl w:val="0"/>
              <w:kinsoku/>
              <w:topLinePunct/>
              <w:autoSpaceDE/>
              <w:autoSpaceDN/>
              <w:jc w:val="center"/>
              <w:rPr>
                <w:color w:val="auto"/>
              </w:rPr>
            </w:pPr>
          </w:p>
        </w:tc>
        <w:tc>
          <w:tcPr>
            <w:tcW w:w="1811" w:type="dxa"/>
            <w:tcBorders>
              <w:right w:val="single" w:color="000000" w:sz="6" w:space="0"/>
            </w:tcBorders>
            <w:vAlign w:val="center"/>
          </w:tcPr>
          <w:p w14:paraId="32045C34">
            <w:pPr>
              <w:widowControl w:val="0"/>
              <w:kinsoku/>
              <w:topLinePunct/>
              <w:autoSpaceDE/>
              <w:autoSpaceDN/>
              <w:jc w:val="center"/>
              <w:rPr>
                <w:color w:val="auto"/>
              </w:rPr>
            </w:pPr>
          </w:p>
        </w:tc>
      </w:tr>
      <w:tr w14:paraId="34DCE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jc w:val="center"/>
        </w:trPr>
        <w:tc>
          <w:tcPr>
            <w:tcW w:w="2199" w:type="dxa"/>
            <w:tcBorders>
              <w:left w:val="single" w:color="000000" w:sz="6" w:space="0"/>
            </w:tcBorders>
            <w:vAlign w:val="center"/>
          </w:tcPr>
          <w:p w14:paraId="1F8193D6">
            <w:pPr>
              <w:pStyle w:val="21"/>
              <w:widowControl w:val="0"/>
              <w:kinsoku/>
              <w:topLinePunct/>
              <w:autoSpaceDE/>
              <w:autoSpaceDN/>
              <w:jc w:val="center"/>
              <w:rPr>
                <w:rFonts w:hint="eastAsia"/>
                <w:color w:val="auto"/>
                <w:sz w:val="24"/>
                <w:szCs w:val="24"/>
              </w:rPr>
            </w:pPr>
            <w:r>
              <w:rPr>
                <w:color w:val="auto"/>
                <w:spacing w:val="-5"/>
                <w:sz w:val="24"/>
                <w:szCs w:val="24"/>
              </w:rPr>
              <w:t>四、固定资产</w:t>
            </w:r>
          </w:p>
        </w:tc>
        <w:tc>
          <w:tcPr>
            <w:tcW w:w="1160" w:type="dxa"/>
            <w:vAlign w:val="center"/>
          </w:tcPr>
          <w:p w14:paraId="49114817">
            <w:pPr>
              <w:widowControl w:val="0"/>
              <w:kinsoku/>
              <w:topLinePunct/>
              <w:autoSpaceDE/>
              <w:autoSpaceDN/>
              <w:jc w:val="center"/>
              <w:rPr>
                <w:color w:val="auto"/>
              </w:rPr>
            </w:pPr>
          </w:p>
        </w:tc>
        <w:tc>
          <w:tcPr>
            <w:tcW w:w="1802" w:type="dxa"/>
            <w:vAlign w:val="center"/>
          </w:tcPr>
          <w:p w14:paraId="370781E8">
            <w:pPr>
              <w:widowControl w:val="0"/>
              <w:kinsoku/>
              <w:topLinePunct/>
              <w:autoSpaceDE/>
              <w:autoSpaceDN/>
              <w:jc w:val="center"/>
              <w:rPr>
                <w:color w:val="auto"/>
              </w:rPr>
            </w:pPr>
          </w:p>
        </w:tc>
        <w:tc>
          <w:tcPr>
            <w:tcW w:w="1804" w:type="dxa"/>
            <w:vAlign w:val="center"/>
          </w:tcPr>
          <w:p w14:paraId="360F7C2C">
            <w:pPr>
              <w:widowControl w:val="0"/>
              <w:kinsoku/>
              <w:topLinePunct/>
              <w:autoSpaceDE/>
              <w:autoSpaceDN/>
              <w:jc w:val="center"/>
              <w:rPr>
                <w:color w:val="auto"/>
              </w:rPr>
            </w:pPr>
          </w:p>
        </w:tc>
        <w:tc>
          <w:tcPr>
            <w:tcW w:w="1811" w:type="dxa"/>
            <w:tcBorders>
              <w:right w:val="single" w:color="000000" w:sz="6" w:space="0"/>
            </w:tcBorders>
            <w:vAlign w:val="center"/>
          </w:tcPr>
          <w:p w14:paraId="0B1B6420">
            <w:pPr>
              <w:widowControl w:val="0"/>
              <w:kinsoku/>
              <w:topLinePunct/>
              <w:autoSpaceDE/>
              <w:autoSpaceDN/>
              <w:jc w:val="center"/>
              <w:rPr>
                <w:color w:val="auto"/>
              </w:rPr>
            </w:pPr>
          </w:p>
        </w:tc>
      </w:tr>
      <w:tr w14:paraId="6184E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jc w:val="center"/>
        </w:trPr>
        <w:tc>
          <w:tcPr>
            <w:tcW w:w="2199" w:type="dxa"/>
            <w:tcBorders>
              <w:left w:val="single" w:color="000000" w:sz="6" w:space="0"/>
            </w:tcBorders>
            <w:vAlign w:val="center"/>
          </w:tcPr>
          <w:p w14:paraId="19643E0C">
            <w:pPr>
              <w:pStyle w:val="21"/>
              <w:widowControl w:val="0"/>
              <w:kinsoku/>
              <w:topLinePunct/>
              <w:autoSpaceDE/>
              <w:autoSpaceDN/>
              <w:jc w:val="center"/>
              <w:rPr>
                <w:rFonts w:hint="eastAsia"/>
                <w:color w:val="auto"/>
                <w:sz w:val="24"/>
                <w:szCs w:val="24"/>
              </w:rPr>
            </w:pPr>
            <w:r>
              <w:rPr>
                <w:color w:val="auto"/>
                <w:spacing w:val="-2"/>
                <w:sz w:val="24"/>
                <w:szCs w:val="24"/>
              </w:rPr>
              <w:t>五、流动资产</w:t>
            </w:r>
          </w:p>
        </w:tc>
        <w:tc>
          <w:tcPr>
            <w:tcW w:w="1160" w:type="dxa"/>
            <w:vAlign w:val="center"/>
          </w:tcPr>
          <w:p w14:paraId="35AD132C">
            <w:pPr>
              <w:widowControl w:val="0"/>
              <w:kinsoku/>
              <w:topLinePunct/>
              <w:autoSpaceDE/>
              <w:autoSpaceDN/>
              <w:jc w:val="center"/>
              <w:rPr>
                <w:color w:val="auto"/>
              </w:rPr>
            </w:pPr>
          </w:p>
        </w:tc>
        <w:tc>
          <w:tcPr>
            <w:tcW w:w="1802" w:type="dxa"/>
            <w:vAlign w:val="center"/>
          </w:tcPr>
          <w:p w14:paraId="4BC55D65">
            <w:pPr>
              <w:widowControl w:val="0"/>
              <w:kinsoku/>
              <w:topLinePunct/>
              <w:autoSpaceDE/>
              <w:autoSpaceDN/>
              <w:jc w:val="center"/>
              <w:rPr>
                <w:color w:val="auto"/>
              </w:rPr>
            </w:pPr>
          </w:p>
        </w:tc>
        <w:tc>
          <w:tcPr>
            <w:tcW w:w="1804" w:type="dxa"/>
            <w:vAlign w:val="center"/>
          </w:tcPr>
          <w:p w14:paraId="6D9CC06F">
            <w:pPr>
              <w:widowControl w:val="0"/>
              <w:kinsoku/>
              <w:topLinePunct/>
              <w:autoSpaceDE/>
              <w:autoSpaceDN/>
              <w:jc w:val="center"/>
              <w:rPr>
                <w:color w:val="auto"/>
              </w:rPr>
            </w:pPr>
          </w:p>
        </w:tc>
        <w:tc>
          <w:tcPr>
            <w:tcW w:w="1811" w:type="dxa"/>
            <w:tcBorders>
              <w:right w:val="single" w:color="000000" w:sz="6" w:space="0"/>
            </w:tcBorders>
            <w:vAlign w:val="center"/>
          </w:tcPr>
          <w:p w14:paraId="318F4CE0">
            <w:pPr>
              <w:widowControl w:val="0"/>
              <w:kinsoku/>
              <w:topLinePunct/>
              <w:autoSpaceDE/>
              <w:autoSpaceDN/>
              <w:jc w:val="center"/>
              <w:rPr>
                <w:color w:val="auto"/>
              </w:rPr>
            </w:pPr>
          </w:p>
        </w:tc>
      </w:tr>
      <w:tr w14:paraId="46123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jc w:val="center"/>
        </w:trPr>
        <w:tc>
          <w:tcPr>
            <w:tcW w:w="2199" w:type="dxa"/>
            <w:tcBorders>
              <w:left w:val="single" w:color="000000" w:sz="6" w:space="0"/>
            </w:tcBorders>
            <w:vAlign w:val="center"/>
          </w:tcPr>
          <w:p w14:paraId="4367C936">
            <w:pPr>
              <w:pStyle w:val="21"/>
              <w:widowControl w:val="0"/>
              <w:kinsoku/>
              <w:topLinePunct/>
              <w:autoSpaceDE/>
              <w:autoSpaceDN/>
              <w:jc w:val="center"/>
              <w:rPr>
                <w:rFonts w:hint="eastAsia"/>
                <w:color w:val="auto"/>
                <w:sz w:val="24"/>
                <w:szCs w:val="24"/>
              </w:rPr>
            </w:pPr>
            <w:r>
              <w:rPr>
                <w:color w:val="auto"/>
                <w:spacing w:val="-2"/>
                <w:sz w:val="24"/>
                <w:szCs w:val="24"/>
              </w:rPr>
              <w:t>六、流动负债</w:t>
            </w:r>
          </w:p>
        </w:tc>
        <w:tc>
          <w:tcPr>
            <w:tcW w:w="1160" w:type="dxa"/>
            <w:vAlign w:val="center"/>
          </w:tcPr>
          <w:p w14:paraId="7F9EE96A">
            <w:pPr>
              <w:widowControl w:val="0"/>
              <w:kinsoku/>
              <w:topLinePunct/>
              <w:autoSpaceDE/>
              <w:autoSpaceDN/>
              <w:jc w:val="center"/>
              <w:rPr>
                <w:color w:val="auto"/>
              </w:rPr>
            </w:pPr>
          </w:p>
        </w:tc>
        <w:tc>
          <w:tcPr>
            <w:tcW w:w="1802" w:type="dxa"/>
            <w:vAlign w:val="center"/>
          </w:tcPr>
          <w:p w14:paraId="0E6D8EAF">
            <w:pPr>
              <w:widowControl w:val="0"/>
              <w:kinsoku/>
              <w:topLinePunct/>
              <w:autoSpaceDE/>
              <w:autoSpaceDN/>
              <w:jc w:val="center"/>
              <w:rPr>
                <w:color w:val="auto"/>
              </w:rPr>
            </w:pPr>
          </w:p>
        </w:tc>
        <w:tc>
          <w:tcPr>
            <w:tcW w:w="1804" w:type="dxa"/>
            <w:vAlign w:val="center"/>
          </w:tcPr>
          <w:p w14:paraId="1C0776C4">
            <w:pPr>
              <w:widowControl w:val="0"/>
              <w:kinsoku/>
              <w:topLinePunct/>
              <w:autoSpaceDE/>
              <w:autoSpaceDN/>
              <w:jc w:val="center"/>
              <w:rPr>
                <w:color w:val="auto"/>
              </w:rPr>
            </w:pPr>
          </w:p>
        </w:tc>
        <w:tc>
          <w:tcPr>
            <w:tcW w:w="1811" w:type="dxa"/>
            <w:tcBorders>
              <w:right w:val="single" w:color="000000" w:sz="6" w:space="0"/>
            </w:tcBorders>
            <w:vAlign w:val="center"/>
          </w:tcPr>
          <w:p w14:paraId="6563F09A">
            <w:pPr>
              <w:widowControl w:val="0"/>
              <w:kinsoku/>
              <w:topLinePunct/>
              <w:autoSpaceDE/>
              <w:autoSpaceDN/>
              <w:jc w:val="center"/>
              <w:rPr>
                <w:color w:val="auto"/>
              </w:rPr>
            </w:pPr>
          </w:p>
        </w:tc>
      </w:tr>
      <w:tr w14:paraId="6C58F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2199" w:type="dxa"/>
            <w:tcBorders>
              <w:left w:val="single" w:color="000000" w:sz="6" w:space="0"/>
            </w:tcBorders>
            <w:vAlign w:val="center"/>
          </w:tcPr>
          <w:p w14:paraId="4388919A">
            <w:pPr>
              <w:pStyle w:val="21"/>
              <w:widowControl w:val="0"/>
              <w:kinsoku/>
              <w:topLinePunct/>
              <w:autoSpaceDE/>
              <w:autoSpaceDN/>
              <w:jc w:val="center"/>
              <w:rPr>
                <w:rFonts w:hint="eastAsia"/>
                <w:color w:val="auto"/>
                <w:sz w:val="24"/>
                <w:szCs w:val="24"/>
              </w:rPr>
            </w:pPr>
            <w:r>
              <w:rPr>
                <w:color w:val="auto"/>
                <w:spacing w:val="-2"/>
                <w:sz w:val="24"/>
                <w:szCs w:val="24"/>
              </w:rPr>
              <w:t>七、负债合计</w:t>
            </w:r>
          </w:p>
        </w:tc>
        <w:tc>
          <w:tcPr>
            <w:tcW w:w="1160" w:type="dxa"/>
            <w:vAlign w:val="center"/>
          </w:tcPr>
          <w:p w14:paraId="69468ECB">
            <w:pPr>
              <w:widowControl w:val="0"/>
              <w:kinsoku/>
              <w:topLinePunct/>
              <w:autoSpaceDE/>
              <w:autoSpaceDN/>
              <w:jc w:val="center"/>
              <w:rPr>
                <w:color w:val="auto"/>
              </w:rPr>
            </w:pPr>
          </w:p>
        </w:tc>
        <w:tc>
          <w:tcPr>
            <w:tcW w:w="1802" w:type="dxa"/>
            <w:vAlign w:val="center"/>
          </w:tcPr>
          <w:p w14:paraId="52E0F762">
            <w:pPr>
              <w:widowControl w:val="0"/>
              <w:kinsoku/>
              <w:topLinePunct/>
              <w:autoSpaceDE/>
              <w:autoSpaceDN/>
              <w:jc w:val="center"/>
              <w:rPr>
                <w:color w:val="auto"/>
              </w:rPr>
            </w:pPr>
          </w:p>
        </w:tc>
        <w:tc>
          <w:tcPr>
            <w:tcW w:w="1804" w:type="dxa"/>
            <w:vAlign w:val="center"/>
          </w:tcPr>
          <w:p w14:paraId="1B7F4B30">
            <w:pPr>
              <w:widowControl w:val="0"/>
              <w:kinsoku/>
              <w:topLinePunct/>
              <w:autoSpaceDE/>
              <w:autoSpaceDN/>
              <w:jc w:val="center"/>
              <w:rPr>
                <w:color w:val="auto"/>
              </w:rPr>
            </w:pPr>
          </w:p>
        </w:tc>
        <w:tc>
          <w:tcPr>
            <w:tcW w:w="1811" w:type="dxa"/>
            <w:tcBorders>
              <w:right w:val="single" w:color="000000" w:sz="6" w:space="0"/>
            </w:tcBorders>
            <w:vAlign w:val="center"/>
          </w:tcPr>
          <w:p w14:paraId="7D742914">
            <w:pPr>
              <w:widowControl w:val="0"/>
              <w:kinsoku/>
              <w:topLinePunct/>
              <w:autoSpaceDE/>
              <w:autoSpaceDN/>
              <w:jc w:val="center"/>
              <w:rPr>
                <w:color w:val="auto"/>
              </w:rPr>
            </w:pPr>
          </w:p>
        </w:tc>
      </w:tr>
      <w:tr w14:paraId="5159D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jc w:val="center"/>
        </w:trPr>
        <w:tc>
          <w:tcPr>
            <w:tcW w:w="2199" w:type="dxa"/>
            <w:tcBorders>
              <w:left w:val="single" w:color="000000" w:sz="6" w:space="0"/>
            </w:tcBorders>
            <w:vAlign w:val="center"/>
          </w:tcPr>
          <w:p w14:paraId="2B190C22">
            <w:pPr>
              <w:pStyle w:val="21"/>
              <w:widowControl w:val="0"/>
              <w:kinsoku/>
              <w:topLinePunct/>
              <w:autoSpaceDE/>
              <w:autoSpaceDN/>
              <w:jc w:val="center"/>
              <w:rPr>
                <w:rFonts w:hint="eastAsia"/>
                <w:color w:val="auto"/>
                <w:sz w:val="24"/>
                <w:szCs w:val="24"/>
              </w:rPr>
            </w:pPr>
            <w:r>
              <w:rPr>
                <w:color w:val="auto"/>
                <w:spacing w:val="-2"/>
                <w:sz w:val="24"/>
                <w:szCs w:val="24"/>
              </w:rPr>
              <w:t>八、营业收入</w:t>
            </w:r>
          </w:p>
        </w:tc>
        <w:tc>
          <w:tcPr>
            <w:tcW w:w="1160" w:type="dxa"/>
            <w:vAlign w:val="center"/>
          </w:tcPr>
          <w:p w14:paraId="7AF33D1B">
            <w:pPr>
              <w:widowControl w:val="0"/>
              <w:kinsoku/>
              <w:topLinePunct/>
              <w:autoSpaceDE/>
              <w:autoSpaceDN/>
              <w:jc w:val="center"/>
              <w:rPr>
                <w:color w:val="auto"/>
              </w:rPr>
            </w:pPr>
          </w:p>
        </w:tc>
        <w:tc>
          <w:tcPr>
            <w:tcW w:w="1802" w:type="dxa"/>
            <w:vAlign w:val="center"/>
          </w:tcPr>
          <w:p w14:paraId="607C1CF5">
            <w:pPr>
              <w:widowControl w:val="0"/>
              <w:kinsoku/>
              <w:topLinePunct/>
              <w:autoSpaceDE/>
              <w:autoSpaceDN/>
              <w:jc w:val="center"/>
              <w:rPr>
                <w:color w:val="auto"/>
              </w:rPr>
            </w:pPr>
          </w:p>
        </w:tc>
        <w:tc>
          <w:tcPr>
            <w:tcW w:w="1804" w:type="dxa"/>
            <w:vAlign w:val="center"/>
          </w:tcPr>
          <w:p w14:paraId="146FCF6E">
            <w:pPr>
              <w:widowControl w:val="0"/>
              <w:kinsoku/>
              <w:topLinePunct/>
              <w:autoSpaceDE/>
              <w:autoSpaceDN/>
              <w:jc w:val="center"/>
              <w:rPr>
                <w:color w:val="auto"/>
              </w:rPr>
            </w:pPr>
          </w:p>
        </w:tc>
        <w:tc>
          <w:tcPr>
            <w:tcW w:w="1811" w:type="dxa"/>
            <w:tcBorders>
              <w:right w:val="single" w:color="000000" w:sz="6" w:space="0"/>
            </w:tcBorders>
            <w:vAlign w:val="center"/>
          </w:tcPr>
          <w:p w14:paraId="20755C12">
            <w:pPr>
              <w:widowControl w:val="0"/>
              <w:kinsoku/>
              <w:topLinePunct/>
              <w:autoSpaceDE/>
              <w:autoSpaceDN/>
              <w:jc w:val="center"/>
              <w:rPr>
                <w:color w:val="auto"/>
              </w:rPr>
            </w:pPr>
          </w:p>
        </w:tc>
      </w:tr>
      <w:tr w14:paraId="6A5020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2199" w:type="dxa"/>
            <w:tcBorders>
              <w:left w:val="single" w:color="000000" w:sz="6" w:space="0"/>
            </w:tcBorders>
            <w:vAlign w:val="center"/>
          </w:tcPr>
          <w:p w14:paraId="7FDA5E1A">
            <w:pPr>
              <w:pStyle w:val="21"/>
              <w:widowControl w:val="0"/>
              <w:kinsoku/>
              <w:topLinePunct/>
              <w:autoSpaceDE/>
              <w:autoSpaceDN/>
              <w:jc w:val="center"/>
              <w:rPr>
                <w:rFonts w:hint="eastAsia"/>
                <w:color w:val="auto"/>
                <w:sz w:val="24"/>
                <w:szCs w:val="24"/>
              </w:rPr>
            </w:pPr>
            <w:r>
              <w:rPr>
                <w:color w:val="auto"/>
                <w:spacing w:val="-3"/>
                <w:sz w:val="24"/>
                <w:szCs w:val="24"/>
              </w:rPr>
              <w:t>九、净利润</w:t>
            </w:r>
          </w:p>
        </w:tc>
        <w:tc>
          <w:tcPr>
            <w:tcW w:w="1160" w:type="dxa"/>
            <w:vAlign w:val="center"/>
          </w:tcPr>
          <w:p w14:paraId="7759068D">
            <w:pPr>
              <w:widowControl w:val="0"/>
              <w:kinsoku/>
              <w:topLinePunct/>
              <w:autoSpaceDE/>
              <w:autoSpaceDN/>
              <w:jc w:val="center"/>
              <w:rPr>
                <w:color w:val="auto"/>
              </w:rPr>
            </w:pPr>
          </w:p>
        </w:tc>
        <w:tc>
          <w:tcPr>
            <w:tcW w:w="1802" w:type="dxa"/>
            <w:vAlign w:val="center"/>
          </w:tcPr>
          <w:p w14:paraId="2D5D39D9">
            <w:pPr>
              <w:widowControl w:val="0"/>
              <w:kinsoku/>
              <w:topLinePunct/>
              <w:autoSpaceDE/>
              <w:autoSpaceDN/>
              <w:jc w:val="center"/>
              <w:rPr>
                <w:color w:val="auto"/>
              </w:rPr>
            </w:pPr>
          </w:p>
        </w:tc>
        <w:tc>
          <w:tcPr>
            <w:tcW w:w="1804" w:type="dxa"/>
            <w:vAlign w:val="center"/>
          </w:tcPr>
          <w:p w14:paraId="6C80FF96">
            <w:pPr>
              <w:widowControl w:val="0"/>
              <w:kinsoku/>
              <w:topLinePunct/>
              <w:autoSpaceDE/>
              <w:autoSpaceDN/>
              <w:jc w:val="center"/>
              <w:rPr>
                <w:color w:val="auto"/>
              </w:rPr>
            </w:pPr>
          </w:p>
        </w:tc>
        <w:tc>
          <w:tcPr>
            <w:tcW w:w="1811" w:type="dxa"/>
            <w:tcBorders>
              <w:right w:val="single" w:color="000000" w:sz="6" w:space="0"/>
            </w:tcBorders>
            <w:vAlign w:val="center"/>
          </w:tcPr>
          <w:p w14:paraId="2BDA21D1">
            <w:pPr>
              <w:widowControl w:val="0"/>
              <w:kinsoku/>
              <w:topLinePunct/>
              <w:autoSpaceDE/>
              <w:autoSpaceDN/>
              <w:jc w:val="center"/>
              <w:rPr>
                <w:color w:val="auto"/>
              </w:rPr>
            </w:pPr>
          </w:p>
        </w:tc>
      </w:tr>
      <w:tr w14:paraId="33863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2199" w:type="dxa"/>
            <w:tcBorders>
              <w:left w:val="single" w:color="000000" w:sz="6" w:space="0"/>
              <w:bottom w:val="single" w:color="000000" w:sz="6" w:space="0"/>
            </w:tcBorders>
            <w:vAlign w:val="center"/>
          </w:tcPr>
          <w:p w14:paraId="1EF6C75D">
            <w:pPr>
              <w:widowControl w:val="0"/>
              <w:kinsoku/>
              <w:topLinePunct/>
              <w:autoSpaceDE/>
              <w:autoSpaceDN/>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1160" w:type="dxa"/>
            <w:tcBorders>
              <w:bottom w:val="single" w:color="000000" w:sz="6" w:space="0"/>
            </w:tcBorders>
            <w:vAlign w:val="center"/>
          </w:tcPr>
          <w:p w14:paraId="7C4AEF02">
            <w:pPr>
              <w:widowControl w:val="0"/>
              <w:kinsoku/>
              <w:topLinePunct/>
              <w:autoSpaceDE/>
              <w:autoSpaceDN/>
              <w:jc w:val="center"/>
              <w:rPr>
                <w:color w:val="auto"/>
              </w:rPr>
            </w:pPr>
          </w:p>
        </w:tc>
        <w:tc>
          <w:tcPr>
            <w:tcW w:w="1802" w:type="dxa"/>
            <w:tcBorders>
              <w:bottom w:val="single" w:color="000000" w:sz="6" w:space="0"/>
            </w:tcBorders>
            <w:vAlign w:val="center"/>
          </w:tcPr>
          <w:p w14:paraId="61C010B7">
            <w:pPr>
              <w:widowControl w:val="0"/>
              <w:kinsoku/>
              <w:topLinePunct/>
              <w:autoSpaceDE/>
              <w:autoSpaceDN/>
              <w:jc w:val="center"/>
              <w:rPr>
                <w:color w:val="auto"/>
              </w:rPr>
            </w:pPr>
          </w:p>
        </w:tc>
        <w:tc>
          <w:tcPr>
            <w:tcW w:w="1804" w:type="dxa"/>
            <w:tcBorders>
              <w:bottom w:val="single" w:color="000000" w:sz="6" w:space="0"/>
            </w:tcBorders>
            <w:vAlign w:val="center"/>
          </w:tcPr>
          <w:p w14:paraId="204E3963">
            <w:pPr>
              <w:widowControl w:val="0"/>
              <w:kinsoku/>
              <w:topLinePunct/>
              <w:autoSpaceDE/>
              <w:autoSpaceDN/>
              <w:jc w:val="center"/>
              <w:rPr>
                <w:color w:val="auto"/>
              </w:rPr>
            </w:pPr>
          </w:p>
        </w:tc>
        <w:tc>
          <w:tcPr>
            <w:tcW w:w="1811" w:type="dxa"/>
            <w:tcBorders>
              <w:bottom w:val="single" w:color="000000" w:sz="6" w:space="0"/>
              <w:right w:val="single" w:color="000000" w:sz="6" w:space="0"/>
            </w:tcBorders>
            <w:vAlign w:val="center"/>
          </w:tcPr>
          <w:p w14:paraId="73FC5CEF">
            <w:pPr>
              <w:widowControl w:val="0"/>
              <w:kinsoku/>
              <w:topLinePunct/>
              <w:autoSpaceDE/>
              <w:autoSpaceDN/>
              <w:jc w:val="center"/>
              <w:rPr>
                <w:color w:val="auto"/>
              </w:rPr>
            </w:pPr>
          </w:p>
        </w:tc>
      </w:tr>
    </w:tbl>
    <w:p w14:paraId="3E3C5A2C">
      <w:pPr>
        <w:pStyle w:val="8"/>
        <w:spacing w:line="368" w:lineRule="auto"/>
        <w:rPr>
          <w:color w:val="auto"/>
        </w:rPr>
      </w:pPr>
    </w:p>
    <w:p w14:paraId="2C5C1E35">
      <w:pPr>
        <w:spacing w:before="78" w:line="219" w:lineRule="auto"/>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注：</w:t>
      </w:r>
      <w:r>
        <w:rPr>
          <w:rFonts w:ascii="Times New Roman" w:hAnsi="Times New Roman" w:eastAsia="Times New Roman" w:cs="Times New Roman"/>
          <w:strike/>
          <w:color w:val="auto"/>
          <w:spacing w:val="-2"/>
          <w:sz w:val="24"/>
          <w:szCs w:val="24"/>
          <w:lang w:eastAsia="zh-CN"/>
        </w:rPr>
        <w:t>1.</w:t>
      </w:r>
      <w:r>
        <w:rPr>
          <w:rFonts w:ascii="宋体" w:hAnsi="宋体" w:eastAsia="宋体" w:cs="宋体"/>
          <w:strike/>
          <w:color w:val="auto"/>
          <w:spacing w:val="-2"/>
          <w:sz w:val="24"/>
          <w:szCs w:val="24"/>
          <w:lang w:eastAsia="zh-CN"/>
        </w:rPr>
        <w:t>若投标人为联合体，联合体各成员单位分别填写本表。</w:t>
      </w:r>
    </w:p>
    <w:p w14:paraId="64FF9106">
      <w:pPr>
        <w:spacing w:before="120" w:line="219" w:lineRule="auto"/>
        <w:ind w:left="475"/>
        <w:rPr>
          <w:rFonts w:hint="eastAsia" w:ascii="宋体" w:hAnsi="宋体" w:eastAsia="宋体" w:cs="宋体"/>
          <w:color w:val="auto"/>
          <w:sz w:val="24"/>
          <w:szCs w:val="24"/>
          <w:lang w:eastAsia="zh-CN"/>
        </w:rPr>
      </w:pPr>
      <w:r>
        <w:rPr>
          <w:rFonts w:ascii="Times New Roman" w:hAnsi="Times New Roman" w:eastAsia="Times New Roman" w:cs="Times New Roman"/>
          <w:color w:val="auto"/>
          <w:spacing w:val="-3"/>
          <w:sz w:val="24"/>
          <w:szCs w:val="24"/>
          <w:lang w:eastAsia="zh-CN"/>
        </w:rPr>
        <w:t>2.</w:t>
      </w:r>
      <w:r>
        <w:rPr>
          <w:rFonts w:ascii="宋体" w:hAnsi="宋体" w:eastAsia="宋体" w:cs="宋体"/>
          <w:color w:val="auto"/>
          <w:spacing w:val="-3"/>
          <w:sz w:val="24"/>
          <w:szCs w:val="24"/>
          <w:lang w:eastAsia="zh-CN"/>
        </w:rPr>
        <w:t>新建企业按实际发生年份提供。</w:t>
      </w:r>
    </w:p>
    <w:p w14:paraId="3B6B6EBE">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23844784">
      <w:pPr>
        <w:spacing w:before="78" w:line="219" w:lineRule="auto"/>
        <w:ind w:left="15"/>
        <w:rPr>
          <w:rFonts w:hint="eastAsia" w:ascii="宋体" w:hAnsi="宋体" w:eastAsia="宋体" w:cs="宋体"/>
          <w:color w:val="auto"/>
          <w:sz w:val="24"/>
          <w:szCs w:val="24"/>
          <w:lang w:eastAsia="zh-CN"/>
        </w:rPr>
      </w:pPr>
      <w:r>
        <w:rPr>
          <w:rFonts w:ascii="宋体" w:hAnsi="宋体" w:eastAsia="宋体" w:cs="宋体"/>
          <w:b/>
          <w:bCs/>
          <w:color w:val="auto"/>
          <w:spacing w:val="-10"/>
          <w:sz w:val="24"/>
          <w:szCs w:val="24"/>
          <w:lang w:eastAsia="zh-CN"/>
        </w:rPr>
        <w:t>（三）项目管理机构</w:t>
      </w:r>
    </w:p>
    <w:p w14:paraId="24B85A49">
      <w:pPr>
        <w:spacing w:before="303" w:line="219" w:lineRule="auto"/>
        <w:ind w:left="15"/>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z w:val="24"/>
          <w:szCs w:val="24"/>
          <w:lang w:eastAsia="zh-CN"/>
        </w:rPr>
        <w:t>1.</w:t>
      </w:r>
      <w:r>
        <w:rPr>
          <w:rFonts w:ascii="宋体" w:hAnsi="宋体" w:eastAsia="宋体" w:cs="宋体"/>
          <w:b/>
          <w:bCs/>
          <w:color w:val="auto"/>
          <w:sz w:val="24"/>
          <w:szCs w:val="24"/>
          <w:lang w:eastAsia="zh-CN"/>
        </w:rPr>
        <w:t>项目管理机构组成表</w:t>
      </w:r>
    </w:p>
    <w:p w14:paraId="4F6C795C">
      <w:pPr>
        <w:spacing w:line="144" w:lineRule="exact"/>
        <w:rPr>
          <w:color w:val="auto"/>
          <w:lang w:eastAsia="zh-CN"/>
        </w:rPr>
      </w:pPr>
    </w:p>
    <w:tbl>
      <w:tblPr>
        <w:tblStyle w:val="20"/>
        <w:tblW w:w="891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3"/>
        <w:gridCol w:w="683"/>
        <w:gridCol w:w="838"/>
        <w:gridCol w:w="1363"/>
        <w:gridCol w:w="848"/>
        <w:gridCol w:w="1018"/>
        <w:gridCol w:w="1210"/>
        <w:gridCol w:w="1251"/>
        <w:gridCol w:w="1016"/>
      </w:tblGrid>
      <w:tr w14:paraId="4306C6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jc w:val="center"/>
        </w:trPr>
        <w:tc>
          <w:tcPr>
            <w:tcW w:w="683" w:type="dxa"/>
            <w:vMerge w:val="restart"/>
            <w:tcBorders>
              <w:top w:val="single" w:color="000000" w:sz="6" w:space="0"/>
              <w:left w:val="single" w:color="000000" w:sz="6" w:space="0"/>
              <w:bottom w:val="nil"/>
            </w:tcBorders>
            <w:vAlign w:val="center"/>
          </w:tcPr>
          <w:p w14:paraId="0F78AC45">
            <w:pPr>
              <w:pStyle w:val="21"/>
              <w:widowControl w:val="0"/>
              <w:kinsoku/>
              <w:topLinePunct/>
              <w:autoSpaceDE/>
              <w:autoSpaceDN/>
              <w:jc w:val="center"/>
              <w:rPr>
                <w:rFonts w:hint="eastAsia"/>
                <w:color w:val="auto"/>
                <w:sz w:val="24"/>
                <w:szCs w:val="24"/>
              </w:rPr>
            </w:pPr>
            <w:r>
              <w:rPr>
                <w:color w:val="auto"/>
                <w:spacing w:val="-3"/>
                <w:sz w:val="24"/>
                <w:szCs w:val="24"/>
              </w:rPr>
              <w:t>职务</w:t>
            </w:r>
          </w:p>
        </w:tc>
        <w:tc>
          <w:tcPr>
            <w:tcW w:w="683" w:type="dxa"/>
            <w:vMerge w:val="restart"/>
            <w:tcBorders>
              <w:top w:val="single" w:color="000000" w:sz="6" w:space="0"/>
              <w:bottom w:val="nil"/>
            </w:tcBorders>
            <w:vAlign w:val="center"/>
          </w:tcPr>
          <w:p w14:paraId="2375917C">
            <w:pPr>
              <w:pStyle w:val="21"/>
              <w:widowControl w:val="0"/>
              <w:kinsoku/>
              <w:topLinePunct/>
              <w:autoSpaceDE/>
              <w:autoSpaceDN/>
              <w:jc w:val="center"/>
              <w:rPr>
                <w:rFonts w:hint="eastAsia"/>
                <w:color w:val="auto"/>
                <w:sz w:val="24"/>
                <w:szCs w:val="24"/>
              </w:rPr>
            </w:pPr>
            <w:r>
              <w:rPr>
                <w:color w:val="auto"/>
                <w:spacing w:val="-3"/>
                <w:sz w:val="24"/>
                <w:szCs w:val="24"/>
              </w:rPr>
              <w:t>姓名</w:t>
            </w:r>
          </w:p>
        </w:tc>
        <w:tc>
          <w:tcPr>
            <w:tcW w:w="838" w:type="dxa"/>
            <w:vMerge w:val="restart"/>
            <w:tcBorders>
              <w:top w:val="single" w:color="000000" w:sz="6" w:space="0"/>
              <w:bottom w:val="nil"/>
            </w:tcBorders>
            <w:vAlign w:val="center"/>
          </w:tcPr>
          <w:p w14:paraId="705B0149">
            <w:pPr>
              <w:pStyle w:val="21"/>
              <w:widowControl w:val="0"/>
              <w:kinsoku/>
              <w:topLinePunct/>
              <w:autoSpaceDE/>
              <w:autoSpaceDN/>
              <w:jc w:val="center"/>
              <w:rPr>
                <w:rFonts w:hint="eastAsia"/>
                <w:color w:val="auto"/>
                <w:sz w:val="24"/>
                <w:szCs w:val="24"/>
              </w:rPr>
            </w:pPr>
            <w:r>
              <w:rPr>
                <w:color w:val="auto"/>
                <w:spacing w:val="-3"/>
                <w:sz w:val="24"/>
                <w:szCs w:val="24"/>
              </w:rPr>
              <w:t>职称</w:t>
            </w:r>
          </w:p>
        </w:tc>
        <w:tc>
          <w:tcPr>
            <w:tcW w:w="5690" w:type="dxa"/>
            <w:gridSpan w:val="5"/>
            <w:tcBorders>
              <w:top w:val="single" w:color="000000" w:sz="6" w:space="0"/>
            </w:tcBorders>
            <w:vAlign w:val="center"/>
          </w:tcPr>
          <w:p w14:paraId="6E4D330B">
            <w:pPr>
              <w:pStyle w:val="21"/>
              <w:widowControl w:val="0"/>
              <w:kinsoku/>
              <w:topLinePunct/>
              <w:autoSpaceDE/>
              <w:autoSpaceDN/>
              <w:jc w:val="center"/>
              <w:rPr>
                <w:rFonts w:hint="eastAsia"/>
                <w:color w:val="auto"/>
                <w:sz w:val="24"/>
                <w:szCs w:val="24"/>
              </w:rPr>
            </w:pPr>
            <w:r>
              <w:rPr>
                <w:color w:val="auto"/>
                <w:spacing w:val="-1"/>
                <w:sz w:val="24"/>
                <w:szCs w:val="24"/>
              </w:rPr>
              <w:t>执业或职业资格证明</w:t>
            </w:r>
          </w:p>
        </w:tc>
        <w:tc>
          <w:tcPr>
            <w:tcW w:w="1016" w:type="dxa"/>
            <w:vMerge w:val="restart"/>
            <w:tcBorders>
              <w:top w:val="single" w:color="000000" w:sz="6" w:space="0"/>
              <w:bottom w:val="nil"/>
              <w:right w:val="single" w:color="000000" w:sz="6" w:space="0"/>
            </w:tcBorders>
            <w:vAlign w:val="center"/>
          </w:tcPr>
          <w:p w14:paraId="22AC31FF">
            <w:pPr>
              <w:pStyle w:val="21"/>
              <w:widowControl w:val="0"/>
              <w:kinsoku/>
              <w:topLinePunct/>
              <w:autoSpaceDE/>
              <w:autoSpaceDN/>
              <w:jc w:val="center"/>
              <w:rPr>
                <w:rFonts w:hint="eastAsia"/>
                <w:color w:val="auto"/>
                <w:sz w:val="24"/>
                <w:szCs w:val="24"/>
              </w:rPr>
            </w:pPr>
            <w:r>
              <w:rPr>
                <w:color w:val="auto"/>
                <w:spacing w:val="-4"/>
                <w:sz w:val="24"/>
                <w:szCs w:val="24"/>
              </w:rPr>
              <w:t>备注</w:t>
            </w:r>
          </w:p>
        </w:tc>
      </w:tr>
      <w:tr w14:paraId="6EAB8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83" w:type="dxa"/>
            <w:vMerge w:val="continue"/>
            <w:tcBorders>
              <w:top w:val="nil"/>
              <w:left w:val="single" w:color="000000" w:sz="6" w:space="0"/>
            </w:tcBorders>
            <w:vAlign w:val="center"/>
          </w:tcPr>
          <w:p w14:paraId="760D09C9">
            <w:pPr>
              <w:widowControl w:val="0"/>
              <w:kinsoku/>
              <w:topLinePunct/>
              <w:autoSpaceDE/>
              <w:autoSpaceDN/>
              <w:jc w:val="center"/>
              <w:rPr>
                <w:color w:val="auto"/>
              </w:rPr>
            </w:pPr>
          </w:p>
        </w:tc>
        <w:tc>
          <w:tcPr>
            <w:tcW w:w="683" w:type="dxa"/>
            <w:vMerge w:val="continue"/>
            <w:tcBorders>
              <w:top w:val="nil"/>
            </w:tcBorders>
            <w:vAlign w:val="center"/>
          </w:tcPr>
          <w:p w14:paraId="6D3D6C76">
            <w:pPr>
              <w:widowControl w:val="0"/>
              <w:kinsoku/>
              <w:topLinePunct/>
              <w:autoSpaceDE/>
              <w:autoSpaceDN/>
              <w:jc w:val="center"/>
              <w:rPr>
                <w:color w:val="auto"/>
              </w:rPr>
            </w:pPr>
          </w:p>
        </w:tc>
        <w:tc>
          <w:tcPr>
            <w:tcW w:w="838" w:type="dxa"/>
            <w:vMerge w:val="continue"/>
            <w:tcBorders>
              <w:top w:val="nil"/>
            </w:tcBorders>
            <w:vAlign w:val="center"/>
          </w:tcPr>
          <w:p w14:paraId="6876E23A">
            <w:pPr>
              <w:widowControl w:val="0"/>
              <w:kinsoku/>
              <w:topLinePunct/>
              <w:autoSpaceDE/>
              <w:autoSpaceDN/>
              <w:jc w:val="center"/>
              <w:rPr>
                <w:color w:val="auto"/>
              </w:rPr>
            </w:pPr>
          </w:p>
        </w:tc>
        <w:tc>
          <w:tcPr>
            <w:tcW w:w="1363" w:type="dxa"/>
            <w:vAlign w:val="center"/>
          </w:tcPr>
          <w:p w14:paraId="33D1B28C">
            <w:pPr>
              <w:pStyle w:val="21"/>
              <w:widowControl w:val="0"/>
              <w:kinsoku/>
              <w:topLinePunct/>
              <w:autoSpaceDE/>
              <w:autoSpaceDN/>
              <w:jc w:val="center"/>
              <w:rPr>
                <w:rFonts w:hint="eastAsia"/>
                <w:color w:val="auto"/>
                <w:sz w:val="24"/>
                <w:szCs w:val="24"/>
              </w:rPr>
            </w:pPr>
            <w:r>
              <w:rPr>
                <w:color w:val="auto"/>
                <w:spacing w:val="-2"/>
                <w:sz w:val="24"/>
                <w:szCs w:val="24"/>
              </w:rPr>
              <w:t>证书名称</w:t>
            </w:r>
          </w:p>
        </w:tc>
        <w:tc>
          <w:tcPr>
            <w:tcW w:w="848" w:type="dxa"/>
            <w:vAlign w:val="center"/>
          </w:tcPr>
          <w:p w14:paraId="0EBB78C8">
            <w:pPr>
              <w:pStyle w:val="21"/>
              <w:widowControl w:val="0"/>
              <w:kinsoku/>
              <w:topLinePunct/>
              <w:autoSpaceDE/>
              <w:autoSpaceDN/>
              <w:jc w:val="center"/>
              <w:rPr>
                <w:rFonts w:hint="eastAsia"/>
                <w:color w:val="auto"/>
                <w:sz w:val="24"/>
                <w:szCs w:val="24"/>
              </w:rPr>
            </w:pPr>
            <w:r>
              <w:rPr>
                <w:color w:val="auto"/>
                <w:spacing w:val="-4"/>
                <w:sz w:val="24"/>
                <w:szCs w:val="24"/>
              </w:rPr>
              <w:t>级别</w:t>
            </w:r>
          </w:p>
        </w:tc>
        <w:tc>
          <w:tcPr>
            <w:tcW w:w="1018" w:type="dxa"/>
            <w:vAlign w:val="center"/>
          </w:tcPr>
          <w:p w14:paraId="491554EA">
            <w:pPr>
              <w:pStyle w:val="21"/>
              <w:widowControl w:val="0"/>
              <w:kinsoku/>
              <w:topLinePunct/>
              <w:autoSpaceDE/>
              <w:autoSpaceDN/>
              <w:jc w:val="center"/>
              <w:rPr>
                <w:rFonts w:hint="eastAsia"/>
                <w:color w:val="auto"/>
                <w:sz w:val="24"/>
                <w:szCs w:val="24"/>
              </w:rPr>
            </w:pPr>
            <w:r>
              <w:rPr>
                <w:color w:val="auto"/>
                <w:spacing w:val="-3"/>
                <w:sz w:val="24"/>
                <w:szCs w:val="24"/>
              </w:rPr>
              <w:t>证号</w:t>
            </w:r>
          </w:p>
        </w:tc>
        <w:tc>
          <w:tcPr>
            <w:tcW w:w="1210" w:type="dxa"/>
            <w:vAlign w:val="center"/>
          </w:tcPr>
          <w:p w14:paraId="5267810E">
            <w:pPr>
              <w:pStyle w:val="21"/>
              <w:widowControl w:val="0"/>
              <w:kinsoku/>
              <w:topLinePunct/>
              <w:autoSpaceDE/>
              <w:autoSpaceDN/>
              <w:jc w:val="center"/>
              <w:rPr>
                <w:rFonts w:hint="eastAsia"/>
                <w:color w:val="auto"/>
                <w:sz w:val="24"/>
                <w:szCs w:val="24"/>
              </w:rPr>
            </w:pPr>
            <w:r>
              <w:rPr>
                <w:color w:val="auto"/>
                <w:spacing w:val="-3"/>
                <w:sz w:val="24"/>
                <w:szCs w:val="24"/>
              </w:rPr>
              <w:t>专业</w:t>
            </w:r>
          </w:p>
        </w:tc>
        <w:tc>
          <w:tcPr>
            <w:tcW w:w="1251" w:type="dxa"/>
            <w:vAlign w:val="center"/>
          </w:tcPr>
          <w:p w14:paraId="67CECD13">
            <w:pPr>
              <w:pStyle w:val="21"/>
              <w:widowControl w:val="0"/>
              <w:kinsoku/>
              <w:topLinePunct/>
              <w:autoSpaceDE/>
              <w:autoSpaceDN/>
              <w:jc w:val="center"/>
              <w:rPr>
                <w:rFonts w:hint="eastAsia"/>
                <w:color w:val="auto"/>
                <w:sz w:val="24"/>
                <w:szCs w:val="24"/>
              </w:rPr>
            </w:pPr>
            <w:r>
              <w:rPr>
                <w:color w:val="auto"/>
                <w:spacing w:val="-3"/>
                <w:sz w:val="24"/>
                <w:szCs w:val="24"/>
              </w:rPr>
              <w:t>社会保险</w:t>
            </w:r>
          </w:p>
          <w:p w14:paraId="039E4DB0">
            <w:pPr>
              <w:pStyle w:val="21"/>
              <w:widowControl w:val="0"/>
              <w:kinsoku/>
              <w:topLinePunct/>
              <w:autoSpaceDE/>
              <w:autoSpaceDN/>
              <w:jc w:val="center"/>
              <w:rPr>
                <w:rFonts w:hint="eastAsia"/>
                <w:color w:val="auto"/>
                <w:sz w:val="24"/>
                <w:szCs w:val="24"/>
              </w:rPr>
            </w:pPr>
            <w:r>
              <w:rPr>
                <w:color w:val="auto"/>
                <w:spacing w:val="-2"/>
                <w:sz w:val="24"/>
                <w:szCs w:val="24"/>
              </w:rPr>
              <w:t>缴纳情况</w:t>
            </w:r>
          </w:p>
        </w:tc>
        <w:tc>
          <w:tcPr>
            <w:tcW w:w="1016" w:type="dxa"/>
            <w:vMerge w:val="continue"/>
            <w:tcBorders>
              <w:top w:val="nil"/>
              <w:right w:val="single" w:color="000000" w:sz="6" w:space="0"/>
            </w:tcBorders>
            <w:vAlign w:val="center"/>
          </w:tcPr>
          <w:p w14:paraId="6B170F1C">
            <w:pPr>
              <w:widowControl w:val="0"/>
              <w:kinsoku/>
              <w:topLinePunct/>
              <w:autoSpaceDE/>
              <w:autoSpaceDN/>
              <w:jc w:val="center"/>
              <w:rPr>
                <w:color w:val="auto"/>
              </w:rPr>
            </w:pPr>
          </w:p>
        </w:tc>
      </w:tr>
      <w:tr w14:paraId="0BE5C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jc w:val="center"/>
        </w:trPr>
        <w:tc>
          <w:tcPr>
            <w:tcW w:w="683" w:type="dxa"/>
            <w:tcBorders>
              <w:left w:val="single" w:color="000000" w:sz="6" w:space="0"/>
            </w:tcBorders>
            <w:vAlign w:val="center"/>
          </w:tcPr>
          <w:p w14:paraId="46147250">
            <w:pPr>
              <w:widowControl w:val="0"/>
              <w:kinsoku/>
              <w:topLinePunct/>
              <w:autoSpaceDE/>
              <w:autoSpaceDN/>
              <w:jc w:val="center"/>
              <w:rPr>
                <w:color w:val="auto"/>
              </w:rPr>
            </w:pPr>
          </w:p>
        </w:tc>
        <w:tc>
          <w:tcPr>
            <w:tcW w:w="683" w:type="dxa"/>
            <w:vAlign w:val="center"/>
          </w:tcPr>
          <w:p w14:paraId="197250CA">
            <w:pPr>
              <w:widowControl w:val="0"/>
              <w:kinsoku/>
              <w:topLinePunct/>
              <w:autoSpaceDE/>
              <w:autoSpaceDN/>
              <w:jc w:val="center"/>
              <w:rPr>
                <w:color w:val="auto"/>
              </w:rPr>
            </w:pPr>
          </w:p>
        </w:tc>
        <w:tc>
          <w:tcPr>
            <w:tcW w:w="838" w:type="dxa"/>
            <w:vAlign w:val="center"/>
          </w:tcPr>
          <w:p w14:paraId="5192142C">
            <w:pPr>
              <w:widowControl w:val="0"/>
              <w:kinsoku/>
              <w:topLinePunct/>
              <w:autoSpaceDE/>
              <w:autoSpaceDN/>
              <w:jc w:val="center"/>
              <w:rPr>
                <w:color w:val="auto"/>
              </w:rPr>
            </w:pPr>
          </w:p>
        </w:tc>
        <w:tc>
          <w:tcPr>
            <w:tcW w:w="1363" w:type="dxa"/>
            <w:vAlign w:val="center"/>
          </w:tcPr>
          <w:p w14:paraId="6C1CBE10">
            <w:pPr>
              <w:widowControl w:val="0"/>
              <w:kinsoku/>
              <w:topLinePunct/>
              <w:autoSpaceDE/>
              <w:autoSpaceDN/>
              <w:jc w:val="center"/>
              <w:rPr>
                <w:color w:val="auto"/>
              </w:rPr>
            </w:pPr>
          </w:p>
        </w:tc>
        <w:tc>
          <w:tcPr>
            <w:tcW w:w="848" w:type="dxa"/>
            <w:vAlign w:val="center"/>
          </w:tcPr>
          <w:p w14:paraId="25B4631A">
            <w:pPr>
              <w:widowControl w:val="0"/>
              <w:kinsoku/>
              <w:topLinePunct/>
              <w:autoSpaceDE/>
              <w:autoSpaceDN/>
              <w:jc w:val="center"/>
              <w:rPr>
                <w:color w:val="auto"/>
              </w:rPr>
            </w:pPr>
          </w:p>
        </w:tc>
        <w:tc>
          <w:tcPr>
            <w:tcW w:w="1018" w:type="dxa"/>
            <w:vAlign w:val="center"/>
          </w:tcPr>
          <w:p w14:paraId="144A9685">
            <w:pPr>
              <w:widowControl w:val="0"/>
              <w:kinsoku/>
              <w:topLinePunct/>
              <w:autoSpaceDE/>
              <w:autoSpaceDN/>
              <w:jc w:val="center"/>
              <w:rPr>
                <w:color w:val="auto"/>
              </w:rPr>
            </w:pPr>
          </w:p>
        </w:tc>
        <w:tc>
          <w:tcPr>
            <w:tcW w:w="1210" w:type="dxa"/>
            <w:vAlign w:val="center"/>
          </w:tcPr>
          <w:p w14:paraId="0C7D1707">
            <w:pPr>
              <w:widowControl w:val="0"/>
              <w:kinsoku/>
              <w:topLinePunct/>
              <w:autoSpaceDE/>
              <w:autoSpaceDN/>
              <w:jc w:val="center"/>
              <w:rPr>
                <w:color w:val="auto"/>
              </w:rPr>
            </w:pPr>
          </w:p>
        </w:tc>
        <w:tc>
          <w:tcPr>
            <w:tcW w:w="1251" w:type="dxa"/>
            <w:vAlign w:val="center"/>
          </w:tcPr>
          <w:p w14:paraId="35E92F8D">
            <w:pPr>
              <w:widowControl w:val="0"/>
              <w:kinsoku/>
              <w:topLinePunct/>
              <w:autoSpaceDE/>
              <w:autoSpaceDN/>
              <w:jc w:val="center"/>
              <w:rPr>
                <w:color w:val="auto"/>
              </w:rPr>
            </w:pPr>
          </w:p>
        </w:tc>
        <w:tc>
          <w:tcPr>
            <w:tcW w:w="1016" w:type="dxa"/>
            <w:tcBorders>
              <w:right w:val="single" w:color="000000" w:sz="6" w:space="0"/>
            </w:tcBorders>
            <w:vAlign w:val="center"/>
          </w:tcPr>
          <w:p w14:paraId="4DD1FD0D">
            <w:pPr>
              <w:widowControl w:val="0"/>
              <w:kinsoku/>
              <w:topLinePunct/>
              <w:autoSpaceDE/>
              <w:autoSpaceDN/>
              <w:jc w:val="center"/>
              <w:rPr>
                <w:color w:val="auto"/>
              </w:rPr>
            </w:pPr>
          </w:p>
        </w:tc>
      </w:tr>
      <w:tr w14:paraId="03A93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83" w:type="dxa"/>
            <w:tcBorders>
              <w:left w:val="single" w:color="000000" w:sz="6" w:space="0"/>
            </w:tcBorders>
            <w:vAlign w:val="center"/>
          </w:tcPr>
          <w:p w14:paraId="09A38242">
            <w:pPr>
              <w:widowControl w:val="0"/>
              <w:kinsoku/>
              <w:topLinePunct/>
              <w:autoSpaceDE/>
              <w:autoSpaceDN/>
              <w:jc w:val="center"/>
              <w:rPr>
                <w:color w:val="auto"/>
              </w:rPr>
            </w:pPr>
          </w:p>
        </w:tc>
        <w:tc>
          <w:tcPr>
            <w:tcW w:w="683" w:type="dxa"/>
            <w:vAlign w:val="center"/>
          </w:tcPr>
          <w:p w14:paraId="60C8E3E2">
            <w:pPr>
              <w:widowControl w:val="0"/>
              <w:kinsoku/>
              <w:topLinePunct/>
              <w:autoSpaceDE/>
              <w:autoSpaceDN/>
              <w:jc w:val="center"/>
              <w:rPr>
                <w:color w:val="auto"/>
              </w:rPr>
            </w:pPr>
          </w:p>
        </w:tc>
        <w:tc>
          <w:tcPr>
            <w:tcW w:w="838" w:type="dxa"/>
            <w:vAlign w:val="center"/>
          </w:tcPr>
          <w:p w14:paraId="15DB4100">
            <w:pPr>
              <w:widowControl w:val="0"/>
              <w:kinsoku/>
              <w:topLinePunct/>
              <w:autoSpaceDE/>
              <w:autoSpaceDN/>
              <w:jc w:val="center"/>
              <w:rPr>
                <w:color w:val="auto"/>
              </w:rPr>
            </w:pPr>
          </w:p>
        </w:tc>
        <w:tc>
          <w:tcPr>
            <w:tcW w:w="1363" w:type="dxa"/>
            <w:vAlign w:val="center"/>
          </w:tcPr>
          <w:p w14:paraId="1759660F">
            <w:pPr>
              <w:widowControl w:val="0"/>
              <w:kinsoku/>
              <w:topLinePunct/>
              <w:autoSpaceDE/>
              <w:autoSpaceDN/>
              <w:jc w:val="center"/>
              <w:rPr>
                <w:color w:val="auto"/>
              </w:rPr>
            </w:pPr>
          </w:p>
        </w:tc>
        <w:tc>
          <w:tcPr>
            <w:tcW w:w="848" w:type="dxa"/>
            <w:vAlign w:val="center"/>
          </w:tcPr>
          <w:p w14:paraId="5BAD04BF">
            <w:pPr>
              <w:widowControl w:val="0"/>
              <w:kinsoku/>
              <w:topLinePunct/>
              <w:autoSpaceDE/>
              <w:autoSpaceDN/>
              <w:jc w:val="center"/>
              <w:rPr>
                <w:color w:val="auto"/>
              </w:rPr>
            </w:pPr>
          </w:p>
        </w:tc>
        <w:tc>
          <w:tcPr>
            <w:tcW w:w="1018" w:type="dxa"/>
            <w:vAlign w:val="center"/>
          </w:tcPr>
          <w:p w14:paraId="179BEF2D">
            <w:pPr>
              <w:widowControl w:val="0"/>
              <w:kinsoku/>
              <w:topLinePunct/>
              <w:autoSpaceDE/>
              <w:autoSpaceDN/>
              <w:jc w:val="center"/>
              <w:rPr>
                <w:color w:val="auto"/>
              </w:rPr>
            </w:pPr>
          </w:p>
        </w:tc>
        <w:tc>
          <w:tcPr>
            <w:tcW w:w="1210" w:type="dxa"/>
            <w:vAlign w:val="center"/>
          </w:tcPr>
          <w:p w14:paraId="54335861">
            <w:pPr>
              <w:widowControl w:val="0"/>
              <w:kinsoku/>
              <w:topLinePunct/>
              <w:autoSpaceDE/>
              <w:autoSpaceDN/>
              <w:jc w:val="center"/>
              <w:rPr>
                <w:color w:val="auto"/>
              </w:rPr>
            </w:pPr>
          </w:p>
        </w:tc>
        <w:tc>
          <w:tcPr>
            <w:tcW w:w="1251" w:type="dxa"/>
            <w:vAlign w:val="center"/>
          </w:tcPr>
          <w:p w14:paraId="50D26292">
            <w:pPr>
              <w:widowControl w:val="0"/>
              <w:kinsoku/>
              <w:topLinePunct/>
              <w:autoSpaceDE/>
              <w:autoSpaceDN/>
              <w:jc w:val="center"/>
              <w:rPr>
                <w:color w:val="auto"/>
              </w:rPr>
            </w:pPr>
          </w:p>
        </w:tc>
        <w:tc>
          <w:tcPr>
            <w:tcW w:w="1016" w:type="dxa"/>
            <w:tcBorders>
              <w:right w:val="single" w:color="000000" w:sz="6" w:space="0"/>
            </w:tcBorders>
            <w:vAlign w:val="center"/>
          </w:tcPr>
          <w:p w14:paraId="321C5302">
            <w:pPr>
              <w:widowControl w:val="0"/>
              <w:kinsoku/>
              <w:topLinePunct/>
              <w:autoSpaceDE/>
              <w:autoSpaceDN/>
              <w:jc w:val="center"/>
              <w:rPr>
                <w:color w:val="auto"/>
              </w:rPr>
            </w:pPr>
          </w:p>
        </w:tc>
      </w:tr>
      <w:tr w14:paraId="73C6C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83" w:type="dxa"/>
            <w:tcBorders>
              <w:left w:val="single" w:color="000000" w:sz="6" w:space="0"/>
            </w:tcBorders>
            <w:vAlign w:val="center"/>
          </w:tcPr>
          <w:p w14:paraId="0CBBF745">
            <w:pPr>
              <w:widowControl w:val="0"/>
              <w:kinsoku/>
              <w:topLinePunct/>
              <w:autoSpaceDE/>
              <w:autoSpaceDN/>
              <w:jc w:val="center"/>
              <w:rPr>
                <w:color w:val="auto"/>
              </w:rPr>
            </w:pPr>
          </w:p>
        </w:tc>
        <w:tc>
          <w:tcPr>
            <w:tcW w:w="683" w:type="dxa"/>
            <w:vAlign w:val="center"/>
          </w:tcPr>
          <w:p w14:paraId="2209D6ED">
            <w:pPr>
              <w:widowControl w:val="0"/>
              <w:kinsoku/>
              <w:topLinePunct/>
              <w:autoSpaceDE/>
              <w:autoSpaceDN/>
              <w:jc w:val="center"/>
              <w:rPr>
                <w:color w:val="auto"/>
              </w:rPr>
            </w:pPr>
          </w:p>
        </w:tc>
        <w:tc>
          <w:tcPr>
            <w:tcW w:w="838" w:type="dxa"/>
            <w:vAlign w:val="center"/>
          </w:tcPr>
          <w:p w14:paraId="6E871929">
            <w:pPr>
              <w:widowControl w:val="0"/>
              <w:kinsoku/>
              <w:topLinePunct/>
              <w:autoSpaceDE/>
              <w:autoSpaceDN/>
              <w:jc w:val="center"/>
              <w:rPr>
                <w:color w:val="auto"/>
              </w:rPr>
            </w:pPr>
          </w:p>
        </w:tc>
        <w:tc>
          <w:tcPr>
            <w:tcW w:w="1363" w:type="dxa"/>
            <w:vAlign w:val="center"/>
          </w:tcPr>
          <w:p w14:paraId="4FDD3CA5">
            <w:pPr>
              <w:widowControl w:val="0"/>
              <w:kinsoku/>
              <w:topLinePunct/>
              <w:autoSpaceDE/>
              <w:autoSpaceDN/>
              <w:jc w:val="center"/>
              <w:rPr>
                <w:color w:val="auto"/>
              </w:rPr>
            </w:pPr>
          </w:p>
        </w:tc>
        <w:tc>
          <w:tcPr>
            <w:tcW w:w="848" w:type="dxa"/>
            <w:vAlign w:val="center"/>
          </w:tcPr>
          <w:p w14:paraId="756C5E6E">
            <w:pPr>
              <w:widowControl w:val="0"/>
              <w:kinsoku/>
              <w:topLinePunct/>
              <w:autoSpaceDE/>
              <w:autoSpaceDN/>
              <w:jc w:val="center"/>
              <w:rPr>
                <w:color w:val="auto"/>
              </w:rPr>
            </w:pPr>
          </w:p>
        </w:tc>
        <w:tc>
          <w:tcPr>
            <w:tcW w:w="1018" w:type="dxa"/>
            <w:vAlign w:val="center"/>
          </w:tcPr>
          <w:p w14:paraId="596F8FA8">
            <w:pPr>
              <w:widowControl w:val="0"/>
              <w:kinsoku/>
              <w:topLinePunct/>
              <w:autoSpaceDE/>
              <w:autoSpaceDN/>
              <w:jc w:val="center"/>
              <w:rPr>
                <w:color w:val="auto"/>
              </w:rPr>
            </w:pPr>
          </w:p>
        </w:tc>
        <w:tc>
          <w:tcPr>
            <w:tcW w:w="1210" w:type="dxa"/>
            <w:vAlign w:val="center"/>
          </w:tcPr>
          <w:p w14:paraId="27E6F6E0">
            <w:pPr>
              <w:widowControl w:val="0"/>
              <w:kinsoku/>
              <w:topLinePunct/>
              <w:autoSpaceDE/>
              <w:autoSpaceDN/>
              <w:jc w:val="center"/>
              <w:rPr>
                <w:color w:val="auto"/>
              </w:rPr>
            </w:pPr>
          </w:p>
        </w:tc>
        <w:tc>
          <w:tcPr>
            <w:tcW w:w="1251" w:type="dxa"/>
            <w:vAlign w:val="center"/>
          </w:tcPr>
          <w:p w14:paraId="6299B6DB">
            <w:pPr>
              <w:widowControl w:val="0"/>
              <w:kinsoku/>
              <w:topLinePunct/>
              <w:autoSpaceDE/>
              <w:autoSpaceDN/>
              <w:jc w:val="center"/>
              <w:rPr>
                <w:color w:val="auto"/>
              </w:rPr>
            </w:pPr>
          </w:p>
        </w:tc>
        <w:tc>
          <w:tcPr>
            <w:tcW w:w="1016" w:type="dxa"/>
            <w:tcBorders>
              <w:right w:val="single" w:color="000000" w:sz="6" w:space="0"/>
            </w:tcBorders>
            <w:vAlign w:val="center"/>
          </w:tcPr>
          <w:p w14:paraId="3E08D456">
            <w:pPr>
              <w:widowControl w:val="0"/>
              <w:kinsoku/>
              <w:topLinePunct/>
              <w:autoSpaceDE/>
              <w:autoSpaceDN/>
              <w:jc w:val="center"/>
              <w:rPr>
                <w:color w:val="auto"/>
              </w:rPr>
            </w:pPr>
          </w:p>
        </w:tc>
      </w:tr>
      <w:tr w14:paraId="500E37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83" w:type="dxa"/>
            <w:tcBorders>
              <w:left w:val="single" w:color="000000" w:sz="6" w:space="0"/>
            </w:tcBorders>
            <w:vAlign w:val="center"/>
          </w:tcPr>
          <w:p w14:paraId="2CAD6000">
            <w:pPr>
              <w:widowControl w:val="0"/>
              <w:kinsoku/>
              <w:topLinePunct/>
              <w:autoSpaceDE/>
              <w:autoSpaceDN/>
              <w:jc w:val="center"/>
              <w:rPr>
                <w:color w:val="auto"/>
              </w:rPr>
            </w:pPr>
          </w:p>
        </w:tc>
        <w:tc>
          <w:tcPr>
            <w:tcW w:w="683" w:type="dxa"/>
            <w:vAlign w:val="center"/>
          </w:tcPr>
          <w:p w14:paraId="12489846">
            <w:pPr>
              <w:widowControl w:val="0"/>
              <w:kinsoku/>
              <w:topLinePunct/>
              <w:autoSpaceDE/>
              <w:autoSpaceDN/>
              <w:jc w:val="center"/>
              <w:rPr>
                <w:color w:val="auto"/>
              </w:rPr>
            </w:pPr>
          </w:p>
        </w:tc>
        <w:tc>
          <w:tcPr>
            <w:tcW w:w="838" w:type="dxa"/>
            <w:vAlign w:val="center"/>
          </w:tcPr>
          <w:p w14:paraId="060678B8">
            <w:pPr>
              <w:widowControl w:val="0"/>
              <w:kinsoku/>
              <w:topLinePunct/>
              <w:autoSpaceDE/>
              <w:autoSpaceDN/>
              <w:jc w:val="center"/>
              <w:rPr>
                <w:color w:val="auto"/>
              </w:rPr>
            </w:pPr>
          </w:p>
        </w:tc>
        <w:tc>
          <w:tcPr>
            <w:tcW w:w="1363" w:type="dxa"/>
            <w:vAlign w:val="center"/>
          </w:tcPr>
          <w:p w14:paraId="4151E2AA">
            <w:pPr>
              <w:widowControl w:val="0"/>
              <w:kinsoku/>
              <w:topLinePunct/>
              <w:autoSpaceDE/>
              <w:autoSpaceDN/>
              <w:jc w:val="center"/>
              <w:rPr>
                <w:color w:val="auto"/>
              </w:rPr>
            </w:pPr>
          </w:p>
        </w:tc>
        <w:tc>
          <w:tcPr>
            <w:tcW w:w="848" w:type="dxa"/>
            <w:vAlign w:val="center"/>
          </w:tcPr>
          <w:p w14:paraId="7D7179F5">
            <w:pPr>
              <w:widowControl w:val="0"/>
              <w:kinsoku/>
              <w:topLinePunct/>
              <w:autoSpaceDE/>
              <w:autoSpaceDN/>
              <w:jc w:val="center"/>
              <w:rPr>
                <w:color w:val="auto"/>
              </w:rPr>
            </w:pPr>
          </w:p>
        </w:tc>
        <w:tc>
          <w:tcPr>
            <w:tcW w:w="1018" w:type="dxa"/>
            <w:vAlign w:val="center"/>
          </w:tcPr>
          <w:p w14:paraId="0560A2EB">
            <w:pPr>
              <w:widowControl w:val="0"/>
              <w:kinsoku/>
              <w:topLinePunct/>
              <w:autoSpaceDE/>
              <w:autoSpaceDN/>
              <w:jc w:val="center"/>
              <w:rPr>
                <w:color w:val="auto"/>
              </w:rPr>
            </w:pPr>
          </w:p>
        </w:tc>
        <w:tc>
          <w:tcPr>
            <w:tcW w:w="1210" w:type="dxa"/>
            <w:vAlign w:val="center"/>
          </w:tcPr>
          <w:p w14:paraId="6756CF09">
            <w:pPr>
              <w:widowControl w:val="0"/>
              <w:kinsoku/>
              <w:topLinePunct/>
              <w:autoSpaceDE/>
              <w:autoSpaceDN/>
              <w:jc w:val="center"/>
              <w:rPr>
                <w:color w:val="auto"/>
              </w:rPr>
            </w:pPr>
          </w:p>
        </w:tc>
        <w:tc>
          <w:tcPr>
            <w:tcW w:w="1251" w:type="dxa"/>
            <w:vAlign w:val="center"/>
          </w:tcPr>
          <w:p w14:paraId="085178EB">
            <w:pPr>
              <w:widowControl w:val="0"/>
              <w:kinsoku/>
              <w:topLinePunct/>
              <w:autoSpaceDE/>
              <w:autoSpaceDN/>
              <w:jc w:val="center"/>
              <w:rPr>
                <w:color w:val="auto"/>
              </w:rPr>
            </w:pPr>
          </w:p>
        </w:tc>
        <w:tc>
          <w:tcPr>
            <w:tcW w:w="1016" w:type="dxa"/>
            <w:tcBorders>
              <w:right w:val="single" w:color="000000" w:sz="6" w:space="0"/>
            </w:tcBorders>
            <w:vAlign w:val="center"/>
          </w:tcPr>
          <w:p w14:paraId="38989162">
            <w:pPr>
              <w:widowControl w:val="0"/>
              <w:kinsoku/>
              <w:topLinePunct/>
              <w:autoSpaceDE/>
              <w:autoSpaceDN/>
              <w:jc w:val="center"/>
              <w:rPr>
                <w:color w:val="auto"/>
              </w:rPr>
            </w:pPr>
          </w:p>
        </w:tc>
      </w:tr>
      <w:tr w14:paraId="47D867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83" w:type="dxa"/>
            <w:tcBorders>
              <w:left w:val="single" w:color="000000" w:sz="6" w:space="0"/>
            </w:tcBorders>
            <w:vAlign w:val="center"/>
          </w:tcPr>
          <w:p w14:paraId="4C70BD0A">
            <w:pPr>
              <w:widowControl w:val="0"/>
              <w:kinsoku/>
              <w:topLinePunct/>
              <w:autoSpaceDE/>
              <w:autoSpaceDN/>
              <w:jc w:val="center"/>
              <w:rPr>
                <w:color w:val="auto"/>
              </w:rPr>
            </w:pPr>
          </w:p>
        </w:tc>
        <w:tc>
          <w:tcPr>
            <w:tcW w:w="683" w:type="dxa"/>
            <w:vAlign w:val="center"/>
          </w:tcPr>
          <w:p w14:paraId="1C11192D">
            <w:pPr>
              <w:widowControl w:val="0"/>
              <w:kinsoku/>
              <w:topLinePunct/>
              <w:autoSpaceDE/>
              <w:autoSpaceDN/>
              <w:jc w:val="center"/>
              <w:rPr>
                <w:color w:val="auto"/>
              </w:rPr>
            </w:pPr>
          </w:p>
        </w:tc>
        <w:tc>
          <w:tcPr>
            <w:tcW w:w="838" w:type="dxa"/>
            <w:vAlign w:val="center"/>
          </w:tcPr>
          <w:p w14:paraId="56FFA671">
            <w:pPr>
              <w:widowControl w:val="0"/>
              <w:kinsoku/>
              <w:topLinePunct/>
              <w:autoSpaceDE/>
              <w:autoSpaceDN/>
              <w:jc w:val="center"/>
              <w:rPr>
                <w:color w:val="auto"/>
              </w:rPr>
            </w:pPr>
          </w:p>
        </w:tc>
        <w:tc>
          <w:tcPr>
            <w:tcW w:w="1363" w:type="dxa"/>
            <w:vAlign w:val="center"/>
          </w:tcPr>
          <w:p w14:paraId="28A127C0">
            <w:pPr>
              <w:widowControl w:val="0"/>
              <w:kinsoku/>
              <w:topLinePunct/>
              <w:autoSpaceDE/>
              <w:autoSpaceDN/>
              <w:jc w:val="center"/>
              <w:rPr>
                <w:color w:val="auto"/>
              </w:rPr>
            </w:pPr>
          </w:p>
        </w:tc>
        <w:tc>
          <w:tcPr>
            <w:tcW w:w="848" w:type="dxa"/>
            <w:vAlign w:val="center"/>
          </w:tcPr>
          <w:p w14:paraId="497EBD67">
            <w:pPr>
              <w:widowControl w:val="0"/>
              <w:kinsoku/>
              <w:topLinePunct/>
              <w:autoSpaceDE/>
              <w:autoSpaceDN/>
              <w:jc w:val="center"/>
              <w:rPr>
                <w:color w:val="auto"/>
              </w:rPr>
            </w:pPr>
          </w:p>
        </w:tc>
        <w:tc>
          <w:tcPr>
            <w:tcW w:w="1018" w:type="dxa"/>
            <w:vAlign w:val="center"/>
          </w:tcPr>
          <w:p w14:paraId="1E34EB4B">
            <w:pPr>
              <w:widowControl w:val="0"/>
              <w:kinsoku/>
              <w:topLinePunct/>
              <w:autoSpaceDE/>
              <w:autoSpaceDN/>
              <w:jc w:val="center"/>
              <w:rPr>
                <w:color w:val="auto"/>
              </w:rPr>
            </w:pPr>
          </w:p>
        </w:tc>
        <w:tc>
          <w:tcPr>
            <w:tcW w:w="1210" w:type="dxa"/>
            <w:vAlign w:val="center"/>
          </w:tcPr>
          <w:p w14:paraId="6F334BAC">
            <w:pPr>
              <w:widowControl w:val="0"/>
              <w:kinsoku/>
              <w:topLinePunct/>
              <w:autoSpaceDE/>
              <w:autoSpaceDN/>
              <w:jc w:val="center"/>
              <w:rPr>
                <w:color w:val="auto"/>
              </w:rPr>
            </w:pPr>
          </w:p>
        </w:tc>
        <w:tc>
          <w:tcPr>
            <w:tcW w:w="1251" w:type="dxa"/>
            <w:vAlign w:val="center"/>
          </w:tcPr>
          <w:p w14:paraId="1DEB04DD">
            <w:pPr>
              <w:widowControl w:val="0"/>
              <w:kinsoku/>
              <w:topLinePunct/>
              <w:autoSpaceDE/>
              <w:autoSpaceDN/>
              <w:jc w:val="center"/>
              <w:rPr>
                <w:color w:val="auto"/>
              </w:rPr>
            </w:pPr>
          </w:p>
        </w:tc>
        <w:tc>
          <w:tcPr>
            <w:tcW w:w="1016" w:type="dxa"/>
            <w:tcBorders>
              <w:right w:val="single" w:color="000000" w:sz="6" w:space="0"/>
            </w:tcBorders>
            <w:vAlign w:val="center"/>
          </w:tcPr>
          <w:p w14:paraId="5C266408">
            <w:pPr>
              <w:widowControl w:val="0"/>
              <w:kinsoku/>
              <w:topLinePunct/>
              <w:autoSpaceDE/>
              <w:autoSpaceDN/>
              <w:jc w:val="center"/>
              <w:rPr>
                <w:color w:val="auto"/>
              </w:rPr>
            </w:pPr>
          </w:p>
        </w:tc>
      </w:tr>
      <w:tr w14:paraId="0BB73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83" w:type="dxa"/>
            <w:tcBorders>
              <w:left w:val="single" w:color="000000" w:sz="6" w:space="0"/>
            </w:tcBorders>
            <w:vAlign w:val="center"/>
          </w:tcPr>
          <w:p w14:paraId="53FE65CE">
            <w:pPr>
              <w:widowControl w:val="0"/>
              <w:kinsoku/>
              <w:topLinePunct/>
              <w:autoSpaceDE/>
              <w:autoSpaceDN/>
              <w:jc w:val="center"/>
              <w:rPr>
                <w:color w:val="auto"/>
              </w:rPr>
            </w:pPr>
          </w:p>
        </w:tc>
        <w:tc>
          <w:tcPr>
            <w:tcW w:w="683" w:type="dxa"/>
            <w:vAlign w:val="center"/>
          </w:tcPr>
          <w:p w14:paraId="61948253">
            <w:pPr>
              <w:widowControl w:val="0"/>
              <w:kinsoku/>
              <w:topLinePunct/>
              <w:autoSpaceDE/>
              <w:autoSpaceDN/>
              <w:jc w:val="center"/>
              <w:rPr>
                <w:color w:val="auto"/>
              </w:rPr>
            </w:pPr>
          </w:p>
        </w:tc>
        <w:tc>
          <w:tcPr>
            <w:tcW w:w="838" w:type="dxa"/>
            <w:vAlign w:val="center"/>
          </w:tcPr>
          <w:p w14:paraId="195898F9">
            <w:pPr>
              <w:widowControl w:val="0"/>
              <w:kinsoku/>
              <w:topLinePunct/>
              <w:autoSpaceDE/>
              <w:autoSpaceDN/>
              <w:jc w:val="center"/>
              <w:rPr>
                <w:color w:val="auto"/>
              </w:rPr>
            </w:pPr>
          </w:p>
        </w:tc>
        <w:tc>
          <w:tcPr>
            <w:tcW w:w="1363" w:type="dxa"/>
            <w:vAlign w:val="center"/>
          </w:tcPr>
          <w:p w14:paraId="76F154BB">
            <w:pPr>
              <w:widowControl w:val="0"/>
              <w:kinsoku/>
              <w:topLinePunct/>
              <w:autoSpaceDE/>
              <w:autoSpaceDN/>
              <w:jc w:val="center"/>
              <w:rPr>
                <w:color w:val="auto"/>
              </w:rPr>
            </w:pPr>
          </w:p>
        </w:tc>
        <w:tc>
          <w:tcPr>
            <w:tcW w:w="848" w:type="dxa"/>
            <w:vAlign w:val="center"/>
          </w:tcPr>
          <w:p w14:paraId="234C86B1">
            <w:pPr>
              <w:widowControl w:val="0"/>
              <w:kinsoku/>
              <w:topLinePunct/>
              <w:autoSpaceDE/>
              <w:autoSpaceDN/>
              <w:jc w:val="center"/>
              <w:rPr>
                <w:color w:val="auto"/>
              </w:rPr>
            </w:pPr>
          </w:p>
        </w:tc>
        <w:tc>
          <w:tcPr>
            <w:tcW w:w="1018" w:type="dxa"/>
            <w:vAlign w:val="center"/>
          </w:tcPr>
          <w:p w14:paraId="49D7F869">
            <w:pPr>
              <w:widowControl w:val="0"/>
              <w:kinsoku/>
              <w:topLinePunct/>
              <w:autoSpaceDE/>
              <w:autoSpaceDN/>
              <w:jc w:val="center"/>
              <w:rPr>
                <w:color w:val="auto"/>
              </w:rPr>
            </w:pPr>
          </w:p>
        </w:tc>
        <w:tc>
          <w:tcPr>
            <w:tcW w:w="1210" w:type="dxa"/>
            <w:vAlign w:val="center"/>
          </w:tcPr>
          <w:p w14:paraId="7D61B240">
            <w:pPr>
              <w:widowControl w:val="0"/>
              <w:kinsoku/>
              <w:topLinePunct/>
              <w:autoSpaceDE/>
              <w:autoSpaceDN/>
              <w:jc w:val="center"/>
              <w:rPr>
                <w:color w:val="auto"/>
              </w:rPr>
            </w:pPr>
          </w:p>
        </w:tc>
        <w:tc>
          <w:tcPr>
            <w:tcW w:w="1251" w:type="dxa"/>
            <w:vAlign w:val="center"/>
          </w:tcPr>
          <w:p w14:paraId="280046D9">
            <w:pPr>
              <w:widowControl w:val="0"/>
              <w:kinsoku/>
              <w:topLinePunct/>
              <w:autoSpaceDE/>
              <w:autoSpaceDN/>
              <w:jc w:val="center"/>
              <w:rPr>
                <w:color w:val="auto"/>
              </w:rPr>
            </w:pPr>
          </w:p>
        </w:tc>
        <w:tc>
          <w:tcPr>
            <w:tcW w:w="1016" w:type="dxa"/>
            <w:tcBorders>
              <w:right w:val="single" w:color="000000" w:sz="6" w:space="0"/>
            </w:tcBorders>
            <w:vAlign w:val="center"/>
          </w:tcPr>
          <w:p w14:paraId="2DAAC794">
            <w:pPr>
              <w:widowControl w:val="0"/>
              <w:kinsoku/>
              <w:topLinePunct/>
              <w:autoSpaceDE/>
              <w:autoSpaceDN/>
              <w:jc w:val="center"/>
              <w:rPr>
                <w:color w:val="auto"/>
              </w:rPr>
            </w:pPr>
          </w:p>
        </w:tc>
      </w:tr>
      <w:tr w14:paraId="464DD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83" w:type="dxa"/>
            <w:tcBorders>
              <w:left w:val="single" w:color="000000" w:sz="6" w:space="0"/>
            </w:tcBorders>
            <w:vAlign w:val="center"/>
          </w:tcPr>
          <w:p w14:paraId="0FAA1B5C">
            <w:pPr>
              <w:widowControl w:val="0"/>
              <w:kinsoku/>
              <w:topLinePunct/>
              <w:autoSpaceDE/>
              <w:autoSpaceDN/>
              <w:jc w:val="center"/>
              <w:rPr>
                <w:color w:val="auto"/>
              </w:rPr>
            </w:pPr>
          </w:p>
        </w:tc>
        <w:tc>
          <w:tcPr>
            <w:tcW w:w="683" w:type="dxa"/>
            <w:vAlign w:val="center"/>
          </w:tcPr>
          <w:p w14:paraId="0BE84D2D">
            <w:pPr>
              <w:widowControl w:val="0"/>
              <w:kinsoku/>
              <w:topLinePunct/>
              <w:autoSpaceDE/>
              <w:autoSpaceDN/>
              <w:jc w:val="center"/>
              <w:rPr>
                <w:color w:val="auto"/>
              </w:rPr>
            </w:pPr>
          </w:p>
        </w:tc>
        <w:tc>
          <w:tcPr>
            <w:tcW w:w="838" w:type="dxa"/>
            <w:vAlign w:val="center"/>
          </w:tcPr>
          <w:p w14:paraId="69E56607">
            <w:pPr>
              <w:widowControl w:val="0"/>
              <w:kinsoku/>
              <w:topLinePunct/>
              <w:autoSpaceDE/>
              <w:autoSpaceDN/>
              <w:jc w:val="center"/>
              <w:rPr>
                <w:color w:val="auto"/>
              </w:rPr>
            </w:pPr>
          </w:p>
        </w:tc>
        <w:tc>
          <w:tcPr>
            <w:tcW w:w="1363" w:type="dxa"/>
            <w:vAlign w:val="center"/>
          </w:tcPr>
          <w:p w14:paraId="2087FA9A">
            <w:pPr>
              <w:widowControl w:val="0"/>
              <w:kinsoku/>
              <w:topLinePunct/>
              <w:autoSpaceDE/>
              <w:autoSpaceDN/>
              <w:jc w:val="center"/>
              <w:rPr>
                <w:color w:val="auto"/>
              </w:rPr>
            </w:pPr>
          </w:p>
        </w:tc>
        <w:tc>
          <w:tcPr>
            <w:tcW w:w="848" w:type="dxa"/>
            <w:vAlign w:val="center"/>
          </w:tcPr>
          <w:p w14:paraId="1BA5BA8B">
            <w:pPr>
              <w:widowControl w:val="0"/>
              <w:kinsoku/>
              <w:topLinePunct/>
              <w:autoSpaceDE/>
              <w:autoSpaceDN/>
              <w:jc w:val="center"/>
              <w:rPr>
                <w:color w:val="auto"/>
              </w:rPr>
            </w:pPr>
          </w:p>
        </w:tc>
        <w:tc>
          <w:tcPr>
            <w:tcW w:w="1018" w:type="dxa"/>
            <w:vAlign w:val="center"/>
          </w:tcPr>
          <w:p w14:paraId="3FF21CBF">
            <w:pPr>
              <w:widowControl w:val="0"/>
              <w:kinsoku/>
              <w:topLinePunct/>
              <w:autoSpaceDE/>
              <w:autoSpaceDN/>
              <w:jc w:val="center"/>
              <w:rPr>
                <w:color w:val="auto"/>
              </w:rPr>
            </w:pPr>
          </w:p>
        </w:tc>
        <w:tc>
          <w:tcPr>
            <w:tcW w:w="1210" w:type="dxa"/>
            <w:vAlign w:val="center"/>
          </w:tcPr>
          <w:p w14:paraId="46459258">
            <w:pPr>
              <w:widowControl w:val="0"/>
              <w:kinsoku/>
              <w:topLinePunct/>
              <w:autoSpaceDE/>
              <w:autoSpaceDN/>
              <w:jc w:val="center"/>
              <w:rPr>
                <w:color w:val="auto"/>
              </w:rPr>
            </w:pPr>
          </w:p>
        </w:tc>
        <w:tc>
          <w:tcPr>
            <w:tcW w:w="1251" w:type="dxa"/>
            <w:vAlign w:val="center"/>
          </w:tcPr>
          <w:p w14:paraId="760C1454">
            <w:pPr>
              <w:widowControl w:val="0"/>
              <w:kinsoku/>
              <w:topLinePunct/>
              <w:autoSpaceDE/>
              <w:autoSpaceDN/>
              <w:jc w:val="center"/>
              <w:rPr>
                <w:color w:val="auto"/>
              </w:rPr>
            </w:pPr>
          </w:p>
        </w:tc>
        <w:tc>
          <w:tcPr>
            <w:tcW w:w="1016" w:type="dxa"/>
            <w:tcBorders>
              <w:right w:val="single" w:color="000000" w:sz="6" w:space="0"/>
            </w:tcBorders>
            <w:vAlign w:val="center"/>
          </w:tcPr>
          <w:p w14:paraId="4874DCF7">
            <w:pPr>
              <w:widowControl w:val="0"/>
              <w:kinsoku/>
              <w:topLinePunct/>
              <w:autoSpaceDE/>
              <w:autoSpaceDN/>
              <w:jc w:val="center"/>
              <w:rPr>
                <w:color w:val="auto"/>
              </w:rPr>
            </w:pPr>
          </w:p>
        </w:tc>
      </w:tr>
      <w:tr w14:paraId="2095C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83" w:type="dxa"/>
            <w:tcBorders>
              <w:left w:val="single" w:color="000000" w:sz="6" w:space="0"/>
            </w:tcBorders>
            <w:vAlign w:val="center"/>
          </w:tcPr>
          <w:p w14:paraId="329967EF">
            <w:pPr>
              <w:widowControl w:val="0"/>
              <w:kinsoku/>
              <w:topLinePunct/>
              <w:autoSpaceDE/>
              <w:autoSpaceDN/>
              <w:jc w:val="center"/>
              <w:rPr>
                <w:color w:val="auto"/>
              </w:rPr>
            </w:pPr>
          </w:p>
        </w:tc>
        <w:tc>
          <w:tcPr>
            <w:tcW w:w="683" w:type="dxa"/>
            <w:vAlign w:val="center"/>
          </w:tcPr>
          <w:p w14:paraId="4235112B">
            <w:pPr>
              <w:widowControl w:val="0"/>
              <w:kinsoku/>
              <w:topLinePunct/>
              <w:autoSpaceDE/>
              <w:autoSpaceDN/>
              <w:jc w:val="center"/>
              <w:rPr>
                <w:color w:val="auto"/>
              </w:rPr>
            </w:pPr>
          </w:p>
        </w:tc>
        <w:tc>
          <w:tcPr>
            <w:tcW w:w="838" w:type="dxa"/>
            <w:vAlign w:val="center"/>
          </w:tcPr>
          <w:p w14:paraId="08E07431">
            <w:pPr>
              <w:widowControl w:val="0"/>
              <w:kinsoku/>
              <w:topLinePunct/>
              <w:autoSpaceDE/>
              <w:autoSpaceDN/>
              <w:jc w:val="center"/>
              <w:rPr>
                <w:color w:val="auto"/>
              </w:rPr>
            </w:pPr>
          </w:p>
        </w:tc>
        <w:tc>
          <w:tcPr>
            <w:tcW w:w="1363" w:type="dxa"/>
            <w:vAlign w:val="center"/>
          </w:tcPr>
          <w:p w14:paraId="25D63FEA">
            <w:pPr>
              <w:widowControl w:val="0"/>
              <w:kinsoku/>
              <w:topLinePunct/>
              <w:autoSpaceDE/>
              <w:autoSpaceDN/>
              <w:jc w:val="center"/>
              <w:rPr>
                <w:color w:val="auto"/>
              </w:rPr>
            </w:pPr>
          </w:p>
        </w:tc>
        <w:tc>
          <w:tcPr>
            <w:tcW w:w="848" w:type="dxa"/>
            <w:vAlign w:val="center"/>
          </w:tcPr>
          <w:p w14:paraId="275EABC2">
            <w:pPr>
              <w:widowControl w:val="0"/>
              <w:kinsoku/>
              <w:topLinePunct/>
              <w:autoSpaceDE/>
              <w:autoSpaceDN/>
              <w:jc w:val="center"/>
              <w:rPr>
                <w:color w:val="auto"/>
              </w:rPr>
            </w:pPr>
          </w:p>
        </w:tc>
        <w:tc>
          <w:tcPr>
            <w:tcW w:w="1018" w:type="dxa"/>
            <w:vAlign w:val="center"/>
          </w:tcPr>
          <w:p w14:paraId="75EFEA58">
            <w:pPr>
              <w:widowControl w:val="0"/>
              <w:kinsoku/>
              <w:topLinePunct/>
              <w:autoSpaceDE/>
              <w:autoSpaceDN/>
              <w:jc w:val="center"/>
              <w:rPr>
                <w:color w:val="auto"/>
              </w:rPr>
            </w:pPr>
          </w:p>
        </w:tc>
        <w:tc>
          <w:tcPr>
            <w:tcW w:w="1210" w:type="dxa"/>
            <w:vAlign w:val="center"/>
          </w:tcPr>
          <w:p w14:paraId="0FFE2D01">
            <w:pPr>
              <w:widowControl w:val="0"/>
              <w:kinsoku/>
              <w:topLinePunct/>
              <w:autoSpaceDE/>
              <w:autoSpaceDN/>
              <w:jc w:val="center"/>
              <w:rPr>
                <w:color w:val="auto"/>
              </w:rPr>
            </w:pPr>
          </w:p>
        </w:tc>
        <w:tc>
          <w:tcPr>
            <w:tcW w:w="1251" w:type="dxa"/>
            <w:vAlign w:val="center"/>
          </w:tcPr>
          <w:p w14:paraId="25113CBB">
            <w:pPr>
              <w:widowControl w:val="0"/>
              <w:kinsoku/>
              <w:topLinePunct/>
              <w:autoSpaceDE/>
              <w:autoSpaceDN/>
              <w:jc w:val="center"/>
              <w:rPr>
                <w:color w:val="auto"/>
              </w:rPr>
            </w:pPr>
          </w:p>
        </w:tc>
        <w:tc>
          <w:tcPr>
            <w:tcW w:w="1016" w:type="dxa"/>
            <w:tcBorders>
              <w:right w:val="single" w:color="000000" w:sz="6" w:space="0"/>
            </w:tcBorders>
            <w:vAlign w:val="center"/>
          </w:tcPr>
          <w:p w14:paraId="2153A2B5">
            <w:pPr>
              <w:widowControl w:val="0"/>
              <w:kinsoku/>
              <w:topLinePunct/>
              <w:autoSpaceDE/>
              <w:autoSpaceDN/>
              <w:jc w:val="center"/>
              <w:rPr>
                <w:color w:val="auto"/>
              </w:rPr>
            </w:pPr>
          </w:p>
        </w:tc>
      </w:tr>
      <w:tr w14:paraId="3A884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83" w:type="dxa"/>
            <w:tcBorders>
              <w:left w:val="single" w:color="000000" w:sz="6" w:space="0"/>
            </w:tcBorders>
            <w:vAlign w:val="center"/>
          </w:tcPr>
          <w:p w14:paraId="2DC98C91">
            <w:pPr>
              <w:widowControl w:val="0"/>
              <w:kinsoku/>
              <w:topLinePunct/>
              <w:autoSpaceDE/>
              <w:autoSpaceDN/>
              <w:jc w:val="center"/>
              <w:rPr>
                <w:color w:val="auto"/>
              </w:rPr>
            </w:pPr>
          </w:p>
        </w:tc>
        <w:tc>
          <w:tcPr>
            <w:tcW w:w="683" w:type="dxa"/>
            <w:vAlign w:val="center"/>
          </w:tcPr>
          <w:p w14:paraId="28225DEF">
            <w:pPr>
              <w:widowControl w:val="0"/>
              <w:kinsoku/>
              <w:topLinePunct/>
              <w:autoSpaceDE/>
              <w:autoSpaceDN/>
              <w:jc w:val="center"/>
              <w:rPr>
                <w:color w:val="auto"/>
              </w:rPr>
            </w:pPr>
          </w:p>
        </w:tc>
        <w:tc>
          <w:tcPr>
            <w:tcW w:w="838" w:type="dxa"/>
            <w:vAlign w:val="center"/>
          </w:tcPr>
          <w:p w14:paraId="497A69B3">
            <w:pPr>
              <w:widowControl w:val="0"/>
              <w:kinsoku/>
              <w:topLinePunct/>
              <w:autoSpaceDE/>
              <w:autoSpaceDN/>
              <w:jc w:val="center"/>
              <w:rPr>
                <w:color w:val="auto"/>
              </w:rPr>
            </w:pPr>
          </w:p>
        </w:tc>
        <w:tc>
          <w:tcPr>
            <w:tcW w:w="1363" w:type="dxa"/>
            <w:vAlign w:val="center"/>
          </w:tcPr>
          <w:p w14:paraId="7835C3A0">
            <w:pPr>
              <w:widowControl w:val="0"/>
              <w:kinsoku/>
              <w:topLinePunct/>
              <w:autoSpaceDE/>
              <w:autoSpaceDN/>
              <w:jc w:val="center"/>
              <w:rPr>
                <w:color w:val="auto"/>
              </w:rPr>
            </w:pPr>
          </w:p>
        </w:tc>
        <w:tc>
          <w:tcPr>
            <w:tcW w:w="848" w:type="dxa"/>
            <w:vAlign w:val="center"/>
          </w:tcPr>
          <w:p w14:paraId="419EDBE4">
            <w:pPr>
              <w:widowControl w:val="0"/>
              <w:kinsoku/>
              <w:topLinePunct/>
              <w:autoSpaceDE/>
              <w:autoSpaceDN/>
              <w:jc w:val="center"/>
              <w:rPr>
                <w:color w:val="auto"/>
              </w:rPr>
            </w:pPr>
          </w:p>
        </w:tc>
        <w:tc>
          <w:tcPr>
            <w:tcW w:w="1018" w:type="dxa"/>
            <w:vAlign w:val="center"/>
          </w:tcPr>
          <w:p w14:paraId="0666A2F5">
            <w:pPr>
              <w:widowControl w:val="0"/>
              <w:kinsoku/>
              <w:topLinePunct/>
              <w:autoSpaceDE/>
              <w:autoSpaceDN/>
              <w:jc w:val="center"/>
              <w:rPr>
                <w:color w:val="auto"/>
              </w:rPr>
            </w:pPr>
          </w:p>
        </w:tc>
        <w:tc>
          <w:tcPr>
            <w:tcW w:w="1210" w:type="dxa"/>
            <w:vAlign w:val="center"/>
          </w:tcPr>
          <w:p w14:paraId="2A863E69">
            <w:pPr>
              <w:widowControl w:val="0"/>
              <w:kinsoku/>
              <w:topLinePunct/>
              <w:autoSpaceDE/>
              <w:autoSpaceDN/>
              <w:jc w:val="center"/>
              <w:rPr>
                <w:color w:val="auto"/>
              </w:rPr>
            </w:pPr>
          </w:p>
        </w:tc>
        <w:tc>
          <w:tcPr>
            <w:tcW w:w="1251" w:type="dxa"/>
            <w:vAlign w:val="center"/>
          </w:tcPr>
          <w:p w14:paraId="7B151ED4">
            <w:pPr>
              <w:widowControl w:val="0"/>
              <w:kinsoku/>
              <w:topLinePunct/>
              <w:autoSpaceDE/>
              <w:autoSpaceDN/>
              <w:jc w:val="center"/>
              <w:rPr>
                <w:color w:val="auto"/>
              </w:rPr>
            </w:pPr>
          </w:p>
        </w:tc>
        <w:tc>
          <w:tcPr>
            <w:tcW w:w="1016" w:type="dxa"/>
            <w:tcBorders>
              <w:right w:val="single" w:color="000000" w:sz="6" w:space="0"/>
            </w:tcBorders>
            <w:vAlign w:val="center"/>
          </w:tcPr>
          <w:p w14:paraId="744C9F4D">
            <w:pPr>
              <w:widowControl w:val="0"/>
              <w:kinsoku/>
              <w:topLinePunct/>
              <w:autoSpaceDE/>
              <w:autoSpaceDN/>
              <w:jc w:val="center"/>
              <w:rPr>
                <w:color w:val="auto"/>
              </w:rPr>
            </w:pPr>
          </w:p>
        </w:tc>
      </w:tr>
      <w:tr w14:paraId="11ACE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83" w:type="dxa"/>
            <w:tcBorders>
              <w:left w:val="single" w:color="000000" w:sz="6" w:space="0"/>
            </w:tcBorders>
            <w:vAlign w:val="center"/>
          </w:tcPr>
          <w:p w14:paraId="197B8F4E">
            <w:pPr>
              <w:widowControl w:val="0"/>
              <w:kinsoku/>
              <w:topLinePunct/>
              <w:autoSpaceDE/>
              <w:autoSpaceDN/>
              <w:jc w:val="center"/>
              <w:rPr>
                <w:color w:val="auto"/>
              </w:rPr>
            </w:pPr>
          </w:p>
        </w:tc>
        <w:tc>
          <w:tcPr>
            <w:tcW w:w="683" w:type="dxa"/>
            <w:vAlign w:val="center"/>
          </w:tcPr>
          <w:p w14:paraId="34356353">
            <w:pPr>
              <w:widowControl w:val="0"/>
              <w:kinsoku/>
              <w:topLinePunct/>
              <w:autoSpaceDE/>
              <w:autoSpaceDN/>
              <w:jc w:val="center"/>
              <w:rPr>
                <w:color w:val="auto"/>
              </w:rPr>
            </w:pPr>
          </w:p>
        </w:tc>
        <w:tc>
          <w:tcPr>
            <w:tcW w:w="838" w:type="dxa"/>
            <w:vAlign w:val="center"/>
          </w:tcPr>
          <w:p w14:paraId="7F3045A2">
            <w:pPr>
              <w:widowControl w:val="0"/>
              <w:kinsoku/>
              <w:topLinePunct/>
              <w:autoSpaceDE/>
              <w:autoSpaceDN/>
              <w:jc w:val="center"/>
              <w:rPr>
                <w:color w:val="auto"/>
              </w:rPr>
            </w:pPr>
          </w:p>
        </w:tc>
        <w:tc>
          <w:tcPr>
            <w:tcW w:w="1363" w:type="dxa"/>
            <w:vAlign w:val="center"/>
          </w:tcPr>
          <w:p w14:paraId="79EC59ED">
            <w:pPr>
              <w:widowControl w:val="0"/>
              <w:kinsoku/>
              <w:topLinePunct/>
              <w:autoSpaceDE/>
              <w:autoSpaceDN/>
              <w:jc w:val="center"/>
              <w:rPr>
                <w:color w:val="auto"/>
              </w:rPr>
            </w:pPr>
          </w:p>
        </w:tc>
        <w:tc>
          <w:tcPr>
            <w:tcW w:w="848" w:type="dxa"/>
            <w:vAlign w:val="center"/>
          </w:tcPr>
          <w:p w14:paraId="7B42BF85">
            <w:pPr>
              <w:widowControl w:val="0"/>
              <w:kinsoku/>
              <w:topLinePunct/>
              <w:autoSpaceDE/>
              <w:autoSpaceDN/>
              <w:jc w:val="center"/>
              <w:rPr>
                <w:color w:val="auto"/>
              </w:rPr>
            </w:pPr>
          </w:p>
        </w:tc>
        <w:tc>
          <w:tcPr>
            <w:tcW w:w="1018" w:type="dxa"/>
            <w:vAlign w:val="center"/>
          </w:tcPr>
          <w:p w14:paraId="4ABA5D35">
            <w:pPr>
              <w:widowControl w:val="0"/>
              <w:kinsoku/>
              <w:topLinePunct/>
              <w:autoSpaceDE/>
              <w:autoSpaceDN/>
              <w:jc w:val="center"/>
              <w:rPr>
                <w:color w:val="auto"/>
              </w:rPr>
            </w:pPr>
          </w:p>
        </w:tc>
        <w:tc>
          <w:tcPr>
            <w:tcW w:w="1210" w:type="dxa"/>
            <w:vAlign w:val="center"/>
          </w:tcPr>
          <w:p w14:paraId="6A9698E3">
            <w:pPr>
              <w:widowControl w:val="0"/>
              <w:kinsoku/>
              <w:topLinePunct/>
              <w:autoSpaceDE/>
              <w:autoSpaceDN/>
              <w:jc w:val="center"/>
              <w:rPr>
                <w:color w:val="auto"/>
              </w:rPr>
            </w:pPr>
          </w:p>
        </w:tc>
        <w:tc>
          <w:tcPr>
            <w:tcW w:w="1251" w:type="dxa"/>
            <w:vAlign w:val="center"/>
          </w:tcPr>
          <w:p w14:paraId="2E74261D">
            <w:pPr>
              <w:widowControl w:val="0"/>
              <w:kinsoku/>
              <w:topLinePunct/>
              <w:autoSpaceDE/>
              <w:autoSpaceDN/>
              <w:jc w:val="center"/>
              <w:rPr>
                <w:color w:val="auto"/>
              </w:rPr>
            </w:pPr>
          </w:p>
        </w:tc>
        <w:tc>
          <w:tcPr>
            <w:tcW w:w="1016" w:type="dxa"/>
            <w:tcBorders>
              <w:right w:val="single" w:color="000000" w:sz="6" w:space="0"/>
            </w:tcBorders>
            <w:vAlign w:val="center"/>
          </w:tcPr>
          <w:p w14:paraId="38E704B9">
            <w:pPr>
              <w:widowControl w:val="0"/>
              <w:kinsoku/>
              <w:topLinePunct/>
              <w:autoSpaceDE/>
              <w:autoSpaceDN/>
              <w:jc w:val="center"/>
              <w:rPr>
                <w:color w:val="auto"/>
              </w:rPr>
            </w:pPr>
          </w:p>
        </w:tc>
      </w:tr>
      <w:tr w14:paraId="7932F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83" w:type="dxa"/>
            <w:tcBorders>
              <w:left w:val="single" w:color="000000" w:sz="6" w:space="0"/>
            </w:tcBorders>
            <w:vAlign w:val="center"/>
          </w:tcPr>
          <w:p w14:paraId="320EB5E9">
            <w:pPr>
              <w:widowControl w:val="0"/>
              <w:kinsoku/>
              <w:topLinePunct/>
              <w:autoSpaceDE/>
              <w:autoSpaceDN/>
              <w:jc w:val="center"/>
              <w:rPr>
                <w:color w:val="auto"/>
              </w:rPr>
            </w:pPr>
          </w:p>
        </w:tc>
        <w:tc>
          <w:tcPr>
            <w:tcW w:w="683" w:type="dxa"/>
            <w:vAlign w:val="center"/>
          </w:tcPr>
          <w:p w14:paraId="7965693B">
            <w:pPr>
              <w:widowControl w:val="0"/>
              <w:kinsoku/>
              <w:topLinePunct/>
              <w:autoSpaceDE/>
              <w:autoSpaceDN/>
              <w:jc w:val="center"/>
              <w:rPr>
                <w:color w:val="auto"/>
              </w:rPr>
            </w:pPr>
          </w:p>
        </w:tc>
        <w:tc>
          <w:tcPr>
            <w:tcW w:w="838" w:type="dxa"/>
            <w:vAlign w:val="center"/>
          </w:tcPr>
          <w:p w14:paraId="4283087A">
            <w:pPr>
              <w:widowControl w:val="0"/>
              <w:kinsoku/>
              <w:topLinePunct/>
              <w:autoSpaceDE/>
              <w:autoSpaceDN/>
              <w:jc w:val="center"/>
              <w:rPr>
                <w:color w:val="auto"/>
              </w:rPr>
            </w:pPr>
          </w:p>
        </w:tc>
        <w:tc>
          <w:tcPr>
            <w:tcW w:w="1363" w:type="dxa"/>
            <w:vAlign w:val="center"/>
          </w:tcPr>
          <w:p w14:paraId="37E8F687">
            <w:pPr>
              <w:widowControl w:val="0"/>
              <w:kinsoku/>
              <w:topLinePunct/>
              <w:autoSpaceDE/>
              <w:autoSpaceDN/>
              <w:jc w:val="center"/>
              <w:rPr>
                <w:color w:val="auto"/>
              </w:rPr>
            </w:pPr>
          </w:p>
        </w:tc>
        <w:tc>
          <w:tcPr>
            <w:tcW w:w="848" w:type="dxa"/>
            <w:vAlign w:val="center"/>
          </w:tcPr>
          <w:p w14:paraId="7F467A72">
            <w:pPr>
              <w:widowControl w:val="0"/>
              <w:kinsoku/>
              <w:topLinePunct/>
              <w:autoSpaceDE/>
              <w:autoSpaceDN/>
              <w:jc w:val="center"/>
              <w:rPr>
                <w:color w:val="auto"/>
              </w:rPr>
            </w:pPr>
          </w:p>
        </w:tc>
        <w:tc>
          <w:tcPr>
            <w:tcW w:w="1018" w:type="dxa"/>
            <w:vAlign w:val="center"/>
          </w:tcPr>
          <w:p w14:paraId="4DD46CB6">
            <w:pPr>
              <w:widowControl w:val="0"/>
              <w:kinsoku/>
              <w:topLinePunct/>
              <w:autoSpaceDE/>
              <w:autoSpaceDN/>
              <w:jc w:val="center"/>
              <w:rPr>
                <w:color w:val="auto"/>
              </w:rPr>
            </w:pPr>
          </w:p>
        </w:tc>
        <w:tc>
          <w:tcPr>
            <w:tcW w:w="1210" w:type="dxa"/>
            <w:vAlign w:val="center"/>
          </w:tcPr>
          <w:p w14:paraId="695B6159">
            <w:pPr>
              <w:widowControl w:val="0"/>
              <w:kinsoku/>
              <w:topLinePunct/>
              <w:autoSpaceDE/>
              <w:autoSpaceDN/>
              <w:jc w:val="center"/>
              <w:rPr>
                <w:color w:val="auto"/>
              </w:rPr>
            </w:pPr>
          </w:p>
        </w:tc>
        <w:tc>
          <w:tcPr>
            <w:tcW w:w="1251" w:type="dxa"/>
            <w:vAlign w:val="center"/>
          </w:tcPr>
          <w:p w14:paraId="71B28E5D">
            <w:pPr>
              <w:widowControl w:val="0"/>
              <w:kinsoku/>
              <w:topLinePunct/>
              <w:autoSpaceDE/>
              <w:autoSpaceDN/>
              <w:jc w:val="center"/>
              <w:rPr>
                <w:color w:val="auto"/>
              </w:rPr>
            </w:pPr>
          </w:p>
        </w:tc>
        <w:tc>
          <w:tcPr>
            <w:tcW w:w="1016" w:type="dxa"/>
            <w:tcBorders>
              <w:right w:val="single" w:color="000000" w:sz="6" w:space="0"/>
            </w:tcBorders>
            <w:vAlign w:val="center"/>
          </w:tcPr>
          <w:p w14:paraId="6A0C695D">
            <w:pPr>
              <w:widowControl w:val="0"/>
              <w:kinsoku/>
              <w:topLinePunct/>
              <w:autoSpaceDE/>
              <w:autoSpaceDN/>
              <w:jc w:val="center"/>
              <w:rPr>
                <w:color w:val="auto"/>
              </w:rPr>
            </w:pPr>
          </w:p>
        </w:tc>
      </w:tr>
      <w:tr w14:paraId="7B842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83" w:type="dxa"/>
            <w:tcBorders>
              <w:left w:val="single" w:color="000000" w:sz="6" w:space="0"/>
            </w:tcBorders>
            <w:vAlign w:val="center"/>
          </w:tcPr>
          <w:p w14:paraId="34496728">
            <w:pPr>
              <w:widowControl w:val="0"/>
              <w:kinsoku/>
              <w:topLinePunct/>
              <w:autoSpaceDE/>
              <w:autoSpaceDN/>
              <w:jc w:val="center"/>
              <w:rPr>
                <w:color w:val="auto"/>
              </w:rPr>
            </w:pPr>
          </w:p>
        </w:tc>
        <w:tc>
          <w:tcPr>
            <w:tcW w:w="683" w:type="dxa"/>
            <w:vAlign w:val="center"/>
          </w:tcPr>
          <w:p w14:paraId="7F073DF9">
            <w:pPr>
              <w:widowControl w:val="0"/>
              <w:kinsoku/>
              <w:topLinePunct/>
              <w:autoSpaceDE/>
              <w:autoSpaceDN/>
              <w:jc w:val="center"/>
              <w:rPr>
                <w:color w:val="auto"/>
              </w:rPr>
            </w:pPr>
          </w:p>
        </w:tc>
        <w:tc>
          <w:tcPr>
            <w:tcW w:w="838" w:type="dxa"/>
            <w:vAlign w:val="center"/>
          </w:tcPr>
          <w:p w14:paraId="53E16E7F">
            <w:pPr>
              <w:widowControl w:val="0"/>
              <w:kinsoku/>
              <w:topLinePunct/>
              <w:autoSpaceDE/>
              <w:autoSpaceDN/>
              <w:jc w:val="center"/>
              <w:rPr>
                <w:color w:val="auto"/>
              </w:rPr>
            </w:pPr>
          </w:p>
        </w:tc>
        <w:tc>
          <w:tcPr>
            <w:tcW w:w="1363" w:type="dxa"/>
            <w:vAlign w:val="center"/>
          </w:tcPr>
          <w:p w14:paraId="0A58CD7D">
            <w:pPr>
              <w:widowControl w:val="0"/>
              <w:kinsoku/>
              <w:topLinePunct/>
              <w:autoSpaceDE/>
              <w:autoSpaceDN/>
              <w:jc w:val="center"/>
              <w:rPr>
                <w:color w:val="auto"/>
              </w:rPr>
            </w:pPr>
          </w:p>
        </w:tc>
        <w:tc>
          <w:tcPr>
            <w:tcW w:w="848" w:type="dxa"/>
            <w:vAlign w:val="center"/>
          </w:tcPr>
          <w:p w14:paraId="0BCFF59A">
            <w:pPr>
              <w:widowControl w:val="0"/>
              <w:kinsoku/>
              <w:topLinePunct/>
              <w:autoSpaceDE/>
              <w:autoSpaceDN/>
              <w:jc w:val="center"/>
              <w:rPr>
                <w:color w:val="auto"/>
              </w:rPr>
            </w:pPr>
          </w:p>
        </w:tc>
        <w:tc>
          <w:tcPr>
            <w:tcW w:w="1018" w:type="dxa"/>
            <w:vAlign w:val="center"/>
          </w:tcPr>
          <w:p w14:paraId="440DC978">
            <w:pPr>
              <w:widowControl w:val="0"/>
              <w:kinsoku/>
              <w:topLinePunct/>
              <w:autoSpaceDE/>
              <w:autoSpaceDN/>
              <w:jc w:val="center"/>
              <w:rPr>
                <w:color w:val="auto"/>
              </w:rPr>
            </w:pPr>
          </w:p>
        </w:tc>
        <w:tc>
          <w:tcPr>
            <w:tcW w:w="1210" w:type="dxa"/>
            <w:vAlign w:val="center"/>
          </w:tcPr>
          <w:p w14:paraId="5FF6E718">
            <w:pPr>
              <w:widowControl w:val="0"/>
              <w:kinsoku/>
              <w:topLinePunct/>
              <w:autoSpaceDE/>
              <w:autoSpaceDN/>
              <w:jc w:val="center"/>
              <w:rPr>
                <w:color w:val="auto"/>
              </w:rPr>
            </w:pPr>
          </w:p>
        </w:tc>
        <w:tc>
          <w:tcPr>
            <w:tcW w:w="1251" w:type="dxa"/>
            <w:vAlign w:val="center"/>
          </w:tcPr>
          <w:p w14:paraId="1E0C7024">
            <w:pPr>
              <w:widowControl w:val="0"/>
              <w:kinsoku/>
              <w:topLinePunct/>
              <w:autoSpaceDE/>
              <w:autoSpaceDN/>
              <w:jc w:val="center"/>
              <w:rPr>
                <w:color w:val="auto"/>
              </w:rPr>
            </w:pPr>
          </w:p>
        </w:tc>
        <w:tc>
          <w:tcPr>
            <w:tcW w:w="1016" w:type="dxa"/>
            <w:tcBorders>
              <w:right w:val="single" w:color="000000" w:sz="6" w:space="0"/>
            </w:tcBorders>
            <w:vAlign w:val="center"/>
          </w:tcPr>
          <w:p w14:paraId="5E36E88C">
            <w:pPr>
              <w:widowControl w:val="0"/>
              <w:kinsoku/>
              <w:topLinePunct/>
              <w:autoSpaceDE/>
              <w:autoSpaceDN/>
              <w:jc w:val="center"/>
              <w:rPr>
                <w:color w:val="auto"/>
              </w:rPr>
            </w:pPr>
          </w:p>
        </w:tc>
      </w:tr>
      <w:tr w14:paraId="317AE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83" w:type="dxa"/>
            <w:tcBorders>
              <w:left w:val="single" w:color="000000" w:sz="6" w:space="0"/>
            </w:tcBorders>
            <w:vAlign w:val="center"/>
          </w:tcPr>
          <w:p w14:paraId="184D79AF">
            <w:pPr>
              <w:widowControl w:val="0"/>
              <w:kinsoku/>
              <w:topLinePunct/>
              <w:autoSpaceDE/>
              <w:autoSpaceDN/>
              <w:jc w:val="center"/>
              <w:rPr>
                <w:color w:val="auto"/>
              </w:rPr>
            </w:pPr>
          </w:p>
        </w:tc>
        <w:tc>
          <w:tcPr>
            <w:tcW w:w="683" w:type="dxa"/>
            <w:vAlign w:val="center"/>
          </w:tcPr>
          <w:p w14:paraId="6F41DCF4">
            <w:pPr>
              <w:widowControl w:val="0"/>
              <w:kinsoku/>
              <w:topLinePunct/>
              <w:autoSpaceDE/>
              <w:autoSpaceDN/>
              <w:jc w:val="center"/>
              <w:rPr>
                <w:color w:val="auto"/>
              </w:rPr>
            </w:pPr>
          </w:p>
        </w:tc>
        <w:tc>
          <w:tcPr>
            <w:tcW w:w="838" w:type="dxa"/>
            <w:vAlign w:val="center"/>
          </w:tcPr>
          <w:p w14:paraId="4CC66730">
            <w:pPr>
              <w:widowControl w:val="0"/>
              <w:kinsoku/>
              <w:topLinePunct/>
              <w:autoSpaceDE/>
              <w:autoSpaceDN/>
              <w:jc w:val="center"/>
              <w:rPr>
                <w:color w:val="auto"/>
              </w:rPr>
            </w:pPr>
          </w:p>
        </w:tc>
        <w:tc>
          <w:tcPr>
            <w:tcW w:w="1363" w:type="dxa"/>
            <w:vAlign w:val="center"/>
          </w:tcPr>
          <w:p w14:paraId="727181AA">
            <w:pPr>
              <w:widowControl w:val="0"/>
              <w:kinsoku/>
              <w:topLinePunct/>
              <w:autoSpaceDE/>
              <w:autoSpaceDN/>
              <w:jc w:val="center"/>
              <w:rPr>
                <w:color w:val="auto"/>
              </w:rPr>
            </w:pPr>
          </w:p>
        </w:tc>
        <w:tc>
          <w:tcPr>
            <w:tcW w:w="848" w:type="dxa"/>
            <w:vAlign w:val="center"/>
          </w:tcPr>
          <w:p w14:paraId="07883FD0">
            <w:pPr>
              <w:widowControl w:val="0"/>
              <w:kinsoku/>
              <w:topLinePunct/>
              <w:autoSpaceDE/>
              <w:autoSpaceDN/>
              <w:jc w:val="center"/>
              <w:rPr>
                <w:color w:val="auto"/>
              </w:rPr>
            </w:pPr>
          </w:p>
        </w:tc>
        <w:tc>
          <w:tcPr>
            <w:tcW w:w="1018" w:type="dxa"/>
            <w:vAlign w:val="center"/>
          </w:tcPr>
          <w:p w14:paraId="1104B527">
            <w:pPr>
              <w:widowControl w:val="0"/>
              <w:kinsoku/>
              <w:topLinePunct/>
              <w:autoSpaceDE/>
              <w:autoSpaceDN/>
              <w:jc w:val="center"/>
              <w:rPr>
                <w:color w:val="auto"/>
              </w:rPr>
            </w:pPr>
          </w:p>
        </w:tc>
        <w:tc>
          <w:tcPr>
            <w:tcW w:w="1210" w:type="dxa"/>
            <w:vAlign w:val="center"/>
          </w:tcPr>
          <w:p w14:paraId="7CA6618C">
            <w:pPr>
              <w:widowControl w:val="0"/>
              <w:kinsoku/>
              <w:topLinePunct/>
              <w:autoSpaceDE/>
              <w:autoSpaceDN/>
              <w:jc w:val="center"/>
              <w:rPr>
                <w:color w:val="auto"/>
              </w:rPr>
            </w:pPr>
          </w:p>
        </w:tc>
        <w:tc>
          <w:tcPr>
            <w:tcW w:w="1251" w:type="dxa"/>
            <w:vAlign w:val="center"/>
          </w:tcPr>
          <w:p w14:paraId="15F92389">
            <w:pPr>
              <w:widowControl w:val="0"/>
              <w:kinsoku/>
              <w:topLinePunct/>
              <w:autoSpaceDE/>
              <w:autoSpaceDN/>
              <w:jc w:val="center"/>
              <w:rPr>
                <w:color w:val="auto"/>
              </w:rPr>
            </w:pPr>
          </w:p>
        </w:tc>
        <w:tc>
          <w:tcPr>
            <w:tcW w:w="1016" w:type="dxa"/>
            <w:tcBorders>
              <w:right w:val="single" w:color="000000" w:sz="6" w:space="0"/>
            </w:tcBorders>
            <w:vAlign w:val="center"/>
          </w:tcPr>
          <w:p w14:paraId="11D4F2FF">
            <w:pPr>
              <w:widowControl w:val="0"/>
              <w:kinsoku/>
              <w:topLinePunct/>
              <w:autoSpaceDE/>
              <w:autoSpaceDN/>
              <w:jc w:val="center"/>
              <w:rPr>
                <w:color w:val="auto"/>
              </w:rPr>
            </w:pPr>
          </w:p>
        </w:tc>
      </w:tr>
      <w:tr w14:paraId="3C8E4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83" w:type="dxa"/>
            <w:tcBorders>
              <w:left w:val="single" w:color="000000" w:sz="6" w:space="0"/>
            </w:tcBorders>
            <w:vAlign w:val="center"/>
          </w:tcPr>
          <w:p w14:paraId="53A0663F">
            <w:pPr>
              <w:widowControl w:val="0"/>
              <w:kinsoku/>
              <w:topLinePunct/>
              <w:autoSpaceDE/>
              <w:autoSpaceDN/>
              <w:jc w:val="center"/>
              <w:rPr>
                <w:color w:val="auto"/>
              </w:rPr>
            </w:pPr>
          </w:p>
        </w:tc>
        <w:tc>
          <w:tcPr>
            <w:tcW w:w="683" w:type="dxa"/>
            <w:vAlign w:val="center"/>
          </w:tcPr>
          <w:p w14:paraId="4B7F50DC">
            <w:pPr>
              <w:widowControl w:val="0"/>
              <w:kinsoku/>
              <w:topLinePunct/>
              <w:autoSpaceDE/>
              <w:autoSpaceDN/>
              <w:jc w:val="center"/>
              <w:rPr>
                <w:color w:val="auto"/>
              </w:rPr>
            </w:pPr>
          </w:p>
        </w:tc>
        <w:tc>
          <w:tcPr>
            <w:tcW w:w="838" w:type="dxa"/>
            <w:vAlign w:val="center"/>
          </w:tcPr>
          <w:p w14:paraId="6E4DD6D2">
            <w:pPr>
              <w:widowControl w:val="0"/>
              <w:kinsoku/>
              <w:topLinePunct/>
              <w:autoSpaceDE/>
              <w:autoSpaceDN/>
              <w:jc w:val="center"/>
              <w:rPr>
                <w:color w:val="auto"/>
              </w:rPr>
            </w:pPr>
          </w:p>
        </w:tc>
        <w:tc>
          <w:tcPr>
            <w:tcW w:w="1363" w:type="dxa"/>
            <w:vAlign w:val="center"/>
          </w:tcPr>
          <w:p w14:paraId="3B371A65">
            <w:pPr>
              <w:widowControl w:val="0"/>
              <w:kinsoku/>
              <w:topLinePunct/>
              <w:autoSpaceDE/>
              <w:autoSpaceDN/>
              <w:jc w:val="center"/>
              <w:rPr>
                <w:color w:val="auto"/>
              </w:rPr>
            </w:pPr>
          </w:p>
        </w:tc>
        <w:tc>
          <w:tcPr>
            <w:tcW w:w="848" w:type="dxa"/>
            <w:vAlign w:val="center"/>
          </w:tcPr>
          <w:p w14:paraId="4BFC61F1">
            <w:pPr>
              <w:widowControl w:val="0"/>
              <w:kinsoku/>
              <w:topLinePunct/>
              <w:autoSpaceDE/>
              <w:autoSpaceDN/>
              <w:jc w:val="center"/>
              <w:rPr>
                <w:color w:val="auto"/>
              </w:rPr>
            </w:pPr>
          </w:p>
        </w:tc>
        <w:tc>
          <w:tcPr>
            <w:tcW w:w="1018" w:type="dxa"/>
            <w:vAlign w:val="center"/>
          </w:tcPr>
          <w:p w14:paraId="2C463ECE">
            <w:pPr>
              <w:widowControl w:val="0"/>
              <w:kinsoku/>
              <w:topLinePunct/>
              <w:autoSpaceDE/>
              <w:autoSpaceDN/>
              <w:jc w:val="center"/>
              <w:rPr>
                <w:color w:val="auto"/>
              </w:rPr>
            </w:pPr>
          </w:p>
        </w:tc>
        <w:tc>
          <w:tcPr>
            <w:tcW w:w="1210" w:type="dxa"/>
            <w:vAlign w:val="center"/>
          </w:tcPr>
          <w:p w14:paraId="1DE44007">
            <w:pPr>
              <w:widowControl w:val="0"/>
              <w:kinsoku/>
              <w:topLinePunct/>
              <w:autoSpaceDE/>
              <w:autoSpaceDN/>
              <w:jc w:val="center"/>
              <w:rPr>
                <w:color w:val="auto"/>
              </w:rPr>
            </w:pPr>
          </w:p>
        </w:tc>
        <w:tc>
          <w:tcPr>
            <w:tcW w:w="1251" w:type="dxa"/>
            <w:vAlign w:val="center"/>
          </w:tcPr>
          <w:p w14:paraId="58790231">
            <w:pPr>
              <w:widowControl w:val="0"/>
              <w:kinsoku/>
              <w:topLinePunct/>
              <w:autoSpaceDE/>
              <w:autoSpaceDN/>
              <w:jc w:val="center"/>
              <w:rPr>
                <w:color w:val="auto"/>
              </w:rPr>
            </w:pPr>
          </w:p>
        </w:tc>
        <w:tc>
          <w:tcPr>
            <w:tcW w:w="1016" w:type="dxa"/>
            <w:tcBorders>
              <w:right w:val="single" w:color="000000" w:sz="6" w:space="0"/>
            </w:tcBorders>
            <w:vAlign w:val="center"/>
          </w:tcPr>
          <w:p w14:paraId="3555EDBD">
            <w:pPr>
              <w:widowControl w:val="0"/>
              <w:kinsoku/>
              <w:topLinePunct/>
              <w:autoSpaceDE/>
              <w:autoSpaceDN/>
              <w:jc w:val="center"/>
              <w:rPr>
                <w:color w:val="auto"/>
              </w:rPr>
            </w:pPr>
          </w:p>
        </w:tc>
      </w:tr>
      <w:tr w14:paraId="0EECB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jc w:val="center"/>
        </w:trPr>
        <w:tc>
          <w:tcPr>
            <w:tcW w:w="683" w:type="dxa"/>
            <w:tcBorders>
              <w:left w:val="single" w:color="000000" w:sz="6" w:space="0"/>
              <w:bottom w:val="single" w:color="000000" w:sz="6" w:space="0"/>
            </w:tcBorders>
            <w:vAlign w:val="center"/>
          </w:tcPr>
          <w:p w14:paraId="38523994">
            <w:pPr>
              <w:widowControl w:val="0"/>
              <w:kinsoku/>
              <w:topLinePunct/>
              <w:autoSpaceDE/>
              <w:autoSpaceDN/>
              <w:jc w:val="center"/>
              <w:rPr>
                <w:color w:val="auto"/>
              </w:rPr>
            </w:pPr>
          </w:p>
        </w:tc>
        <w:tc>
          <w:tcPr>
            <w:tcW w:w="683" w:type="dxa"/>
            <w:tcBorders>
              <w:bottom w:val="single" w:color="000000" w:sz="6" w:space="0"/>
            </w:tcBorders>
            <w:vAlign w:val="center"/>
          </w:tcPr>
          <w:p w14:paraId="4577BB7B">
            <w:pPr>
              <w:widowControl w:val="0"/>
              <w:kinsoku/>
              <w:topLinePunct/>
              <w:autoSpaceDE/>
              <w:autoSpaceDN/>
              <w:jc w:val="center"/>
              <w:rPr>
                <w:color w:val="auto"/>
              </w:rPr>
            </w:pPr>
          </w:p>
        </w:tc>
        <w:tc>
          <w:tcPr>
            <w:tcW w:w="838" w:type="dxa"/>
            <w:tcBorders>
              <w:bottom w:val="single" w:color="000000" w:sz="6" w:space="0"/>
            </w:tcBorders>
            <w:vAlign w:val="center"/>
          </w:tcPr>
          <w:p w14:paraId="1D6039EC">
            <w:pPr>
              <w:widowControl w:val="0"/>
              <w:kinsoku/>
              <w:topLinePunct/>
              <w:autoSpaceDE/>
              <w:autoSpaceDN/>
              <w:jc w:val="center"/>
              <w:rPr>
                <w:color w:val="auto"/>
              </w:rPr>
            </w:pPr>
          </w:p>
        </w:tc>
        <w:tc>
          <w:tcPr>
            <w:tcW w:w="1363" w:type="dxa"/>
            <w:tcBorders>
              <w:bottom w:val="single" w:color="000000" w:sz="6" w:space="0"/>
            </w:tcBorders>
            <w:vAlign w:val="center"/>
          </w:tcPr>
          <w:p w14:paraId="0F9ADD37">
            <w:pPr>
              <w:widowControl w:val="0"/>
              <w:kinsoku/>
              <w:topLinePunct/>
              <w:autoSpaceDE/>
              <w:autoSpaceDN/>
              <w:jc w:val="center"/>
              <w:rPr>
                <w:color w:val="auto"/>
              </w:rPr>
            </w:pPr>
          </w:p>
        </w:tc>
        <w:tc>
          <w:tcPr>
            <w:tcW w:w="848" w:type="dxa"/>
            <w:tcBorders>
              <w:bottom w:val="single" w:color="000000" w:sz="6" w:space="0"/>
            </w:tcBorders>
            <w:vAlign w:val="center"/>
          </w:tcPr>
          <w:p w14:paraId="43254F96">
            <w:pPr>
              <w:widowControl w:val="0"/>
              <w:kinsoku/>
              <w:topLinePunct/>
              <w:autoSpaceDE/>
              <w:autoSpaceDN/>
              <w:jc w:val="center"/>
              <w:rPr>
                <w:color w:val="auto"/>
              </w:rPr>
            </w:pPr>
          </w:p>
        </w:tc>
        <w:tc>
          <w:tcPr>
            <w:tcW w:w="1018" w:type="dxa"/>
            <w:tcBorders>
              <w:bottom w:val="single" w:color="000000" w:sz="6" w:space="0"/>
            </w:tcBorders>
            <w:vAlign w:val="center"/>
          </w:tcPr>
          <w:p w14:paraId="096B07B6">
            <w:pPr>
              <w:widowControl w:val="0"/>
              <w:kinsoku/>
              <w:topLinePunct/>
              <w:autoSpaceDE/>
              <w:autoSpaceDN/>
              <w:jc w:val="center"/>
              <w:rPr>
                <w:color w:val="auto"/>
              </w:rPr>
            </w:pPr>
          </w:p>
        </w:tc>
        <w:tc>
          <w:tcPr>
            <w:tcW w:w="1210" w:type="dxa"/>
            <w:tcBorders>
              <w:bottom w:val="single" w:color="000000" w:sz="6" w:space="0"/>
            </w:tcBorders>
            <w:vAlign w:val="center"/>
          </w:tcPr>
          <w:p w14:paraId="6A1378E7">
            <w:pPr>
              <w:widowControl w:val="0"/>
              <w:kinsoku/>
              <w:topLinePunct/>
              <w:autoSpaceDE/>
              <w:autoSpaceDN/>
              <w:jc w:val="center"/>
              <w:rPr>
                <w:color w:val="auto"/>
              </w:rPr>
            </w:pPr>
          </w:p>
        </w:tc>
        <w:tc>
          <w:tcPr>
            <w:tcW w:w="1251" w:type="dxa"/>
            <w:tcBorders>
              <w:bottom w:val="single" w:color="000000" w:sz="6" w:space="0"/>
            </w:tcBorders>
            <w:vAlign w:val="center"/>
          </w:tcPr>
          <w:p w14:paraId="08122112">
            <w:pPr>
              <w:widowControl w:val="0"/>
              <w:kinsoku/>
              <w:topLinePunct/>
              <w:autoSpaceDE/>
              <w:autoSpaceDN/>
              <w:jc w:val="center"/>
              <w:rPr>
                <w:color w:val="auto"/>
              </w:rPr>
            </w:pPr>
          </w:p>
        </w:tc>
        <w:tc>
          <w:tcPr>
            <w:tcW w:w="1016" w:type="dxa"/>
            <w:tcBorders>
              <w:bottom w:val="single" w:color="000000" w:sz="6" w:space="0"/>
              <w:right w:val="single" w:color="000000" w:sz="6" w:space="0"/>
            </w:tcBorders>
            <w:vAlign w:val="center"/>
          </w:tcPr>
          <w:p w14:paraId="3A8B5946">
            <w:pPr>
              <w:widowControl w:val="0"/>
              <w:kinsoku/>
              <w:topLinePunct/>
              <w:autoSpaceDE/>
              <w:autoSpaceDN/>
              <w:jc w:val="center"/>
              <w:rPr>
                <w:color w:val="auto"/>
              </w:rPr>
            </w:pPr>
          </w:p>
        </w:tc>
      </w:tr>
    </w:tbl>
    <w:p w14:paraId="2999793B">
      <w:pPr>
        <w:spacing w:before="38" w:line="360" w:lineRule="auto"/>
        <w:ind w:left="11" w:firstLine="47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注：拟派项目管理机构主要人员必须在浙江省水利厅“浙江省水利建设市场信息”</w:t>
      </w:r>
      <w:r>
        <w:rPr>
          <w:rFonts w:ascii="宋体" w:hAnsi="宋体" w:eastAsia="宋体" w:cs="宋体"/>
          <w:color w:val="auto"/>
          <w:sz w:val="24"/>
          <w:szCs w:val="24"/>
          <w:lang w:eastAsia="zh-CN"/>
        </w:rPr>
        <w:t>上已经公示。投标人应在“原件的复制件”中提供“浙江省水利工程建设管理系统</w:t>
      </w:r>
      <w:r>
        <w:rPr>
          <w:rFonts w:ascii="宋体" w:hAnsi="宋体" w:eastAsia="宋体" w:cs="宋体"/>
          <w:color w:val="auto"/>
          <w:spacing w:val="-2"/>
          <w:sz w:val="24"/>
          <w:szCs w:val="24"/>
          <w:lang w:eastAsia="zh-CN"/>
        </w:rPr>
        <w:t>（透明工程）”的打印件，打印件应含有“浙江水利透明工程”水印。</w:t>
      </w:r>
    </w:p>
    <w:p w14:paraId="7FCC9051">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65C962FE">
      <w:pPr>
        <w:spacing w:before="78" w:line="219" w:lineRule="auto"/>
        <w:ind w:left="5"/>
        <w:rPr>
          <w:rFonts w:hint="eastAsia" w:ascii="宋体" w:hAnsi="宋体" w:eastAsia="宋体" w:cs="宋体"/>
          <w:color w:val="auto"/>
          <w:sz w:val="24"/>
          <w:szCs w:val="24"/>
        </w:rPr>
      </w:pPr>
      <w:r>
        <w:rPr>
          <w:rFonts w:ascii="Times New Roman" w:hAnsi="Times New Roman" w:eastAsia="Times New Roman" w:cs="Times New Roman"/>
          <w:b/>
          <w:bCs/>
          <w:color w:val="auto"/>
          <w:spacing w:val="-2"/>
          <w:sz w:val="24"/>
          <w:szCs w:val="24"/>
        </w:rPr>
        <w:t>2.</w:t>
      </w:r>
      <w:r>
        <w:rPr>
          <w:rFonts w:ascii="宋体" w:hAnsi="宋体" w:eastAsia="宋体" w:cs="宋体"/>
          <w:b/>
          <w:bCs/>
          <w:color w:val="auto"/>
          <w:spacing w:val="-2"/>
          <w:sz w:val="24"/>
          <w:szCs w:val="24"/>
        </w:rPr>
        <w:t>主要人员简历表</w:t>
      </w:r>
    </w:p>
    <w:p w14:paraId="79E795F1">
      <w:pPr>
        <w:spacing w:line="147" w:lineRule="exact"/>
        <w:rPr>
          <w:color w:val="auto"/>
        </w:rPr>
      </w:pPr>
    </w:p>
    <w:tbl>
      <w:tblPr>
        <w:tblStyle w:val="20"/>
        <w:tblW w:w="88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7"/>
        <w:gridCol w:w="326"/>
        <w:gridCol w:w="1243"/>
        <w:gridCol w:w="762"/>
        <w:gridCol w:w="1253"/>
        <w:gridCol w:w="110"/>
        <w:gridCol w:w="1318"/>
        <w:gridCol w:w="1311"/>
        <w:gridCol w:w="1318"/>
      </w:tblGrid>
      <w:tr w14:paraId="47C5B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jc w:val="center"/>
        </w:trPr>
        <w:tc>
          <w:tcPr>
            <w:tcW w:w="1533" w:type="dxa"/>
            <w:gridSpan w:val="2"/>
            <w:tcBorders>
              <w:top w:val="single" w:color="000000" w:sz="6" w:space="0"/>
              <w:left w:val="single" w:color="000000" w:sz="6" w:space="0"/>
            </w:tcBorders>
            <w:vAlign w:val="center"/>
          </w:tcPr>
          <w:p w14:paraId="44703F6D">
            <w:pPr>
              <w:pStyle w:val="21"/>
              <w:jc w:val="center"/>
              <w:rPr>
                <w:rFonts w:hint="eastAsia"/>
                <w:color w:val="auto"/>
                <w:sz w:val="24"/>
                <w:szCs w:val="24"/>
              </w:rPr>
            </w:pPr>
            <w:r>
              <w:rPr>
                <w:color w:val="auto"/>
                <w:spacing w:val="-5"/>
                <w:sz w:val="24"/>
                <w:szCs w:val="24"/>
              </w:rPr>
              <w:t>姓</w:t>
            </w:r>
            <w:r>
              <w:rPr>
                <w:rFonts w:hint="eastAsia"/>
                <w:color w:val="auto"/>
                <w:spacing w:val="3"/>
                <w:sz w:val="24"/>
                <w:szCs w:val="24"/>
                <w:lang w:eastAsia="zh-CN"/>
              </w:rPr>
              <w:t>　　</w:t>
            </w:r>
            <w:r>
              <w:rPr>
                <w:color w:val="auto"/>
                <w:spacing w:val="-5"/>
                <w:sz w:val="24"/>
                <w:szCs w:val="24"/>
              </w:rPr>
              <w:t>名</w:t>
            </w:r>
          </w:p>
        </w:tc>
        <w:tc>
          <w:tcPr>
            <w:tcW w:w="1243" w:type="dxa"/>
            <w:tcBorders>
              <w:top w:val="single" w:color="000000" w:sz="6" w:space="0"/>
            </w:tcBorders>
            <w:vAlign w:val="center"/>
          </w:tcPr>
          <w:p w14:paraId="213E22A0">
            <w:pPr>
              <w:jc w:val="center"/>
              <w:rPr>
                <w:color w:val="auto"/>
              </w:rPr>
            </w:pPr>
          </w:p>
        </w:tc>
        <w:tc>
          <w:tcPr>
            <w:tcW w:w="762" w:type="dxa"/>
            <w:tcBorders>
              <w:top w:val="single" w:color="000000" w:sz="6" w:space="0"/>
            </w:tcBorders>
            <w:vAlign w:val="center"/>
          </w:tcPr>
          <w:p w14:paraId="67C3086C">
            <w:pPr>
              <w:pStyle w:val="21"/>
              <w:jc w:val="center"/>
              <w:rPr>
                <w:rFonts w:hint="eastAsia"/>
                <w:color w:val="auto"/>
                <w:sz w:val="24"/>
                <w:szCs w:val="24"/>
              </w:rPr>
            </w:pPr>
            <w:r>
              <w:rPr>
                <w:color w:val="auto"/>
                <w:spacing w:val="-3"/>
                <w:sz w:val="24"/>
                <w:szCs w:val="24"/>
              </w:rPr>
              <w:t>年龄</w:t>
            </w:r>
          </w:p>
        </w:tc>
        <w:tc>
          <w:tcPr>
            <w:tcW w:w="1253" w:type="dxa"/>
            <w:tcBorders>
              <w:top w:val="single" w:color="000000" w:sz="6" w:space="0"/>
            </w:tcBorders>
            <w:vAlign w:val="center"/>
          </w:tcPr>
          <w:p w14:paraId="40270F32">
            <w:pPr>
              <w:jc w:val="center"/>
              <w:rPr>
                <w:color w:val="auto"/>
              </w:rPr>
            </w:pPr>
          </w:p>
        </w:tc>
        <w:tc>
          <w:tcPr>
            <w:tcW w:w="2739" w:type="dxa"/>
            <w:gridSpan w:val="3"/>
            <w:tcBorders>
              <w:top w:val="single" w:color="000000" w:sz="6" w:space="0"/>
            </w:tcBorders>
            <w:vAlign w:val="center"/>
          </w:tcPr>
          <w:p w14:paraId="357EC396">
            <w:pPr>
              <w:pStyle w:val="21"/>
              <w:jc w:val="center"/>
              <w:rPr>
                <w:rFonts w:hint="eastAsia"/>
                <w:color w:val="auto"/>
                <w:sz w:val="24"/>
                <w:szCs w:val="24"/>
              </w:rPr>
            </w:pPr>
            <w:r>
              <w:rPr>
                <w:color w:val="auto"/>
                <w:spacing w:val="-8"/>
                <w:sz w:val="24"/>
                <w:szCs w:val="24"/>
              </w:rPr>
              <w:t>学</w:t>
            </w:r>
            <w:r>
              <w:rPr>
                <w:rFonts w:hint="eastAsia"/>
                <w:color w:val="auto"/>
                <w:spacing w:val="1"/>
                <w:sz w:val="24"/>
                <w:szCs w:val="24"/>
                <w:lang w:eastAsia="zh-CN"/>
              </w:rPr>
              <w:t>　　　　</w:t>
            </w:r>
            <w:r>
              <w:rPr>
                <w:color w:val="auto"/>
                <w:spacing w:val="-8"/>
                <w:sz w:val="24"/>
                <w:szCs w:val="24"/>
              </w:rPr>
              <w:t>历</w:t>
            </w:r>
          </w:p>
        </w:tc>
        <w:tc>
          <w:tcPr>
            <w:tcW w:w="1318" w:type="dxa"/>
            <w:tcBorders>
              <w:top w:val="single" w:color="000000" w:sz="6" w:space="0"/>
              <w:right w:val="single" w:color="000000" w:sz="6" w:space="0"/>
            </w:tcBorders>
            <w:vAlign w:val="center"/>
          </w:tcPr>
          <w:p w14:paraId="5B2223D6">
            <w:pPr>
              <w:jc w:val="center"/>
              <w:rPr>
                <w:color w:val="auto"/>
              </w:rPr>
            </w:pPr>
          </w:p>
        </w:tc>
      </w:tr>
      <w:tr w14:paraId="006C44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1533" w:type="dxa"/>
            <w:gridSpan w:val="2"/>
            <w:tcBorders>
              <w:left w:val="single" w:color="000000" w:sz="6" w:space="0"/>
            </w:tcBorders>
            <w:vAlign w:val="center"/>
          </w:tcPr>
          <w:p w14:paraId="078FF68D">
            <w:pPr>
              <w:pStyle w:val="21"/>
              <w:jc w:val="center"/>
              <w:rPr>
                <w:rFonts w:hint="eastAsia"/>
                <w:color w:val="auto"/>
                <w:sz w:val="24"/>
                <w:szCs w:val="24"/>
              </w:rPr>
            </w:pPr>
            <w:r>
              <w:rPr>
                <w:color w:val="auto"/>
                <w:spacing w:val="-2"/>
                <w:sz w:val="24"/>
                <w:szCs w:val="24"/>
              </w:rPr>
              <w:t>执业资格</w:t>
            </w:r>
          </w:p>
        </w:tc>
        <w:tc>
          <w:tcPr>
            <w:tcW w:w="3258" w:type="dxa"/>
            <w:gridSpan w:val="3"/>
            <w:vAlign w:val="center"/>
          </w:tcPr>
          <w:p w14:paraId="38F227FC">
            <w:pPr>
              <w:jc w:val="center"/>
              <w:rPr>
                <w:color w:val="auto"/>
              </w:rPr>
            </w:pPr>
          </w:p>
        </w:tc>
        <w:tc>
          <w:tcPr>
            <w:tcW w:w="2739" w:type="dxa"/>
            <w:gridSpan w:val="3"/>
            <w:vAlign w:val="center"/>
          </w:tcPr>
          <w:p w14:paraId="3CF4C131">
            <w:pPr>
              <w:pStyle w:val="21"/>
              <w:jc w:val="center"/>
              <w:rPr>
                <w:rFonts w:hint="eastAsia"/>
                <w:color w:val="auto"/>
                <w:sz w:val="24"/>
                <w:szCs w:val="24"/>
                <w:lang w:eastAsia="zh-CN"/>
              </w:rPr>
            </w:pPr>
            <w:r>
              <w:rPr>
                <w:color w:val="auto"/>
                <w:spacing w:val="-2"/>
                <w:sz w:val="24"/>
                <w:szCs w:val="24"/>
                <w:lang w:eastAsia="zh-CN"/>
              </w:rPr>
              <w:t>安全生产考核合格证书</w:t>
            </w:r>
          </w:p>
        </w:tc>
        <w:tc>
          <w:tcPr>
            <w:tcW w:w="1318" w:type="dxa"/>
            <w:tcBorders>
              <w:right w:val="single" w:color="000000" w:sz="6" w:space="0"/>
            </w:tcBorders>
            <w:vAlign w:val="center"/>
          </w:tcPr>
          <w:p w14:paraId="14A45C0E">
            <w:pPr>
              <w:jc w:val="center"/>
              <w:rPr>
                <w:color w:val="auto"/>
                <w:lang w:eastAsia="zh-CN"/>
              </w:rPr>
            </w:pPr>
          </w:p>
        </w:tc>
      </w:tr>
      <w:tr w14:paraId="3DD3F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1533" w:type="dxa"/>
            <w:gridSpan w:val="2"/>
            <w:tcBorders>
              <w:left w:val="single" w:color="000000" w:sz="6" w:space="0"/>
            </w:tcBorders>
            <w:vAlign w:val="center"/>
          </w:tcPr>
          <w:p w14:paraId="547D6A11">
            <w:pPr>
              <w:pStyle w:val="21"/>
              <w:jc w:val="center"/>
              <w:rPr>
                <w:rFonts w:hint="eastAsia"/>
                <w:color w:val="auto"/>
                <w:sz w:val="24"/>
                <w:szCs w:val="24"/>
              </w:rPr>
            </w:pPr>
            <w:r>
              <w:rPr>
                <w:color w:val="auto"/>
                <w:spacing w:val="-6"/>
                <w:sz w:val="24"/>
                <w:szCs w:val="24"/>
              </w:rPr>
              <w:t>职</w:t>
            </w:r>
            <w:r>
              <w:rPr>
                <w:rFonts w:hint="eastAsia"/>
                <w:color w:val="auto"/>
                <w:spacing w:val="2"/>
                <w:sz w:val="24"/>
                <w:szCs w:val="24"/>
                <w:lang w:eastAsia="zh-CN"/>
              </w:rPr>
              <w:t>　　</w:t>
            </w:r>
            <w:r>
              <w:rPr>
                <w:color w:val="auto"/>
                <w:spacing w:val="-6"/>
                <w:sz w:val="24"/>
                <w:szCs w:val="24"/>
              </w:rPr>
              <w:t>称</w:t>
            </w:r>
          </w:p>
        </w:tc>
        <w:tc>
          <w:tcPr>
            <w:tcW w:w="1243" w:type="dxa"/>
            <w:vAlign w:val="center"/>
          </w:tcPr>
          <w:p w14:paraId="6A5AF919">
            <w:pPr>
              <w:jc w:val="center"/>
              <w:rPr>
                <w:color w:val="auto"/>
              </w:rPr>
            </w:pPr>
          </w:p>
        </w:tc>
        <w:tc>
          <w:tcPr>
            <w:tcW w:w="762" w:type="dxa"/>
            <w:vAlign w:val="center"/>
          </w:tcPr>
          <w:p w14:paraId="3F13211A">
            <w:pPr>
              <w:pStyle w:val="21"/>
              <w:jc w:val="center"/>
              <w:rPr>
                <w:rFonts w:hint="eastAsia"/>
                <w:color w:val="auto"/>
                <w:sz w:val="24"/>
                <w:szCs w:val="24"/>
              </w:rPr>
            </w:pPr>
            <w:r>
              <w:rPr>
                <w:color w:val="auto"/>
                <w:spacing w:val="-3"/>
                <w:sz w:val="24"/>
                <w:szCs w:val="24"/>
              </w:rPr>
              <w:t>职务</w:t>
            </w:r>
          </w:p>
        </w:tc>
        <w:tc>
          <w:tcPr>
            <w:tcW w:w="1253" w:type="dxa"/>
            <w:vAlign w:val="center"/>
          </w:tcPr>
          <w:p w14:paraId="5BE9C74C">
            <w:pPr>
              <w:jc w:val="center"/>
              <w:rPr>
                <w:color w:val="auto"/>
              </w:rPr>
            </w:pPr>
          </w:p>
        </w:tc>
        <w:tc>
          <w:tcPr>
            <w:tcW w:w="2739" w:type="dxa"/>
            <w:gridSpan w:val="3"/>
            <w:vAlign w:val="center"/>
          </w:tcPr>
          <w:p w14:paraId="328F9B2E">
            <w:pPr>
              <w:pStyle w:val="21"/>
              <w:jc w:val="center"/>
              <w:rPr>
                <w:rFonts w:hint="eastAsia"/>
                <w:color w:val="auto"/>
                <w:sz w:val="24"/>
                <w:szCs w:val="24"/>
              </w:rPr>
            </w:pPr>
            <w:r>
              <w:rPr>
                <w:color w:val="auto"/>
                <w:spacing w:val="-2"/>
                <w:sz w:val="24"/>
                <w:szCs w:val="24"/>
              </w:rPr>
              <w:t>拟在本合同任职</w:t>
            </w:r>
          </w:p>
        </w:tc>
        <w:tc>
          <w:tcPr>
            <w:tcW w:w="1318" w:type="dxa"/>
            <w:tcBorders>
              <w:right w:val="single" w:color="000000" w:sz="6" w:space="0"/>
            </w:tcBorders>
            <w:vAlign w:val="center"/>
          </w:tcPr>
          <w:p w14:paraId="4A41151E">
            <w:pPr>
              <w:jc w:val="center"/>
              <w:rPr>
                <w:color w:val="auto"/>
              </w:rPr>
            </w:pPr>
          </w:p>
        </w:tc>
      </w:tr>
      <w:tr w14:paraId="397912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1533" w:type="dxa"/>
            <w:gridSpan w:val="2"/>
            <w:tcBorders>
              <w:left w:val="single" w:color="000000" w:sz="6" w:space="0"/>
            </w:tcBorders>
            <w:vAlign w:val="center"/>
          </w:tcPr>
          <w:p w14:paraId="08E4108B">
            <w:pPr>
              <w:pStyle w:val="21"/>
              <w:jc w:val="center"/>
              <w:rPr>
                <w:rFonts w:hint="eastAsia"/>
                <w:color w:val="auto"/>
                <w:sz w:val="24"/>
                <w:szCs w:val="24"/>
              </w:rPr>
            </w:pPr>
            <w:r>
              <w:rPr>
                <w:color w:val="auto"/>
                <w:spacing w:val="-3"/>
                <w:sz w:val="24"/>
                <w:szCs w:val="24"/>
              </w:rPr>
              <w:t>毕业学校</w:t>
            </w:r>
          </w:p>
        </w:tc>
        <w:tc>
          <w:tcPr>
            <w:tcW w:w="7315" w:type="dxa"/>
            <w:gridSpan w:val="7"/>
            <w:tcBorders>
              <w:right w:val="single" w:color="000000" w:sz="6" w:space="0"/>
            </w:tcBorders>
            <w:vAlign w:val="center"/>
          </w:tcPr>
          <w:p w14:paraId="305B4BD6">
            <w:pPr>
              <w:pStyle w:val="21"/>
              <w:jc w:val="center"/>
              <w:rPr>
                <w:rFonts w:hint="eastAsia"/>
                <w:color w:val="auto"/>
                <w:sz w:val="24"/>
                <w:szCs w:val="24"/>
                <w:lang w:eastAsia="zh-CN"/>
              </w:rPr>
            </w:pPr>
            <w:r>
              <w:rPr>
                <w:rFonts w:hint="eastAsia"/>
                <w:color w:val="auto"/>
                <w:spacing w:val="-2"/>
                <w:sz w:val="24"/>
                <w:szCs w:val="24"/>
                <w:lang w:eastAsia="zh-CN"/>
              </w:rPr>
              <w:t>　　　　</w:t>
            </w:r>
            <w:r>
              <w:rPr>
                <w:color w:val="auto"/>
                <w:spacing w:val="-2"/>
                <w:sz w:val="24"/>
                <w:szCs w:val="24"/>
                <w:lang w:eastAsia="zh-CN"/>
              </w:rPr>
              <w:t>年毕业于</w:t>
            </w:r>
            <w:r>
              <w:rPr>
                <w:rFonts w:hint="eastAsia"/>
                <w:color w:val="auto"/>
                <w:spacing w:val="1"/>
                <w:sz w:val="24"/>
                <w:szCs w:val="24"/>
                <w:lang w:eastAsia="zh-CN"/>
              </w:rPr>
              <w:t>　　　　　　　　</w:t>
            </w:r>
            <w:r>
              <w:rPr>
                <w:color w:val="auto"/>
                <w:spacing w:val="-2"/>
                <w:sz w:val="24"/>
                <w:szCs w:val="24"/>
                <w:lang w:eastAsia="zh-CN"/>
              </w:rPr>
              <w:t>学校</w:t>
            </w:r>
            <w:r>
              <w:rPr>
                <w:rFonts w:hint="eastAsia"/>
                <w:color w:val="auto"/>
                <w:spacing w:val="-2"/>
                <w:sz w:val="24"/>
                <w:szCs w:val="24"/>
                <w:lang w:eastAsia="zh-CN"/>
              </w:rPr>
              <w:t>　　　　</w:t>
            </w:r>
            <w:r>
              <w:rPr>
                <w:color w:val="auto"/>
                <w:spacing w:val="-2"/>
                <w:sz w:val="24"/>
                <w:szCs w:val="24"/>
                <w:lang w:eastAsia="zh-CN"/>
              </w:rPr>
              <w:t>专业</w:t>
            </w:r>
          </w:p>
        </w:tc>
      </w:tr>
      <w:tr w14:paraId="3CA0B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jc w:val="center"/>
        </w:trPr>
        <w:tc>
          <w:tcPr>
            <w:tcW w:w="8848" w:type="dxa"/>
            <w:gridSpan w:val="9"/>
            <w:tcBorders>
              <w:left w:val="single" w:color="000000" w:sz="6" w:space="0"/>
              <w:right w:val="single" w:color="000000" w:sz="6" w:space="0"/>
            </w:tcBorders>
            <w:vAlign w:val="center"/>
          </w:tcPr>
          <w:p w14:paraId="74B77216">
            <w:pPr>
              <w:pStyle w:val="21"/>
              <w:jc w:val="center"/>
              <w:rPr>
                <w:rFonts w:hint="eastAsia"/>
                <w:color w:val="auto"/>
                <w:sz w:val="24"/>
                <w:szCs w:val="24"/>
              </w:rPr>
            </w:pPr>
            <w:r>
              <w:rPr>
                <w:color w:val="auto"/>
                <w:spacing w:val="-2"/>
                <w:sz w:val="24"/>
                <w:szCs w:val="24"/>
              </w:rPr>
              <w:t>主要施工管理经历</w:t>
            </w:r>
          </w:p>
        </w:tc>
      </w:tr>
      <w:tr w14:paraId="254D47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1207" w:type="dxa"/>
            <w:tcBorders>
              <w:left w:val="single" w:color="000000" w:sz="6" w:space="0"/>
            </w:tcBorders>
            <w:vAlign w:val="center"/>
          </w:tcPr>
          <w:p w14:paraId="7D24065A">
            <w:pPr>
              <w:pStyle w:val="21"/>
              <w:jc w:val="center"/>
              <w:rPr>
                <w:rFonts w:hint="eastAsia"/>
                <w:color w:val="auto"/>
                <w:sz w:val="24"/>
                <w:szCs w:val="24"/>
              </w:rPr>
            </w:pPr>
            <w:r>
              <w:rPr>
                <w:color w:val="auto"/>
                <w:spacing w:val="-6"/>
                <w:sz w:val="24"/>
                <w:szCs w:val="24"/>
              </w:rPr>
              <w:t>时间</w:t>
            </w:r>
          </w:p>
        </w:tc>
        <w:tc>
          <w:tcPr>
            <w:tcW w:w="3694" w:type="dxa"/>
            <w:gridSpan w:val="5"/>
            <w:vAlign w:val="center"/>
          </w:tcPr>
          <w:p w14:paraId="6A14AB6B">
            <w:pPr>
              <w:pStyle w:val="21"/>
              <w:jc w:val="center"/>
              <w:rPr>
                <w:rFonts w:hint="eastAsia"/>
                <w:color w:val="auto"/>
                <w:sz w:val="24"/>
                <w:szCs w:val="24"/>
              </w:rPr>
            </w:pPr>
            <w:r>
              <w:rPr>
                <w:color w:val="auto"/>
                <w:spacing w:val="-2"/>
                <w:sz w:val="24"/>
                <w:szCs w:val="24"/>
              </w:rPr>
              <w:t>参加过的类似项目</w:t>
            </w:r>
          </w:p>
        </w:tc>
        <w:tc>
          <w:tcPr>
            <w:tcW w:w="1318" w:type="dxa"/>
            <w:vAlign w:val="center"/>
          </w:tcPr>
          <w:p w14:paraId="36012A79">
            <w:pPr>
              <w:pStyle w:val="21"/>
              <w:jc w:val="center"/>
              <w:rPr>
                <w:rFonts w:hint="eastAsia"/>
                <w:color w:val="auto"/>
                <w:sz w:val="24"/>
                <w:szCs w:val="24"/>
              </w:rPr>
            </w:pPr>
            <w:r>
              <w:rPr>
                <w:color w:val="auto"/>
                <w:spacing w:val="-2"/>
                <w:sz w:val="24"/>
                <w:szCs w:val="24"/>
              </w:rPr>
              <w:t>担任职务</w:t>
            </w:r>
          </w:p>
        </w:tc>
        <w:tc>
          <w:tcPr>
            <w:tcW w:w="2629" w:type="dxa"/>
            <w:gridSpan w:val="2"/>
            <w:tcBorders>
              <w:right w:val="single" w:color="000000" w:sz="6" w:space="0"/>
            </w:tcBorders>
            <w:vAlign w:val="center"/>
          </w:tcPr>
          <w:p w14:paraId="65C72E6F">
            <w:pPr>
              <w:pStyle w:val="21"/>
              <w:jc w:val="center"/>
              <w:rPr>
                <w:rFonts w:hint="eastAsia"/>
                <w:color w:val="auto"/>
                <w:sz w:val="24"/>
                <w:szCs w:val="24"/>
              </w:rPr>
            </w:pPr>
            <w:r>
              <w:rPr>
                <w:color w:val="auto"/>
                <w:spacing w:val="-2"/>
                <w:sz w:val="24"/>
                <w:szCs w:val="24"/>
              </w:rPr>
              <w:t>发包人及联系电话</w:t>
            </w:r>
          </w:p>
        </w:tc>
      </w:tr>
      <w:tr w14:paraId="19DBF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20B4E276">
            <w:pPr>
              <w:jc w:val="center"/>
              <w:rPr>
                <w:color w:val="auto"/>
              </w:rPr>
            </w:pPr>
          </w:p>
        </w:tc>
        <w:tc>
          <w:tcPr>
            <w:tcW w:w="3694" w:type="dxa"/>
            <w:gridSpan w:val="5"/>
            <w:vAlign w:val="center"/>
          </w:tcPr>
          <w:p w14:paraId="56609704">
            <w:pPr>
              <w:jc w:val="center"/>
              <w:rPr>
                <w:color w:val="auto"/>
              </w:rPr>
            </w:pPr>
          </w:p>
        </w:tc>
        <w:tc>
          <w:tcPr>
            <w:tcW w:w="1318" w:type="dxa"/>
            <w:vAlign w:val="center"/>
          </w:tcPr>
          <w:p w14:paraId="528E5F9A">
            <w:pPr>
              <w:jc w:val="center"/>
              <w:rPr>
                <w:color w:val="auto"/>
              </w:rPr>
            </w:pPr>
          </w:p>
        </w:tc>
        <w:tc>
          <w:tcPr>
            <w:tcW w:w="2629" w:type="dxa"/>
            <w:gridSpan w:val="2"/>
            <w:tcBorders>
              <w:right w:val="single" w:color="000000" w:sz="6" w:space="0"/>
            </w:tcBorders>
            <w:vAlign w:val="center"/>
          </w:tcPr>
          <w:p w14:paraId="3AF6670B">
            <w:pPr>
              <w:jc w:val="center"/>
              <w:rPr>
                <w:color w:val="auto"/>
              </w:rPr>
            </w:pPr>
          </w:p>
        </w:tc>
      </w:tr>
      <w:tr w14:paraId="6D6AC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25CCB9E8">
            <w:pPr>
              <w:jc w:val="center"/>
              <w:rPr>
                <w:color w:val="auto"/>
              </w:rPr>
            </w:pPr>
          </w:p>
        </w:tc>
        <w:tc>
          <w:tcPr>
            <w:tcW w:w="3694" w:type="dxa"/>
            <w:gridSpan w:val="5"/>
            <w:vAlign w:val="center"/>
          </w:tcPr>
          <w:p w14:paraId="3A04BD2B">
            <w:pPr>
              <w:jc w:val="center"/>
              <w:rPr>
                <w:color w:val="auto"/>
              </w:rPr>
            </w:pPr>
          </w:p>
        </w:tc>
        <w:tc>
          <w:tcPr>
            <w:tcW w:w="1318" w:type="dxa"/>
            <w:vAlign w:val="center"/>
          </w:tcPr>
          <w:p w14:paraId="62D9E3D3">
            <w:pPr>
              <w:jc w:val="center"/>
              <w:rPr>
                <w:color w:val="auto"/>
              </w:rPr>
            </w:pPr>
          </w:p>
        </w:tc>
        <w:tc>
          <w:tcPr>
            <w:tcW w:w="2629" w:type="dxa"/>
            <w:gridSpan w:val="2"/>
            <w:tcBorders>
              <w:right w:val="single" w:color="000000" w:sz="6" w:space="0"/>
            </w:tcBorders>
            <w:vAlign w:val="center"/>
          </w:tcPr>
          <w:p w14:paraId="5C06013F">
            <w:pPr>
              <w:jc w:val="center"/>
              <w:rPr>
                <w:color w:val="auto"/>
              </w:rPr>
            </w:pPr>
          </w:p>
        </w:tc>
      </w:tr>
      <w:tr w14:paraId="48425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347FA4E4">
            <w:pPr>
              <w:jc w:val="center"/>
              <w:rPr>
                <w:color w:val="auto"/>
              </w:rPr>
            </w:pPr>
          </w:p>
        </w:tc>
        <w:tc>
          <w:tcPr>
            <w:tcW w:w="3694" w:type="dxa"/>
            <w:gridSpan w:val="5"/>
            <w:vAlign w:val="center"/>
          </w:tcPr>
          <w:p w14:paraId="1FE59945">
            <w:pPr>
              <w:jc w:val="center"/>
              <w:rPr>
                <w:color w:val="auto"/>
              </w:rPr>
            </w:pPr>
          </w:p>
        </w:tc>
        <w:tc>
          <w:tcPr>
            <w:tcW w:w="1318" w:type="dxa"/>
            <w:vAlign w:val="center"/>
          </w:tcPr>
          <w:p w14:paraId="4635A8C2">
            <w:pPr>
              <w:jc w:val="center"/>
              <w:rPr>
                <w:color w:val="auto"/>
              </w:rPr>
            </w:pPr>
          </w:p>
        </w:tc>
        <w:tc>
          <w:tcPr>
            <w:tcW w:w="2629" w:type="dxa"/>
            <w:gridSpan w:val="2"/>
            <w:tcBorders>
              <w:right w:val="single" w:color="000000" w:sz="6" w:space="0"/>
            </w:tcBorders>
            <w:vAlign w:val="center"/>
          </w:tcPr>
          <w:p w14:paraId="1397F944">
            <w:pPr>
              <w:jc w:val="center"/>
              <w:rPr>
                <w:color w:val="auto"/>
              </w:rPr>
            </w:pPr>
          </w:p>
        </w:tc>
      </w:tr>
      <w:tr w14:paraId="419D1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33197A42">
            <w:pPr>
              <w:jc w:val="center"/>
              <w:rPr>
                <w:color w:val="auto"/>
              </w:rPr>
            </w:pPr>
          </w:p>
        </w:tc>
        <w:tc>
          <w:tcPr>
            <w:tcW w:w="3694" w:type="dxa"/>
            <w:gridSpan w:val="5"/>
            <w:vAlign w:val="center"/>
          </w:tcPr>
          <w:p w14:paraId="7373F690">
            <w:pPr>
              <w:jc w:val="center"/>
              <w:rPr>
                <w:color w:val="auto"/>
              </w:rPr>
            </w:pPr>
          </w:p>
        </w:tc>
        <w:tc>
          <w:tcPr>
            <w:tcW w:w="1318" w:type="dxa"/>
            <w:vAlign w:val="center"/>
          </w:tcPr>
          <w:p w14:paraId="42C6E22E">
            <w:pPr>
              <w:jc w:val="center"/>
              <w:rPr>
                <w:color w:val="auto"/>
              </w:rPr>
            </w:pPr>
          </w:p>
        </w:tc>
        <w:tc>
          <w:tcPr>
            <w:tcW w:w="2629" w:type="dxa"/>
            <w:gridSpan w:val="2"/>
            <w:tcBorders>
              <w:right w:val="single" w:color="000000" w:sz="6" w:space="0"/>
            </w:tcBorders>
            <w:vAlign w:val="center"/>
          </w:tcPr>
          <w:p w14:paraId="62DFDFE4">
            <w:pPr>
              <w:jc w:val="center"/>
              <w:rPr>
                <w:color w:val="auto"/>
              </w:rPr>
            </w:pPr>
          </w:p>
        </w:tc>
      </w:tr>
      <w:tr w14:paraId="2ED45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439D35DE">
            <w:pPr>
              <w:jc w:val="center"/>
              <w:rPr>
                <w:color w:val="auto"/>
              </w:rPr>
            </w:pPr>
          </w:p>
        </w:tc>
        <w:tc>
          <w:tcPr>
            <w:tcW w:w="3694" w:type="dxa"/>
            <w:gridSpan w:val="5"/>
            <w:vAlign w:val="center"/>
          </w:tcPr>
          <w:p w14:paraId="0128523B">
            <w:pPr>
              <w:jc w:val="center"/>
              <w:rPr>
                <w:color w:val="auto"/>
              </w:rPr>
            </w:pPr>
          </w:p>
        </w:tc>
        <w:tc>
          <w:tcPr>
            <w:tcW w:w="1318" w:type="dxa"/>
            <w:vAlign w:val="center"/>
          </w:tcPr>
          <w:p w14:paraId="02E746FA">
            <w:pPr>
              <w:jc w:val="center"/>
              <w:rPr>
                <w:color w:val="auto"/>
              </w:rPr>
            </w:pPr>
          </w:p>
        </w:tc>
        <w:tc>
          <w:tcPr>
            <w:tcW w:w="2629" w:type="dxa"/>
            <w:gridSpan w:val="2"/>
            <w:tcBorders>
              <w:right w:val="single" w:color="000000" w:sz="6" w:space="0"/>
            </w:tcBorders>
            <w:vAlign w:val="center"/>
          </w:tcPr>
          <w:p w14:paraId="7D9A985E">
            <w:pPr>
              <w:jc w:val="center"/>
              <w:rPr>
                <w:color w:val="auto"/>
              </w:rPr>
            </w:pPr>
          </w:p>
        </w:tc>
      </w:tr>
      <w:tr w14:paraId="2FF9A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2359CB9F">
            <w:pPr>
              <w:jc w:val="center"/>
              <w:rPr>
                <w:color w:val="auto"/>
              </w:rPr>
            </w:pPr>
          </w:p>
        </w:tc>
        <w:tc>
          <w:tcPr>
            <w:tcW w:w="3694" w:type="dxa"/>
            <w:gridSpan w:val="5"/>
            <w:vAlign w:val="center"/>
          </w:tcPr>
          <w:p w14:paraId="46E55B24">
            <w:pPr>
              <w:jc w:val="center"/>
              <w:rPr>
                <w:color w:val="auto"/>
              </w:rPr>
            </w:pPr>
          </w:p>
        </w:tc>
        <w:tc>
          <w:tcPr>
            <w:tcW w:w="1318" w:type="dxa"/>
            <w:vAlign w:val="center"/>
          </w:tcPr>
          <w:p w14:paraId="67E65FBF">
            <w:pPr>
              <w:jc w:val="center"/>
              <w:rPr>
                <w:color w:val="auto"/>
              </w:rPr>
            </w:pPr>
          </w:p>
        </w:tc>
        <w:tc>
          <w:tcPr>
            <w:tcW w:w="2629" w:type="dxa"/>
            <w:gridSpan w:val="2"/>
            <w:tcBorders>
              <w:right w:val="single" w:color="000000" w:sz="6" w:space="0"/>
            </w:tcBorders>
            <w:vAlign w:val="center"/>
          </w:tcPr>
          <w:p w14:paraId="0BF42344">
            <w:pPr>
              <w:jc w:val="center"/>
              <w:rPr>
                <w:color w:val="auto"/>
              </w:rPr>
            </w:pPr>
          </w:p>
        </w:tc>
      </w:tr>
      <w:tr w14:paraId="52F2E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182FE973">
            <w:pPr>
              <w:jc w:val="center"/>
              <w:rPr>
                <w:color w:val="auto"/>
              </w:rPr>
            </w:pPr>
          </w:p>
        </w:tc>
        <w:tc>
          <w:tcPr>
            <w:tcW w:w="3694" w:type="dxa"/>
            <w:gridSpan w:val="5"/>
            <w:vAlign w:val="center"/>
          </w:tcPr>
          <w:p w14:paraId="011BB261">
            <w:pPr>
              <w:jc w:val="center"/>
              <w:rPr>
                <w:color w:val="auto"/>
              </w:rPr>
            </w:pPr>
          </w:p>
        </w:tc>
        <w:tc>
          <w:tcPr>
            <w:tcW w:w="1318" w:type="dxa"/>
            <w:vAlign w:val="center"/>
          </w:tcPr>
          <w:p w14:paraId="1E96DF4C">
            <w:pPr>
              <w:jc w:val="center"/>
              <w:rPr>
                <w:color w:val="auto"/>
              </w:rPr>
            </w:pPr>
          </w:p>
        </w:tc>
        <w:tc>
          <w:tcPr>
            <w:tcW w:w="2629" w:type="dxa"/>
            <w:gridSpan w:val="2"/>
            <w:tcBorders>
              <w:right w:val="single" w:color="000000" w:sz="6" w:space="0"/>
            </w:tcBorders>
            <w:vAlign w:val="center"/>
          </w:tcPr>
          <w:p w14:paraId="1D0138F6">
            <w:pPr>
              <w:jc w:val="center"/>
              <w:rPr>
                <w:color w:val="auto"/>
              </w:rPr>
            </w:pPr>
          </w:p>
        </w:tc>
      </w:tr>
      <w:tr w14:paraId="3BEAF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4B69ED40">
            <w:pPr>
              <w:jc w:val="center"/>
              <w:rPr>
                <w:color w:val="auto"/>
              </w:rPr>
            </w:pPr>
          </w:p>
        </w:tc>
        <w:tc>
          <w:tcPr>
            <w:tcW w:w="3694" w:type="dxa"/>
            <w:gridSpan w:val="5"/>
            <w:vAlign w:val="center"/>
          </w:tcPr>
          <w:p w14:paraId="39BF7FD3">
            <w:pPr>
              <w:jc w:val="center"/>
              <w:rPr>
                <w:color w:val="auto"/>
              </w:rPr>
            </w:pPr>
          </w:p>
        </w:tc>
        <w:tc>
          <w:tcPr>
            <w:tcW w:w="1318" w:type="dxa"/>
            <w:vAlign w:val="center"/>
          </w:tcPr>
          <w:p w14:paraId="029797C0">
            <w:pPr>
              <w:jc w:val="center"/>
              <w:rPr>
                <w:color w:val="auto"/>
              </w:rPr>
            </w:pPr>
          </w:p>
        </w:tc>
        <w:tc>
          <w:tcPr>
            <w:tcW w:w="2629" w:type="dxa"/>
            <w:gridSpan w:val="2"/>
            <w:tcBorders>
              <w:right w:val="single" w:color="000000" w:sz="6" w:space="0"/>
            </w:tcBorders>
            <w:vAlign w:val="center"/>
          </w:tcPr>
          <w:p w14:paraId="0CA548EA">
            <w:pPr>
              <w:jc w:val="center"/>
              <w:rPr>
                <w:color w:val="auto"/>
              </w:rPr>
            </w:pPr>
          </w:p>
        </w:tc>
      </w:tr>
      <w:tr w14:paraId="3E207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409021EB">
            <w:pPr>
              <w:jc w:val="center"/>
              <w:rPr>
                <w:color w:val="auto"/>
              </w:rPr>
            </w:pPr>
          </w:p>
        </w:tc>
        <w:tc>
          <w:tcPr>
            <w:tcW w:w="3694" w:type="dxa"/>
            <w:gridSpan w:val="5"/>
            <w:vAlign w:val="center"/>
          </w:tcPr>
          <w:p w14:paraId="7471FE66">
            <w:pPr>
              <w:jc w:val="center"/>
              <w:rPr>
                <w:color w:val="auto"/>
              </w:rPr>
            </w:pPr>
          </w:p>
        </w:tc>
        <w:tc>
          <w:tcPr>
            <w:tcW w:w="1318" w:type="dxa"/>
            <w:vAlign w:val="center"/>
          </w:tcPr>
          <w:p w14:paraId="54397A93">
            <w:pPr>
              <w:jc w:val="center"/>
              <w:rPr>
                <w:color w:val="auto"/>
              </w:rPr>
            </w:pPr>
          </w:p>
        </w:tc>
        <w:tc>
          <w:tcPr>
            <w:tcW w:w="2629" w:type="dxa"/>
            <w:gridSpan w:val="2"/>
            <w:tcBorders>
              <w:right w:val="single" w:color="000000" w:sz="6" w:space="0"/>
            </w:tcBorders>
            <w:vAlign w:val="center"/>
          </w:tcPr>
          <w:p w14:paraId="3C204C6B">
            <w:pPr>
              <w:jc w:val="center"/>
              <w:rPr>
                <w:color w:val="auto"/>
              </w:rPr>
            </w:pPr>
          </w:p>
        </w:tc>
      </w:tr>
      <w:tr w14:paraId="470C9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7E9E89D0">
            <w:pPr>
              <w:jc w:val="center"/>
              <w:rPr>
                <w:color w:val="auto"/>
              </w:rPr>
            </w:pPr>
          </w:p>
        </w:tc>
        <w:tc>
          <w:tcPr>
            <w:tcW w:w="3694" w:type="dxa"/>
            <w:gridSpan w:val="5"/>
            <w:vAlign w:val="center"/>
          </w:tcPr>
          <w:p w14:paraId="2319EFF1">
            <w:pPr>
              <w:jc w:val="center"/>
              <w:rPr>
                <w:color w:val="auto"/>
              </w:rPr>
            </w:pPr>
          </w:p>
        </w:tc>
        <w:tc>
          <w:tcPr>
            <w:tcW w:w="1318" w:type="dxa"/>
            <w:vAlign w:val="center"/>
          </w:tcPr>
          <w:p w14:paraId="3516C24C">
            <w:pPr>
              <w:jc w:val="center"/>
              <w:rPr>
                <w:color w:val="auto"/>
              </w:rPr>
            </w:pPr>
          </w:p>
        </w:tc>
        <w:tc>
          <w:tcPr>
            <w:tcW w:w="2629" w:type="dxa"/>
            <w:gridSpan w:val="2"/>
            <w:tcBorders>
              <w:right w:val="single" w:color="000000" w:sz="6" w:space="0"/>
            </w:tcBorders>
            <w:vAlign w:val="center"/>
          </w:tcPr>
          <w:p w14:paraId="4528BDF8">
            <w:pPr>
              <w:jc w:val="center"/>
              <w:rPr>
                <w:color w:val="auto"/>
              </w:rPr>
            </w:pPr>
          </w:p>
        </w:tc>
      </w:tr>
      <w:tr w14:paraId="48A6A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49F779A7">
            <w:pPr>
              <w:jc w:val="center"/>
              <w:rPr>
                <w:color w:val="auto"/>
              </w:rPr>
            </w:pPr>
          </w:p>
        </w:tc>
        <w:tc>
          <w:tcPr>
            <w:tcW w:w="3694" w:type="dxa"/>
            <w:gridSpan w:val="5"/>
            <w:vAlign w:val="center"/>
          </w:tcPr>
          <w:p w14:paraId="3602EA7D">
            <w:pPr>
              <w:jc w:val="center"/>
              <w:rPr>
                <w:color w:val="auto"/>
              </w:rPr>
            </w:pPr>
          </w:p>
        </w:tc>
        <w:tc>
          <w:tcPr>
            <w:tcW w:w="1318" w:type="dxa"/>
            <w:vAlign w:val="center"/>
          </w:tcPr>
          <w:p w14:paraId="28EA89B0">
            <w:pPr>
              <w:jc w:val="center"/>
              <w:rPr>
                <w:color w:val="auto"/>
              </w:rPr>
            </w:pPr>
          </w:p>
        </w:tc>
        <w:tc>
          <w:tcPr>
            <w:tcW w:w="2629" w:type="dxa"/>
            <w:gridSpan w:val="2"/>
            <w:tcBorders>
              <w:right w:val="single" w:color="000000" w:sz="6" w:space="0"/>
            </w:tcBorders>
            <w:vAlign w:val="center"/>
          </w:tcPr>
          <w:p w14:paraId="48B0FB54">
            <w:pPr>
              <w:jc w:val="center"/>
              <w:rPr>
                <w:color w:val="auto"/>
              </w:rPr>
            </w:pPr>
          </w:p>
        </w:tc>
      </w:tr>
      <w:tr w14:paraId="67C61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tcBorders>
            <w:vAlign w:val="center"/>
          </w:tcPr>
          <w:p w14:paraId="3DB77B26">
            <w:pPr>
              <w:jc w:val="center"/>
              <w:rPr>
                <w:color w:val="auto"/>
              </w:rPr>
            </w:pPr>
          </w:p>
        </w:tc>
        <w:tc>
          <w:tcPr>
            <w:tcW w:w="3694" w:type="dxa"/>
            <w:gridSpan w:val="5"/>
            <w:vAlign w:val="center"/>
          </w:tcPr>
          <w:p w14:paraId="42FC4429">
            <w:pPr>
              <w:jc w:val="center"/>
              <w:rPr>
                <w:color w:val="auto"/>
              </w:rPr>
            </w:pPr>
          </w:p>
        </w:tc>
        <w:tc>
          <w:tcPr>
            <w:tcW w:w="1318" w:type="dxa"/>
            <w:vAlign w:val="center"/>
          </w:tcPr>
          <w:p w14:paraId="62CFAD30">
            <w:pPr>
              <w:jc w:val="center"/>
              <w:rPr>
                <w:color w:val="auto"/>
              </w:rPr>
            </w:pPr>
          </w:p>
        </w:tc>
        <w:tc>
          <w:tcPr>
            <w:tcW w:w="2629" w:type="dxa"/>
            <w:gridSpan w:val="2"/>
            <w:tcBorders>
              <w:right w:val="single" w:color="000000" w:sz="6" w:space="0"/>
            </w:tcBorders>
            <w:vAlign w:val="center"/>
          </w:tcPr>
          <w:p w14:paraId="5433F18A">
            <w:pPr>
              <w:jc w:val="center"/>
              <w:rPr>
                <w:color w:val="auto"/>
              </w:rPr>
            </w:pPr>
          </w:p>
        </w:tc>
      </w:tr>
      <w:tr w14:paraId="5499D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207" w:type="dxa"/>
            <w:tcBorders>
              <w:left w:val="single" w:color="000000" w:sz="6" w:space="0"/>
              <w:bottom w:val="single" w:color="000000" w:sz="6" w:space="0"/>
            </w:tcBorders>
            <w:vAlign w:val="center"/>
          </w:tcPr>
          <w:p w14:paraId="34C36A45">
            <w:pPr>
              <w:jc w:val="center"/>
              <w:rPr>
                <w:color w:val="auto"/>
              </w:rPr>
            </w:pPr>
          </w:p>
        </w:tc>
        <w:tc>
          <w:tcPr>
            <w:tcW w:w="3694" w:type="dxa"/>
            <w:gridSpan w:val="5"/>
            <w:tcBorders>
              <w:bottom w:val="single" w:color="000000" w:sz="6" w:space="0"/>
            </w:tcBorders>
            <w:vAlign w:val="center"/>
          </w:tcPr>
          <w:p w14:paraId="47D09CE0">
            <w:pPr>
              <w:jc w:val="center"/>
              <w:rPr>
                <w:color w:val="auto"/>
              </w:rPr>
            </w:pPr>
          </w:p>
        </w:tc>
        <w:tc>
          <w:tcPr>
            <w:tcW w:w="1318" w:type="dxa"/>
            <w:tcBorders>
              <w:bottom w:val="single" w:color="000000" w:sz="6" w:space="0"/>
            </w:tcBorders>
            <w:vAlign w:val="center"/>
          </w:tcPr>
          <w:p w14:paraId="291F25FA">
            <w:pPr>
              <w:jc w:val="center"/>
              <w:rPr>
                <w:color w:val="auto"/>
              </w:rPr>
            </w:pPr>
          </w:p>
        </w:tc>
        <w:tc>
          <w:tcPr>
            <w:tcW w:w="2629" w:type="dxa"/>
            <w:gridSpan w:val="2"/>
            <w:tcBorders>
              <w:bottom w:val="single" w:color="000000" w:sz="6" w:space="0"/>
              <w:right w:val="single" w:color="000000" w:sz="6" w:space="0"/>
            </w:tcBorders>
            <w:vAlign w:val="center"/>
          </w:tcPr>
          <w:p w14:paraId="2B00B12D">
            <w:pPr>
              <w:jc w:val="center"/>
              <w:rPr>
                <w:color w:val="auto"/>
              </w:rPr>
            </w:pPr>
          </w:p>
        </w:tc>
      </w:tr>
    </w:tbl>
    <w:p w14:paraId="2DFA5F9F">
      <w:pPr>
        <w:spacing w:before="35" w:line="363" w:lineRule="auto"/>
        <w:ind w:left="11" w:right="74" w:hanging="2"/>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注：主要人员指项目负责人、技术负责人、副项目负责人（若有）、专职安全生产管</w:t>
      </w:r>
      <w:r>
        <w:rPr>
          <w:rFonts w:ascii="宋体" w:hAnsi="宋体" w:eastAsia="宋体" w:cs="宋体"/>
          <w:color w:val="auto"/>
          <w:spacing w:val="-9"/>
          <w:sz w:val="24"/>
          <w:szCs w:val="24"/>
          <w:lang w:eastAsia="zh-CN"/>
        </w:rPr>
        <w:t>理人员。</w:t>
      </w:r>
    </w:p>
    <w:p w14:paraId="79331F4A">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3944537E">
      <w:pPr>
        <w:spacing w:before="78" w:line="220" w:lineRule="auto"/>
        <w:ind w:left="32"/>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3"/>
          <w:sz w:val="24"/>
          <w:szCs w:val="24"/>
          <w:lang w:eastAsia="zh-CN"/>
        </w:rPr>
        <w:t>3.</w:t>
      </w:r>
      <w:r>
        <w:rPr>
          <w:rFonts w:ascii="宋体" w:hAnsi="宋体" w:eastAsia="宋体" w:cs="宋体"/>
          <w:b/>
          <w:bCs/>
          <w:color w:val="auto"/>
          <w:spacing w:val="-3"/>
          <w:sz w:val="24"/>
          <w:szCs w:val="24"/>
          <w:lang w:eastAsia="zh-CN"/>
        </w:rPr>
        <w:t>近年完成的类似项目情况表</w:t>
      </w:r>
    </w:p>
    <w:p w14:paraId="0D43DB20">
      <w:pPr>
        <w:spacing w:before="182" w:line="220" w:lineRule="auto"/>
        <w:ind w:left="2946"/>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近年完成的类似项目情况表</w:t>
      </w:r>
    </w:p>
    <w:p w14:paraId="7F39FFA3">
      <w:pPr>
        <w:spacing w:before="179" w:line="220" w:lineRule="auto"/>
        <w:ind w:left="188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（近年指</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日至投标截止时间）</w:t>
      </w:r>
    </w:p>
    <w:p w14:paraId="6F110613">
      <w:pPr>
        <w:spacing w:line="146" w:lineRule="exact"/>
        <w:rPr>
          <w:color w:val="auto"/>
          <w:lang w:eastAsia="zh-CN"/>
        </w:rPr>
      </w:pPr>
    </w:p>
    <w:tbl>
      <w:tblPr>
        <w:tblStyle w:val="20"/>
        <w:tblW w:w="87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7"/>
        <w:gridCol w:w="6569"/>
      </w:tblGrid>
      <w:tr w14:paraId="09AD3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jc w:val="center"/>
        </w:trPr>
        <w:tc>
          <w:tcPr>
            <w:tcW w:w="2207" w:type="dxa"/>
            <w:tcBorders>
              <w:top w:val="single" w:color="000000" w:sz="6" w:space="0"/>
              <w:left w:val="single" w:color="000000" w:sz="6" w:space="0"/>
            </w:tcBorders>
            <w:vAlign w:val="center"/>
          </w:tcPr>
          <w:p w14:paraId="7B22FC76">
            <w:pPr>
              <w:pStyle w:val="21"/>
              <w:jc w:val="center"/>
              <w:rPr>
                <w:rFonts w:hint="eastAsia"/>
                <w:color w:val="auto"/>
                <w:sz w:val="24"/>
                <w:szCs w:val="24"/>
              </w:rPr>
            </w:pPr>
            <w:r>
              <w:rPr>
                <w:color w:val="auto"/>
                <w:sz w:val="24"/>
                <w:szCs w:val="24"/>
              </w:rPr>
              <w:t>合同名称</w:t>
            </w:r>
          </w:p>
        </w:tc>
        <w:tc>
          <w:tcPr>
            <w:tcW w:w="6569" w:type="dxa"/>
            <w:tcBorders>
              <w:top w:val="single" w:color="000000" w:sz="6" w:space="0"/>
              <w:right w:val="single" w:color="000000" w:sz="6" w:space="0"/>
            </w:tcBorders>
            <w:vAlign w:val="center"/>
          </w:tcPr>
          <w:p w14:paraId="083C3AEC">
            <w:pPr>
              <w:rPr>
                <w:color w:val="auto"/>
              </w:rPr>
            </w:pPr>
          </w:p>
        </w:tc>
      </w:tr>
      <w:tr w14:paraId="268F6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207" w:type="dxa"/>
            <w:tcBorders>
              <w:left w:val="single" w:color="000000" w:sz="6" w:space="0"/>
            </w:tcBorders>
            <w:vAlign w:val="center"/>
          </w:tcPr>
          <w:p w14:paraId="549F4418">
            <w:pPr>
              <w:pStyle w:val="21"/>
              <w:jc w:val="center"/>
              <w:rPr>
                <w:rFonts w:hint="eastAsia"/>
                <w:color w:val="auto"/>
                <w:sz w:val="24"/>
                <w:szCs w:val="24"/>
              </w:rPr>
            </w:pPr>
            <w:r>
              <w:rPr>
                <w:color w:val="auto"/>
                <w:sz w:val="24"/>
                <w:szCs w:val="24"/>
              </w:rPr>
              <w:t>合同项目所在地</w:t>
            </w:r>
          </w:p>
        </w:tc>
        <w:tc>
          <w:tcPr>
            <w:tcW w:w="6569" w:type="dxa"/>
            <w:tcBorders>
              <w:right w:val="single" w:color="000000" w:sz="6" w:space="0"/>
            </w:tcBorders>
            <w:vAlign w:val="center"/>
          </w:tcPr>
          <w:p w14:paraId="7D043C6F">
            <w:pPr>
              <w:rPr>
                <w:color w:val="auto"/>
              </w:rPr>
            </w:pPr>
          </w:p>
        </w:tc>
      </w:tr>
      <w:tr w14:paraId="499DC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207" w:type="dxa"/>
            <w:tcBorders>
              <w:left w:val="single" w:color="000000" w:sz="6" w:space="0"/>
            </w:tcBorders>
            <w:vAlign w:val="center"/>
          </w:tcPr>
          <w:p w14:paraId="66902E5F">
            <w:pPr>
              <w:pStyle w:val="21"/>
              <w:jc w:val="center"/>
              <w:rPr>
                <w:rFonts w:hint="eastAsia"/>
                <w:color w:val="auto"/>
                <w:sz w:val="24"/>
                <w:szCs w:val="24"/>
              </w:rPr>
            </w:pPr>
            <w:r>
              <w:rPr>
                <w:color w:val="auto"/>
                <w:sz w:val="24"/>
                <w:szCs w:val="24"/>
              </w:rPr>
              <w:t>发包人名称</w:t>
            </w:r>
          </w:p>
        </w:tc>
        <w:tc>
          <w:tcPr>
            <w:tcW w:w="6569" w:type="dxa"/>
            <w:tcBorders>
              <w:right w:val="single" w:color="000000" w:sz="6" w:space="0"/>
            </w:tcBorders>
            <w:vAlign w:val="center"/>
          </w:tcPr>
          <w:p w14:paraId="444FEF58">
            <w:pPr>
              <w:rPr>
                <w:color w:val="auto"/>
              </w:rPr>
            </w:pPr>
          </w:p>
        </w:tc>
      </w:tr>
      <w:tr w14:paraId="405B3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2207" w:type="dxa"/>
            <w:tcBorders>
              <w:left w:val="single" w:color="000000" w:sz="6" w:space="0"/>
            </w:tcBorders>
            <w:vAlign w:val="center"/>
          </w:tcPr>
          <w:p w14:paraId="45F39C7A">
            <w:pPr>
              <w:pStyle w:val="21"/>
              <w:jc w:val="center"/>
              <w:rPr>
                <w:rFonts w:hint="eastAsia"/>
                <w:color w:val="auto"/>
                <w:sz w:val="24"/>
                <w:szCs w:val="24"/>
              </w:rPr>
            </w:pPr>
            <w:r>
              <w:rPr>
                <w:color w:val="auto"/>
                <w:sz w:val="24"/>
                <w:szCs w:val="24"/>
              </w:rPr>
              <w:t>发包人地址</w:t>
            </w:r>
          </w:p>
        </w:tc>
        <w:tc>
          <w:tcPr>
            <w:tcW w:w="6569" w:type="dxa"/>
            <w:tcBorders>
              <w:right w:val="single" w:color="000000" w:sz="6" w:space="0"/>
            </w:tcBorders>
            <w:vAlign w:val="center"/>
          </w:tcPr>
          <w:p w14:paraId="2DC6D80D">
            <w:pPr>
              <w:rPr>
                <w:color w:val="auto"/>
              </w:rPr>
            </w:pPr>
          </w:p>
        </w:tc>
      </w:tr>
      <w:tr w14:paraId="19242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207" w:type="dxa"/>
            <w:tcBorders>
              <w:left w:val="single" w:color="000000" w:sz="6" w:space="0"/>
            </w:tcBorders>
            <w:vAlign w:val="center"/>
          </w:tcPr>
          <w:p w14:paraId="070649A3">
            <w:pPr>
              <w:pStyle w:val="21"/>
              <w:jc w:val="center"/>
              <w:rPr>
                <w:rFonts w:hint="eastAsia"/>
                <w:color w:val="auto"/>
                <w:sz w:val="24"/>
                <w:szCs w:val="24"/>
              </w:rPr>
            </w:pPr>
            <w:r>
              <w:rPr>
                <w:color w:val="auto"/>
                <w:sz w:val="24"/>
                <w:szCs w:val="24"/>
              </w:rPr>
              <w:t>发包人电话</w:t>
            </w:r>
          </w:p>
        </w:tc>
        <w:tc>
          <w:tcPr>
            <w:tcW w:w="6569" w:type="dxa"/>
            <w:tcBorders>
              <w:right w:val="single" w:color="000000" w:sz="6" w:space="0"/>
            </w:tcBorders>
            <w:vAlign w:val="center"/>
          </w:tcPr>
          <w:p w14:paraId="1743A52B">
            <w:pPr>
              <w:rPr>
                <w:color w:val="auto"/>
              </w:rPr>
            </w:pPr>
          </w:p>
        </w:tc>
      </w:tr>
      <w:tr w14:paraId="4E72E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207" w:type="dxa"/>
            <w:tcBorders>
              <w:left w:val="single" w:color="000000" w:sz="6" w:space="0"/>
            </w:tcBorders>
            <w:vAlign w:val="center"/>
          </w:tcPr>
          <w:p w14:paraId="1B676C9D">
            <w:pPr>
              <w:pStyle w:val="21"/>
              <w:jc w:val="center"/>
              <w:rPr>
                <w:rFonts w:hint="eastAsia"/>
                <w:color w:val="auto"/>
                <w:sz w:val="24"/>
                <w:szCs w:val="24"/>
              </w:rPr>
            </w:pPr>
            <w:r>
              <w:rPr>
                <w:color w:val="auto"/>
                <w:sz w:val="24"/>
                <w:szCs w:val="24"/>
              </w:rPr>
              <w:t>签约合同价</w:t>
            </w:r>
          </w:p>
        </w:tc>
        <w:tc>
          <w:tcPr>
            <w:tcW w:w="6569" w:type="dxa"/>
            <w:tcBorders>
              <w:right w:val="single" w:color="000000" w:sz="6" w:space="0"/>
            </w:tcBorders>
            <w:vAlign w:val="center"/>
          </w:tcPr>
          <w:p w14:paraId="69BE8EA3">
            <w:pPr>
              <w:rPr>
                <w:color w:val="auto"/>
              </w:rPr>
            </w:pPr>
          </w:p>
        </w:tc>
      </w:tr>
      <w:tr w14:paraId="46B0A9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2207" w:type="dxa"/>
            <w:tcBorders>
              <w:left w:val="single" w:color="000000" w:sz="6" w:space="0"/>
            </w:tcBorders>
            <w:vAlign w:val="center"/>
          </w:tcPr>
          <w:p w14:paraId="292C8186">
            <w:pPr>
              <w:pStyle w:val="21"/>
              <w:jc w:val="center"/>
              <w:rPr>
                <w:rFonts w:hint="eastAsia"/>
                <w:color w:val="auto"/>
                <w:sz w:val="24"/>
                <w:szCs w:val="24"/>
              </w:rPr>
            </w:pPr>
            <w:r>
              <w:rPr>
                <w:color w:val="auto"/>
                <w:sz w:val="24"/>
                <w:szCs w:val="24"/>
              </w:rPr>
              <w:t>开工日期</w:t>
            </w:r>
          </w:p>
        </w:tc>
        <w:tc>
          <w:tcPr>
            <w:tcW w:w="6569" w:type="dxa"/>
            <w:tcBorders>
              <w:right w:val="single" w:color="000000" w:sz="6" w:space="0"/>
            </w:tcBorders>
            <w:vAlign w:val="center"/>
          </w:tcPr>
          <w:p w14:paraId="2B71C573">
            <w:pPr>
              <w:rPr>
                <w:color w:val="auto"/>
              </w:rPr>
            </w:pPr>
          </w:p>
        </w:tc>
      </w:tr>
      <w:tr w14:paraId="7359D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207" w:type="dxa"/>
            <w:tcBorders>
              <w:left w:val="single" w:color="000000" w:sz="6" w:space="0"/>
            </w:tcBorders>
            <w:vAlign w:val="center"/>
          </w:tcPr>
          <w:p w14:paraId="02620829">
            <w:pPr>
              <w:pStyle w:val="21"/>
              <w:jc w:val="center"/>
              <w:rPr>
                <w:rFonts w:hint="eastAsia"/>
                <w:color w:val="auto"/>
                <w:sz w:val="24"/>
                <w:szCs w:val="24"/>
              </w:rPr>
            </w:pPr>
            <w:r>
              <w:rPr>
                <w:color w:val="auto"/>
                <w:sz w:val="24"/>
                <w:szCs w:val="24"/>
              </w:rPr>
              <w:t>完工日期</w:t>
            </w:r>
          </w:p>
        </w:tc>
        <w:tc>
          <w:tcPr>
            <w:tcW w:w="6569" w:type="dxa"/>
            <w:tcBorders>
              <w:right w:val="single" w:color="000000" w:sz="6" w:space="0"/>
            </w:tcBorders>
            <w:vAlign w:val="center"/>
          </w:tcPr>
          <w:p w14:paraId="05DFBCC7">
            <w:pPr>
              <w:rPr>
                <w:color w:val="auto"/>
              </w:rPr>
            </w:pPr>
          </w:p>
        </w:tc>
      </w:tr>
      <w:tr w14:paraId="084B0E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207" w:type="dxa"/>
            <w:tcBorders>
              <w:left w:val="single" w:color="000000" w:sz="6" w:space="0"/>
            </w:tcBorders>
            <w:vAlign w:val="center"/>
          </w:tcPr>
          <w:p w14:paraId="5835F6B4">
            <w:pPr>
              <w:pStyle w:val="21"/>
              <w:jc w:val="center"/>
              <w:rPr>
                <w:rFonts w:hint="eastAsia"/>
                <w:color w:val="auto"/>
                <w:sz w:val="24"/>
                <w:szCs w:val="24"/>
              </w:rPr>
            </w:pPr>
            <w:r>
              <w:rPr>
                <w:color w:val="auto"/>
                <w:sz w:val="24"/>
                <w:szCs w:val="24"/>
              </w:rPr>
              <w:t>承担的工作</w:t>
            </w:r>
          </w:p>
        </w:tc>
        <w:tc>
          <w:tcPr>
            <w:tcW w:w="6569" w:type="dxa"/>
            <w:tcBorders>
              <w:right w:val="single" w:color="000000" w:sz="6" w:space="0"/>
            </w:tcBorders>
            <w:vAlign w:val="center"/>
          </w:tcPr>
          <w:p w14:paraId="29464829">
            <w:pPr>
              <w:rPr>
                <w:color w:val="auto"/>
              </w:rPr>
            </w:pPr>
          </w:p>
        </w:tc>
      </w:tr>
      <w:tr w14:paraId="4992AB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2207" w:type="dxa"/>
            <w:tcBorders>
              <w:left w:val="single" w:color="000000" w:sz="6" w:space="0"/>
            </w:tcBorders>
            <w:vAlign w:val="center"/>
          </w:tcPr>
          <w:p w14:paraId="427955BE">
            <w:pPr>
              <w:pStyle w:val="21"/>
              <w:jc w:val="center"/>
              <w:rPr>
                <w:rFonts w:hint="eastAsia"/>
                <w:color w:val="auto"/>
                <w:sz w:val="24"/>
                <w:szCs w:val="24"/>
              </w:rPr>
            </w:pPr>
            <w:r>
              <w:rPr>
                <w:color w:val="auto"/>
                <w:sz w:val="24"/>
                <w:szCs w:val="24"/>
              </w:rPr>
              <w:t>工程质量</w:t>
            </w:r>
          </w:p>
        </w:tc>
        <w:tc>
          <w:tcPr>
            <w:tcW w:w="6569" w:type="dxa"/>
            <w:tcBorders>
              <w:right w:val="single" w:color="000000" w:sz="6" w:space="0"/>
            </w:tcBorders>
            <w:vAlign w:val="center"/>
          </w:tcPr>
          <w:p w14:paraId="43DB27CD">
            <w:pPr>
              <w:rPr>
                <w:color w:val="auto"/>
              </w:rPr>
            </w:pPr>
          </w:p>
        </w:tc>
      </w:tr>
      <w:tr w14:paraId="2F201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207" w:type="dxa"/>
            <w:tcBorders>
              <w:left w:val="single" w:color="000000" w:sz="6" w:space="0"/>
            </w:tcBorders>
            <w:vAlign w:val="center"/>
          </w:tcPr>
          <w:p w14:paraId="1AD4D600">
            <w:pPr>
              <w:pStyle w:val="21"/>
              <w:jc w:val="center"/>
              <w:rPr>
                <w:rFonts w:hint="eastAsia"/>
                <w:color w:val="auto"/>
                <w:sz w:val="24"/>
                <w:szCs w:val="24"/>
              </w:rPr>
            </w:pPr>
            <w:r>
              <w:rPr>
                <w:color w:val="auto"/>
                <w:sz w:val="24"/>
                <w:szCs w:val="24"/>
              </w:rPr>
              <w:t>项目负责人</w:t>
            </w:r>
          </w:p>
        </w:tc>
        <w:tc>
          <w:tcPr>
            <w:tcW w:w="6569" w:type="dxa"/>
            <w:tcBorders>
              <w:right w:val="single" w:color="000000" w:sz="6" w:space="0"/>
            </w:tcBorders>
            <w:vAlign w:val="center"/>
          </w:tcPr>
          <w:p w14:paraId="72227645">
            <w:pPr>
              <w:rPr>
                <w:color w:val="auto"/>
              </w:rPr>
            </w:pPr>
          </w:p>
        </w:tc>
      </w:tr>
      <w:tr w14:paraId="0B1DB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207" w:type="dxa"/>
            <w:tcBorders>
              <w:left w:val="single" w:color="000000" w:sz="6" w:space="0"/>
            </w:tcBorders>
            <w:vAlign w:val="center"/>
          </w:tcPr>
          <w:p w14:paraId="7E4730D0">
            <w:pPr>
              <w:pStyle w:val="21"/>
              <w:jc w:val="center"/>
              <w:rPr>
                <w:rFonts w:hint="eastAsia"/>
                <w:color w:val="auto"/>
                <w:sz w:val="24"/>
                <w:szCs w:val="24"/>
              </w:rPr>
            </w:pPr>
            <w:r>
              <w:rPr>
                <w:color w:val="auto"/>
                <w:sz w:val="24"/>
                <w:szCs w:val="24"/>
              </w:rPr>
              <w:t>项目技术负责人</w:t>
            </w:r>
          </w:p>
        </w:tc>
        <w:tc>
          <w:tcPr>
            <w:tcW w:w="6569" w:type="dxa"/>
            <w:tcBorders>
              <w:right w:val="single" w:color="000000" w:sz="6" w:space="0"/>
            </w:tcBorders>
            <w:vAlign w:val="center"/>
          </w:tcPr>
          <w:p w14:paraId="0C288FB4">
            <w:pPr>
              <w:rPr>
                <w:color w:val="auto"/>
              </w:rPr>
            </w:pPr>
          </w:p>
        </w:tc>
      </w:tr>
      <w:tr w14:paraId="7A188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2207" w:type="dxa"/>
            <w:tcBorders>
              <w:left w:val="single" w:color="000000" w:sz="6" w:space="0"/>
            </w:tcBorders>
            <w:vAlign w:val="center"/>
          </w:tcPr>
          <w:p w14:paraId="0DAFB51D">
            <w:pPr>
              <w:pStyle w:val="21"/>
              <w:ind w:hanging="238"/>
              <w:jc w:val="center"/>
              <w:rPr>
                <w:rFonts w:hint="eastAsia"/>
                <w:color w:val="auto"/>
                <w:sz w:val="24"/>
                <w:szCs w:val="24"/>
                <w:lang w:eastAsia="zh-CN"/>
              </w:rPr>
            </w:pPr>
            <w:r>
              <w:rPr>
                <w:color w:val="auto"/>
                <w:sz w:val="24"/>
                <w:szCs w:val="24"/>
                <w:lang w:eastAsia="zh-CN"/>
              </w:rPr>
              <w:t>监理人和总监理工程师以及电话</w:t>
            </w:r>
          </w:p>
        </w:tc>
        <w:tc>
          <w:tcPr>
            <w:tcW w:w="6569" w:type="dxa"/>
            <w:tcBorders>
              <w:right w:val="single" w:color="000000" w:sz="6" w:space="0"/>
            </w:tcBorders>
            <w:vAlign w:val="center"/>
          </w:tcPr>
          <w:p w14:paraId="28C3C991">
            <w:pPr>
              <w:rPr>
                <w:color w:val="auto"/>
                <w:lang w:eastAsia="zh-CN"/>
              </w:rPr>
            </w:pPr>
          </w:p>
        </w:tc>
      </w:tr>
      <w:tr w14:paraId="68A71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9" w:hRule="atLeast"/>
          <w:jc w:val="center"/>
        </w:trPr>
        <w:tc>
          <w:tcPr>
            <w:tcW w:w="2207" w:type="dxa"/>
            <w:tcBorders>
              <w:left w:val="single" w:color="000000" w:sz="6" w:space="0"/>
            </w:tcBorders>
            <w:vAlign w:val="center"/>
          </w:tcPr>
          <w:p w14:paraId="1981B443">
            <w:pPr>
              <w:pStyle w:val="21"/>
              <w:jc w:val="center"/>
              <w:rPr>
                <w:rFonts w:hint="eastAsia"/>
                <w:color w:val="auto"/>
                <w:sz w:val="24"/>
                <w:szCs w:val="24"/>
              </w:rPr>
            </w:pPr>
            <w:r>
              <w:rPr>
                <w:color w:val="auto"/>
                <w:sz w:val="24"/>
                <w:szCs w:val="24"/>
              </w:rPr>
              <w:t>合同项目描述</w:t>
            </w:r>
          </w:p>
        </w:tc>
        <w:tc>
          <w:tcPr>
            <w:tcW w:w="6569" w:type="dxa"/>
            <w:tcBorders>
              <w:right w:val="single" w:color="000000" w:sz="6" w:space="0"/>
            </w:tcBorders>
            <w:vAlign w:val="center"/>
          </w:tcPr>
          <w:p w14:paraId="1FED2B69">
            <w:pPr>
              <w:rPr>
                <w:color w:val="auto"/>
              </w:rPr>
            </w:pPr>
          </w:p>
        </w:tc>
      </w:tr>
      <w:tr w14:paraId="2493B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9" w:hRule="atLeast"/>
          <w:jc w:val="center"/>
        </w:trPr>
        <w:tc>
          <w:tcPr>
            <w:tcW w:w="2207" w:type="dxa"/>
            <w:tcBorders>
              <w:left w:val="single" w:color="000000" w:sz="6" w:space="0"/>
              <w:bottom w:val="single" w:color="000000" w:sz="6" w:space="0"/>
            </w:tcBorders>
            <w:vAlign w:val="center"/>
          </w:tcPr>
          <w:p w14:paraId="6C1F58F9">
            <w:pPr>
              <w:pStyle w:val="21"/>
              <w:jc w:val="center"/>
              <w:rPr>
                <w:rFonts w:hint="eastAsia"/>
                <w:color w:val="auto"/>
                <w:sz w:val="24"/>
                <w:szCs w:val="24"/>
              </w:rPr>
            </w:pPr>
            <w:r>
              <w:rPr>
                <w:color w:val="auto"/>
                <w:sz w:val="24"/>
                <w:szCs w:val="24"/>
              </w:rPr>
              <w:t>备注</w:t>
            </w:r>
          </w:p>
        </w:tc>
        <w:tc>
          <w:tcPr>
            <w:tcW w:w="6569" w:type="dxa"/>
            <w:tcBorders>
              <w:bottom w:val="single" w:color="000000" w:sz="6" w:space="0"/>
              <w:right w:val="single" w:color="000000" w:sz="6" w:space="0"/>
            </w:tcBorders>
            <w:vAlign w:val="center"/>
          </w:tcPr>
          <w:p w14:paraId="09A546A4">
            <w:pPr>
              <w:pStyle w:val="21"/>
              <w:ind w:right="102"/>
              <w:jc w:val="both"/>
              <w:rPr>
                <w:rFonts w:hint="eastAsia"/>
                <w:color w:val="auto"/>
                <w:sz w:val="24"/>
                <w:szCs w:val="24"/>
                <w:lang w:eastAsia="zh-CN"/>
              </w:rPr>
            </w:pPr>
            <w:r>
              <w:rPr>
                <w:color w:val="auto"/>
                <w:sz w:val="24"/>
                <w:szCs w:val="24"/>
                <w:lang w:eastAsia="zh-CN"/>
              </w:rPr>
              <w:t>合同项目描述内容至少包括项目概况、本合同在项目中的地位（部位、合同价格所占比例）和合同工程完工（竣工）验收鉴定书有关验收结论。</w:t>
            </w:r>
          </w:p>
        </w:tc>
      </w:tr>
    </w:tbl>
    <w:p w14:paraId="50E93384">
      <w:pPr>
        <w:spacing w:before="35" w:line="219" w:lineRule="auto"/>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注：相关材料复制件在“原件的复制件”中提供。</w:t>
      </w:r>
    </w:p>
    <w:p w14:paraId="1D6A396E">
      <w:pPr>
        <w:spacing w:line="219" w:lineRule="auto"/>
        <w:rPr>
          <w:rFonts w:hint="eastAsia" w:ascii="宋体" w:hAnsi="宋体" w:eastAsia="宋体" w:cs="宋体"/>
          <w:color w:val="auto"/>
          <w:sz w:val="24"/>
          <w:szCs w:val="24"/>
          <w:lang w:eastAsia="zh-CN"/>
        </w:rPr>
        <w:sectPr>
          <w:footerReference r:id="rId14" w:type="default"/>
          <w:pgSz w:w="11907" w:h="16841"/>
          <w:pgMar w:top="1417" w:right="1418" w:bottom="1254" w:left="1598" w:header="0" w:footer="1093" w:gutter="0"/>
          <w:pgNumType w:fmt="numberInDash"/>
          <w:cols w:space="720" w:num="1"/>
        </w:sectPr>
      </w:pPr>
    </w:p>
    <w:p w14:paraId="0F29E8B6">
      <w:pPr>
        <w:pStyle w:val="8"/>
        <w:spacing w:line="245" w:lineRule="auto"/>
        <w:rPr>
          <w:color w:val="auto"/>
          <w:lang w:eastAsia="zh-CN"/>
        </w:rPr>
      </w:pPr>
    </w:p>
    <w:p w14:paraId="55D146FD">
      <w:pPr>
        <w:spacing w:before="100" w:line="214" w:lineRule="auto"/>
        <w:ind w:left="1844"/>
        <w:rPr>
          <w:rFonts w:hint="eastAsia" w:ascii="宋体" w:hAnsi="宋体" w:eastAsia="宋体" w:cs="宋体"/>
          <w:color w:val="auto"/>
          <w:sz w:val="30"/>
          <w:szCs w:val="30"/>
          <w:lang w:eastAsia="zh-CN"/>
        </w:rPr>
      </w:pPr>
      <w:r>
        <w:rPr>
          <w:rFonts w:ascii="宋体" w:hAnsi="宋体" w:eastAsia="宋体" w:cs="宋体"/>
          <w:b/>
          <w:bCs/>
          <w:color w:val="auto"/>
          <w:sz w:val="30"/>
          <w:szCs w:val="30"/>
          <w:lang w:eastAsia="zh-CN"/>
        </w:rPr>
        <w:t>业绩汇总表（资格业绩的汇总</w:t>
      </w:r>
      <w:r>
        <w:rPr>
          <w:rFonts w:ascii="宋体" w:hAnsi="宋体" w:eastAsia="宋体" w:cs="宋体"/>
          <w:b/>
          <w:bCs/>
          <w:color w:val="auto"/>
          <w:spacing w:val="-17"/>
          <w:sz w:val="30"/>
          <w:szCs w:val="30"/>
          <w:lang w:eastAsia="zh-CN"/>
        </w:rPr>
        <w:t>）（</w:t>
      </w:r>
      <w:r>
        <w:rPr>
          <w:rFonts w:ascii="宋体" w:hAnsi="宋体" w:eastAsia="宋体" w:cs="宋体"/>
          <w:b/>
          <w:bCs/>
          <w:i/>
          <w:iCs/>
          <w:color w:val="auto"/>
          <w:sz w:val="31"/>
          <w:szCs w:val="31"/>
          <w:lang w:eastAsia="zh-CN"/>
        </w:rPr>
        <w:t>若有</w:t>
      </w:r>
      <w:r>
        <w:rPr>
          <w:rFonts w:ascii="宋体" w:hAnsi="宋体" w:eastAsia="宋体" w:cs="宋体"/>
          <w:b/>
          <w:bCs/>
          <w:color w:val="auto"/>
          <w:sz w:val="30"/>
          <w:szCs w:val="30"/>
          <w:lang w:eastAsia="zh-CN"/>
        </w:rPr>
        <w:t>）</w:t>
      </w:r>
    </w:p>
    <w:p w14:paraId="589D2C94">
      <w:pPr>
        <w:spacing w:before="15"/>
        <w:rPr>
          <w:color w:val="auto"/>
          <w:lang w:eastAsia="zh-CN"/>
        </w:rPr>
      </w:pPr>
    </w:p>
    <w:p w14:paraId="20C40D59">
      <w:pPr>
        <w:spacing w:before="14"/>
        <w:rPr>
          <w:color w:val="auto"/>
          <w:lang w:eastAsia="zh-CN"/>
        </w:rPr>
      </w:pPr>
    </w:p>
    <w:tbl>
      <w:tblPr>
        <w:tblStyle w:val="20"/>
        <w:tblW w:w="88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2"/>
        <w:gridCol w:w="1321"/>
        <w:gridCol w:w="1146"/>
        <w:gridCol w:w="1376"/>
        <w:gridCol w:w="1685"/>
        <w:gridCol w:w="1153"/>
        <w:gridCol w:w="1410"/>
      </w:tblGrid>
      <w:tr w14:paraId="5EAD3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742" w:type="dxa"/>
            <w:tcBorders>
              <w:top w:val="single" w:color="000000" w:sz="10" w:space="0"/>
              <w:left w:val="single" w:color="000000" w:sz="10" w:space="0"/>
            </w:tcBorders>
            <w:vAlign w:val="center"/>
          </w:tcPr>
          <w:p w14:paraId="1C40D22C">
            <w:pPr>
              <w:pStyle w:val="21"/>
              <w:widowControl w:val="0"/>
              <w:kinsoku/>
              <w:topLinePunct/>
              <w:autoSpaceDE/>
              <w:autoSpaceDN/>
              <w:jc w:val="center"/>
              <w:rPr>
                <w:rFonts w:hint="eastAsia"/>
                <w:color w:val="auto"/>
                <w:sz w:val="24"/>
                <w:szCs w:val="24"/>
              </w:rPr>
            </w:pPr>
            <w:r>
              <w:rPr>
                <w:rFonts w:hint="eastAsia"/>
                <w:color w:val="auto"/>
                <w:spacing w:val="-3"/>
                <w:sz w:val="24"/>
                <w:szCs w:val="24"/>
              </w:rPr>
              <w:t>序号</w:t>
            </w:r>
          </w:p>
        </w:tc>
        <w:tc>
          <w:tcPr>
            <w:tcW w:w="1321" w:type="dxa"/>
            <w:tcBorders>
              <w:top w:val="single" w:color="000000" w:sz="10" w:space="0"/>
            </w:tcBorders>
            <w:vAlign w:val="center"/>
          </w:tcPr>
          <w:p w14:paraId="7DCB965B">
            <w:pPr>
              <w:pStyle w:val="21"/>
              <w:widowControl w:val="0"/>
              <w:kinsoku/>
              <w:topLinePunct/>
              <w:autoSpaceDE/>
              <w:autoSpaceDN/>
              <w:ind w:right="66"/>
              <w:jc w:val="center"/>
              <w:rPr>
                <w:rFonts w:hint="eastAsia"/>
                <w:color w:val="auto"/>
                <w:sz w:val="24"/>
                <w:szCs w:val="24"/>
              </w:rPr>
            </w:pPr>
            <w:r>
              <w:rPr>
                <w:rFonts w:hint="eastAsia"/>
                <w:color w:val="auto"/>
                <w:spacing w:val="-3"/>
                <w:sz w:val="24"/>
                <w:szCs w:val="24"/>
              </w:rPr>
              <w:t>该业绩证明对象</w:t>
            </w:r>
          </w:p>
        </w:tc>
        <w:tc>
          <w:tcPr>
            <w:tcW w:w="1146" w:type="dxa"/>
            <w:tcBorders>
              <w:top w:val="single" w:color="000000" w:sz="10" w:space="0"/>
            </w:tcBorders>
            <w:vAlign w:val="center"/>
          </w:tcPr>
          <w:p w14:paraId="06541FFE">
            <w:pPr>
              <w:pStyle w:val="21"/>
              <w:widowControl w:val="0"/>
              <w:kinsoku/>
              <w:topLinePunct/>
              <w:autoSpaceDE/>
              <w:autoSpaceDN/>
              <w:jc w:val="center"/>
              <w:rPr>
                <w:rFonts w:hint="eastAsia"/>
                <w:color w:val="auto"/>
                <w:sz w:val="24"/>
                <w:szCs w:val="24"/>
              </w:rPr>
            </w:pPr>
            <w:r>
              <w:rPr>
                <w:rFonts w:hint="eastAsia"/>
                <w:color w:val="auto"/>
                <w:spacing w:val="-3"/>
                <w:sz w:val="24"/>
                <w:szCs w:val="24"/>
              </w:rPr>
              <w:t>项目名称</w:t>
            </w:r>
          </w:p>
        </w:tc>
        <w:tc>
          <w:tcPr>
            <w:tcW w:w="1376" w:type="dxa"/>
            <w:tcBorders>
              <w:top w:val="single" w:color="000000" w:sz="10" w:space="0"/>
            </w:tcBorders>
            <w:vAlign w:val="center"/>
          </w:tcPr>
          <w:p w14:paraId="645BFB5C">
            <w:pPr>
              <w:pStyle w:val="21"/>
              <w:widowControl w:val="0"/>
              <w:kinsoku/>
              <w:topLinePunct/>
              <w:autoSpaceDE/>
              <w:autoSpaceDN/>
              <w:jc w:val="center"/>
              <w:rPr>
                <w:rFonts w:hint="eastAsia"/>
                <w:color w:val="auto"/>
                <w:sz w:val="24"/>
                <w:szCs w:val="24"/>
              </w:rPr>
            </w:pPr>
            <w:r>
              <w:rPr>
                <w:rFonts w:hint="eastAsia"/>
                <w:color w:val="auto"/>
                <w:spacing w:val="14"/>
                <w:sz w:val="24"/>
                <w:szCs w:val="24"/>
              </w:rPr>
              <w:t>建设单位(</w:t>
            </w:r>
            <w:r>
              <w:rPr>
                <w:rFonts w:hint="eastAsia"/>
                <w:color w:val="auto"/>
                <w:spacing w:val="-5"/>
                <w:sz w:val="24"/>
                <w:szCs w:val="24"/>
              </w:rPr>
              <w:t>项目业主）</w:t>
            </w:r>
          </w:p>
        </w:tc>
        <w:tc>
          <w:tcPr>
            <w:tcW w:w="1685" w:type="dxa"/>
            <w:tcBorders>
              <w:top w:val="single" w:color="000000" w:sz="10" w:space="0"/>
            </w:tcBorders>
            <w:vAlign w:val="center"/>
          </w:tcPr>
          <w:p w14:paraId="37C6D915">
            <w:pPr>
              <w:pStyle w:val="21"/>
              <w:widowControl w:val="0"/>
              <w:kinsoku/>
              <w:topLinePunct/>
              <w:autoSpaceDE/>
              <w:autoSpaceDN/>
              <w:jc w:val="center"/>
              <w:rPr>
                <w:rFonts w:hint="eastAsia"/>
                <w:color w:val="auto"/>
                <w:sz w:val="24"/>
                <w:szCs w:val="24"/>
                <w:lang w:eastAsia="zh-CN"/>
              </w:rPr>
            </w:pPr>
            <w:r>
              <w:rPr>
                <w:rFonts w:hint="eastAsia"/>
                <w:color w:val="auto"/>
                <w:spacing w:val="-2"/>
                <w:sz w:val="24"/>
                <w:szCs w:val="24"/>
                <w:lang w:eastAsia="zh-CN"/>
              </w:rPr>
              <w:t>与评审有关的</w:t>
            </w:r>
            <w:r>
              <w:rPr>
                <w:rFonts w:hint="eastAsia"/>
                <w:color w:val="auto"/>
                <w:spacing w:val="-8"/>
                <w:sz w:val="24"/>
                <w:szCs w:val="24"/>
                <w:lang w:eastAsia="zh-CN"/>
              </w:rPr>
              <w:t>时间、规模、</w:t>
            </w:r>
            <w:r>
              <w:rPr>
                <w:rFonts w:hint="eastAsia"/>
                <w:color w:val="auto"/>
                <w:spacing w:val="-2"/>
                <w:sz w:val="24"/>
                <w:szCs w:val="24"/>
                <w:lang w:eastAsia="zh-CN"/>
              </w:rPr>
              <w:t>技术指标及其</w:t>
            </w:r>
            <w:r>
              <w:rPr>
                <w:rFonts w:hint="eastAsia"/>
                <w:color w:val="auto"/>
                <w:spacing w:val="-3"/>
                <w:sz w:val="24"/>
                <w:szCs w:val="24"/>
                <w:lang w:eastAsia="zh-CN"/>
              </w:rPr>
              <w:t>他要求</w:t>
            </w:r>
          </w:p>
        </w:tc>
        <w:tc>
          <w:tcPr>
            <w:tcW w:w="1153" w:type="dxa"/>
            <w:tcBorders>
              <w:top w:val="single" w:color="000000" w:sz="10" w:space="0"/>
            </w:tcBorders>
            <w:vAlign w:val="center"/>
          </w:tcPr>
          <w:p w14:paraId="6282BA3E">
            <w:pPr>
              <w:pStyle w:val="21"/>
              <w:widowControl w:val="0"/>
              <w:kinsoku/>
              <w:topLinePunct/>
              <w:autoSpaceDE/>
              <w:autoSpaceDN/>
              <w:ind w:right="84"/>
              <w:jc w:val="center"/>
              <w:rPr>
                <w:rFonts w:hint="eastAsia"/>
                <w:color w:val="auto"/>
                <w:sz w:val="24"/>
                <w:szCs w:val="24"/>
              </w:rPr>
            </w:pPr>
            <w:r>
              <w:rPr>
                <w:rFonts w:hint="eastAsia"/>
                <w:color w:val="auto"/>
                <w:spacing w:val="-3"/>
                <w:sz w:val="24"/>
                <w:szCs w:val="24"/>
              </w:rPr>
              <w:t>提交证明材料内容</w:t>
            </w:r>
          </w:p>
        </w:tc>
        <w:tc>
          <w:tcPr>
            <w:tcW w:w="1410" w:type="dxa"/>
            <w:tcBorders>
              <w:top w:val="single" w:color="000000" w:sz="10" w:space="0"/>
              <w:right w:val="single" w:color="000000" w:sz="10" w:space="0"/>
            </w:tcBorders>
            <w:vAlign w:val="center"/>
          </w:tcPr>
          <w:p w14:paraId="4C2FBE87">
            <w:pPr>
              <w:pStyle w:val="21"/>
              <w:widowControl w:val="0"/>
              <w:kinsoku/>
              <w:topLinePunct/>
              <w:autoSpaceDE/>
              <w:autoSpaceDN/>
              <w:ind w:right="113"/>
              <w:jc w:val="center"/>
              <w:rPr>
                <w:rFonts w:hint="eastAsia"/>
                <w:color w:val="auto"/>
                <w:sz w:val="24"/>
                <w:szCs w:val="24"/>
              </w:rPr>
            </w:pPr>
            <w:r>
              <w:rPr>
                <w:rFonts w:hint="eastAsia"/>
                <w:color w:val="auto"/>
                <w:spacing w:val="-3"/>
                <w:sz w:val="24"/>
                <w:szCs w:val="24"/>
              </w:rPr>
              <w:t>在投标文件的位置</w:t>
            </w:r>
          </w:p>
        </w:tc>
      </w:tr>
      <w:tr w14:paraId="4B06A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742" w:type="dxa"/>
            <w:tcBorders>
              <w:left w:val="single" w:color="000000" w:sz="10" w:space="0"/>
            </w:tcBorders>
            <w:vAlign w:val="center"/>
          </w:tcPr>
          <w:p w14:paraId="354B7AFA">
            <w:pPr>
              <w:widowControl w:val="0"/>
              <w:kinsoku/>
              <w:topLinePunct/>
              <w:autoSpaceDE/>
              <w:autoSpaceDN/>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321" w:type="dxa"/>
            <w:vAlign w:val="center"/>
          </w:tcPr>
          <w:p w14:paraId="2BB99985">
            <w:pPr>
              <w:widowControl w:val="0"/>
              <w:kinsoku/>
              <w:topLinePunct/>
              <w:autoSpaceDE/>
              <w:autoSpaceDN/>
              <w:jc w:val="center"/>
              <w:rPr>
                <w:rFonts w:hint="eastAsia" w:ascii="宋体" w:hAnsi="宋体" w:eastAsia="宋体" w:cs="宋体"/>
                <w:color w:val="auto"/>
                <w:sz w:val="24"/>
                <w:szCs w:val="24"/>
                <w:lang w:eastAsia="zh-CN"/>
              </w:rPr>
            </w:pPr>
            <w:r>
              <w:rPr>
                <w:rFonts w:hint="eastAsia" w:ascii="宋体" w:hAnsi="宋体" w:eastAsia="宋体" w:cs="宋体"/>
                <w:i/>
                <w:iCs/>
                <w:color w:val="auto"/>
                <w:spacing w:val="-10"/>
                <w:position w:val="-1"/>
                <w:sz w:val="24"/>
                <w:szCs w:val="24"/>
                <w:lang w:eastAsia="zh-CN"/>
              </w:rPr>
              <w:t>……</w:t>
            </w:r>
          </w:p>
        </w:tc>
        <w:tc>
          <w:tcPr>
            <w:tcW w:w="1146" w:type="dxa"/>
            <w:vAlign w:val="center"/>
          </w:tcPr>
          <w:p w14:paraId="0A434ED9">
            <w:pPr>
              <w:widowControl w:val="0"/>
              <w:kinsoku/>
              <w:topLinePunct/>
              <w:autoSpaceDE/>
              <w:autoSpaceDN/>
              <w:jc w:val="center"/>
              <w:rPr>
                <w:rFonts w:hint="eastAsia" w:ascii="宋体" w:hAnsi="宋体" w:eastAsia="宋体" w:cs="宋体"/>
                <w:color w:val="auto"/>
              </w:rPr>
            </w:pPr>
          </w:p>
        </w:tc>
        <w:tc>
          <w:tcPr>
            <w:tcW w:w="1376" w:type="dxa"/>
            <w:vAlign w:val="center"/>
          </w:tcPr>
          <w:p w14:paraId="533491E7">
            <w:pPr>
              <w:widowControl w:val="0"/>
              <w:kinsoku/>
              <w:topLinePunct/>
              <w:autoSpaceDE/>
              <w:autoSpaceDN/>
              <w:jc w:val="center"/>
              <w:rPr>
                <w:rFonts w:hint="eastAsia" w:ascii="宋体" w:hAnsi="宋体" w:eastAsia="宋体" w:cs="宋体"/>
                <w:color w:val="auto"/>
              </w:rPr>
            </w:pPr>
          </w:p>
        </w:tc>
        <w:tc>
          <w:tcPr>
            <w:tcW w:w="1685" w:type="dxa"/>
            <w:vAlign w:val="center"/>
          </w:tcPr>
          <w:p w14:paraId="22CE382A">
            <w:pPr>
              <w:widowControl w:val="0"/>
              <w:kinsoku/>
              <w:topLinePunct/>
              <w:autoSpaceDE/>
              <w:autoSpaceDN/>
              <w:jc w:val="center"/>
              <w:rPr>
                <w:rFonts w:hint="eastAsia" w:ascii="宋体" w:hAnsi="宋体" w:eastAsia="宋体" w:cs="宋体"/>
                <w:color w:val="auto"/>
              </w:rPr>
            </w:pPr>
          </w:p>
        </w:tc>
        <w:tc>
          <w:tcPr>
            <w:tcW w:w="1153" w:type="dxa"/>
            <w:vAlign w:val="center"/>
          </w:tcPr>
          <w:p w14:paraId="5C4D76A7">
            <w:pPr>
              <w:widowControl w:val="0"/>
              <w:kinsoku/>
              <w:topLinePunct/>
              <w:autoSpaceDE/>
              <w:autoSpaceDN/>
              <w:jc w:val="center"/>
              <w:rPr>
                <w:rFonts w:hint="eastAsia" w:ascii="宋体" w:hAnsi="宋体" w:eastAsia="宋体" w:cs="宋体"/>
                <w:color w:val="auto"/>
              </w:rPr>
            </w:pPr>
          </w:p>
        </w:tc>
        <w:tc>
          <w:tcPr>
            <w:tcW w:w="1410" w:type="dxa"/>
            <w:tcBorders>
              <w:right w:val="single" w:color="000000" w:sz="10" w:space="0"/>
            </w:tcBorders>
            <w:vAlign w:val="center"/>
          </w:tcPr>
          <w:p w14:paraId="22CDC4E1">
            <w:pPr>
              <w:pStyle w:val="21"/>
              <w:widowControl w:val="0"/>
              <w:kinsoku/>
              <w:topLinePunct/>
              <w:autoSpaceDE/>
              <w:autoSpaceDN/>
              <w:jc w:val="center"/>
              <w:rPr>
                <w:rFonts w:hint="eastAsia"/>
                <w:color w:val="auto"/>
                <w:sz w:val="25"/>
                <w:szCs w:val="25"/>
                <w:lang w:eastAsia="zh-CN"/>
              </w:rPr>
            </w:pPr>
            <w:r>
              <w:rPr>
                <w:rFonts w:hint="eastAsia"/>
                <w:i/>
                <w:iCs/>
                <w:color w:val="auto"/>
                <w:spacing w:val="-13"/>
                <w:sz w:val="25"/>
                <w:szCs w:val="25"/>
                <w:lang w:eastAsia="zh-CN"/>
              </w:rPr>
              <w:t>例如：投</w:t>
            </w:r>
            <w:r>
              <w:rPr>
                <w:rFonts w:hint="eastAsia"/>
                <w:i/>
                <w:iCs/>
                <w:color w:val="auto"/>
                <w:spacing w:val="-9"/>
                <w:w w:val="95"/>
                <w:sz w:val="25"/>
                <w:szCs w:val="25"/>
                <w:lang w:eastAsia="zh-CN"/>
              </w:rPr>
              <w:t>标</w:t>
            </w:r>
            <w:r>
              <w:rPr>
                <w:rFonts w:hint="eastAsia"/>
                <w:i/>
                <w:iCs/>
                <w:color w:val="auto"/>
                <w:spacing w:val="-8"/>
                <w:w w:val="95"/>
                <w:sz w:val="25"/>
                <w:szCs w:val="25"/>
                <w:lang w:eastAsia="zh-CN"/>
              </w:rPr>
              <w:t>文件第</w:t>
            </w:r>
            <w:r>
              <w:rPr>
                <w:rFonts w:hint="eastAsia"/>
                <w:i/>
                <w:iCs/>
                <w:color w:val="auto"/>
                <w:spacing w:val="23"/>
                <w:w w:val="95"/>
                <w:sz w:val="24"/>
                <w:szCs w:val="24"/>
                <w:lang w:eastAsia="zh-CN"/>
              </w:rPr>
              <w:t>X</w:t>
            </w:r>
            <w:r>
              <w:rPr>
                <w:rFonts w:hint="eastAsia"/>
                <w:i/>
                <w:iCs/>
                <w:color w:val="auto"/>
                <w:sz w:val="25"/>
                <w:szCs w:val="25"/>
                <w:lang w:eastAsia="zh-CN"/>
              </w:rPr>
              <w:t>页</w:t>
            </w:r>
          </w:p>
        </w:tc>
      </w:tr>
      <w:tr w14:paraId="40C26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742" w:type="dxa"/>
            <w:tcBorders>
              <w:left w:val="single" w:color="000000" w:sz="10" w:space="0"/>
            </w:tcBorders>
          </w:tcPr>
          <w:p w14:paraId="596443A6">
            <w:pPr>
              <w:widowControl w:val="0"/>
              <w:kinsoku/>
              <w:topLinePunct/>
              <w:autoSpaceDE/>
              <w:autoSpaceDN/>
              <w:jc w:val="center"/>
              <w:rPr>
                <w:rFonts w:hint="eastAsia" w:ascii="宋体" w:hAnsi="宋体" w:eastAsia="宋体" w:cs="宋体"/>
                <w:color w:val="auto"/>
                <w:lang w:eastAsia="zh-CN"/>
              </w:rPr>
            </w:pPr>
          </w:p>
        </w:tc>
        <w:tc>
          <w:tcPr>
            <w:tcW w:w="1321" w:type="dxa"/>
          </w:tcPr>
          <w:p w14:paraId="7684255F">
            <w:pPr>
              <w:widowControl w:val="0"/>
              <w:kinsoku/>
              <w:topLinePunct/>
              <w:autoSpaceDE/>
              <w:autoSpaceDN/>
              <w:jc w:val="center"/>
              <w:rPr>
                <w:rFonts w:hint="eastAsia" w:ascii="宋体" w:hAnsi="宋体" w:eastAsia="宋体" w:cs="宋体"/>
                <w:color w:val="auto"/>
                <w:lang w:eastAsia="zh-CN"/>
              </w:rPr>
            </w:pPr>
          </w:p>
        </w:tc>
        <w:tc>
          <w:tcPr>
            <w:tcW w:w="1146" w:type="dxa"/>
          </w:tcPr>
          <w:p w14:paraId="469AA732">
            <w:pPr>
              <w:widowControl w:val="0"/>
              <w:kinsoku/>
              <w:topLinePunct/>
              <w:autoSpaceDE/>
              <w:autoSpaceDN/>
              <w:jc w:val="center"/>
              <w:rPr>
                <w:rFonts w:hint="eastAsia" w:ascii="宋体" w:hAnsi="宋体" w:eastAsia="宋体" w:cs="宋体"/>
                <w:color w:val="auto"/>
                <w:lang w:eastAsia="zh-CN"/>
              </w:rPr>
            </w:pPr>
          </w:p>
        </w:tc>
        <w:tc>
          <w:tcPr>
            <w:tcW w:w="1376" w:type="dxa"/>
          </w:tcPr>
          <w:p w14:paraId="360D0268">
            <w:pPr>
              <w:widowControl w:val="0"/>
              <w:kinsoku/>
              <w:topLinePunct/>
              <w:autoSpaceDE/>
              <w:autoSpaceDN/>
              <w:jc w:val="center"/>
              <w:rPr>
                <w:rFonts w:hint="eastAsia" w:ascii="宋体" w:hAnsi="宋体" w:eastAsia="宋体" w:cs="宋体"/>
                <w:color w:val="auto"/>
                <w:lang w:eastAsia="zh-CN"/>
              </w:rPr>
            </w:pPr>
          </w:p>
        </w:tc>
        <w:tc>
          <w:tcPr>
            <w:tcW w:w="1685" w:type="dxa"/>
          </w:tcPr>
          <w:p w14:paraId="2C221012">
            <w:pPr>
              <w:widowControl w:val="0"/>
              <w:kinsoku/>
              <w:topLinePunct/>
              <w:autoSpaceDE/>
              <w:autoSpaceDN/>
              <w:jc w:val="center"/>
              <w:rPr>
                <w:rFonts w:hint="eastAsia" w:ascii="宋体" w:hAnsi="宋体" w:eastAsia="宋体" w:cs="宋体"/>
                <w:color w:val="auto"/>
                <w:lang w:eastAsia="zh-CN"/>
              </w:rPr>
            </w:pPr>
          </w:p>
        </w:tc>
        <w:tc>
          <w:tcPr>
            <w:tcW w:w="1153" w:type="dxa"/>
          </w:tcPr>
          <w:p w14:paraId="31CF5689">
            <w:pPr>
              <w:widowControl w:val="0"/>
              <w:kinsoku/>
              <w:topLinePunct/>
              <w:autoSpaceDE/>
              <w:autoSpaceDN/>
              <w:jc w:val="center"/>
              <w:rPr>
                <w:rFonts w:hint="eastAsia" w:ascii="宋体" w:hAnsi="宋体" w:eastAsia="宋体" w:cs="宋体"/>
                <w:color w:val="auto"/>
                <w:lang w:eastAsia="zh-CN"/>
              </w:rPr>
            </w:pPr>
          </w:p>
        </w:tc>
        <w:tc>
          <w:tcPr>
            <w:tcW w:w="1410" w:type="dxa"/>
            <w:tcBorders>
              <w:right w:val="single" w:color="000000" w:sz="10" w:space="0"/>
            </w:tcBorders>
          </w:tcPr>
          <w:p w14:paraId="7A3790FF">
            <w:pPr>
              <w:widowControl w:val="0"/>
              <w:kinsoku/>
              <w:topLinePunct/>
              <w:autoSpaceDE/>
              <w:autoSpaceDN/>
              <w:jc w:val="center"/>
              <w:rPr>
                <w:rFonts w:hint="eastAsia" w:ascii="宋体" w:hAnsi="宋体" w:eastAsia="宋体" w:cs="宋体"/>
                <w:color w:val="auto"/>
                <w:lang w:eastAsia="zh-CN"/>
              </w:rPr>
            </w:pPr>
          </w:p>
        </w:tc>
      </w:tr>
      <w:tr w14:paraId="3A2F5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742" w:type="dxa"/>
            <w:tcBorders>
              <w:left w:val="single" w:color="000000" w:sz="10" w:space="0"/>
              <w:bottom w:val="single" w:color="000000" w:sz="10" w:space="0"/>
            </w:tcBorders>
          </w:tcPr>
          <w:p w14:paraId="7E1861C0">
            <w:pPr>
              <w:widowControl w:val="0"/>
              <w:kinsoku/>
              <w:topLinePunct/>
              <w:autoSpaceDE/>
              <w:autoSpaceDN/>
              <w:jc w:val="center"/>
              <w:rPr>
                <w:rFonts w:hint="eastAsia" w:ascii="宋体" w:hAnsi="宋体" w:eastAsia="宋体" w:cs="宋体"/>
                <w:color w:val="auto"/>
                <w:lang w:eastAsia="zh-CN"/>
              </w:rPr>
            </w:pPr>
          </w:p>
        </w:tc>
        <w:tc>
          <w:tcPr>
            <w:tcW w:w="1321" w:type="dxa"/>
            <w:tcBorders>
              <w:bottom w:val="single" w:color="000000" w:sz="10" w:space="0"/>
            </w:tcBorders>
          </w:tcPr>
          <w:p w14:paraId="086B01FB">
            <w:pPr>
              <w:widowControl w:val="0"/>
              <w:kinsoku/>
              <w:topLinePunct/>
              <w:autoSpaceDE/>
              <w:autoSpaceDN/>
              <w:jc w:val="center"/>
              <w:rPr>
                <w:rFonts w:hint="eastAsia" w:ascii="宋体" w:hAnsi="宋体" w:eastAsia="宋体" w:cs="宋体"/>
                <w:color w:val="auto"/>
                <w:lang w:eastAsia="zh-CN"/>
              </w:rPr>
            </w:pPr>
          </w:p>
        </w:tc>
        <w:tc>
          <w:tcPr>
            <w:tcW w:w="1146" w:type="dxa"/>
            <w:tcBorders>
              <w:bottom w:val="single" w:color="000000" w:sz="10" w:space="0"/>
            </w:tcBorders>
          </w:tcPr>
          <w:p w14:paraId="0C37BE26">
            <w:pPr>
              <w:widowControl w:val="0"/>
              <w:kinsoku/>
              <w:topLinePunct/>
              <w:autoSpaceDE/>
              <w:autoSpaceDN/>
              <w:jc w:val="center"/>
              <w:rPr>
                <w:rFonts w:hint="eastAsia" w:ascii="宋体" w:hAnsi="宋体" w:eastAsia="宋体" w:cs="宋体"/>
                <w:color w:val="auto"/>
                <w:lang w:eastAsia="zh-CN"/>
              </w:rPr>
            </w:pPr>
          </w:p>
        </w:tc>
        <w:tc>
          <w:tcPr>
            <w:tcW w:w="1376" w:type="dxa"/>
            <w:tcBorders>
              <w:bottom w:val="single" w:color="000000" w:sz="10" w:space="0"/>
            </w:tcBorders>
          </w:tcPr>
          <w:p w14:paraId="5186619D">
            <w:pPr>
              <w:widowControl w:val="0"/>
              <w:kinsoku/>
              <w:topLinePunct/>
              <w:autoSpaceDE/>
              <w:autoSpaceDN/>
              <w:jc w:val="center"/>
              <w:rPr>
                <w:rFonts w:hint="eastAsia" w:ascii="宋体" w:hAnsi="宋体" w:eastAsia="宋体" w:cs="宋体"/>
                <w:color w:val="auto"/>
                <w:lang w:eastAsia="zh-CN"/>
              </w:rPr>
            </w:pPr>
          </w:p>
        </w:tc>
        <w:tc>
          <w:tcPr>
            <w:tcW w:w="1685" w:type="dxa"/>
            <w:tcBorders>
              <w:bottom w:val="single" w:color="000000" w:sz="10" w:space="0"/>
            </w:tcBorders>
          </w:tcPr>
          <w:p w14:paraId="2B5BAB83">
            <w:pPr>
              <w:widowControl w:val="0"/>
              <w:kinsoku/>
              <w:topLinePunct/>
              <w:autoSpaceDE/>
              <w:autoSpaceDN/>
              <w:jc w:val="center"/>
              <w:rPr>
                <w:rFonts w:hint="eastAsia" w:ascii="宋体" w:hAnsi="宋体" w:eastAsia="宋体" w:cs="宋体"/>
                <w:color w:val="auto"/>
                <w:lang w:eastAsia="zh-CN"/>
              </w:rPr>
            </w:pPr>
          </w:p>
        </w:tc>
        <w:tc>
          <w:tcPr>
            <w:tcW w:w="1153" w:type="dxa"/>
            <w:tcBorders>
              <w:bottom w:val="single" w:color="000000" w:sz="10" w:space="0"/>
            </w:tcBorders>
          </w:tcPr>
          <w:p w14:paraId="76CF9482">
            <w:pPr>
              <w:widowControl w:val="0"/>
              <w:kinsoku/>
              <w:topLinePunct/>
              <w:autoSpaceDE/>
              <w:autoSpaceDN/>
              <w:jc w:val="center"/>
              <w:rPr>
                <w:rFonts w:hint="eastAsia" w:ascii="宋体" w:hAnsi="宋体" w:eastAsia="宋体" w:cs="宋体"/>
                <w:color w:val="auto"/>
                <w:lang w:eastAsia="zh-CN"/>
              </w:rPr>
            </w:pPr>
          </w:p>
        </w:tc>
        <w:tc>
          <w:tcPr>
            <w:tcW w:w="1410" w:type="dxa"/>
            <w:tcBorders>
              <w:bottom w:val="single" w:color="000000" w:sz="10" w:space="0"/>
              <w:right w:val="single" w:color="000000" w:sz="10" w:space="0"/>
            </w:tcBorders>
          </w:tcPr>
          <w:p w14:paraId="148129DA">
            <w:pPr>
              <w:widowControl w:val="0"/>
              <w:kinsoku/>
              <w:topLinePunct/>
              <w:autoSpaceDE/>
              <w:autoSpaceDN/>
              <w:jc w:val="center"/>
              <w:rPr>
                <w:rFonts w:hint="eastAsia" w:ascii="宋体" w:hAnsi="宋体" w:eastAsia="宋体" w:cs="宋体"/>
                <w:color w:val="auto"/>
                <w:lang w:eastAsia="zh-CN"/>
              </w:rPr>
            </w:pPr>
          </w:p>
        </w:tc>
      </w:tr>
    </w:tbl>
    <w:p w14:paraId="45014F9A">
      <w:pPr>
        <w:pStyle w:val="8"/>
        <w:rPr>
          <w:color w:val="auto"/>
          <w:lang w:eastAsia="zh-CN"/>
        </w:rPr>
      </w:pPr>
    </w:p>
    <w:p w14:paraId="5E57983E">
      <w:pPr>
        <w:rPr>
          <w:color w:val="auto"/>
          <w:lang w:eastAsia="zh-CN"/>
        </w:rPr>
      </w:pPr>
      <w:r>
        <w:rPr>
          <w:color w:val="auto"/>
          <w:lang w:eastAsia="zh-CN"/>
        </w:rPr>
        <w:br w:type="page"/>
      </w:r>
    </w:p>
    <w:p w14:paraId="61785F6F">
      <w:pPr>
        <w:spacing w:before="78" w:line="220" w:lineRule="auto"/>
        <w:ind w:left="6"/>
        <w:rPr>
          <w:rFonts w:hint="eastAsia" w:ascii="宋体" w:hAnsi="宋体" w:eastAsia="宋体" w:cs="宋体"/>
          <w:color w:val="auto"/>
          <w:sz w:val="24"/>
          <w:szCs w:val="24"/>
          <w:lang w:eastAsia="zh-CN"/>
        </w:rPr>
      </w:pPr>
      <w:r>
        <w:rPr>
          <w:rFonts w:ascii="宋体" w:hAnsi="宋体" w:eastAsia="宋体" w:cs="宋体"/>
          <w:b/>
          <w:bCs/>
          <w:color w:val="auto"/>
          <w:spacing w:val="-6"/>
          <w:sz w:val="24"/>
          <w:szCs w:val="24"/>
          <w:lang w:eastAsia="zh-CN"/>
        </w:rPr>
        <w:t>（四）正在施工的和新承接的项目情况表</w:t>
      </w:r>
    </w:p>
    <w:p w14:paraId="61F20827">
      <w:pPr>
        <w:spacing w:before="182" w:line="220" w:lineRule="auto"/>
        <w:ind w:left="2591"/>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正在施工的和新承接的项目情况表</w:t>
      </w:r>
    </w:p>
    <w:p w14:paraId="1D2FB06A">
      <w:pPr>
        <w:spacing w:line="144" w:lineRule="exact"/>
        <w:rPr>
          <w:color w:val="auto"/>
          <w:lang w:eastAsia="zh-CN"/>
        </w:rPr>
      </w:pPr>
    </w:p>
    <w:tbl>
      <w:tblPr>
        <w:tblStyle w:val="20"/>
        <w:tblW w:w="8776"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7"/>
        <w:gridCol w:w="6569"/>
      </w:tblGrid>
      <w:tr w14:paraId="7A347A43">
        <w:tblPrEx>
          <w:tblCellMar>
            <w:top w:w="0" w:type="dxa"/>
            <w:left w:w="0" w:type="dxa"/>
            <w:bottom w:w="0" w:type="dxa"/>
            <w:right w:w="0" w:type="dxa"/>
          </w:tblCellMar>
        </w:tblPrEx>
        <w:trPr>
          <w:trHeight w:val="639" w:hRule="atLeast"/>
        </w:trPr>
        <w:tc>
          <w:tcPr>
            <w:tcW w:w="2207" w:type="dxa"/>
            <w:tcBorders>
              <w:top w:val="single" w:color="000000" w:sz="6" w:space="0"/>
              <w:left w:val="single" w:color="000000" w:sz="6" w:space="0"/>
            </w:tcBorders>
            <w:vAlign w:val="center"/>
          </w:tcPr>
          <w:p w14:paraId="498F89BB">
            <w:pPr>
              <w:pStyle w:val="21"/>
              <w:autoSpaceDE/>
              <w:autoSpaceDN/>
              <w:jc w:val="center"/>
              <w:rPr>
                <w:rFonts w:hint="eastAsia"/>
                <w:color w:val="auto"/>
                <w:sz w:val="24"/>
                <w:szCs w:val="24"/>
              </w:rPr>
            </w:pPr>
            <w:r>
              <w:rPr>
                <w:color w:val="auto"/>
                <w:spacing w:val="-2"/>
                <w:sz w:val="24"/>
                <w:szCs w:val="24"/>
              </w:rPr>
              <w:t>合同名称</w:t>
            </w:r>
          </w:p>
        </w:tc>
        <w:tc>
          <w:tcPr>
            <w:tcW w:w="6569" w:type="dxa"/>
            <w:tcBorders>
              <w:top w:val="single" w:color="000000" w:sz="6" w:space="0"/>
              <w:right w:val="single" w:color="000000" w:sz="6" w:space="0"/>
            </w:tcBorders>
            <w:vAlign w:val="center"/>
          </w:tcPr>
          <w:p w14:paraId="22A39FC1">
            <w:pPr>
              <w:autoSpaceDE/>
              <w:autoSpaceDN/>
              <w:jc w:val="center"/>
              <w:rPr>
                <w:color w:val="auto"/>
              </w:rPr>
            </w:pPr>
          </w:p>
        </w:tc>
      </w:tr>
      <w:tr w14:paraId="0EE6E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4A4363A9">
            <w:pPr>
              <w:pStyle w:val="21"/>
              <w:autoSpaceDE/>
              <w:autoSpaceDN/>
              <w:jc w:val="center"/>
              <w:rPr>
                <w:rFonts w:hint="eastAsia"/>
                <w:color w:val="auto"/>
                <w:sz w:val="24"/>
                <w:szCs w:val="24"/>
              </w:rPr>
            </w:pPr>
            <w:r>
              <w:rPr>
                <w:color w:val="auto"/>
                <w:spacing w:val="-2"/>
                <w:sz w:val="24"/>
                <w:szCs w:val="24"/>
              </w:rPr>
              <w:t>合同项目所在地</w:t>
            </w:r>
          </w:p>
        </w:tc>
        <w:tc>
          <w:tcPr>
            <w:tcW w:w="6569" w:type="dxa"/>
            <w:tcBorders>
              <w:right w:val="single" w:color="000000" w:sz="6" w:space="0"/>
            </w:tcBorders>
            <w:vAlign w:val="center"/>
          </w:tcPr>
          <w:p w14:paraId="16532609">
            <w:pPr>
              <w:autoSpaceDE/>
              <w:autoSpaceDN/>
              <w:jc w:val="center"/>
              <w:rPr>
                <w:color w:val="auto"/>
              </w:rPr>
            </w:pPr>
          </w:p>
        </w:tc>
      </w:tr>
      <w:tr w14:paraId="325D3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207" w:type="dxa"/>
            <w:tcBorders>
              <w:left w:val="single" w:color="000000" w:sz="6" w:space="0"/>
            </w:tcBorders>
            <w:vAlign w:val="center"/>
          </w:tcPr>
          <w:p w14:paraId="4A3A395C">
            <w:pPr>
              <w:pStyle w:val="21"/>
              <w:autoSpaceDE/>
              <w:autoSpaceDN/>
              <w:jc w:val="center"/>
              <w:rPr>
                <w:rFonts w:hint="eastAsia"/>
                <w:color w:val="auto"/>
                <w:sz w:val="24"/>
                <w:szCs w:val="24"/>
              </w:rPr>
            </w:pPr>
            <w:r>
              <w:rPr>
                <w:color w:val="auto"/>
                <w:spacing w:val="-3"/>
                <w:sz w:val="24"/>
                <w:szCs w:val="24"/>
              </w:rPr>
              <w:t>发包人名称</w:t>
            </w:r>
          </w:p>
        </w:tc>
        <w:tc>
          <w:tcPr>
            <w:tcW w:w="6569" w:type="dxa"/>
            <w:tcBorders>
              <w:right w:val="single" w:color="000000" w:sz="6" w:space="0"/>
            </w:tcBorders>
            <w:vAlign w:val="center"/>
          </w:tcPr>
          <w:p w14:paraId="36B755A4">
            <w:pPr>
              <w:autoSpaceDE/>
              <w:autoSpaceDN/>
              <w:jc w:val="center"/>
              <w:rPr>
                <w:color w:val="auto"/>
              </w:rPr>
            </w:pPr>
          </w:p>
        </w:tc>
      </w:tr>
      <w:tr w14:paraId="1A68E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3D4ED64E">
            <w:pPr>
              <w:pStyle w:val="21"/>
              <w:autoSpaceDE/>
              <w:autoSpaceDN/>
              <w:jc w:val="center"/>
              <w:rPr>
                <w:rFonts w:hint="eastAsia"/>
                <w:color w:val="auto"/>
                <w:sz w:val="24"/>
                <w:szCs w:val="24"/>
              </w:rPr>
            </w:pPr>
            <w:r>
              <w:rPr>
                <w:color w:val="auto"/>
                <w:spacing w:val="-3"/>
                <w:sz w:val="24"/>
                <w:szCs w:val="24"/>
              </w:rPr>
              <w:t>发包人地址</w:t>
            </w:r>
          </w:p>
        </w:tc>
        <w:tc>
          <w:tcPr>
            <w:tcW w:w="6569" w:type="dxa"/>
            <w:tcBorders>
              <w:right w:val="single" w:color="000000" w:sz="6" w:space="0"/>
            </w:tcBorders>
            <w:vAlign w:val="center"/>
          </w:tcPr>
          <w:p w14:paraId="148055D1">
            <w:pPr>
              <w:autoSpaceDE/>
              <w:autoSpaceDN/>
              <w:jc w:val="center"/>
              <w:rPr>
                <w:color w:val="auto"/>
              </w:rPr>
            </w:pPr>
          </w:p>
        </w:tc>
      </w:tr>
      <w:tr w14:paraId="04927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4478B94E">
            <w:pPr>
              <w:pStyle w:val="21"/>
              <w:autoSpaceDE/>
              <w:autoSpaceDN/>
              <w:jc w:val="center"/>
              <w:rPr>
                <w:rFonts w:hint="eastAsia"/>
                <w:color w:val="auto"/>
                <w:sz w:val="24"/>
                <w:szCs w:val="24"/>
              </w:rPr>
            </w:pPr>
            <w:r>
              <w:rPr>
                <w:color w:val="auto"/>
                <w:spacing w:val="-3"/>
                <w:sz w:val="24"/>
                <w:szCs w:val="24"/>
              </w:rPr>
              <w:t>发包人电话</w:t>
            </w:r>
          </w:p>
        </w:tc>
        <w:tc>
          <w:tcPr>
            <w:tcW w:w="6569" w:type="dxa"/>
            <w:tcBorders>
              <w:right w:val="single" w:color="000000" w:sz="6" w:space="0"/>
            </w:tcBorders>
            <w:vAlign w:val="center"/>
          </w:tcPr>
          <w:p w14:paraId="6669D161">
            <w:pPr>
              <w:autoSpaceDE/>
              <w:autoSpaceDN/>
              <w:jc w:val="center"/>
              <w:rPr>
                <w:color w:val="auto"/>
              </w:rPr>
            </w:pPr>
          </w:p>
        </w:tc>
      </w:tr>
      <w:tr w14:paraId="4760E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207" w:type="dxa"/>
            <w:tcBorders>
              <w:left w:val="single" w:color="000000" w:sz="6" w:space="0"/>
            </w:tcBorders>
            <w:vAlign w:val="center"/>
          </w:tcPr>
          <w:p w14:paraId="016963A4">
            <w:pPr>
              <w:pStyle w:val="21"/>
              <w:autoSpaceDE/>
              <w:autoSpaceDN/>
              <w:jc w:val="center"/>
              <w:rPr>
                <w:rFonts w:hint="eastAsia"/>
                <w:color w:val="auto"/>
                <w:sz w:val="24"/>
                <w:szCs w:val="24"/>
              </w:rPr>
            </w:pPr>
            <w:r>
              <w:rPr>
                <w:color w:val="auto"/>
                <w:spacing w:val="-2"/>
                <w:sz w:val="24"/>
                <w:szCs w:val="24"/>
              </w:rPr>
              <w:t>签约合同价</w:t>
            </w:r>
          </w:p>
        </w:tc>
        <w:tc>
          <w:tcPr>
            <w:tcW w:w="6569" w:type="dxa"/>
            <w:tcBorders>
              <w:right w:val="single" w:color="000000" w:sz="6" w:space="0"/>
            </w:tcBorders>
            <w:vAlign w:val="center"/>
          </w:tcPr>
          <w:p w14:paraId="432040C0">
            <w:pPr>
              <w:autoSpaceDE/>
              <w:autoSpaceDN/>
              <w:jc w:val="center"/>
              <w:rPr>
                <w:color w:val="auto"/>
              </w:rPr>
            </w:pPr>
          </w:p>
        </w:tc>
      </w:tr>
      <w:tr w14:paraId="56122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6C4E8B64">
            <w:pPr>
              <w:pStyle w:val="21"/>
              <w:autoSpaceDE/>
              <w:autoSpaceDN/>
              <w:jc w:val="center"/>
              <w:rPr>
                <w:rFonts w:hint="eastAsia"/>
                <w:color w:val="auto"/>
                <w:sz w:val="24"/>
                <w:szCs w:val="24"/>
              </w:rPr>
            </w:pPr>
            <w:r>
              <w:rPr>
                <w:color w:val="auto"/>
                <w:spacing w:val="-2"/>
                <w:sz w:val="24"/>
                <w:szCs w:val="24"/>
              </w:rPr>
              <w:t>开工日期</w:t>
            </w:r>
          </w:p>
        </w:tc>
        <w:tc>
          <w:tcPr>
            <w:tcW w:w="6569" w:type="dxa"/>
            <w:tcBorders>
              <w:right w:val="single" w:color="000000" w:sz="6" w:space="0"/>
            </w:tcBorders>
            <w:vAlign w:val="center"/>
          </w:tcPr>
          <w:p w14:paraId="1C467564">
            <w:pPr>
              <w:autoSpaceDE/>
              <w:autoSpaceDN/>
              <w:jc w:val="center"/>
              <w:rPr>
                <w:color w:val="auto"/>
              </w:rPr>
            </w:pPr>
          </w:p>
        </w:tc>
      </w:tr>
      <w:tr w14:paraId="6A5A3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124BE77F">
            <w:pPr>
              <w:pStyle w:val="21"/>
              <w:autoSpaceDE/>
              <w:autoSpaceDN/>
              <w:jc w:val="center"/>
              <w:rPr>
                <w:rFonts w:hint="eastAsia"/>
                <w:color w:val="auto"/>
                <w:sz w:val="24"/>
                <w:szCs w:val="24"/>
              </w:rPr>
            </w:pPr>
            <w:r>
              <w:rPr>
                <w:color w:val="auto"/>
                <w:spacing w:val="-2"/>
                <w:sz w:val="24"/>
                <w:szCs w:val="24"/>
              </w:rPr>
              <w:t>计划完工日期</w:t>
            </w:r>
          </w:p>
        </w:tc>
        <w:tc>
          <w:tcPr>
            <w:tcW w:w="6569" w:type="dxa"/>
            <w:tcBorders>
              <w:right w:val="single" w:color="000000" w:sz="6" w:space="0"/>
            </w:tcBorders>
            <w:vAlign w:val="center"/>
          </w:tcPr>
          <w:p w14:paraId="04FC9E86">
            <w:pPr>
              <w:autoSpaceDE/>
              <w:autoSpaceDN/>
              <w:jc w:val="center"/>
              <w:rPr>
                <w:color w:val="auto"/>
              </w:rPr>
            </w:pPr>
          </w:p>
        </w:tc>
      </w:tr>
      <w:tr w14:paraId="67E6A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center"/>
          </w:tcPr>
          <w:p w14:paraId="21A39AF4">
            <w:pPr>
              <w:pStyle w:val="21"/>
              <w:autoSpaceDE/>
              <w:autoSpaceDN/>
              <w:jc w:val="center"/>
              <w:rPr>
                <w:rFonts w:hint="eastAsia"/>
                <w:color w:val="auto"/>
                <w:sz w:val="24"/>
                <w:szCs w:val="24"/>
              </w:rPr>
            </w:pPr>
            <w:r>
              <w:rPr>
                <w:color w:val="auto"/>
                <w:spacing w:val="-2"/>
                <w:sz w:val="24"/>
                <w:szCs w:val="24"/>
              </w:rPr>
              <w:t>承担的工作</w:t>
            </w:r>
          </w:p>
        </w:tc>
        <w:tc>
          <w:tcPr>
            <w:tcW w:w="6569" w:type="dxa"/>
            <w:tcBorders>
              <w:right w:val="single" w:color="000000" w:sz="6" w:space="0"/>
            </w:tcBorders>
            <w:vAlign w:val="center"/>
          </w:tcPr>
          <w:p w14:paraId="1C7C4EC5">
            <w:pPr>
              <w:autoSpaceDE/>
              <w:autoSpaceDN/>
              <w:jc w:val="center"/>
              <w:rPr>
                <w:color w:val="auto"/>
              </w:rPr>
            </w:pPr>
          </w:p>
        </w:tc>
      </w:tr>
      <w:tr w14:paraId="02F75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162F4676">
            <w:pPr>
              <w:pStyle w:val="21"/>
              <w:autoSpaceDE/>
              <w:autoSpaceDN/>
              <w:jc w:val="center"/>
              <w:rPr>
                <w:rFonts w:hint="eastAsia"/>
                <w:color w:val="auto"/>
                <w:sz w:val="24"/>
                <w:szCs w:val="24"/>
              </w:rPr>
            </w:pPr>
            <w:r>
              <w:rPr>
                <w:color w:val="auto"/>
                <w:spacing w:val="-3"/>
                <w:sz w:val="24"/>
                <w:szCs w:val="24"/>
              </w:rPr>
              <w:t>工程质量</w:t>
            </w:r>
          </w:p>
        </w:tc>
        <w:tc>
          <w:tcPr>
            <w:tcW w:w="6569" w:type="dxa"/>
            <w:tcBorders>
              <w:right w:val="single" w:color="000000" w:sz="6" w:space="0"/>
            </w:tcBorders>
            <w:vAlign w:val="center"/>
          </w:tcPr>
          <w:p w14:paraId="2EAECCE6">
            <w:pPr>
              <w:autoSpaceDE/>
              <w:autoSpaceDN/>
              <w:jc w:val="center"/>
              <w:rPr>
                <w:color w:val="auto"/>
              </w:rPr>
            </w:pPr>
          </w:p>
        </w:tc>
      </w:tr>
      <w:tr w14:paraId="58F93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65E812FF">
            <w:pPr>
              <w:pStyle w:val="21"/>
              <w:autoSpaceDE/>
              <w:autoSpaceDN/>
              <w:jc w:val="center"/>
              <w:rPr>
                <w:rFonts w:hint="eastAsia"/>
                <w:color w:val="auto"/>
                <w:sz w:val="24"/>
                <w:szCs w:val="24"/>
              </w:rPr>
            </w:pPr>
            <w:r>
              <w:rPr>
                <w:color w:val="auto"/>
                <w:spacing w:val="-3"/>
                <w:sz w:val="24"/>
                <w:szCs w:val="24"/>
              </w:rPr>
              <w:t>项目负责人</w:t>
            </w:r>
          </w:p>
        </w:tc>
        <w:tc>
          <w:tcPr>
            <w:tcW w:w="6569" w:type="dxa"/>
            <w:tcBorders>
              <w:right w:val="single" w:color="000000" w:sz="6" w:space="0"/>
            </w:tcBorders>
            <w:vAlign w:val="center"/>
          </w:tcPr>
          <w:p w14:paraId="132DA3FF">
            <w:pPr>
              <w:autoSpaceDE/>
              <w:autoSpaceDN/>
              <w:jc w:val="center"/>
              <w:rPr>
                <w:color w:val="auto"/>
              </w:rPr>
            </w:pPr>
          </w:p>
        </w:tc>
      </w:tr>
      <w:tr w14:paraId="5C458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center"/>
          </w:tcPr>
          <w:p w14:paraId="6B15E912">
            <w:pPr>
              <w:pStyle w:val="21"/>
              <w:autoSpaceDE/>
              <w:autoSpaceDN/>
              <w:jc w:val="center"/>
              <w:rPr>
                <w:rFonts w:hint="eastAsia"/>
                <w:color w:val="auto"/>
                <w:sz w:val="24"/>
                <w:szCs w:val="24"/>
              </w:rPr>
            </w:pPr>
            <w:r>
              <w:rPr>
                <w:color w:val="auto"/>
                <w:spacing w:val="-2"/>
                <w:sz w:val="24"/>
                <w:szCs w:val="24"/>
              </w:rPr>
              <w:t>技术负责人</w:t>
            </w:r>
          </w:p>
        </w:tc>
        <w:tc>
          <w:tcPr>
            <w:tcW w:w="6569" w:type="dxa"/>
            <w:tcBorders>
              <w:right w:val="single" w:color="000000" w:sz="6" w:space="0"/>
            </w:tcBorders>
            <w:vAlign w:val="center"/>
          </w:tcPr>
          <w:p w14:paraId="429B562B">
            <w:pPr>
              <w:autoSpaceDE/>
              <w:autoSpaceDN/>
              <w:jc w:val="center"/>
              <w:rPr>
                <w:color w:val="auto"/>
              </w:rPr>
            </w:pPr>
          </w:p>
        </w:tc>
      </w:tr>
      <w:tr w14:paraId="239B5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7294C717">
            <w:pPr>
              <w:pStyle w:val="21"/>
              <w:autoSpaceDE/>
              <w:autoSpaceDN/>
              <w:jc w:val="center"/>
              <w:rPr>
                <w:rFonts w:hint="eastAsia"/>
                <w:color w:val="auto"/>
                <w:sz w:val="24"/>
                <w:szCs w:val="24"/>
              </w:rPr>
            </w:pPr>
            <w:r>
              <w:rPr>
                <w:strike/>
                <w:color w:val="auto"/>
                <w:spacing w:val="-2"/>
                <w:sz w:val="24"/>
                <w:szCs w:val="24"/>
              </w:rPr>
              <w:t>副项目负责人</w:t>
            </w:r>
          </w:p>
        </w:tc>
        <w:tc>
          <w:tcPr>
            <w:tcW w:w="6569" w:type="dxa"/>
            <w:tcBorders>
              <w:right w:val="single" w:color="000000" w:sz="6" w:space="0"/>
            </w:tcBorders>
            <w:vAlign w:val="center"/>
          </w:tcPr>
          <w:p w14:paraId="50A6A1D5">
            <w:pPr>
              <w:autoSpaceDE/>
              <w:autoSpaceDN/>
              <w:jc w:val="center"/>
              <w:rPr>
                <w:color w:val="auto"/>
              </w:rPr>
            </w:pPr>
          </w:p>
        </w:tc>
      </w:tr>
      <w:tr w14:paraId="5EEEA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2207" w:type="dxa"/>
            <w:tcBorders>
              <w:left w:val="single" w:color="000000" w:sz="6" w:space="0"/>
            </w:tcBorders>
            <w:vAlign w:val="center"/>
          </w:tcPr>
          <w:p w14:paraId="19A0C97B">
            <w:pPr>
              <w:pStyle w:val="21"/>
              <w:autoSpaceDE/>
              <w:autoSpaceDN/>
              <w:jc w:val="center"/>
              <w:rPr>
                <w:rFonts w:hint="eastAsia"/>
                <w:color w:val="auto"/>
                <w:sz w:val="24"/>
                <w:szCs w:val="24"/>
                <w:lang w:eastAsia="zh-CN"/>
              </w:rPr>
            </w:pPr>
            <w:r>
              <w:rPr>
                <w:color w:val="auto"/>
                <w:spacing w:val="-2"/>
                <w:sz w:val="24"/>
                <w:szCs w:val="24"/>
                <w:lang w:eastAsia="zh-CN"/>
              </w:rPr>
              <w:t>监理人和总监理工程师以及电话</w:t>
            </w:r>
          </w:p>
        </w:tc>
        <w:tc>
          <w:tcPr>
            <w:tcW w:w="6569" w:type="dxa"/>
            <w:tcBorders>
              <w:right w:val="single" w:color="000000" w:sz="6" w:space="0"/>
            </w:tcBorders>
            <w:vAlign w:val="center"/>
          </w:tcPr>
          <w:p w14:paraId="485E2643">
            <w:pPr>
              <w:autoSpaceDE/>
              <w:autoSpaceDN/>
              <w:jc w:val="center"/>
              <w:rPr>
                <w:color w:val="auto"/>
                <w:lang w:eastAsia="zh-CN"/>
              </w:rPr>
            </w:pPr>
          </w:p>
        </w:tc>
      </w:tr>
      <w:tr w14:paraId="1909A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6" w:hRule="atLeast"/>
        </w:trPr>
        <w:tc>
          <w:tcPr>
            <w:tcW w:w="2207" w:type="dxa"/>
            <w:tcBorders>
              <w:left w:val="single" w:color="000000" w:sz="6" w:space="0"/>
            </w:tcBorders>
            <w:vAlign w:val="center"/>
          </w:tcPr>
          <w:p w14:paraId="03F49A62">
            <w:pPr>
              <w:pStyle w:val="21"/>
              <w:autoSpaceDE/>
              <w:autoSpaceDN/>
              <w:jc w:val="center"/>
              <w:rPr>
                <w:rFonts w:hint="eastAsia"/>
                <w:color w:val="auto"/>
                <w:sz w:val="24"/>
                <w:szCs w:val="24"/>
              </w:rPr>
            </w:pPr>
            <w:r>
              <w:rPr>
                <w:color w:val="auto"/>
                <w:spacing w:val="-3"/>
                <w:sz w:val="24"/>
                <w:szCs w:val="24"/>
              </w:rPr>
              <w:t>项目描述</w:t>
            </w:r>
          </w:p>
        </w:tc>
        <w:tc>
          <w:tcPr>
            <w:tcW w:w="6569" w:type="dxa"/>
            <w:tcBorders>
              <w:right w:val="single" w:color="000000" w:sz="6" w:space="0"/>
            </w:tcBorders>
            <w:vAlign w:val="center"/>
          </w:tcPr>
          <w:p w14:paraId="59D344F7">
            <w:pPr>
              <w:autoSpaceDE/>
              <w:autoSpaceDN/>
              <w:jc w:val="center"/>
              <w:rPr>
                <w:color w:val="auto"/>
              </w:rPr>
            </w:pPr>
          </w:p>
        </w:tc>
      </w:tr>
      <w:tr w14:paraId="7882E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trPr>
        <w:tc>
          <w:tcPr>
            <w:tcW w:w="2207" w:type="dxa"/>
            <w:tcBorders>
              <w:left w:val="single" w:color="000000" w:sz="6" w:space="0"/>
              <w:bottom w:val="single" w:color="000000" w:sz="6" w:space="0"/>
            </w:tcBorders>
            <w:vAlign w:val="center"/>
          </w:tcPr>
          <w:p w14:paraId="235B2F16">
            <w:pPr>
              <w:pStyle w:val="21"/>
              <w:jc w:val="center"/>
              <w:rPr>
                <w:rFonts w:hint="eastAsia"/>
                <w:color w:val="auto"/>
                <w:sz w:val="24"/>
                <w:szCs w:val="24"/>
              </w:rPr>
            </w:pPr>
            <w:r>
              <w:rPr>
                <w:color w:val="auto"/>
                <w:spacing w:val="-4"/>
                <w:sz w:val="24"/>
                <w:szCs w:val="24"/>
              </w:rPr>
              <w:t>备注</w:t>
            </w:r>
          </w:p>
        </w:tc>
        <w:tc>
          <w:tcPr>
            <w:tcW w:w="6569" w:type="dxa"/>
            <w:tcBorders>
              <w:bottom w:val="single" w:color="000000" w:sz="6" w:space="0"/>
              <w:right w:val="single" w:color="000000" w:sz="6" w:space="0"/>
            </w:tcBorders>
            <w:vAlign w:val="center"/>
          </w:tcPr>
          <w:p w14:paraId="7C2A2965">
            <w:pPr>
              <w:pStyle w:val="21"/>
              <w:kinsoku/>
              <w:autoSpaceDE/>
              <w:autoSpaceDN/>
              <w:jc w:val="both"/>
              <w:rPr>
                <w:rFonts w:hint="eastAsia"/>
                <w:color w:val="auto"/>
                <w:sz w:val="24"/>
                <w:szCs w:val="24"/>
                <w:lang w:eastAsia="zh-CN"/>
              </w:rPr>
            </w:pPr>
            <w:r>
              <w:rPr>
                <w:color w:val="auto"/>
                <w:spacing w:val="-6"/>
                <w:sz w:val="24"/>
                <w:szCs w:val="24"/>
                <w:lang w:eastAsia="zh-CN"/>
              </w:rPr>
              <w:t>项目描述内容至少包括项目概况、本合同在项目中的地位（部</w:t>
            </w:r>
            <w:r>
              <w:rPr>
                <w:color w:val="auto"/>
                <w:spacing w:val="-4"/>
                <w:sz w:val="24"/>
                <w:szCs w:val="24"/>
                <w:lang w:eastAsia="zh-CN"/>
              </w:rPr>
              <w:t>位、合同价格所占比例）。</w:t>
            </w:r>
          </w:p>
        </w:tc>
      </w:tr>
    </w:tbl>
    <w:p w14:paraId="523237A2">
      <w:pPr>
        <w:spacing w:before="35" w:line="219" w:lineRule="auto"/>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注：相关材料复制件在“原件的复制件”中提供。</w:t>
      </w:r>
    </w:p>
    <w:p w14:paraId="6B8D3610">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235FF974">
      <w:pPr>
        <w:pStyle w:val="8"/>
        <w:spacing w:line="248" w:lineRule="auto"/>
        <w:rPr>
          <w:color w:val="auto"/>
          <w:lang w:eastAsia="zh-CN"/>
        </w:rPr>
      </w:pPr>
    </w:p>
    <w:p w14:paraId="33F19183">
      <w:pPr>
        <w:spacing w:before="78" w:line="220" w:lineRule="auto"/>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（五）原件的复制件</w:t>
      </w:r>
    </w:p>
    <w:p w14:paraId="5568152C">
      <w:pPr>
        <w:kinsoku/>
        <w:topLinePunct/>
        <w:autoSpaceDE/>
        <w:autoSpaceDN/>
        <w:spacing w:line="520" w:lineRule="exact"/>
        <w:ind w:firstLine="468"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1.详见投标人须知前附表第10.3款规定。</w:t>
      </w:r>
    </w:p>
    <w:p w14:paraId="150116DF">
      <w:pPr>
        <w:kinsoku/>
        <w:topLinePunct/>
        <w:autoSpaceDE/>
        <w:autoSpaceDN/>
        <w:spacing w:line="520" w:lineRule="exact"/>
        <w:ind w:firstLine="476"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2.投标人须将上述原件的复制件及其他认为必须的复制件制作在投标文件中。</w:t>
      </w:r>
    </w:p>
    <w:p w14:paraId="65D73357">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0BD971A4">
      <w:pPr>
        <w:spacing w:before="78" w:line="220" w:lineRule="auto"/>
        <w:ind w:left="301"/>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3"/>
          <w:sz w:val="24"/>
          <w:szCs w:val="24"/>
          <w:lang w:eastAsia="zh-CN"/>
        </w:rPr>
        <w:t>1.</w:t>
      </w:r>
      <w:r>
        <w:rPr>
          <w:rFonts w:ascii="宋体" w:hAnsi="宋体" w:eastAsia="宋体" w:cs="宋体"/>
          <w:b/>
          <w:bCs/>
          <w:color w:val="auto"/>
          <w:spacing w:val="-3"/>
          <w:sz w:val="24"/>
          <w:szCs w:val="24"/>
          <w:lang w:eastAsia="zh-CN"/>
        </w:rPr>
        <w:t>企业法人营业执照</w:t>
      </w:r>
    </w:p>
    <w:p w14:paraId="2FE95CAC">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2694FFE3">
      <w:pPr>
        <w:spacing w:before="78" w:line="219" w:lineRule="auto"/>
        <w:ind w:left="290"/>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2"/>
          <w:sz w:val="24"/>
          <w:szCs w:val="24"/>
          <w:lang w:eastAsia="zh-CN"/>
        </w:rPr>
        <w:t>2.</w:t>
      </w:r>
      <w:r>
        <w:rPr>
          <w:rFonts w:ascii="宋体" w:hAnsi="宋体" w:eastAsia="宋体" w:cs="宋体"/>
          <w:b/>
          <w:bCs/>
          <w:color w:val="auto"/>
          <w:spacing w:val="-2"/>
          <w:sz w:val="24"/>
          <w:szCs w:val="24"/>
          <w:lang w:eastAsia="zh-CN"/>
        </w:rPr>
        <w:t>建筑业企业资质证书</w:t>
      </w:r>
    </w:p>
    <w:p w14:paraId="3D29734B">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7A38D730">
      <w:pPr>
        <w:spacing w:before="78" w:line="220" w:lineRule="auto"/>
        <w:ind w:left="289"/>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2"/>
          <w:sz w:val="24"/>
          <w:szCs w:val="24"/>
          <w:lang w:eastAsia="zh-CN"/>
        </w:rPr>
        <w:t>3.</w:t>
      </w:r>
      <w:r>
        <w:rPr>
          <w:rFonts w:ascii="宋体" w:hAnsi="宋体" w:eastAsia="宋体" w:cs="宋体"/>
          <w:b/>
          <w:bCs/>
          <w:color w:val="auto"/>
          <w:spacing w:val="-2"/>
          <w:sz w:val="24"/>
          <w:szCs w:val="24"/>
          <w:lang w:eastAsia="zh-CN"/>
        </w:rPr>
        <w:t>企业安全生产许可证</w:t>
      </w:r>
    </w:p>
    <w:p w14:paraId="71A44F8F">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478D1C5B">
      <w:pPr>
        <w:spacing w:before="78" w:line="219" w:lineRule="auto"/>
        <w:ind w:left="291"/>
        <w:rPr>
          <w:rFonts w:hint="eastAsia" w:ascii="宋体" w:hAnsi="宋体" w:eastAsia="宋体" w:cs="宋体"/>
          <w:b/>
          <w:bCs/>
          <w:color w:val="auto"/>
          <w:spacing w:val="-2"/>
          <w:sz w:val="24"/>
          <w:szCs w:val="24"/>
          <w:lang w:eastAsia="zh-CN"/>
        </w:rPr>
      </w:pPr>
      <w:r>
        <w:rPr>
          <w:rFonts w:ascii="Times New Roman" w:hAnsi="Times New Roman" w:eastAsia="Times New Roman" w:cs="Times New Roman"/>
          <w:b/>
          <w:bCs/>
          <w:color w:val="auto"/>
          <w:spacing w:val="-2"/>
          <w:sz w:val="24"/>
          <w:szCs w:val="24"/>
          <w:lang w:eastAsia="zh-CN"/>
        </w:rPr>
        <w:t>4.</w:t>
      </w:r>
      <w:r>
        <w:rPr>
          <w:rFonts w:ascii="宋体" w:hAnsi="宋体" w:eastAsia="宋体" w:cs="宋体"/>
          <w:b/>
          <w:bCs/>
          <w:color w:val="auto"/>
          <w:spacing w:val="-2"/>
          <w:sz w:val="24"/>
          <w:szCs w:val="24"/>
          <w:lang w:eastAsia="zh-CN"/>
        </w:rPr>
        <w:t>企业主要负责人</w:t>
      </w:r>
      <w:r>
        <w:rPr>
          <w:rFonts w:ascii="Times New Roman" w:hAnsi="Times New Roman" w:eastAsia="Times New Roman" w:cs="Times New Roman"/>
          <w:b/>
          <w:bCs/>
          <w:color w:val="auto"/>
          <w:spacing w:val="-2"/>
          <w:sz w:val="24"/>
          <w:szCs w:val="24"/>
          <w:lang w:eastAsia="zh-CN"/>
        </w:rPr>
        <w:t>“</w:t>
      </w:r>
      <w:r>
        <w:rPr>
          <w:rFonts w:ascii="宋体" w:hAnsi="宋体" w:eastAsia="宋体" w:cs="宋体"/>
          <w:b/>
          <w:bCs/>
          <w:color w:val="auto"/>
          <w:spacing w:val="-2"/>
          <w:sz w:val="24"/>
          <w:szCs w:val="24"/>
          <w:lang w:eastAsia="zh-CN"/>
        </w:rPr>
        <w:t>三类人员</w:t>
      </w:r>
      <w:r>
        <w:rPr>
          <w:rFonts w:ascii="Times New Roman" w:hAnsi="Times New Roman" w:eastAsia="Times New Roman" w:cs="Times New Roman"/>
          <w:b/>
          <w:bCs/>
          <w:color w:val="auto"/>
          <w:spacing w:val="-2"/>
          <w:sz w:val="24"/>
          <w:szCs w:val="24"/>
          <w:lang w:eastAsia="zh-CN"/>
        </w:rPr>
        <w:t>”A</w:t>
      </w:r>
      <w:r>
        <w:rPr>
          <w:rFonts w:ascii="宋体" w:hAnsi="宋体" w:eastAsia="宋体" w:cs="宋体"/>
          <w:b/>
          <w:bCs/>
          <w:color w:val="auto"/>
          <w:spacing w:val="-2"/>
          <w:sz w:val="24"/>
          <w:szCs w:val="24"/>
          <w:lang w:eastAsia="zh-CN"/>
        </w:rPr>
        <w:t>类证书及任命书</w:t>
      </w:r>
    </w:p>
    <w:p w14:paraId="0B85AF32">
      <w:pPr>
        <w:spacing w:before="78" w:line="219" w:lineRule="auto"/>
        <w:ind w:left="291"/>
        <w:rPr>
          <w:rFonts w:hint="eastAsia" w:ascii="宋体" w:hAnsi="宋体" w:eastAsia="宋体" w:cs="宋体"/>
          <w:b/>
          <w:bCs/>
          <w:color w:val="auto"/>
          <w:spacing w:val="-2"/>
          <w:sz w:val="24"/>
          <w:szCs w:val="24"/>
          <w:lang w:eastAsia="zh-CN"/>
        </w:rPr>
      </w:pPr>
    </w:p>
    <w:tbl>
      <w:tblPr>
        <w:tblStyle w:val="20"/>
        <w:tblW w:w="81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3176"/>
        <w:gridCol w:w="1133"/>
        <w:gridCol w:w="3123"/>
      </w:tblGrid>
      <w:tr w14:paraId="24042E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jc w:val="center"/>
        </w:trPr>
        <w:tc>
          <w:tcPr>
            <w:tcW w:w="717" w:type="dxa"/>
            <w:vAlign w:val="center"/>
          </w:tcPr>
          <w:p w14:paraId="229EC65E">
            <w:pPr>
              <w:pStyle w:val="21"/>
              <w:widowControl w:val="0"/>
              <w:kinsoku/>
              <w:topLinePunct/>
              <w:autoSpaceDE/>
              <w:autoSpaceDN/>
              <w:jc w:val="center"/>
              <w:rPr>
                <w:rFonts w:hint="eastAsia"/>
                <w:color w:val="auto"/>
                <w:sz w:val="24"/>
                <w:szCs w:val="24"/>
              </w:rPr>
            </w:pPr>
            <w:r>
              <w:rPr>
                <w:color w:val="auto"/>
                <w:spacing w:val="-3"/>
                <w:sz w:val="24"/>
                <w:szCs w:val="24"/>
              </w:rPr>
              <w:t>序号</w:t>
            </w:r>
          </w:p>
        </w:tc>
        <w:tc>
          <w:tcPr>
            <w:tcW w:w="3176" w:type="dxa"/>
            <w:vAlign w:val="center"/>
          </w:tcPr>
          <w:p w14:paraId="402CB647">
            <w:pPr>
              <w:pStyle w:val="21"/>
              <w:widowControl w:val="0"/>
              <w:kinsoku/>
              <w:topLinePunct/>
              <w:autoSpaceDE/>
              <w:autoSpaceDN/>
              <w:jc w:val="center"/>
              <w:rPr>
                <w:rFonts w:hint="eastAsia"/>
                <w:color w:val="auto"/>
                <w:sz w:val="24"/>
                <w:szCs w:val="24"/>
              </w:rPr>
            </w:pPr>
            <w:r>
              <w:rPr>
                <w:color w:val="auto"/>
                <w:spacing w:val="-9"/>
                <w:sz w:val="24"/>
                <w:szCs w:val="24"/>
              </w:rPr>
              <w:t>岗位</w:t>
            </w:r>
          </w:p>
        </w:tc>
        <w:tc>
          <w:tcPr>
            <w:tcW w:w="1133" w:type="dxa"/>
            <w:vAlign w:val="center"/>
          </w:tcPr>
          <w:p w14:paraId="0E598921">
            <w:pPr>
              <w:pStyle w:val="21"/>
              <w:widowControl w:val="0"/>
              <w:kinsoku/>
              <w:topLinePunct/>
              <w:autoSpaceDE/>
              <w:autoSpaceDN/>
              <w:jc w:val="center"/>
              <w:rPr>
                <w:rFonts w:hint="eastAsia"/>
                <w:color w:val="auto"/>
                <w:sz w:val="24"/>
                <w:szCs w:val="24"/>
              </w:rPr>
            </w:pPr>
            <w:r>
              <w:rPr>
                <w:color w:val="auto"/>
                <w:spacing w:val="-3"/>
                <w:sz w:val="24"/>
                <w:szCs w:val="24"/>
              </w:rPr>
              <w:t>姓名</w:t>
            </w:r>
          </w:p>
        </w:tc>
        <w:tc>
          <w:tcPr>
            <w:tcW w:w="3123" w:type="dxa"/>
            <w:vAlign w:val="center"/>
          </w:tcPr>
          <w:p w14:paraId="1BEE6778">
            <w:pPr>
              <w:pStyle w:val="21"/>
              <w:widowControl w:val="0"/>
              <w:kinsoku/>
              <w:topLinePunct/>
              <w:autoSpaceDE/>
              <w:autoSpaceDN/>
              <w:jc w:val="center"/>
              <w:rPr>
                <w:rFonts w:hint="eastAsia"/>
                <w:color w:val="auto"/>
                <w:sz w:val="24"/>
                <w:szCs w:val="24"/>
              </w:rPr>
            </w:pPr>
            <w:r>
              <w:rPr>
                <w:color w:val="auto"/>
                <w:spacing w:val="-3"/>
                <w:sz w:val="24"/>
                <w:szCs w:val="24"/>
              </w:rPr>
              <w:t>身份证号码</w:t>
            </w:r>
          </w:p>
        </w:tc>
      </w:tr>
      <w:tr w14:paraId="0533F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717" w:type="dxa"/>
            <w:vAlign w:val="center"/>
          </w:tcPr>
          <w:p w14:paraId="4F6873AE">
            <w:pPr>
              <w:widowControl w:val="0"/>
              <w:kinsoku/>
              <w:topLinePunct/>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1</w:t>
            </w:r>
          </w:p>
        </w:tc>
        <w:tc>
          <w:tcPr>
            <w:tcW w:w="3176" w:type="dxa"/>
            <w:vAlign w:val="center"/>
          </w:tcPr>
          <w:p w14:paraId="752ABFD0">
            <w:pPr>
              <w:pStyle w:val="21"/>
              <w:widowControl w:val="0"/>
              <w:kinsoku/>
              <w:topLinePunct/>
              <w:autoSpaceDE/>
              <w:autoSpaceDN/>
              <w:jc w:val="center"/>
              <w:rPr>
                <w:rFonts w:hint="eastAsia"/>
                <w:color w:val="auto"/>
                <w:sz w:val="24"/>
                <w:szCs w:val="24"/>
              </w:rPr>
            </w:pPr>
            <w:r>
              <w:rPr>
                <w:color w:val="auto"/>
                <w:spacing w:val="-2"/>
                <w:sz w:val="24"/>
                <w:szCs w:val="24"/>
              </w:rPr>
              <w:t>法定代表人</w:t>
            </w:r>
          </w:p>
        </w:tc>
        <w:tc>
          <w:tcPr>
            <w:tcW w:w="1133" w:type="dxa"/>
            <w:vAlign w:val="center"/>
          </w:tcPr>
          <w:p w14:paraId="040D7418">
            <w:pPr>
              <w:widowControl w:val="0"/>
              <w:kinsoku/>
              <w:topLinePunct/>
              <w:autoSpaceDE/>
              <w:autoSpaceDN/>
              <w:jc w:val="center"/>
              <w:rPr>
                <w:color w:val="auto"/>
              </w:rPr>
            </w:pPr>
          </w:p>
        </w:tc>
        <w:tc>
          <w:tcPr>
            <w:tcW w:w="3123" w:type="dxa"/>
            <w:vAlign w:val="center"/>
          </w:tcPr>
          <w:p w14:paraId="132B74FE">
            <w:pPr>
              <w:widowControl w:val="0"/>
              <w:kinsoku/>
              <w:topLinePunct/>
              <w:autoSpaceDE/>
              <w:autoSpaceDN/>
              <w:jc w:val="center"/>
              <w:rPr>
                <w:color w:val="auto"/>
              </w:rPr>
            </w:pPr>
          </w:p>
        </w:tc>
      </w:tr>
      <w:tr w14:paraId="3D63A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717" w:type="dxa"/>
            <w:vAlign w:val="center"/>
          </w:tcPr>
          <w:p w14:paraId="35AD0723">
            <w:pPr>
              <w:widowControl w:val="0"/>
              <w:kinsoku/>
              <w:topLinePunct/>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2</w:t>
            </w:r>
          </w:p>
        </w:tc>
        <w:tc>
          <w:tcPr>
            <w:tcW w:w="3176" w:type="dxa"/>
            <w:vAlign w:val="center"/>
          </w:tcPr>
          <w:p w14:paraId="49F7898E">
            <w:pPr>
              <w:pStyle w:val="21"/>
              <w:widowControl w:val="0"/>
              <w:kinsoku/>
              <w:topLinePunct/>
              <w:autoSpaceDE/>
              <w:autoSpaceDN/>
              <w:jc w:val="center"/>
              <w:rPr>
                <w:rFonts w:hint="eastAsia"/>
                <w:color w:val="auto"/>
                <w:sz w:val="24"/>
                <w:szCs w:val="24"/>
              </w:rPr>
            </w:pPr>
            <w:r>
              <w:rPr>
                <w:color w:val="auto"/>
                <w:spacing w:val="-3"/>
                <w:sz w:val="24"/>
                <w:szCs w:val="24"/>
              </w:rPr>
              <w:t>企业经理</w:t>
            </w:r>
          </w:p>
        </w:tc>
        <w:tc>
          <w:tcPr>
            <w:tcW w:w="1133" w:type="dxa"/>
            <w:vAlign w:val="center"/>
          </w:tcPr>
          <w:p w14:paraId="3864DD22">
            <w:pPr>
              <w:widowControl w:val="0"/>
              <w:kinsoku/>
              <w:topLinePunct/>
              <w:autoSpaceDE/>
              <w:autoSpaceDN/>
              <w:jc w:val="center"/>
              <w:rPr>
                <w:color w:val="auto"/>
              </w:rPr>
            </w:pPr>
          </w:p>
        </w:tc>
        <w:tc>
          <w:tcPr>
            <w:tcW w:w="3123" w:type="dxa"/>
            <w:vAlign w:val="center"/>
          </w:tcPr>
          <w:p w14:paraId="1084454F">
            <w:pPr>
              <w:widowControl w:val="0"/>
              <w:kinsoku/>
              <w:topLinePunct/>
              <w:autoSpaceDE/>
              <w:autoSpaceDN/>
              <w:jc w:val="center"/>
              <w:rPr>
                <w:color w:val="auto"/>
              </w:rPr>
            </w:pPr>
          </w:p>
        </w:tc>
      </w:tr>
      <w:tr w14:paraId="6D3AF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717" w:type="dxa"/>
            <w:vAlign w:val="center"/>
          </w:tcPr>
          <w:p w14:paraId="330B0A96">
            <w:pPr>
              <w:widowControl w:val="0"/>
              <w:kinsoku/>
              <w:topLinePunct/>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3</w:t>
            </w:r>
          </w:p>
        </w:tc>
        <w:tc>
          <w:tcPr>
            <w:tcW w:w="3176" w:type="dxa"/>
            <w:vAlign w:val="center"/>
          </w:tcPr>
          <w:p w14:paraId="49A1F6EE">
            <w:pPr>
              <w:pStyle w:val="21"/>
              <w:widowControl w:val="0"/>
              <w:kinsoku/>
              <w:topLinePunct/>
              <w:autoSpaceDE/>
              <w:autoSpaceDN/>
              <w:jc w:val="center"/>
              <w:rPr>
                <w:rFonts w:hint="eastAsia"/>
                <w:color w:val="auto"/>
                <w:sz w:val="24"/>
                <w:szCs w:val="24"/>
                <w:lang w:eastAsia="zh-CN"/>
              </w:rPr>
            </w:pPr>
            <w:r>
              <w:rPr>
                <w:color w:val="auto"/>
                <w:spacing w:val="-2"/>
                <w:sz w:val="24"/>
                <w:szCs w:val="24"/>
                <w:lang w:eastAsia="zh-CN"/>
              </w:rPr>
              <w:t>企业分管安全生产的副经理</w:t>
            </w:r>
          </w:p>
        </w:tc>
        <w:tc>
          <w:tcPr>
            <w:tcW w:w="1133" w:type="dxa"/>
            <w:vAlign w:val="center"/>
          </w:tcPr>
          <w:p w14:paraId="658AEB84">
            <w:pPr>
              <w:widowControl w:val="0"/>
              <w:kinsoku/>
              <w:topLinePunct/>
              <w:autoSpaceDE/>
              <w:autoSpaceDN/>
              <w:jc w:val="center"/>
              <w:rPr>
                <w:color w:val="auto"/>
                <w:lang w:eastAsia="zh-CN"/>
              </w:rPr>
            </w:pPr>
          </w:p>
        </w:tc>
        <w:tc>
          <w:tcPr>
            <w:tcW w:w="3123" w:type="dxa"/>
            <w:vAlign w:val="center"/>
          </w:tcPr>
          <w:p w14:paraId="1D7A05BD">
            <w:pPr>
              <w:widowControl w:val="0"/>
              <w:kinsoku/>
              <w:topLinePunct/>
              <w:autoSpaceDE/>
              <w:autoSpaceDN/>
              <w:jc w:val="center"/>
              <w:rPr>
                <w:color w:val="auto"/>
                <w:lang w:eastAsia="zh-CN"/>
              </w:rPr>
            </w:pPr>
          </w:p>
        </w:tc>
      </w:tr>
      <w:tr w14:paraId="197EE6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jc w:val="center"/>
        </w:trPr>
        <w:tc>
          <w:tcPr>
            <w:tcW w:w="717" w:type="dxa"/>
            <w:vAlign w:val="center"/>
          </w:tcPr>
          <w:p w14:paraId="09D1580C">
            <w:pPr>
              <w:widowControl w:val="0"/>
              <w:kinsoku/>
              <w:topLinePunct/>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4</w:t>
            </w:r>
          </w:p>
        </w:tc>
        <w:tc>
          <w:tcPr>
            <w:tcW w:w="3176" w:type="dxa"/>
            <w:vAlign w:val="center"/>
          </w:tcPr>
          <w:p w14:paraId="3F2B8506">
            <w:pPr>
              <w:pStyle w:val="21"/>
              <w:widowControl w:val="0"/>
              <w:kinsoku/>
              <w:topLinePunct/>
              <w:autoSpaceDE/>
              <w:autoSpaceDN/>
              <w:jc w:val="center"/>
              <w:rPr>
                <w:rFonts w:hint="eastAsia"/>
                <w:color w:val="auto"/>
                <w:sz w:val="24"/>
                <w:szCs w:val="24"/>
              </w:rPr>
            </w:pPr>
            <w:r>
              <w:rPr>
                <w:color w:val="auto"/>
                <w:spacing w:val="-2"/>
                <w:sz w:val="24"/>
                <w:szCs w:val="24"/>
              </w:rPr>
              <w:t>企业技术负责人</w:t>
            </w:r>
          </w:p>
        </w:tc>
        <w:tc>
          <w:tcPr>
            <w:tcW w:w="1133" w:type="dxa"/>
            <w:vAlign w:val="center"/>
          </w:tcPr>
          <w:p w14:paraId="039B07A8">
            <w:pPr>
              <w:widowControl w:val="0"/>
              <w:kinsoku/>
              <w:topLinePunct/>
              <w:autoSpaceDE/>
              <w:autoSpaceDN/>
              <w:jc w:val="center"/>
              <w:rPr>
                <w:color w:val="auto"/>
              </w:rPr>
            </w:pPr>
          </w:p>
        </w:tc>
        <w:tc>
          <w:tcPr>
            <w:tcW w:w="3123" w:type="dxa"/>
            <w:vAlign w:val="center"/>
          </w:tcPr>
          <w:p w14:paraId="6D816EA7">
            <w:pPr>
              <w:widowControl w:val="0"/>
              <w:kinsoku/>
              <w:topLinePunct/>
              <w:autoSpaceDE/>
              <w:autoSpaceDN/>
              <w:jc w:val="center"/>
              <w:rPr>
                <w:color w:val="auto"/>
              </w:rPr>
            </w:pPr>
          </w:p>
        </w:tc>
      </w:tr>
    </w:tbl>
    <w:p w14:paraId="345C4F5A">
      <w:pPr>
        <w:spacing w:line="219" w:lineRule="auto"/>
        <w:rPr>
          <w:rFonts w:hint="eastAsia" w:ascii="宋体" w:hAnsi="宋体" w:eastAsia="宋体" w:cs="宋体"/>
          <w:color w:val="auto"/>
          <w:sz w:val="24"/>
          <w:szCs w:val="24"/>
        </w:rPr>
      </w:pPr>
    </w:p>
    <w:p w14:paraId="545D0DA8">
      <w:pPr>
        <w:pStyle w:val="8"/>
        <w:spacing w:line="247" w:lineRule="auto"/>
        <w:rPr>
          <w:color w:val="auto"/>
        </w:rPr>
      </w:pPr>
    </w:p>
    <w:p w14:paraId="10E1B755">
      <w:pPr>
        <w:rPr>
          <w:rFonts w:ascii="Times New Roman" w:hAnsi="Times New Roman" w:eastAsia="Times New Roman" w:cs="Times New Roman"/>
          <w:b/>
          <w:bCs/>
          <w:color w:val="auto"/>
          <w:spacing w:val="-2"/>
          <w:sz w:val="24"/>
          <w:szCs w:val="24"/>
        </w:rPr>
      </w:pPr>
      <w:r>
        <w:rPr>
          <w:rFonts w:ascii="Times New Roman" w:hAnsi="Times New Roman" w:eastAsia="Times New Roman" w:cs="Times New Roman"/>
          <w:b/>
          <w:bCs/>
          <w:color w:val="auto"/>
          <w:spacing w:val="-2"/>
          <w:sz w:val="24"/>
          <w:szCs w:val="24"/>
        </w:rPr>
        <w:br w:type="page"/>
      </w:r>
    </w:p>
    <w:p w14:paraId="3E42EE6D">
      <w:pPr>
        <w:autoSpaceDE/>
        <w:autoSpaceDN/>
        <w:spacing w:line="520" w:lineRule="exact"/>
        <w:ind w:firstLine="472" w:firstLineChars="200"/>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2"/>
          <w:sz w:val="24"/>
          <w:szCs w:val="24"/>
          <w:lang w:eastAsia="zh-CN"/>
        </w:rPr>
        <w:t>5.</w:t>
      </w:r>
      <w:r>
        <w:rPr>
          <w:rFonts w:hint="eastAsia" w:ascii="Times New Roman" w:hAnsi="Times New Roman" w:eastAsia="宋体" w:cs="Times New Roman"/>
          <w:b/>
          <w:bCs/>
          <w:color w:val="auto"/>
          <w:spacing w:val="-2"/>
          <w:sz w:val="24"/>
          <w:szCs w:val="24"/>
          <w:lang w:eastAsia="zh-CN"/>
        </w:rPr>
        <w:t>项目负责人、技术负责人（如选择提供建造师证书）</w:t>
      </w:r>
      <w:r>
        <w:rPr>
          <w:rFonts w:hint="eastAsia" w:ascii="Times New Roman" w:hAnsi="Times New Roman" w:eastAsia="宋体" w:cs="Times New Roman"/>
          <w:b/>
          <w:bCs/>
          <w:strike/>
          <w:color w:val="auto"/>
          <w:spacing w:val="-2"/>
          <w:sz w:val="24"/>
          <w:szCs w:val="24"/>
          <w:lang w:eastAsia="zh-CN"/>
        </w:rPr>
        <w:t>、副项目负责人（如有）</w:t>
      </w:r>
      <w:r>
        <w:rPr>
          <w:rFonts w:hint="eastAsia" w:ascii="Times New Roman" w:hAnsi="Times New Roman" w:eastAsia="宋体" w:cs="Times New Roman"/>
          <w:b/>
          <w:bCs/>
          <w:color w:val="auto"/>
          <w:spacing w:val="-2"/>
          <w:sz w:val="24"/>
          <w:szCs w:val="24"/>
          <w:lang w:eastAsia="zh-CN"/>
        </w:rPr>
        <w:t>注册执业证书</w:t>
      </w:r>
    </w:p>
    <w:p w14:paraId="28C1AE6E">
      <w:pPr>
        <w:autoSpaceDE/>
        <w:autoSpaceDN/>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294D7BD8">
      <w:pPr>
        <w:autoSpaceDE/>
        <w:autoSpaceDN/>
        <w:spacing w:line="520" w:lineRule="exact"/>
        <w:ind w:firstLine="472" w:firstLineChars="200"/>
        <w:rPr>
          <w:rFonts w:hint="eastAsia" w:ascii="宋体" w:hAnsi="宋体" w:eastAsia="宋体" w:cs="宋体"/>
          <w:color w:val="auto"/>
          <w:sz w:val="24"/>
          <w:szCs w:val="24"/>
          <w:lang w:eastAsia="zh-CN"/>
        </w:rPr>
        <w:sectPr>
          <w:footerReference r:id="rId15" w:type="default"/>
          <w:pgSz w:w="11907" w:h="16841"/>
          <w:pgMar w:top="1417" w:right="1527" w:bottom="1254" w:left="1785" w:header="0" w:footer="1093" w:gutter="0"/>
          <w:pgNumType w:fmt="numberInDash"/>
          <w:cols w:space="720" w:num="1"/>
        </w:sectPr>
      </w:pPr>
      <w:r>
        <w:rPr>
          <w:rFonts w:ascii="Times New Roman" w:hAnsi="Times New Roman" w:eastAsia="Times New Roman" w:cs="Times New Roman"/>
          <w:b/>
          <w:bCs/>
          <w:color w:val="auto"/>
          <w:spacing w:val="-2"/>
          <w:sz w:val="24"/>
          <w:szCs w:val="24"/>
          <w:lang w:eastAsia="zh-CN"/>
        </w:rPr>
        <w:t>6.</w:t>
      </w:r>
      <w:r>
        <w:rPr>
          <w:rFonts w:hint="eastAsia" w:ascii="Times New Roman" w:hAnsi="Times New Roman" w:eastAsia="宋体" w:cs="Times New Roman"/>
          <w:b/>
          <w:bCs/>
          <w:color w:val="auto"/>
          <w:spacing w:val="-2"/>
          <w:sz w:val="24"/>
          <w:szCs w:val="24"/>
          <w:lang w:eastAsia="zh-CN"/>
        </w:rPr>
        <w:t>技术负责人（如选择提供职称证书）</w:t>
      </w:r>
      <w:r>
        <w:rPr>
          <w:rFonts w:hint="eastAsia" w:ascii="Times New Roman" w:hAnsi="Times New Roman" w:eastAsia="宋体" w:cs="Times New Roman"/>
          <w:b/>
          <w:bCs/>
          <w:strike/>
          <w:color w:val="auto"/>
          <w:spacing w:val="-2"/>
          <w:sz w:val="24"/>
          <w:szCs w:val="24"/>
          <w:lang w:eastAsia="zh-CN"/>
        </w:rPr>
        <w:t>、副项目负责人（如有）</w:t>
      </w:r>
      <w:r>
        <w:rPr>
          <w:rFonts w:hint="eastAsia" w:ascii="Times New Roman" w:hAnsi="Times New Roman" w:eastAsia="宋体" w:cs="Times New Roman"/>
          <w:b/>
          <w:bCs/>
          <w:color w:val="auto"/>
          <w:spacing w:val="-2"/>
          <w:sz w:val="24"/>
          <w:szCs w:val="24"/>
          <w:lang w:eastAsia="zh-CN"/>
        </w:rPr>
        <w:t>职称证书</w:t>
      </w:r>
    </w:p>
    <w:p w14:paraId="1C94C4B2">
      <w:pPr>
        <w:autoSpaceDE/>
        <w:autoSpaceDN/>
        <w:spacing w:line="520" w:lineRule="exact"/>
        <w:ind w:firstLine="472" w:firstLineChars="200"/>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2"/>
          <w:sz w:val="24"/>
          <w:szCs w:val="24"/>
          <w:lang w:eastAsia="zh-CN"/>
        </w:rPr>
        <w:t>7.</w:t>
      </w:r>
      <w:r>
        <w:rPr>
          <w:rFonts w:ascii="宋体" w:hAnsi="宋体" w:eastAsia="宋体" w:cs="宋体"/>
          <w:b/>
          <w:bCs/>
          <w:color w:val="auto"/>
          <w:spacing w:val="-2"/>
          <w:sz w:val="24"/>
          <w:szCs w:val="24"/>
          <w:lang w:eastAsia="zh-CN"/>
        </w:rPr>
        <w:t>项目负责人“三类人员”</w:t>
      </w:r>
      <w:r>
        <w:rPr>
          <w:rFonts w:ascii="Times New Roman" w:hAnsi="Times New Roman" w:eastAsia="Times New Roman" w:cs="Times New Roman"/>
          <w:b/>
          <w:bCs/>
          <w:color w:val="auto"/>
          <w:spacing w:val="-2"/>
          <w:sz w:val="24"/>
          <w:szCs w:val="24"/>
          <w:lang w:eastAsia="zh-CN"/>
        </w:rPr>
        <w:t>B</w:t>
      </w:r>
      <w:r>
        <w:rPr>
          <w:rFonts w:ascii="宋体" w:hAnsi="宋体" w:eastAsia="宋体" w:cs="宋体"/>
          <w:b/>
          <w:bCs/>
          <w:color w:val="auto"/>
          <w:spacing w:val="-2"/>
          <w:sz w:val="24"/>
          <w:szCs w:val="24"/>
          <w:lang w:eastAsia="zh-CN"/>
        </w:rPr>
        <w:t>类证书</w:t>
      </w:r>
    </w:p>
    <w:p w14:paraId="124A8F1F">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5161636A">
      <w:pPr>
        <w:autoSpaceDE/>
        <w:autoSpaceDN/>
        <w:spacing w:line="520" w:lineRule="exact"/>
        <w:ind w:firstLine="472" w:firstLineChars="200"/>
        <w:rPr>
          <w:rFonts w:ascii="Times New Roman" w:hAnsi="Times New Roman" w:eastAsia="Times New Roman" w:cs="Times New Roman"/>
          <w:b/>
          <w:bCs/>
          <w:color w:val="auto"/>
          <w:spacing w:val="-2"/>
          <w:sz w:val="24"/>
          <w:szCs w:val="24"/>
          <w:lang w:eastAsia="zh-CN"/>
        </w:rPr>
      </w:pPr>
      <w:r>
        <w:rPr>
          <w:rFonts w:ascii="Times New Roman" w:hAnsi="Times New Roman" w:eastAsia="Times New Roman" w:cs="Times New Roman"/>
          <w:b/>
          <w:bCs/>
          <w:color w:val="auto"/>
          <w:spacing w:val="-2"/>
          <w:sz w:val="24"/>
          <w:szCs w:val="24"/>
          <w:lang w:eastAsia="zh-CN"/>
        </w:rPr>
        <w:t>8.施工现场专职安全生产管理人员“三类人员”C类证书</w:t>
      </w:r>
    </w:p>
    <w:p w14:paraId="202FBA78">
      <w:pPr>
        <w:rPr>
          <w:rFonts w:ascii="Times New Roman" w:hAnsi="Times New Roman" w:eastAsia="Times New Roman" w:cs="Times New Roman"/>
          <w:b/>
          <w:bCs/>
          <w:color w:val="auto"/>
          <w:spacing w:val="-2"/>
          <w:sz w:val="24"/>
          <w:szCs w:val="24"/>
          <w:lang w:eastAsia="zh-CN"/>
        </w:rPr>
      </w:pPr>
      <w:r>
        <w:rPr>
          <w:rFonts w:ascii="Times New Roman" w:hAnsi="Times New Roman" w:eastAsia="Times New Roman" w:cs="Times New Roman"/>
          <w:b/>
          <w:bCs/>
          <w:color w:val="auto"/>
          <w:spacing w:val="-2"/>
          <w:sz w:val="24"/>
          <w:szCs w:val="24"/>
          <w:lang w:eastAsia="zh-CN"/>
        </w:rPr>
        <w:br w:type="page"/>
      </w:r>
    </w:p>
    <w:p w14:paraId="621142B7">
      <w:pPr>
        <w:autoSpaceDE/>
        <w:autoSpaceDN/>
        <w:spacing w:line="520" w:lineRule="exact"/>
        <w:ind w:firstLine="474" w:firstLineChars="200"/>
        <w:rPr>
          <w:rFonts w:hint="eastAsia" w:ascii="宋体" w:hAnsi="宋体" w:eastAsia="宋体" w:cs="宋体"/>
          <w:b/>
          <w:bCs/>
          <w:color w:val="auto"/>
          <w:spacing w:val="-2"/>
          <w:sz w:val="24"/>
          <w:szCs w:val="24"/>
          <w:lang w:eastAsia="zh-CN"/>
        </w:rPr>
      </w:pPr>
      <w:r>
        <w:rPr>
          <w:rFonts w:hint="eastAsia" w:ascii="宋体" w:hAnsi="宋体" w:eastAsia="宋体" w:cs="宋体"/>
          <w:b/>
          <w:bCs/>
          <w:color w:val="auto"/>
          <w:spacing w:val="-2"/>
          <w:sz w:val="24"/>
          <w:szCs w:val="24"/>
          <w:lang w:eastAsia="zh-CN"/>
        </w:rPr>
        <w:t>9.项目组主要人员在浙江省水利厅“浙江省水利工程建设管理系统（透明工程）”下载人员信息打印件</w:t>
      </w:r>
    </w:p>
    <w:p w14:paraId="4B395E5E">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72E60799">
      <w:pPr>
        <w:autoSpaceDE/>
        <w:autoSpaceDN/>
        <w:spacing w:line="520" w:lineRule="exact"/>
        <w:ind w:firstLine="474" w:firstLineChars="200"/>
        <w:rPr>
          <w:rFonts w:hint="eastAsia" w:ascii="宋体" w:hAnsi="宋体" w:eastAsia="宋体" w:cs="宋体"/>
          <w:b/>
          <w:bCs/>
          <w:color w:val="auto"/>
          <w:spacing w:val="-2"/>
          <w:sz w:val="24"/>
          <w:szCs w:val="24"/>
          <w:lang w:eastAsia="zh-CN"/>
        </w:rPr>
      </w:pPr>
      <w:r>
        <w:rPr>
          <w:rFonts w:hint="eastAsia" w:ascii="宋体" w:hAnsi="宋体" w:eastAsia="宋体" w:cs="宋体"/>
          <w:b/>
          <w:bCs/>
          <w:color w:val="auto"/>
          <w:spacing w:val="-2"/>
          <w:sz w:val="24"/>
          <w:szCs w:val="24"/>
          <w:lang w:eastAsia="zh-CN"/>
        </w:rPr>
        <w:t>10.</w:t>
      </w:r>
      <w:r>
        <w:rPr>
          <w:rFonts w:ascii="宋体" w:hAnsi="宋体" w:eastAsia="宋体" w:cs="宋体"/>
          <w:b/>
          <w:bCs/>
          <w:color w:val="auto"/>
          <w:spacing w:val="-2"/>
          <w:sz w:val="24"/>
          <w:szCs w:val="24"/>
          <w:lang w:eastAsia="zh-CN"/>
        </w:rPr>
        <w:t>符合招标公告要求的类似项目业绩证明材料</w:t>
      </w:r>
    </w:p>
    <w:p w14:paraId="7DBE7569">
      <w:pPr>
        <w:spacing w:line="520" w:lineRule="exact"/>
        <w:ind w:firstLine="472" w:firstLineChars="200"/>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注：如提供的是联合体业绩，还须提供联合体协议书。</w:t>
      </w:r>
    </w:p>
    <w:p w14:paraId="0EAB2EAA">
      <w:pPr>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5829EA6D">
      <w:pPr>
        <w:spacing w:line="520" w:lineRule="exact"/>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11.拟派项目组主要人员、委托代理人（若有）社保证明</w:t>
      </w:r>
    </w:p>
    <w:p w14:paraId="5B133A0D">
      <w:pPr>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0BA6F87E">
      <w:pPr>
        <w:pStyle w:val="8"/>
        <w:spacing w:line="520" w:lineRule="exact"/>
        <w:rPr>
          <w:rFonts w:hint="eastAsia" w:ascii="宋体" w:hAnsi="宋体" w:eastAsia="宋体" w:cs="宋体"/>
          <w:color w:val="auto"/>
          <w:lang w:eastAsia="zh-CN"/>
        </w:rPr>
      </w:pPr>
    </w:p>
    <w:p w14:paraId="1F979F3D">
      <w:pPr>
        <w:spacing w:line="520" w:lineRule="exact"/>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12.其他</w:t>
      </w:r>
    </w:p>
    <w:p w14:paraId="16C4BA1C">
      <w:pPr>
        <w:spacing w:line="520" w:lineRule="exact"/>
        <w:rPr>
          <w:rFonts w:hint="eastAsia" w:ascii="宋体" w:hAnsi="宋体" w:eastAsia="宋体" w:cs="宋体"/>
          <w:color w:val="auto"/>
          <w:sz w:val="24"/>
          <w:szCs w:val="24"/>
          <w:lang w:eastAsia="zh-CN"/>
        </w:rPr>
        <w:sectPr>
          <w:footerReference r:id="rId16" w:type="default"/>
          <w:pgSz w:w="11907" w:h="16841"/>
          <w:pgMar w:top="1417" w:right="1527" w:bottom="1254" w:left="1785" w:header="0" w:footer="1093" w:gutter="0"/>
          <w:pgNumType w:fmt="numberInDash"/>
          <w:cols w:space="720" w:num="1"/>
        </w:sectPr>
      </w:pPr>
    </w:p>
    <w:p w14:paraId="14247A93">
      <w:pPr>
        <w:spacing w:line="520" w:lineRule="exact"/>
        <w:jc w:val="center"/>
        <w:outlineLvl w:val="2"/>
        <w:rPr>
          <w:rFonts w:hint="eastAsia" w:ascii="宋体" w:hAnsi="宋体" w:eastAsia="宋体" w:cs="宋体"/>
          <w:color w:val="auto"/>
          <w:sz w:val="28"/>
          <w:szCs w:val="28"/>
          <w:lang w:eastAsia="zh-CN"/>
        </w:rPr>
      </w:pPr>
      <w:bookmarkStart w:id="1863" w:name="_Toc1404"/>
      <w:bookmarkStart w:id="1864" w:name="_Toc29216"/>
      <w:bookmarkStart w:id="1865" w:name="_Toc17457"/>
      <w:bookmarkStart w:id="1866" w:name="_Toc14290"/>
      <w:r>
        <w:rPr>
          <w:rFonts w:hint="eastAsia" w:ascii="宋体" w:hAnsi="宋体" w:eastAsia="宋体" w:cs="宋体"/>
          <w:b/>
          <w:bCs/>
          <w:color w:val="auto"/>
          <w:spacing w:val="-6"/>
          <w:sz w:val="28"/>
          <w:szCs w:val="28"/>
          <w:lang w:eastAsia="zh-CN"/>
        </w:rPr>
        <w:t>五、其他材料</w:t>
      </w:r>
      <w:bookmarkEnd w:id="1863"/>
      <w:bookmarkEnd w:id="1864"/>
      <w:bookmarkEnd w:id="1865"/>
      <w:bookmarkEnd w:id="1866"/>
    </w:p>
    <w:p w14:paraId="567F07EF">
      <w:pPr>
        <w:pStyle w:val="8"/>
        <w:spacing w:line="520" w:lineRule="exact"/>
        <w:rPr>
          <w:rFonts w:hint="eastAsia" w:ascii="宋体" w:hAnsi="宋体" w:eastAsia="宋体" w:cs="宋体"/>
          <w:color w:val="auto"/>
          <w:lang w:eastAsia="zh-CN"/>
        </w:rPr>
      </w:pPr>
    </w:p>
    <w:p w14:paraId="62602DF2">
      <w:pPr>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（1）投标承诺书</w:t>
      </w:r>
    </w:p>
    <w:p w14:paraId="1ECF79C1">
      <w:pPr>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（2）中小企业声明函（若有）</w:t>
      </w:r>
    </w:p>
    <w:p w14:paraId="187E969D">
      <w:pPr>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（3）其他材料</w:t>
      </w:r>
    </w:p>
    <w:p w14:paraId="4B64D309">
      <w:pPr>
        <w:spacing w:line="520" w:lineRule="exact"/>
        <w:rPr>
          <w:rFonts w:hint="eastAsia" w:ascii="宋体" w:hAnsi="宋体" w:eastAsia="宋体" w:cs="宋体"/>
          <w:color w:val="auto"/>
          <w:sz w:val="24"/>
          <w:szCs w:val="24"/>
          <w:lang w:eastAsia="zh-CN"/>
        </w:rPr>
        <w:sectPr>
          <w:footerReference r:id="rId17" w:type="default"/>
          <w:pgSz w:w="11907" w:h="16841"/>
          <w:pgMar w:top="1417" w:right="1527" w:bottom="1254" w:left="1785" w:header="0" w:footer="1093" w:gutter="0"/>
          <w:pgNumType w:fmt="numberInDash"/>
          <w:cols w:space="720" w:num="1"/>
        </w:sectPr>
      </w:pPr>
    </w:p>
    <w:p w14:paraId="7600DD7A">
      <w:pPr>
        <w:spacing w:before="140" w:line="223" w:lineRule="auto"/>
        <w:ind w:left="2878"/>
        <w:rPr>
          <w:rFonts w:hint="eastAsia" w:ascii="宋体" w:hAnsi="宋体" w:eastAsia="宋体" w:cs="宋体"/>
          <w:color w:val="auto"/>
          <w:sz w:val="43"/>
          <w:szCs w:val="43"/>
          <w:lang w:eastAsia="zh-CN"/>
        </w:rPr>
      </w:pPr>
      <w:r>
        <w:rPr>
          <w:rFonts w:ascii="宋体" w:hAnsi="宋体" w:eastAsia="宋体" w:cs="宋体"/>
          <w:b/>
          <w:bCs/>
          <w:color w:val="auto"/>
          <w:spacing w:val="-13"/>
          <w:sz w:val="43"/>
          <w:szCs w:val="43"/>
          <w:lang w:eastAsia="zh-CN"/>
        </w:rPr>
        <w:t>投标承诺书</w:t>
      </w:r>
    </w:p>
    <w:p w14:paraId="1A3D9007">
      <w:pPr>
        <w:tabs>
          <w:tab w:val="left" w:pos="2767"/>
        </w:tabs>
        <w:spacing w:before="307" w:line="213" w:lineRule="auto"/>
        <w:ind w:left="7"/>
        <w:rPr>
          <w:rFonts w:hint="eastAsia" w:ascii="宋体" w:hAnsi="宋体" w:eastAsia="宋体" w:cs="宋体"/>
          <w:color w:val="auto"/>
          <w:sz w:val="24"/>
          <w:szCs w:val="24"/>
          <w:lang w:eastAsia="zh-CN"/>
        </w:rPr>
      </w:pPr>
      <w:r>
        <w:rPr>
          <w:rFonts w:ascii="宋体" w:hAnsi="宋体" w:eastAsia="宋体" w:cs="宋体"/>
          <w:color w:val="auto"/>
          <w:sz w:val="24"/>
          <w:szCs w:val="24"/>
          <w:u w:val="single"/>
          <w:lang w:eastAsia="zh-CN"/>
        </w:rPr>
        <w:tab/>
      </w:r>
      <w:r>
        <w:rPr>
          <w:rFonts w:ascii="宋体" w:hAnsi="宋体" w:eastAsia="宋体" w:cs="宋体"/>
          <w:color w:val="auto"/>
          <w:spacing w:val="-21"/>
          <w:sz w:val="24"/>
          <w:szCs w:val="24"/>
          <w:lang w:eastAsia="zh-CN"/>
        </w:rPr>
        <w:t>（</w:t>
      </w:r>
      <w:r>
        <w:rPr>
          <w:rFonts w:ascii="宋体" w:hAnsi="宋体" w:eastAsia="宋体" w:cs="宋体"/>
          <w:i/>
          <w:iCs/>
          <w:color w:val="auto"/>
          <w:spacing w:val="-21"/>
          <w:sz w:val="25"/>
          <w:szCs w:val="25"/>
          <w:lang w:eastAsia="zh-CN"/>
        </w:rPr>
        <w:t>招标人名称</w:t>
      </w:r>
      <w:r>
        <w:rPr>
          <w:rFonts w:ascii="宋体" w:hAnsi="宋体" w:eastAsia="宋体" w:cs="宋体"/>
          <w:color w:val="auto"/>
          <w:spacing w:val="-16"/>
          <w:sz w:val="24"/>
          <w:szCs w:val="24"/>
          <w:lang w:eastAsia="zh-CN"/>
        </w:rPr>
        <w:t>）：</w:t>
      </w:r>
    </w:p>
    <w:p w14:paraId="46CB1603">
      <w:pPr>
        <w:spacing w:before="288" w:line="212" w:lineRule="auto"/>
        <w:ind w:left="500"/>
        <w:rPr>
          <w:rFonts w:hint="eastAsia" w:ascii="宋体" w:hAnsi="宋体" w:eastAsia="宋体" w:cs="宋体"/>
          <w:color w:val="auto"/>
          <w:sz w:val="24"/>
          <w:szCs w:val="24"/>
          <w:lang w:eastAsia="zh-CN"/>
        </w:rPr>
      </w:pPr>
      <w:r>
        <w:rPr>
          <w:rFonts w:ascii="宋体" w:hAnsi="宋体" w:eastAsia="宋体" w:cs="宋体"/>
          <w:color w:val="auto"/>
          <w:spacing w:val="-7"/>
          <w:sz w:val="24"/>
          <w:szCs w:val="24"/>
          <w:lang w:eastAsia="zh-CN"/>
        </w:rPr>
        <w:t>本投标人</w:t>
      </w:r>
      <w:r>
        <w:rPr>
          <w:rFonts w:hint="eastAsia" w:ascii="宋体" w:hAnsi="宋体" w:eastAsia="宋体" w:cs="宋体"/>
          <w:color w:val="auto"/>
          <w:spacing w:val="-7"/>
          <w:sz w:val="24"/>
          <w:szCs w:val="24"/>
          <w:u w:val="single"/>
          <w:lang w:eastAsia="zh-CN"/>
        </w:rPr>
        <w:t>　　　　　　　　　　　　　　　</w:t>
      </w:r>
      <w:r>
        <w:rPr>
          <w:rFonts w:ascii="宋体" w:hAnsi="宋体" w:eastAsia="宋体" w:cs="宋体"/>
          <w:color w:val="auto"/>
          <w:spacing w:val="-7"/>
          <w:sz w:val="24"/>
          <w:szCs w:val="24"/>
          <w:lang w:eastAsia="zh-CN"/>
        </w:rPr>
        <w:t>（</w:t>
      </w:r>
      <w:r>
        <w:rPr>
          <w:rFonts w:ascii="宋体" w:hAnsi="宋体" w:eastAsia="宋体" w:cs="宋体"/>
          <w:i/>
          <w:iCs/>
          <w:color w:val="auto"/>
          <w:spacing w:val="-7"/>
          <w:sz w:val="25"/>
          <w:szCs w:val="25"/>
          <w:lang w:eastAsia="zh-CN"/>
        </w:rPr>
        <w:t>投标人名称</w:t>
      </w:r>
      <w:r>
        <w:rPr>
          <w:rFonts w:ascii="宋体" w:hAnsi="宋体" w:eastAsia="宋体" w:cs="宋体"/>
          <w:color w:val="auto"/>
          <w:spacing w:val="-7"/>
          <w:sz w:val="24"/>
          <w:szCs w:val="24"/>
          <w:lang w:eastAsia="zh-CN"/>
        </w:rPr>
        <w:t>）郑重承诺：</w:t>
      </w:r>
    </w:p>
    <w:p w14:paraId="78185724">
      <w:pPr>
        <w:spacing w:before="153" w:line="312" w:lineRule="auto"/>
        <w:ind w:left="15" w:right="150" w:firstLine="502"/>
        <w:rPr>
          <w:rFonts w:hint="eastAsia" w:ascii="宋体" w:hAnsi="宋体" w:eastAsia="宋体" w:cs="宋体"/>
          <w:color w:val="auto"/>
          <w:sz w:val="24"/>
          <w:szCs w:val="24"/>
          <w:lang w:eastAsia="zh-CN"/>
        </w:rPr>
      </w:pPr>
      <w:r>
        <w:rPr>
          <w:rFonts w:ascii="Times New Roman" w:hAnsi="Times New Roman" w:eastAsia="Times New Roman" w:cs="Times New Roman"/>
          <w:color w:val="auto"/>
          <w:spacing w:val="-3"/>
          <w:sz w:val="24"/>
          <w:szCs w:val="24"/>
          <w:lang w:eastAsia="zh-CN"/>
        </w:rPr>
        <w:t>1</w:t>
      </w:r>
      <w:r>
        <w:rPr>
          <w:rFonts w:ascii="宋体" w:hAnsi="宋体" w:eastAsia="宋体" w:cs="宋体"/>
          <w:color w:val="auto"/>
          <w:spacing w:val="-3"/>
          <w:sz w:val="24"/>
          <w:szCs w:val="24"/>
          <w:lang w:eastAsia="zh-CN"/>
        </w:rPr>
        <w:t>、拟派本招标项目</w:t>
      </w:r>
      <w:r>
        <w:rPr>
          <w:rFonts w:hint="eastAsia" w:ascii="宋体" w:hAnsi="宋体" w:eastAsia="宋体" w:cs="宋体"/>
          <w:color w:val="auto"/>
          <w:spacing w:val="-74"/>
          <w:sz w:val="24"/>
          <w:szCs w:val="24"/>
          <w:lang w:eastAsia="zh-CN"/>
        </w:rPr>
        <w:t>　</w:t>
      </w:r>
      <w:r>
        <w:rPr>
          <w:rFonts w:hint="eastAsia" w:ascii="宋体" w:hAnsi="宋体" w:eastAsia="宋体" w:cs="宋体"/>
          <w:color w:val="auto"/>
          <w:spacing w:val="-3"/>
          <w:sz w:val="24"/>
          <w:szCs w:val="24"/>
          <w:u w:val="single"/>
          <w:lang w:eastAsia="zh-CN"/>
        </w:rPr>
        <w:t>　　　　　　　　　</w:t>
      </w:r>
      <w:r>
        <w:rPr>
          <w:rFonts w:ascii="宋体" w:hAnsi="宋体" w:eastAsia="宋体" w:cs="宋体"/>
          <w:color w:val="auto"/>
          <w:spacing w:val="-3"/>
          <w:sz w:val="24"/>
          <w:szCs w:val="24"/>
          <w:lang w:eastAsia="zh-CN"/>
        </w:rPr>
        <w:t>（</w:t>
      </w:r>
      <w:r>
        <w:rPr>
          <w:rFonts w:ascii="宋体" w:hAnsi="宋体" w:eastAsia="宋体" w:cs="宋体"/>
          <w:i/>
          <w:iCs/>
          <w:color w:val="auto"/>
          <w:spacing w:val="-3"/>
          <w:sz w:val="25"/>
          <w:szCs w:val="25"/>
          <w:lang w:eastAsia="zh-CN"/>
        </w:rPr>
        <w:t>项目名称</w:t>
      </w:r>
      <w:r>
        <w:rPr>
          <w:rFonts w:ascii="宋体" w:hAnsi="宋体" w:eastAsia="宋体" w:cs="宋体"/>
          <w:color w:val="auto"/>
          <w:spacing w:val="-27"/>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27"/>
          <w:sz w:val="24"/>
          <w:szCs w:val="24"/>
          <w:lang w:eastAsia="zh-CN"/>
        </w:rPr>
        <w:t>（</w:t>
      </w:r>
      <w:r>
        <w:rPr>
          <w:rFonts w:ascii="宋体" w:hAnsi="宋体" w:eastAsia="宋体" w:cs="宋体"/>
          <w:i/>
          <w:iCs/>
          <w:color w:val="auto"/>
          <w:spacing w:val="-3"/>
          <w:sz w:val="25"/>
          <w:szCs w:val="25"/>
          <w:lang w:eastAsia="zh-CN"/>
        </w:rPr>
        <w:t>标段名称</w:t>
      </w:r>
      <w:r>
        <w:rPr>
          <w:rFonts w:ascii="宋体" w:hAnsi="宋体" w:eastAsia="宋体" w:cs="宋体"/>
          <w:color w:val="auto"/>
          <w:spacing w:val="-3"/>
          <w:sz w:val="24"/>
          <w:szCs w:val="24"/>
          <w:lang w:eastAsia="zh-CN"/>
        </w:rPr>
        <w:t>）的</w:t>
      </w:r>
      <w:r>
        <w:rPr>
          <w:rFonts w:ascii="宋体" w:hAnsi="宋体" w:eastAsia="宋体" w:cs="宋体"/>
          <w:color w:val="auto"/>
          <w:sz w:val="24"/>
          <w:szCs w:val="24"/>
          <w:lang w:eastAsia="zh-CN"/>
        </w:rPr>
        <w:t>项目负责人在投标截止时间无在其他任何在建合同工程上担</w:t>
      </w:r>
      <w:r>
        <w:rPr>
          <w:rFonts w:ascii="宋体" w:hAnsi="宋体" w:eastAsia="宋体" w:cs="宋体"/>
          <w:color w:val="auto"/>
          <w:spacing w:val="-1"/>
          <w:sz w:val="24"/>
          <w:szCs w:val="24"/>
          <w:lang w:eastAsia="zh-CN"/>
        </w:rPr>
        <w:t>任项目负责人（包括工</w:t>
      </w:r>
      <w:r>
        <w:rPr>
          <w:rFonts w:ascii="宋体" w:hAnsi="宋体" w:eastAsia="宋体" w:cs="宋体"/>
          <w:color w:val="auto"/>
          <w:sz w:val="24"/>
          <w:szCs w:val="24"/>
          <w:lang w:eastAsia="zh-CN"/>
        </w:rPr>
        <w:t>程总承包项目中的施工负责人）的情形。在建合同工程的开</w:t>
      </w:r>
      <w:r>
        <w:rPr>
          <w:rFonts w:ascii="宋体" w:hAnsi="宋体" w:eastAsia="宋体" w:cs="宋体"/>
          <w:color w:val="auto"/>
          <w:spacing w:val="-1"/>
          <w:sz w:val="24"/>
          <w:szCs w:val="24"/>
          <w:lang w:eastAsia="zh-CN"/>
        </w:rPr>
        <w:t>始时间为合同工程中标</w:t>
      </w:r>
      <w:r>
        <w:rPr>
          <w:rFonts w:ascii="宋体" w:hAnsi="宋体" w:eastAsia="宋体" w:cs="宋体"/>
          <w:color w:val="auto"/>
          <w:sz w:val="24"/>
          <w:szCs w:val="24"/>
          <w:lang w:eastAsia="zh-CN"/>
        </w:rPr>
        <w:t>通知书发出之日（不通过招标方式的，开始时间为合同签</w:t>
      </w:r>
      <w:r>
        <w:rPr>
          <w:rFonts w:ascii="宋体" w:hAnsi="宋体" w:eastAsia="宋体" w:cs="宋体"/>
          <w:color w:val="auto"/>
          <w:spacing w:val="-1"/>
          <w:sz w:val="24"/>
          <w:szCs w:val="24"/>
          <w:lang w:eastAsia="zh-CN"/>
        </w:rPr>
        <w:t>订之日），结束时间为该</w:t>
      </w:r>
      <w:r>
        <w:rPr>
          <w:rFonts w:ascii="宋体" w:hAnsi="宋体" w:eastAsia="宋体" w:cs="宋体"/>
          <w:color w:val="auto"/>
          <w:spacing w:val="-3"/>
          <w:sz w:val="24"/>
          <w:szCs w:val="24"/>
          <w:lang w:eastAsia="zh-CN"/>
        </w:rPr>
        <w:t>合同通过验收或合同解除之日。</w:t>
      </w:r>
    </w:p>
    <w:p w14:paraId="58D3E90D">
      <w:pPr>
        <w:spacing w:before="151" w:line="303" w:lineRule="auto"/>
        <w:ind w:left="8" w:right="27" w:firstLine="486"/>
        <w:rPr>
          <w:rFonts w:hint="eastAsia" w:ascii="宋体" w:hAnsi="宋体" w:eastAsia="宋体" w:cs="宋体"/>
          <w:color w:val="auto"/>
          <w:sz w:val="24"/>
          <w:szCs w:val="24"/>
        </w:rPr>
      </w:pPr>
      <w:r>
        <w:rPr>
          <w:rFonts w:ascii="Times New Roman" w:hAnsi="Times New Roman" w:eastAsia="Times New Roman" w:cs="Times New Roman"/>
          <w:color w:val="auto"/>
          <w:spacing w:val="-4"/>
          <w:sz w:val="24"/>
          <w:szCs w:val="24"/>
        </w:rPr>
        <w:t>2</w:t>
      </w:r>
      <w:r>
        <w:rPr>
          <w:rFonts w:ascii="宋体" w:hAnsi="宋体" w:eastAsia="宋体" w:cs="宋体"/>
          <w:color w:val="auto"/>
          <w:spacing w:val="-4"/>
          <w:sz w:val="24"/>
          <w:szCs w:val="24"/>
        </w:rPr>
        <w:t>、投标人及法定代表人</w:t>
      </w:r>
      <w:r>
        <w:rPr>
          <w:rFonts w:hint="eastAsia" w:ascii="宋体" w:hAnsi="宋体" w:eastAsia="宋体" w:cs="宋体"/>
          <w:color w:val="auto"/>
          <w:spacing w:val="-4"/>
          <w:sz w:val="24"/>
          <w:szCs w:val="24"/>
          <w:lang w:eastAsia="zh-CN"/>
        </w:rPr>
        <w:t>　</w:t>
      </w:r>
      <w:r>
        <w:rPr>
          <w:rFonts w:hint="eastAsia" w:ascii="宋体" w:hAnsi="宋体" w:eastAsia="宋体" w:cs="宋体"/>
          <w:color w:val="auto"/>
          <w:spacing w:val="-4"/>
          <w:sz w:val="24"/>
          <w:szCs w:val="24"/>
          <w:u w:val="single"/>
          <w:lang w:eastAsia="zh-CN"/>
        </w:rPr>
        <w:t>　　　</w:t>
      </w:r>
      <w:r>
        <w:rPr>
          <w:rFonts w:ascii="宋体" w:hAnsi="宋体" w:eastAsia="宋体" w:cs="宋体"/>
          <w:color w:val="auto"/>
          <w:spacing w:val="-4"/>
          <w:sz w:val="24"/>
          <w:szCs w:val="24"/>
        </w:rPr>
        <w:t>（</w:t>
      </w:r>
      <w:r>
        <w:rPr>
          <w:rFonts w:ascii="宋体" w:hAnsi="宋体" w:eastAsia="宋体" w:cs="宋体"/>
          <w:i/>
          <w:iCs/>
          <w:color w:val="auto"/>
          <w:spacing w:val="-4"/>
          <w:sz w:val="25"/>
          <w:szCs w:val="25"/>
        </w:rPr>
        <w:t>姓名</w:t>
      </w:r>
      <w:r>
        <w:rPr>
          <w:rFonts w:ascii="宋体" w:hAnsi="宋体" w:eastAsia="宋体" w:cs="宋体"/>
          <w:color w:val="auto"/>
          <w:spacing w:val="-12"/>
          <w:sz w:val="24"/>
          <w:szCs w:val="24"/>
        </w:rPr>
        <w:t>）（</w:t>
      </w:r>
      <w:r>
        <w:rPr>
          <w:rFonts w:ascii="宋体" w:hAnsi="宋体" w:eastAsia="宋体" w:cs="宋体"/>
          <w:color w:val="auto"/>
          <w:spacing w:val="-4"/>
          <w:sz w:val="24"/>
          <w:szCs w:val="24"/>
        </w:rPr>
        <w:t>身份</w:t>
      </w:r>
      <w:r>
        <w:rPr>
          <w:rFonts w:ascii="宋体" w:hAnsi="宋体" w:eastAsia="宋体" w:cs="宋体"/>
          <w:color w:val="auto"/>
          <w:spacing w:val="-5"/>
          <w:sz w:val="24"/>
          <w:szCs w:val="24"/>
        </w:rPr>
        <w:t>证号码</w:t>
      </w:r>
      <w:r>
        <w:rPr>
          <w:rFonts w:ascii="宋体" w:hAnsi="宋体" w:eastAsia="宋体" w:cs="宋体"/>
          <w:color w:val="auto"/>
          <w:spacing w:val="-12"/>
          <w:sz w:val="24"/>
          <w:szCs w:val="24"/>
        </w:rPr>
        <w:t>：</w:t>
      </w:r>
      <w:r>
        <w:rPr>
          <w:rFonts w:hint="eastAsia" w:ascii="宋体" w:hAnsi="宋体" w:eastAsia="宋体" w:cs="宋体"/>
          <w:color w:val="auto"/>
          <w:spacing w:val="-12"/>
          <w:sz w:val="24"/>
          <w:szCs w:val="24"/>
          <w:u w:val="single"/>
          <w:lang w:eastAsia="zh-CN"/>
        </w:rPr>
        <w:t>　　　）</w:t>
      </w:r>
      <w:r>
        <w:rPr>
          <w:rFonts w:ascii="宋体" w:hAnsi="宋体" w:eastAsia="宋体" w:cs="宋体"/>
          <w:color w:val="auto"/>
          <w:spacing w:val="-4"/>
          <w:sz w:val="24"/>
          <w:szCs w:val="24"/>
        </w:rPr>
        <w:t>、拟派本招标项目项目负责人自</w:t>
      </w:r>
      <w:r>
        <w:rPr>
          <w:rFonts w:hint="eastAsia" w:ascii="宋体" w:hAnsi="宋体" w:eastAsia="宋体" w:cs="宋体"/>
          <w:color w:val="auto"/>
          <w:spacing w:val="-4"/>
          <w:sz w:val="24"/>
          <w:szCs w:val="24"/>
          <w:u w:val="single"/>
          <w:lang w:eastAsia="zh-CN"/>
        </w:rPr>
        <w:t>　　　</w:t>
      </w:r>
      <w:r>
        <w:rPr>
          <w:rFonts w:ascii="宋体" w:hAnsi="宋体" w:eastAsia="宋体" w:cs="宋体"/>
          <w:color w:val="auto"/>
          <w:spacing w:val="-4"/>
          <w:sz w:val="24"/>
          <w:szCs w:val="24"/>
        </w:rPr>
        <w:t>年</w:t>
      </w:r>
      <w:r>
        <w:rPr>
          <w:rFonts w:hint="eastAsia" w:ascii="宋体" w:hAnsi="宋体" w:eastAsia="宋体" w:cs="宋体"/>
          <w:color w:val="auto"/>
          <w:spacing w:val="-4"/>
          <w:sz w:val="24"/>
          <w:szCs w:val="24"/>
          <w:u w:val="single"/>
          <w:lang w:eastAsia="zh-CN"/>
        </w:rPr>
        <w:t>　　　</w:t>
      </w:r>
      <w:r>
        <w:rPr>
          <w:rFonts w:ascii="宋体" w:hAnsi="宋体" w:eastAsia="宋体" w:cs="宋体"/>
          <w:color w:val="auto"/>
          <w:spacing w:val="-4"/>
          <w:sz w:val="24"/>
          <w:szCs w:val="24"/>
        </w:rPr>
        <w:t>月</w:t>
      </w:r>
      <w:r>
        <w:rPr>
          <w:rFonts w:hint="eastAsia" w:ascii="宋体" w:hAnsi="宋体" w:eastAsia="宋体" w:cs="宋体"/>
          <w:color w:val="auto"/>
          <w:spacing w:val="-4"/>
          <w:sz w:val="24"/>
          <w:szCs w:val="24"/>
          <w:u w:val="single"/>
          <w:lang w:eastAsia="zh-CN"/>
        </w:rPr>
        <w:t>　</w:t>
      </w:r>
      <w:r>
        <w:rPr>
          <w:rFonts w:hint="eastAsia" w:ascii="宋体" w:hAnsi="宋体" w:eastAsia="宋体" w:cs="宋体"/>
          <w:color w:val="auto"/>
          <w:spacing w:val="-5"/>
          <w:sz w:val="24"/>
          <w:szCs w:val="24"/>
          <w:u w:val="single"/>
          <w:lang w:eastAsia="zh-CN"/>
        </w:rPr>
        <w:t>　</w:t>
      </w:r>
      <w:r>
        <w:rPr>
          <w:rFonts w:ascii="宋体" w:hAnsi="宋体" w:eastAsia="宋体" w:cs="宋体"/>
          <w:color w:val="auto"/>
          <w:spacing w:val="-5"/>
          <w:sz w:val="24"/>
          <w:szCs w:val="24"/>
        </w:rPr>
        <w:t>日以</w:t>
      </w:r>
      <w:r>
        <w:rPr>
          <w:rFonts w:ascii="宋体" w:hAnsi="宋体" w:eastAsia="宋体" w:cs="宋体"/>
          <w:color w:val="auto"/>
          <w:spacing w:val="-20"/>
          <w:sz w:val="24"/>
          <w:szCs w:val="24"/>
        </w:rPr>
        <w:t>来至投标截止时间，无行贿犯罪记录［以中国裁判文书网（</w:t>
      </w:r>
      <w:r>
        <w:fldChar w:fldCharType="begin"/>
      </w:r>
      <w:r>
        <w:instrText xml:space="preserve"> HYPERLINK "http://wenshu.court.gov.cn/" </w:instrText>
      </w:r>
      <w:r>
        <w:fldChar w:fldCharType="separate"/>
      </w:r>
      <w:r>
        <w:rPr>
          <w:rFonts w:ascii="Times New Roman" w:hAnsi="Times New Roman" w:eastAsia="Times New Roman" w:cs="Times New Roman"/>
          <w:color w:val="auto"/>
          <w:spacing w:val="-20"/>
          <w:sz w:val="24"/>
          <w:szCs w:val="24"/>
        </w:rPr>
        <w:t>http</w:t>
      </w:r>
      <w:r>
        <w:rPr>
          <w:rFonts w:hint="eastAsia" w:ascii="Times New Roman" w:hAnsi="Times New Roman" w:eastAsia="宋体" w:cs="Times New Roman"/>
          <w:color w:val="auto"/>
          <w:spacing w:val="-20"/>
          <w:sz w:val="24"/>
          <w:szCs w:val="24"/>
          <w:lang w:eastAsia="zh-CN"/>
        </w:rPr>
        <w:t>：</w:t>
      </w:r>
      <w:r>
        <w:rPr>
          <w:rFonts w:ascii="Times New Roman" w:hAnsi="Times New Roman" w:eastAsia="Times New Roman" w:cs="Times New Roman"/>
          <w:color w:val="auto"/>
          <w:spacing w:val="-20"/>
          <w:sz w:val="24"/>
          <w:szCs w:val="24"/>
        </w:rPr>
        <w:t>//wenshu.court.gov.c</w:t>
      </w:r>
      <w:r>
        <w:rPr>
          <w:rFonts w:ascii="Times New Roman" w:hAnsi="Times New Roman" w:eastAsia="Times New Roman" w:cs="Times New Roman"/>
          <w:color w:val="auto"/>
          <w:spacing w:val="-20"/>
          <w:sz w:val="24"/>
          <w:szCs w:val="24"/>
        </w:rPr>
        <w:fldChar w:fldCharType="end"/>
      </w:r>
      <w:r>
        <w:fldChar w:fldCharType="begin"/>
      </w:r>
      <w:r>
        <w:instrText xml:space="preserve"> HYPERLINK "http://wenshu.court.gov.cn/" </w:instrText>
      </w:r>
      <w:r>
        <w:fldChar w:fldCharType="separate"/>
      </w:r>
      <w:r>
        <w:rPr>
          <w:rFonts w:ascii="Times New Roman" w:hAnsi="Times New Roman" w:eastAsia="Times New Roman" w:cs="Times New Roman"/>
          <w:color w:val="auto"/>
          <w:spacing w:val="-20"/>
          <w:sz w:val="24"/>
          <w:szCs w:val="24"/>
        </w:rPr>
        <w:t>n/</w:t>
      </w:r>
      <w:r>
        <w:rPr>
          <w:rFonts w:ascii="Times New Roman" w:hAnsi="Times New Roman" w:eastAsia="Times New Roman" w:cs="Times New Roman"/>
          <w:color w:val="auto"/>
          <w:spacing w:val="-20"/>
          <w:sz w:val="24"/>
          <w:szCs w:val="24"/>
        </w:rPr>
        <w:fldChar w:fldCharType="end"/>
      </w:r>
      <w:r>
        <w:rPr>
          <w:rFonts w:ascii="宋体" w:hAnsi="宋体" w:eastAsia="宋体" w:cs="宋体"/>
          <w:color w:val="auto"/>
          <w:spacing w:val="-20"/>
          <w:sz w:val="24"/>
          <w:szCs w:val="24"/>
        </w:rPr>
        <w:t>）查询结果为准］。</w:t>
      </w:r>
    </w:p>
    <w:p w14:paraId="54A083FE">
      <w:pPr>
        <w:spacing w:before="155" w:line="275" w:lineRule="auto"/>
        <w:ind w:right="267" w:firstLine="499"/>
        <w:rPr>
          <w:rFonts w:hint="eastAsia" w:ascii="宋体" w:hAnsi="宋体" w:eastAsia="宋体" w:cs="宋体"/>
          <w:color w:val="auto"/>
          <w:sz w:val="24"/>
          <w:szCs w:val="24"/>
        </w:rPr>
      </w:pPr>
      <w:r>
        <w:rPr>
          <w:rFonts w:ascii="Times New Roman" w:hAnsi="Times New Roman" w:eastAsia="Times New Roman" w:cs="Times New Roman"/>
          <w:color w:val="auto"/>
          <w:spacing w:val="-1"/>
          <w:sz w:val="24"/>
          <w:szCs w:val="24"/>
        </w:rPr>
        <w:t>3</w:t>
      </w:r>
      <w:r>
        <w:rPr>
          <w:rFonts w:ascii="宋体" w:hAnsi="宋体" w:eastAsia="宋体" w:cs="宋体"/>
          <w:color w:val="auto"/>
          <w:spacing w:val="-1"/>
          <w:sz w:val="24"/>
          <w:szCs w:val="24"/>
        </w:rPr>
        <w:t>、投标人及其法定代表人、拟派项目负责人未被列入失信被执行人名</w:t>
      </w:r>
      <w:r>
        <w:rPr>
          <w:rFonts w:ascii="宋体" w:hAnsi="宋体" w:eastAsia="宋体" w:cs="宋体"/>
          <w:color w:val="auto"/>
          <w:spacing w:val="-2"/>
          <w:sz w:val="24"/>
          <w:szCs w:val="24"/>
        </w:rPr>
        <w:t>单［以</w:t>
      </w:r>
      <w:r>
        <w:rPr>
          <w:rFonts w:ascii="宋体" w:hAnsi="宋体" w:eastAsia="宋体" w:cs="宋体"/>
          <w:color w:val="auto"/>
          <w:sz w:val="24"/>
          <w:szCs w:val="24"/>
        </w:rPr>
        <w:t>“信用中国”网站（</w:t>
      </w:r>
      <w:r>
        <w:fldChar w:fldCharType="begin"/>
      </w:r>
      <w:r>
        <w:instrText xml:space="preserve"> HYPERLINK "http://www.creditchina.gov.cn/" </w:instrText>
      </w:r>
      <w:r>
        <w:fldChar w:fldCharType="separate"/>
      </w:r>
      <w:r>
        <w:rPr>
          <w:rFonts w:ascii="Times New Roman" w:hAnsi="Times New Roman" w:eastAsia="Times New Roman" w:cs="Times New Roman"/>
          <w:color w:val="auto"/>
          <w:sz w:val="24"/>
          <w:szCs w:val="24"/>
        </w:rPr>
        <w:t>www.creditchina.gov.cn</w:t>
      </w:r>
      <w:r>
        <w:rPr>
          <w:rFonts w:ascii="Times New Roman" w:hAnsi="Times New Roman" w:eastAsia="Times New Roman" w:cs="Times New Roman"/>
          <w:color w:val="auto"/>
          <w:sz w:val="24"/>
          <w:szCs w:val="24"/>
        </w:rPr>
        <w:fldChar w:fldCharType="end"/>
      </w:r>
      <w:r>
        <w:rPr>
          <w:rFonts w:ascii="宋体" w:hAnsi="宋体" w:eastAsia="宋体" w:cs="宋体"/>
          <w:color w:val="auto"/>
          <w:sz w:val="24"/>
          <w:szCs w:val="24"/>
        </w:rPr>
        <w:t>）查询为准］。</w:t>
      </w:r>
    </w:p>
    <w:p w14:paraId="2CF4932C">
      <w:pPr>
        <w:spacing w:before="162" w:line="280" w:lineRule="auto"/>
        <w:ind w:left="20" w:right="27" w:firstLine="473"/>
        <w:rPr>
          <w:rFonts w:hint="eastAsia" w:ascii="宋体" w:hAnsi="宋体" w:eastAsia="宋体" w:cs="宋体"/>
          <w:color w:val="auto"/>
          <w:sz w:val="24"/>
          <w:szCs w:val="24"/>
          <w:lang w:eastAsia="zh-CN"/>
        </w:rPr>
      </w:pPr>
      <w:r>
        <w:rPr>
          <w:rFonts w:ascii="Times New Roman" w:hAnsi="Times New Roman" w:eastAsia="Times New Roman" w:cs="Times New Roman"/>
          <w:color w:val="auto"/>
          <w:spacing w:val="-1"/>
          <w:sz w:val="24"/>
          <w:szCs w:val="24"/>
          <w:lang w:eastAsia="zh-CN"/>
        </w:rPr>
        <w:t>4</w:t>
      </w:r>
      <w:r>
        <w:rPr>
          <w:rFonts w:ascii="宋体" w:hAnsi="宋体" w:eastAsia="宋体" w:cs="宋体"/>
          <w:color w:val="auto"/>
          <w:spacing w:val="-1"/>
          <w:sz w:val="24"/>
          <w:szCs w:val="24"/>
          <w:lang w:eastAsia="zh-CN"/>
        </w:rPr>
        <w:t>、投标人资质条件在“浙江省建筑市场监管公共服务系统”上动态核查结果处</w:t>
      </w:r>
      <w:r>
        <w:rPr>
          <w:rFonts w:ascii="宋体" w:hAnsi="宋体" w:eastAsia="宋体" w:cs="宋体"/>
          <w:color w:val="auto"/>
          <w:spacing w:val="-6"/>
          <w:sz w:val="24"/>
          <w:szCs w:val="24"/>
          <w:lang w:eastAsia="zh-CN"/>
        </w:rPr>
        <w:t>于“合格”状态。</w:t>
      </w:r>
    </w:p>
    <w:p w14:paraId="3DBEC80A">
      <w:pPr>
        <w:spacing w:before="154" w:line="219" w:lineRule="auto"/>
        <w:ind w:left="501"/>
        <w:rPr>
          <w:rFonts w:hint="eastAsia" w:ascii="宋体" w:hAnsi="宋体" w:eastAsia="宋体" w:cs="宋体"/>
          <w:color w:val="auto"/>
          <w:sz w:val="24"/>
          <w:szCs w:val="24"/>
          <w:lang w:eastAsia="zh-CN"/>
        </w:rPr>
      </w:pPr>
      <w:r>
        <w:rPr>
          <w:rFonts w:ascii="Times New Roman" w:hAnsi="Times New Roman" w:eastAsia="Times New Roman" w:cs="Times New Roman"/>
          <w:color w:val="auto"/>
          <w:spacing w:val="-3"/>
          <w:sz w:val="24"/>
          <w:szCs w:val="24"/>
          <w:lang w:eastAsia="zh-CN"/>
        </w:rPr>
        <w:t>5</w:t>
      </w:r>
      <w:r>
        <w:rPr>
          <w:rFonts w:ascii="宋体" w:hAnsi="宋体" w:eastAsia="宋体" w:cs="宋体"/>
          <w:color w:val="auto"/>
          <w:spacing w:val="-3"/>
          <w:sz w:val="24"/>
          <w:szCs w:val="24"/>
          <w:lang w:eastAsia="zh-CN"/>
        </w:rPr>
        <w:t>、投标人及拟派项目负责人未被行政主管部门限制参加投标。</w:t>
      </w:r>
    </w:p>
    <w:p w14:paraId="5B0D054B">
      <w:pPr>
        <w:spacing w:before="155" w:line="299" w:lineRule="auto"/>
        <w:ind w:left="17" w:right="3" w:firstLine="482"/>
        <w:rPr>
          <w:rFonts w:hint="eastAsia" w:ascii="宋体" w:hAnsi="宋体" w:eastAsia="宋体" w:cs="宋体"/>
          <w:color w:val="auto"/>
          <w:spacing w:val="-3"/>
          <w:sz w:val="24"/>
          <w:szCs w:val="24"/>
          <w:lang w:eastAsia="zh-CN"/>
        </w:rPr>
      </w:pPr>
      <w:r>
        <w:rPr>
          <w:rFonts w:ascii="Times New Roman" w:hAnsi="Times New Roman" w:eastAsia="Times New Roman" w:cs="Times New Roman"/>
          <w:color w:val="auto"/>
          <w:sz w:val="24"/>
          <w:szCs w:val="24"/>
          <w:lang w:eastAsia="zh-CN"/>
        </w:rPr>
        <w:t>6</w:t>
      </w:r>
      <w:r>
        <w:rPr>
          <w:rFonts w:ascii="宋体" w:hAnsi="宋体" w:eastAsia="宋体" w:cs="宋体"/>
          <w:color w:val="auto"/>
          <w:sz w:val="24"/>
          <w:szCs w:val="24"/>
          <w:lang w:eastAsia="zh-CN"/>
        </w:rPr>
        <w:t>、投标文件无虚假、伪造的内容。若投标文件中存在虚假、伪造的内容，同意</w:t>
      </w:r>
      <w:r>
        <w:rPr>
          <w:rFonts w:ascii="宋体" w:hAnsi="宋体" w:eastAsia="宋体" w:cs="宋体"/>
          <w:color w:val="auto"/>
          <w:spacing w:val="-3"/>
          <w:sz w:val="24"/>
          <w:szCs w:val="24"/>
          <w:lang w:eastAsia="zh-CN"/>
        </w:rPr>
        <w:t>作无效投标处理，投标保证金不予退还；若中标之后被查实弄虚作假，同意取消中标资格，投标保证金不予退还。</w:t>
      </w:r>
    </w:p>
    <w:p w14:paraId="1D90EA09">
      <w:pPr>
        <w:spacing w:before="155" w:line="299" w:lineRule="auto"/>
        <w:ind w:left="16" w:right="15" w:firstLine="479"/>
        <w:rPr>
          <w:rFonts w:hint="eastAsia" w:ascii="宋体" w:hAnsi="宋体" w:eastAsia="宋体" w:cs="宋体"/>
          <w:color w:val="auto"/>
          <w:sz w:val="24"/>
          <w:szCs w:val="24"/>
          <w:lang w:eastAsia="zh-CN"/>
        </w:rPr>
      </w:pPr>
      <w:r>
        <w:rPr>
          <w:rFonts w:ascii="Times New Roman" w:hAnsi="Times New Roman" w:eastAsia="Times New Roman" w:cs="Times New Roman"/>
          <w:color w:val="auto"/>
          <w:sz w:val="24"/>
          <w:szCs w:val="24"/>
          <w:lang w:eastAsia="zh-CN"/>
        </w:rPr>
        <w:t>7</w:t>
      </w:r>
      <w:r>
        <w:rPr>
          <w:rFonts w:ascii="宋体" w:hAnsi="宋体" w:eastAsia="宋体" w:cs="宋体"/>
          <w:color w:val="auto"/>
          <w:sz w:val="24"/>
          <w:szCs w:val="24"/>
          <w:lang w:eastAsia="zh-CN"/>
        </w:rPr>
        <w:t>、我单位直接负责本项目投标的主管人员为法定代表人，我单位与本项目投标</w:t>
      </w:r>
      <w:r>
        <w:rPr>
          <w:rFonts w:ascii="宋体" w:hAnsi="宋体" w:eastAsia="宋体" w:cs="宋体"/>
          <w:color w:val="auto"/>
          <w:spacing w:val="-1"/>
          <w:sz w:val="24"/>
          <w:szCs w:val="24"/>
          <w:lang w:eastAsia="zh-CN"/>
        </w:rPr>
        <w:t>相关的直接责任人员为本次投标委托代理人（若有），上述人员承诺承担相应的法</w:t>
      </w:r>
      <w:r>
        <w:rPr>
          <w:rFonts w:ascii="宋体" w:hAnsi="宋体" w:eastAsia="宋体" w:cs="宋体"/>
          <w:color w:val="auto"/>
          <w:spacing w:val="-9"/>
          <w:sz w:val="24"/>
          <w:szCs w:val="24"/>
          <w:lang w:eastAsia="zh-CN"/>
        </w:rPr>
        <w:t>律责任。</w:t>
      </w:r>
    </w:p>
    <w:p w14:paraId="5B6F224D">
      <w:pPr>
        <w:spacing w:before="154" w:line="212" w:lineRule="auto"/>
        <w:ind w:left="498"/>
        <w:rPr>
          <w:rFonts w:hint="eastAsia" w:ascii="宋体" w:hAnsi="宋体" w:eastAsia="宋体" w:cs="宋体"/>
          <w:color w:val="auto"/>
          <w:sz w:val="25"/>
          <w:szCs w:val="25"/>
          <w:lang w:eastAsia="zh-CN"/>
        </w:rPr>
      </w:pPr>
      <w:r>
        <w:rPr>
          <w:rFonts w:hint="eastAsia" w:ascii="Times New Roman" w:hAnsi="Times New Roman" w:eastAsia="宋体" w:cs="Times New Roman"/>
          <w:color w:val="auto"/>
          <w:spacing w:val="-15"/>
          <w:sz w:val="24"/>
          <w:szCs w:val="24"/>
          <w:lang w:eastAsia="zh-CN"/>
        </w:rPr>
        <w:t>8</w:t>
      </w:r>
      <w:r>
        <w:rPr>
          <w:rFonts w:ascii="宋体" w:hAnsi="宋体" w:eastAsia="宋体" w:cs="宋体"/>
          <w:color w:val="auto"/>
          <w:spacing w:val="-15"/>
          <w:sz w:val="24"/>
          <w:szCs w:val="24"/>
          <w:lang w:eastAsia="zh-CN"/>
        </w:rPr>
        <w:t>、其他</w:t>
      </w:r>
      <w:r>
        <w:rPr>
          <w:rFonts w:ascii="宋体" w:hAnsi="宋体" w:eastAsia="宋体" w:cs="宋体"/>
          <w:color w:val="auto"/>
          <w:spacing w:val="-8"/>
          <w:sz w:val="24"/>
          <w:szCs w:val="24"/>
          <w:lang w:eastAsia="zh-CN"/>
        </w:rPr>
        <w:t>：</w:t>
      </w:r>
      <w:r>
        <w:rPr>
          <w:rFonts w:hint="eastAsia" w:ascii="宋体" w:hAnsi="宋体" w:eastAsia="宋体" w:cs="宋体"/>
          <w:color w:val="auto"/>
          <w:spacing w:val="23"/>
          <w:sz w:val="25"/>
          <w:szCs w:val="25"/>
          <w:u w:val="single"/>
          <w:lang w:eastAsia="zh-CN"/>
        </w:rPr>
        <w:t>　/</w:t>
      </w:r>
      <w:r>
        <w:rPr>
          <w:rFonts w:hint="eastAsia" w:ascii="宋体" w:hAnsi="宋体" w:eastAsia="宋体" w:cs="宋体"/>
          <w:color w:val="auto"/>
          <w:sz w:val="25"/>
          <w:szCs w:val="25"/>
          <w:u w:val="single"/>
          <w:lang w:eastAsia="zh-CN"/>
        </w:rPr>
        <w:t>　</w:t>
      </w:r>
    </w:p>
    <w:p w14:paraId="5183C54E">
      <w:pPr>
        <w:spacing w:before="155" w:line="310" w:lineRule="auto"/>
        <w:ind w:left="17" w:right="147" w:firstLine="508"/>
        <w:jc w:val="both"/>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以上情况如有不实，愿意被取消中标资格并上报行政主管部门，由行</w:t>
      </w:r>
      <w:r>
        <w:rPr>
          <w:rFonts w:ascii="宋体" w:hAnsi="宋体" w:eastAsia="宋体" w:cs="宋体"/>
          <w:color w:val="auto"/>
          <w:spacing w:val="-2"/>
          <w:sz w:val="24"/>
          <w:szCs w:val="24"/>
          <w:lang w:eastAsia="zh-CN"/>
        </w:rPr>
        <w:t>政主管部</w:t>
      </w:r>
      <w:r>
        <w:rPr>
          <w:rFonts w:ascii="宋体" w:hAnsi="宋体" w:eastAsia="宋体" w:cs="宋体"/>
          <w:color w:val="auto"/>
          <w:sz w:val="24"/>
          <w:szCs w:val="24"/>
          <w:lang w:eastAsia="zh-CN"/>
        </w:rPr>
        <w:t>门列入不良行为记录；招标人可不退还投标保证金。给</w:t>
      </w:r>
      <w:r>
        <w:rPr>
          <w:rFonts w:ascii="宋体" w:hAnsi="宋体" w:eastAsia="宋体" w:cs="宋体"/>
          <w:color w:val="auto"/>
          <w:spacing w:val="-1"/>
          <w:sz w:val="24"/>
          <w:szCs w:val="24"/>
          <w:lang w:eastAsia="zh-CN"/>
        </w:rPr>
        <w:t>招标人造成损失的，愿意依</w:t>
      </w:r>
      <w:r>
        <w:rPr>
          <w:rFonts w:ascii="宋体" w:hAnsi="宋体" w:eastAsia="宋体" w:cs="宋体"/>
          <w:color w:val="auto"/>
          <w:spacing w:val="-5"/>
          <w:sz w:val="24"/>
          <w:szCs w:val="24"/>
          <w:lang w:eastAsia="zh-CN"/>
        </w:rPr>
        <w:t>法承担赔偿责任。</w:t>
      </w:r>
    </w:p>
    <w:p w14:paraId="4735194D">
      <w:pPr>
        <w:spacing w:before="1" w:line="218" w:lineRule="auto"/>
        <w:ind w:left="455"/>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附：法定代表人及拟派项目负责人身份证复制件（双面）</w:t>
      </w:r>
    </w:p>
    <w:p w14:paraId="5B188240">
      <w:pPr>
        <w:spacing w:before="181" w:line="219" w:lineRule="auto"/>
        <w:ind w:left="421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投标人</w:t>
      </w:r>
      <w:r>
        <w:rPr>
          <w:rFonts w:ascii="宋体" w:hAnsi="宋体" w:eastAsia="宋体" w:cs="宋体"/>
          <w:color w:val="auto"/>
          <w:spacing w:val="2"/>
          <w:sz w:val="24"/>
          <w:szCs w:val="24"/>
          <w:lang w:eastAsia="zh-CN"/>
        </w:rPr>
        <w:t>：</w:t>
      </w:r>
      <w:r>
        <w:rPr>
          <w:rFonts w:hint="eastAsia" w:ascii="宋体" w:hAnsi="宋体" w:eastAsia="宋体" w:cs="宋体"/>
          <w:color w:val="auto"/>
          <w:spacing w:val="15"/>
          <w:sz w:val="24"/>
          <w:szCs w:val="24"/>
          <w:u w:val="single"/>
          <w:lang w:eastAsia="zh-CN"/>
        </w:rPr>
        <w:t>　　　　</w:t>
      </w:r>
      <w:r>
        <w:rPr>
          <w:rFonts w:ascii="宋体" w:hAnsi="宋体" w:eastAsia="宋体" w:cs="宋体"/>
          <w:color w:val="auto"/>
          <w:spacing w:val="2"/>
          <w:sz w:val="24"/>
          <w:szCs w:val="24"/>
          <w:u w:val="single"/>
          <w:lang w:eastAsia="zh-CN"/>
        </w:rPr>
        <w:t>（</w:t>
      </w:r>
      <w:r>
        <w:rPr>
          <w:rFonts w:ascii="宋体" w:hAnsi="宋体" w:eastAsia="宋体" w:cs="宋体"/>
          <w:color w:val="auto"/>
          <w:spacing w:val="-2"/>
          <w:sz w:val="24"/>
          <w:szCs w:val="24"/>
          <w:u w:val="single"/>
          <w:lang w:eastAsia="zh-CN"/>
        </w:rPr>
        <w:t>盖单位公章）</w:t>
      </w:r>
      <w:r>
        <w:rPr>
          <w:rFonts w:hint="eastAsia" w:ascii="宋体" w:hAnsi="宋体" w:eastAsia="宋体" w:cs="宋体"/>
          <w:color w:val="auto"/>
          <w:sz w:val="24"/>
          <w:szCs w:val="24"/>
          <w:u w:val="single"/>
          <w:lang w:eastAsia="zh-CN"/>
        </w:rPr>
        <w:t>　　　</w:t>
      </w:r>
    </w:p>
    <w:p w14:paraId="5649C4F0">
      <w:pPr>
        <w:tabs>
          <w:tab w:val="left" w:pos="7115"/>
        </w:tabs>
        <w:spacing w:before="183" w:line="220" w:lineRule="auto"/>
        <w:ind w:left="6516"/>
        <w:rPr>
          <w:rFonts w:hint="eastAsia" w:ascii="宋体" w:hAnsi="宋体" w:eastAsia="宋体" w:cs="宋体"/>
          <w:color w:val="auto"/>
          <w:sz w:val="24"/>
          <w:szCs w:val="24"/>
          <w:lang w:eastAsia="zh-CN"/>
        </w:rPr>
      </w:pPr>
      <w:r>
        <w:rPr>
          <w:rFonts w:ascii="宋体" w:hAnsi="宋体" w:eastAsia="宋体" w:cs="宋体"/>
          <w:color w:val="auto"/>
          <w:sz w:val="24"/>
          <w:szCs w:val="24"/>
          <w:u w:val="single"/>
          <w:lang w:eastAsia="zh-CN"/>
        </w:rPr>
        <w:tab/>
      </w:r>
      <w:r>
        <w:rPr>
          <w:rFonts w:ascii="宋体" w:hAnsi="宋体" w:eastAsia="宋体" w:cs="宋体"/>
          <w:color w:val="auto"/>
          <w:spacing w:val="-26"/>
          <w:sz w:val="24"/>
          <w:szCs w:val="24"/>
          <w:lang w:eastAsia="zh-CN"/>
        </w:rPr>
        <w:t>年</w:t>
      </w:r>
      <w:r>
        <w:rPr>
          <w:rFonts w:hint="eastAsia" w:ascii="宋体" w:hAnsi="宋体" w:eastAsia="宋体" w:cs="宋体"/>
          <w:color w:val="auto"/>
          <w:spacing w:val="40"/>
          <w:sz w:val="24"/>
          <w:szCs w:val="24"/>
          <w:u w:val="single"/>
          <w:lang w:eastAsia="zh-CN"/>
        </w:rPr>
        <w:t>　</w:t>
      </w:r>
      <w:r>
        <w:rPr>
          <w:rFonts w:ascii="宋体" w:hAnsi="宋体" w:eastAsia="宋体" w:cs="宋体"/>
          <w:color w:val="auto"/>
          <w:spacing w:val="-26"/>
          <w:sz w:val="24"/>
          <w:szCs w:val="24"/>
          <w:lang w:eastAsia="zh-CN"/>
        </w:rPr>
        <w:t>月</w:t>
      </w:r>
      <w:r>
        <w:rPr>
          <w:rFonts w:hint="eastAsia" w:ascii="宋体" w:hAnsi="宋体" w:eastAsia="宋体" w:cs="宋体"/>
          <w:color w:val="auto"/>
          <w:spacing w:val="40"/>
          <w:sz w:val="24"/>
          <w:szCs w:val="24"/>
          <w:u w:val="single"/>
          <w:lang w:eastAsia="zh-CN"/>
        </w:rPr>
        <w:t>　</w:t>
      </w:r>
      <w:r>
        <w:rPr>
          <w:rFonts w:ascii="宋体" w:hAnsi="宋体" w:eastAsia="宋体" w:cs="宋体"/>
          <w:color w:val="auto"/>
          <w:spacing w:val="-26"/>
          <w:sz w:val="24"/>
          <w:szCs w:val="24"/>
          <w:lang w:eastAsia="zh-CN"/>
        </w:rPr>
        <w:t>日</w:t>
      </w:r>
    </w:p>
    <w:p w14:paraId="67151668">
      <w:pPr>
        <w:spacing w:line="220" w:lineRule="auto"/>
        <w:rPr>
          <w:rFonts w:hint="eastAsia" w:ascii="宋体" w:hAnsi="宋体" w:eastAsia="宋体" w:cs="宋体"/>
          <w:color w:val="auto"/>
          <w:sz w:val="24"/>
          <w:szCs w:val="24"/>
          <w:lang w:eastAsia="zh-CN"/>
        </w:rPr>
        <w:sectPr>
          <w:footerReference r:id="rId18" w:type="default"/>
          <w:pgSz w:w="11907" w:h="16841"/>
          <w:pgMar w:top="1417" w:right="1527" w:bottom="1254" w:left="1581" w:header="0" w:footer="1093" w:gutter="0"/>
          <w:pgNumType w:fmt="numberInDash"/>
          <w:cols w:space="720" w:num="1"/>
        </w:sectPr>
      </w:pPr>
    </w:p>
    <w:p w14:paraId="2F099136">
      <w:pPr>
        <w:spacing w:before="78" w:line="363" w:lineRule="auto"/>
        <w:ind w:right="150" w:firstLine="1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附无行贿犯罪、失信被执行人名单查询截图（查询时间应在招标公告发布后投标截</w:t>
      </w:r>
      <w:r>
        <w:rPr>
          <w:rFonts w:ascii="宋体" w:hAnsi="宋体" w:eastAsia="宋体" w:cs="宋体"/>
          <w:color w:val="auto"/>
          <w:spacing w:val="-3"/>
          <w:sz w:val="24"/>
          <w:szCs w:val="24"/>
          <w:lang w:eastAsia="zh-CN"/>
        </w:rPr>
        <w:t>止时间前）</w:t>
      </w:r>
    </w:p>
    <w:p w14:paraId="1D14A102">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3B717BC7">
      <w:pPr>
        <w:spacing w:before="139" w:line="223" w:lineRule="auto"/>
        <w:ind w:left="2015"/>
        <w:rPr>
          <w:rFonts w:hint="eastAsia" w:ascii="宋体" w:hAnsi="宋体" w:eastAsia="宋体" w:cs="宋体"/>
          <w:strike/>
          <w:color w:val="auto"/>
          <w:sz w:val="43"/>
          <w:szCs w:val="43"/>
          <w:lang w:eastAsia="zh-CN"/>
        </w:rPr>
      </w:pPr>
      <w:r>
        <w:rPr>
          <w:rFonts w:ascii="宋体" w:hAnsi="宋体" w:eastAsia="宋体" w:cs="宋体"/>
          <w:b/>
          <w:bCs/>
          <w:strike/>
          <w:color w:val="auto"/>
          <w:sz w:val="43"/>
          <w:szCs w:val="43"/>
          <w:lang w:eastAsia="zh-CN"/>
        </w:rPr>
        <w:t>中小企业声明函（若有）</w:t>
      </w:r>
    </w:p>
    <w:p w14:paraId="0BA66806">
      <w:pPr>
        <w:pStyle w:val="8"/>
        <w:spacing w:line="344" w:lineRule="auto"/>
        <w:rPr>
          <w:strike/>
          <w:color w:val="auto"/>
          <w:lang w:eastAsia="zh-CN"/>
        </w:rPr>
      </w:pPr>
    </w:p>
    <w:p w14:paraId="09F162C8">
      <w:pPr>
        <w:pStyle w:val="8"/>
        <w:spacing w:line="344" w:lineRule="auto"/>
        <w:rPr>
          <w:strike/>
          <w:color w:val="auto"/>
          <w:lang w:eastAsia="zh-CN"/>
        </w:rPr>
      </w:pPr>
    </w:p>
    <w:p w14:paraId="0C6759C4">
      <w:pPr>
        <w:widowControl w:val="0"/>
        <w:kinsoku/>
        <w:wordWrap w:val="0"/>
        <w:topLinePunct/>
        <w:autoSpaceDE/>
        <w:autoSpaceDN/>
        <w:spacing w:line="360" w:lineRule="auto"/>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本公司（联合体）郑重声明，根据《政府采购促进中小企业发展管理办法》（财库﹝2020﹞46号）的规定，本公司（联合体）参加</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i/>
          <w:iCs/>
          <w:strike/>
          <w:color w:val="auto"/>
          <w:sz w:val="25"/>
          <w:szCs w:val="25"/>
          <w:lang w:eastAsia="zh-CN"/>
        </w:rPr>
        <w:t>单位名称</w:t>
      </w:r>
      <w:r>
        <w:rPr>
          <w:rFonts w:hint="eastAsia" w:ascii="宋体" w:hAnsi="宋体" w:eastAsia="宋体" w:cs="宋体"/>
          <w:strike/>
          <w:color w:val="auto"/>
          <w:sz w:val="24"/>
          <w:szCs w:val="24"/>
          <w:lang w:eastAsia="zh-CN"/>
        </w:rPr>
        <w:t>）的</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i/>
          <w:iCs/>
          <w:strike/>
          <w:color w:val="auto"/>
          <w:sz w:val="25"/>
          <w:szCs w:val="25"/>
          <w:lang w:eastAsia="zh-CN"/>
        </w:rPr>
        <w:t>项目名称</w:t>
      </w:r>
      <w:r>
        <w:rPr>
          <w:rFonts w:hint="eastAsia" w:ascii="宋体" w:hAnsi="宋体" w:eastAsia="宋体" w:cs="宋体"/>
          <w:strike/>
          <w:color w:val="auto"/>
          <w:sz w:val="24"/>
          <w:szCs w:val="24"/>
          <w:lang w:eastAsia="zh-CN"/>
        </w:rPr>
        <w:t>）</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i/>
          <w:iCs/>
          <w:strike/>
          <w:color w:val="auto"/>
          <w:sz w:val="25"/>
          <w:szCs w:val="25"/>
          <w:lang w:eastAsia="zh-CN"/>
        </w:rPr>
        <w:t>标段名称</w:t>
      </w:r>
      <w:r>
        <w:rPr>
          <w:rFonts w:hint="eastAsia" w:ascii="宋体" w:hAnsi="宋体" w:eastAsia="宋体" w:cs="宋体"/>
          <w:strike/>
          <w:color w:val="auto"/>
          <w:sz w:val="24"/>
          <w:szCs w:val="24"/>
          <w:lang w:eastAsia="zh-CN"/>
        </w:rPr>
        <w:t>）投标，工程的施工单位全部为符合政策要求的中小企业）。相关企业（含联合体中的中小企业、签订分包意向协议的中小企业）的具体情况如下：</w:t>
      </w:r>
    </w:p>
    <w:p w14:paraId="73EB7623">
      <w:pPr>
        <w:widowControl w:val="0"/>
        <w:kinsoku/>
        <w:wordWrap w:val="0"/>
        <w:topLinePunct/>
        <w:autoSpaceDE/>
        <w:autoSpaceDN/>
        <w:spacing w:line="360" w:lineRule="auto"/>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1.</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i/>
          <w:iCs/>
          <w:strike/>
          <w:color w:val="auto"/>
          <w:sz w:val="25"/>
          <w:szCs w:val="25"/>
          <w:lang w:eastAsia="zh-CN"/>
        </w:rPr>
        <w:t>标段名称</w:t>
      </w:r>
      <w:r>
        <w:rPr>
          <w:rFonts w:hint="eastAsia" w:ascii="宋体" w:hAnsi="宋体" w:eastAsia="宋体" w:cs="宋体"/>
          <w:strike/>
          <w:color w:val="auto"/>
          <w:sz w:val="24"/>
          <w:szCs w:val="24"/>
          <w:lang w:eastAsia="zh-CN"/>
        </w:rPr>
        <w:t>），属于</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i/>
          <w:iCs/>
          <w:strike/>
          <w:color w:val="auto"/>
          <w:sz w:val="25"/>
          <w:szCs w:val="25"/>
          <w:lang w:eastAsia="zh-CN"/>
        </w:rPr>
        <w:t>招标文件中明确的所属行业</w:t>
      </w:r>
      <w:r>
        <w:rPr>
          <w:rFonts w:hint="eastAsia" w:ascii="宋体" w:hAnsi="宋体" w:eastAsia="宋体" w:cs="宋体"/>
          <w:strike/>
          <w:color w:val="auto"/>
          <w:sz w:val="24"/>
          <w:szCs w:val="24"/>
          <w:lang w:eastAsia="zh-CN"/>
        </w:rPr>
        <w:t>）承建（承接）企业为</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i/>
          <w:iCs/>
          <w:strike/>
          <w:color w:val="auto"/>
          <w:sz w:val="25"/>
          <w:szCs w:val="25"/>
          <w:lang w:eastAsia="zh-CN"/>
        </w:rPr>
        <w:t>企业名称</w:t>
      </w:r>
      <w:r>
        <w:rPr>
          <w:rFonts w:hint="eastAsia" w:ascii="宋体" w:hAnsi="宋体" w:eastAsia="宋体" w:cs="宋体"/>
          <w:strike/>
          <w:color w:val="auto"/>
          <w:sz w:val="24"/>
          <w:szCs w:val="24"/>
          <w:lang w:eastAsia="zh-CN"/>
        </w:rPr>
        <w:t>），从业人员</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人，营业收入</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万元，资产总额为</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万元，属于</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strike/>
          <w:color w:val="auto"/>
          <w:sz w:val="24"/>
          <w:szCs w:val="24"/>
          <w:u w:val="single"/>
          <w:lang w:eastAsia="zh-CN"/>
        </w:rPr>
        <w:t>□</w:t>
      </w:r>
      <w:r>
        <w:rPr>
          <w:rFonts w:hint="eastAsia" w:ascii="宋体" w:hAnsi="宋体" w:eastAsia="宋体" w:cs="宋体"/>
          <w:strike/>
          <w:color w:val="auto"/>
          <w:sz w:val="24"/>
          <w:szCs w:val="24"/>
          <w:lang w:eastAsia="zh-CN"/>
        </w:rPr>
        <w:t>中型企业、</w:t>
      </w:r>
      <w:r>
        <w:rPr>
          <w:rFonts w:hint="eastAsia" w:ascii="宋体" w:hAnsi="宋体" w:eastAsia="宋体" w:cs="宋体"/>
          <w:strike/>
          <w:color w:val="auto"/>
          <w:sz w:val="24"/>
          <w:szCs w:val="24"/>
          <w:u w:val="single"/>
          <w:lang w:eastAsia="zh-CN"/>
        </w:rPr>
        <w:t>□</w:t>
      </w:r>
      <w:r>
        <w:rPr>
          <w:rFonts w:hint="eastAsia" w:ascii="宋体" w:hAnsi="宋体" w:eastAsia="宋体" w:cs="宋体"/>
          <w:strike/>
          <w:color w:val="auto"/>
          <w:sz w:val="24"/>
          <w:szCs w:val="24"/>
          <w:lang w:eastAsia="zh-CN"/>
        </w:rPr>
        <w:t>小型企业、</w:t>
      </w:r>
      <w:r>
        <w:rPr>
          <w:rFonts w:hint="eastAsia" w:ascii="宋体" w:hAnsi="宋体" w:eastAsia="宋体" w:cs="宋体"/>
          <w:strike/>
          <w:color w:val="auto"/>
          <w:sz w:val="24"/>
          <w:szCs w:val="24"/>
          <w:u w:val="single"/>
          <w:lang w:eastAsia="zh-CN"/>
        </w:rPr>
        <w:t>□</w:t>
      </w:r>
      <w:r>
        <w:rPr>
          <w:rFonts w:hint="eastAsia" w:ascii="宋体" w:hAnsi="宋体" w:eastAsia="宋体" w:cs="宋体"/>
          <w:strike/>
          <w:color w:val="auto"/>
          <w:sz w:val="24"/>
          <w:szCs w:val="24"/>
          <w:lang w:eastAsia="zh-CN"/>
        </w:rPr>
        <w:t>微型企业）；</w:t>
      </w:r>
    </w:p>
    <w:p w14:paraId="2B2016ED">
      <w:pPr>
        <w:widowControl w:val="0"/>
        <w:kinsoku/>
        <w:wordWrap w:val="0"/>
        <w:topLinePunct/>
        <w:autoSpaceDE/>
        <w:autoSpaceDN/>
        <w:spacing w:line="360" w:lineRule="auto"/>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2.</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i/>
          <w:iCs/>
          <w:strike/>
          <w:color w:val="auto"/>
          <w:sz w:val="25"/>
          <w:szCs w:val="25"/>
          <w:lang w:eastAsia="zh-CN"/>
        </w:rPr>
        <w:t>标段名称</w:t>
      </w:r>
      <w:r>
        <w:rPr>
          <w:rFonts w:hint="eastAsia" w:ascii="宋体" w:hAnsi="宋体" w:eastAsia="宋体" w:cs="宋体"/>
          <w:strike/>
          <w:color w:val="auto"/>
          <w:sz w:val="24"/>
          <w:szCs w:val="24"/>
          <w:lang w:eastAsia="zh-CN"/>
        </w:rPr>
        <w:t>），属于　</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i/>
          <w:iCs/>
          <w:strike/>
          <w:color w:val="auto"/>
          <w:sz w:val="25"/>
          <w:szCs w:val="25"/>
          <w:lang w:eastAsia="zh-CN"/>
        </w:rPr>
        <w:t>招标文件中明确的所属行业</w:t>
      </w:r>
      <w:r>
        <w:rPr>
          <w:rFonts w:hint="eastAsia" w:ascii="宋体" w:hAnsi="宋体" w:eastAsia="宋体" w:cs="宋体"/>
          <w:strike/>
          <w:color w:val="auto"/>
          <w:sz w:val="24"/>
          <w:szCs w:val="24"/>
          <w:lang w:eastAsia="zh-CN"/>
        </w:rPr>
        <w:t>）承建（承接）企业为</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w:t>
      </w:r>
      <w:r>
        <w:rPr>
          <w:rFonts w:hint="eastAsia" w:ascii="宋体" w:hAnsi="宋体" w:eastAsia="宋体" w:cs="宋体"/>
          <w:i/>
          <w:iCs/>
          <w:strike/>
          <w:color w:val="auto"/>
          <w:sz w:val="25"/>
          <w:szCs w:val="25"/>
          <w:lang w:eastAsia="zh-CN"/>
        </w:rPr>
        <w:t>企业名称</w:t>
      </w:r>
      <w:r>
        <w:rPr>
          <w:rFonts w:hint="eastAsia" w:ascii="宋体" w:hAnsi="宋体" w:eastAsia="宋体" w:cs="宋体"/>
          <w:strike/>
          <w:color w:val="auto"/>
          <w:sz w:val="24"/>
          <w:szCs w:val="24"/>
          <w:lang w:eastAsia="zh-CN"/>
        </w:rPr>
        <w:t>），从业人员</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人，营业收入</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万元，资产总额为</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万元，属于　</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　</w:t>
      </w:r>
      <w:r>
        <w:rPr>
          <w:rFonts w:hint="eastAsia" w:ascii="宋体" w:hAnsi="宋体" w:eastAsia="宋体" w:cs="宋体"/>
          <w:strike/>
          <w:color w:val="auto"/>
          <w:sz w:val="24"/>
          <w:szCs w:val="24"/>
          <w:u w:val="single"/>
          <w:lang w:eastAsia="zh-CN"/>
        </w:rPr>
        <w:t>□</w:t>
      </w:r>
      <w:r>
        <w:rPr>
          <w:rFonts w:hint="eastAsia" w:ascii="宋体" w:hAnsi="宋体" w:eastAsia="宋体" w:cs="宋体"/>
          <w:strike/>
          <w:color w:val="auto"/>
          <w:sz w:val="24"/>
          <w:szCs w:val="24"/>
          <w:lang w:eastAsia="zh-CN"/>
        </w:rPr>
        <w:t>中型企业、</w:t>
      </w:r>
      <w:r>
        <w:rPr>
          <w:rFonts w:hint="eastAsia" w:ascii="宋体" w:hAnsi="宋体" w:eastAsia="宋体" w:cs="宋体"/>
          <w:strike/>
          <w:color w:val="auto"/>
          <w:sz w:val="24"/>
          <w:szCs w:val="24"/>
          <w:u w:val="single"/>
          <w:lang w:eastAsia="zh-CN"/>
        </w:rPr>
        <w:t>□</w:t>
      </w:r>
      <w:r>
        <w:rPr>
          <w:rFonts w:hint="eastAsia" w:ascii="宋体" w:hAnsi="宋体" w:eastAsia="宋体" w:cs="宋体"/>
          <w:strike/>
          <w:color w:val="auto"/>
          <w:sz w:val="24"/>
          <w:szCs w:val="24"/>
          <w:lang w:eastAsia="zh-CN"/>
        </w:rPr>
        <w:t>小型企业、</w:t>
      </w:r>
      <w:r>
        <w:rPr>
          <w:rFonts w:hint="eastAsia" w:ascii="宋体" w:hAnsi="宋体" w:eastAsia="宋体" w:cs="宋体"/>
          <w:strike/>
          <w:color w:val="auto"/>
          <w:sz w:val="24"/>
          <w:szCs w:val="24"/>
          <w:u w:val="single"/>
          <w:lang w:eastAsia="zh-CN"/>
        </w:rPr>
        <w:t>□</w:t>
      </w:r>
      <w:r>
        <w:rPr>
          <w:rFonts w:hint="eastAsia" w:ascii="宋体" w:hAnsi="宋体" w:eastAsia="宋体" w:cs="宋体"/>
          <w:strike/>
          <w:color w:val="auto"/>
          <w:sz w:val="24"/>
          <w:szCs w:val="24"/>
          <w:lang w:eastAsia="zh-CN"/>
        </w:rPr>
        <w:t>微型企业）；</w:t>
      </w:r>
    </w:p>
    <w:p w14:paraId="091C3F78">
      <w:pPr>
        <w:widowControl w:val="0"/>
        <w:kinsoku/>
        <w:wordWrap w:val="0"/>
        <w:topLinePunct/>
        <w:autoSpaceDE/>
        <w:autoSpaceDN/>
        <w:spacing w:line="360" w:lineRule="auto"/>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w:t>
      </w:r>
    </w:p>
    <w:p w14:paraId="1BBB8901">
      <w:pPr>
        <w:pStyle w:val="8"/>
        <w:widowControl w:val="0"/>
        <w:kinsoku/>
        <w:wordWrap w:val="0"/>
        <w:topLinePunct/>
        <w:autoSpaceDE/>
        <w:autoSpaceDN/>
        <w:spacing w:line="360" w:lineRule="auto"/>
        <w:ind w:firstLine="420" w:firstLineChars="200"/>
        <w:jc w:val="both"/>
        <w:rPr>
          <w:rFonts w:hint="eastAsia" w:ascii="宋体" w:hAnsi="宋体" w:eastAsia="宋体" w:cs="宋体"/>
          <w:strike/>
          <w:color w:val="auto"/>
          <w:lang w:eastAsia="zh-CN"/>
        </w:rPr>
      </w:pPr>
    </w:p>
    <w:p w14:paraId="0483BDDD">
      <w:pPr>
        <w:pStyle w:val="8"/>
        <w:widowControl w:val="0"/>
        <w:kinsoku/>
        <w:wordWrap w:val="0"/>
        <w:topLinePunct/>
        <w:autoSpaceDE/>
        <w:autoSpaceDN/>
        <w:spacing w:line="360" w:lineRule="auto"/>
        <w:ind w:firstLine="420" w:firstLineChars="200"/>
        <w:jc w:val="both"/>
        <w:rPr>
          <w:rFonts w:hint="eastAsia" w:ascii="宋体" w:hAnsi="宋体" w:eastAsia="宋体" w:cs="宋体"/>
          <w:strike/>
          <w:color w:val="auto"/>
          <w:lang w:eastAsia="zh-CN"/>
        </w:rPr>
      </w:pPr>
    </w:p>
    <w:p w14:paraId="4D177A3C">
      <w:pPr>
        <w:pStyle w:val="8"/>
        <w:widowControl w:val="0"/>
        <w:kinsoku/>
        <w:wordWrap w:val="0"/>
        <w:topLinePunct/>
        <w:autoSpaceDE/>
        <w:autoSpaceDN/>
        <w:spacing w:line="360" w:lineRule="auto"/>
        <w:ind w:firstLine="420" w:firstLineChars="200"/>
        <w:jc w:val="both"/>
        <w:rPr>
          <w:rFonts w:hint="eastAsia" w:ascii="宋体" w:hAnsi="宋体" w:eastAsia="宋体" w:cs="宋体"/>
          <w:strike/>
          <w:color w:val="auto"/>
          <w:lang w:eastAsia="zh-CN"/>
        </w:rPr>
      </w:pPr>
    </w:p>
    <w:p w14:paraId="18B93D6B">
      <w:pPr>
        <w:widowControl w:val="0"/>
        <w:kinsoku/>
        <w:wordWrap w:val="0"/>
        <w:topLinePunct/>
        <w:autoSpaceDE/>
        <w:autoSpaceDN/>
        <w:spacing w:line="360" w:lineRule="auto"/>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以上企业，不属于大企业的分支机构，不存在控股股东为大企业的情形，也不存在与大企业的负责人为同一人的情形。</w:t>
      </w:r>
    </w:p>
    <w:p w14:paraId="157601BF">
      <w:pPr>
        <w:widowControl w:val="0"/>
        <w:kinsoku/>
        <w:wordWrap w:val="0"/>
        <w:topLinePunct/>
        <w:autoSpaceDE/>
        <w:autoSpaceDN/>
        <w:spacing w:line="360" w:lineRule="auto"/>
        <w:ind w:firstLine="480" w:firstLineChars="200"/>
        <w:jc w:val="both"/>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lang w:eastAsia="zh-CN"/>
        </w:rPr>
        <w:t>本企业对上述声明内容的真实性负责。如有虚假，将依法承担相应责任。</w:t>
      </w:r>
    </w:p>
    <w:p w14:paraId="6B2DC7FD">
      <w:pPr>
        <w:pStyle w:val="8"/>
        <w:widowControl w:val="0"/>
        <w:kinsoku/>
        <w:wordWrap w:val="0"/>
        <w:topLinePunct/>
        <w:autoSpaceDE/>
        <w:autoSpaceDN/>
        <w:spacing w:line="360" w:lineRule="auto"/>
        <w:ind w:firstLine="420" w:firstLineChars="200"/>
        <w:jc w:val="both"/>
        <w:rPr>
          <w:rFonts w:hint="eastAsia" w:ascii="宋体" w:hAnsi="宋体" w:eastAsia="宋体" w:cs="宋体"/>
          <w:strike/>
          <w:color w:val="auto"/>
          <w:lang w:eastAsia="zh-CN"/>
        </w:rPr>
      </w:pPr>
    </w:p>
    <w:p w14:paraId="565E1950">
      <w:pPr>
        <w:pStyle w:val="8"/>
        <w:spacing w:line="317" w:lineRule="auto"/>
        <w:rPr>
          <w:strike/>
          <w:color w:val="auto"/>
          <w:lang w:eastAsia="zh-CN"/>
        </w:rPr>
      </w:pPr>
    </w:p>
    <w:p w14:paraId="72FDFB2F">
      <w:pPr>
        <w:spacing w:line="360" w:lineRule="auto"/>
        <w:jc w:val="right"/>
        <w:rPr>
          <w:rFonts w:hint="eastAsia" w:ascii="宋体" w:hAnsi="宋体" w:eastAsia="宋体" w:cs="宋体"/>
          <w:strike/>
          <w:color w:val="auto"/>
          <w:sz w:val="24"/>
          <w:szCs w:val="24"/>
          <w:lang w:eastAsia="zh-CN"/>
        </w:rPr>
      </w:pPr>
      <w:r>
        <w:rPr>
          <w:rFonts w:ascii="宋体" w:hAnsi="宋体" w:eastAsia="宋体" w:cs="宋体"/>
          <w:strike/>
          <w:color w:val="auto"/>
          <w:spacing w:val="-2"/>
          <w:sz w:val="24"/>
          <w:szCs w:val="24"/>
          <w:lang w:eastAsia="zh-CN"/>
        </w:rPr>
        <w:t>投标人</w:t>
      </w:r>
      <w:r>
        <w:rPr>
          <w:rFonts w:ascii="宋体" w:hAnsi="宋体" w:eastAsia="宋体" w:cs="宋体"/>
          <w:strike/>
          <w:color w:val="auto"/>
          <w:spacing w:val="2"/>
          <w:sz w:val="24"/>
          <w:szCs w:val="24"/>
          <w:lang w:eastAsia="zh-CN"/>
        </w:rPr>
        <w:t>：</w:t>
      </w:r>
      <w:r>
        <w:rPr>
          <w:rFonts w:hint="eastAsia" w:ascii="宋体" w:hAnsi="宋体" w:eastAsia="宋体" w:cs="宋体"/>
          <w:strike/>
          <w:color w:val="auto"/>
          <w:spacing w:val="15"/>
          <w:sz w:val="24"/>
          <w:szCs w:val="24"/>
          <w:u w:val="single"/>
          <w:lang w:eastAsia="zh-CN"/>
        </w:rPr>
        <w:t>　　　</w:t>
      </w:r>
      <w:r>
        <w:rPr>
          <w:rFonts w:ascii="宋体" w:hAnsi="宋体" w:eastAsia="宋体" w:cs="宋体"/>
          <w:strike/>
          <w:color w:val="auto"/>
          <w:spacing w:val="2"/>
          <w:sz w:val="24"/>
          <w:szCs w:val="24"/>
          <w:u w:val="single"/>
          <w:lang w:eastAsia="zh-CN"/>
        </w:rPr>
        <w:t>（</w:t>
      </w:r>
      <w:r>
        <w:rPr>
          <w:rFonts w:ascii="宋体" w:hAnsi="宋体" w:eastAsia="宋体" w:cs="宋体"/>
          <w:strike/>
          <w:color w:val="auto"/>
          <w:spacing w:val="-2"/>
          <w:sz w:val="24"/>
          <w:szCs w:val="24"/>
          <w:u w:val="single"/>
          <w:lang w:eastAsia="zh-CN"/>
        </w:rPr>
        <w:t>盖单位公章）</w:t>
      </w:r>
      <w:r>
        <w:rPr>
          <w:rFonts w:hint="eastAsia" w:ascii="宋体" w:hAnsi="宋体" w:eastAsia="宋体" w:cs="宋体"/>
          <w:strike/>
          <w:color w:val="auto"/>
          <w:sz w:val="24"/>
          <w:szCs w:val="24"/>
          <w:u w:val="single"/>
          <w:lang w:eastAsia="zh-CN"/>
        </w:rPr>
        <w:t>　　　</w:t>
      </w:r>
    </w:p>
    <w:p w14:paraId="149A3436">
      <w:pPr>
        <w:tabs>
          <w:tab w:val="left" w:pos="7100"/>
        </w:tabs>
        <w:spacing w:line="360" w:lineRule="auto"/>
        <w:jc w:val="right"/>
        <w:rPr>
          <w:rFonts w:hint="eastAsia" w:ascii="宋体" w:hAnsi="宋体" w:eastAsia="宋体" w:cs="宋体"/>
          <w:strike/>
          <w:color w:val="auto"/>
          <w:sz w:val="24"/>
          <w:szCs w:val="24"/>
          <w:lang w:eastAsia="zh-CN"/>
        </w:rPr>
      </w:pPr>
      <w:r>
        <w:rPr>
          <w:rFonts w:hint="eastAsia" w:ascii="宋体" w:hAnsi="宋体" w:eastAsia="宋体" w:cs="宋体"/>
          <w:strike/>
          <w:color w:val="auto"/>
          <w:sz w:val="24"/>
          <w:szCs w:val="24"/>
          <w:u w:val="single"/>
          <w:lang w:eastAsia="zh-CN"/>
        </w:rPr>
        <w:t>　　　　</w:t>
      </w:r>
      <w:r>
        <w:rPr>
          <w:rFonts w:ascii="宋体" w:hAnsi="宋体" w:eastAsia="宋体" w:cs="宋体"/>
          <w:strike/>
          <w:color w:val="auto"/>
          <w:spacing w:val="-26"/>
          <w:sz w:val="24"/>
          <w:szCs w:val="24"/>
          <w:lang w:eastAsia="zh-CN"/>
        </w:rPr>
        <w:t>年</w:t>
      </w:r>
      <w:r>
        <w:rPr>
          <w:rFonts w:hint="eastAsia" w:ascii="宋体" w:hAnsi="宋体" w:eastAsia="宋体" w:cs="宋体"/>
          <w:strike/>
          <w:color w:val="auto"/>
          <w:spacing w:val="40"/>
          <w:sz w:val="24"/>
          <w:szCs w:val="24"/>
          <w:u w:val="single"/>
          <w:lang w:eastAsia="zh-CN"/>
        </w:rPr>
        <w:t>　　</w:t>
      </w:r>
      <w:r>
        <w:rPr>
          <w:rFonts w:ascii="宋体" w:hAnsi="宋体" w:eastAsia="宋体" w:cs="宋体"/>
          <w:strike/>
          <w:color w:val="auto"/>
          <w:spacing w:val="-26"/>
          <w:sz w:val="24"/>
          <w:szCs w:val="24"/>
          <w:lang w:eastAsia="zh-CN"/>
        </w:rPr>
        <w:t>月</w:t>
      </w:r>
      <w:r>
        <w:rPr>
          <w:rFonts w:hint="eastAsia" w:ascii="宋体" w:hAnsi="宋体" w:eastAsia="宋体" w:cs="宋体"/>
          <w:strike/>
          <w:color w:val="auto"/>
          <w:spacing w:val="40"/>
          <w:sz w:val="24"/>
          <w:szCs w:val="24"/>
          <w:u w:val="single"/>
          <w:lang w:eastAsia="zh-CN"/>
        </w:rPr>
        <w:t>　　</w:t>
      </w:r>
      <w:r>
        <w:rPr>
          <w:rFonts w:ascii="宋体" w:hAnsi="宋体" w:eastAsia="宋体" w:cs="宋体"/>
          <w:strike/>
          <w:color w:val="auto"/>
          <w:spacing w:val="-26"/>
          <w:sz w:val="24"/>
          <w:szCs w:val="24"/>
          <w:lang w:eastAsia="zh-CN"/>
        </w:rPr>
        <w:t>日</w:t>
      </w:r>
    </w:p>
    <w:p w14:paraId="7AD1B216">
      <w:pPr>
        <w:pStyle w:val="8"/>
        <w:spacing w:line="250" w:lineRule="auto"/>
        <w:rPr>
          <w:strike/>
          <w:color w:val="auto"/>
          <w:lang w:eastAsia="zh-CN"/>
        </w:rPr>
      </w:pPr>
    </w:p>
    <w:p w14:paraId="59A9F837">
      <w:pPr>
        <w:spacing w:before="79" w:line="360" w:lineRule="auto"/>
        <w:ind w:left="3" w:right="150" w:hanging="3"/>
        <w:rPr>
          <w:rFonts w:hint="eastAsia" w:ascii="宋体" w:hAnsi="宋体" w:eastAsia="宋体" w:cs="宋体"/>
          <w:strike/>
          <w:color w:val="auto"/>
          <w:sz w:val="24"/>
          <w:szCs w:val="24"/>
          <w:lang w:eastAsia="zh-CN"/>
        </w:rPr>
      </w:pPr>
      <w:r>
        <w:rPr>
          <w:rFonts w:ascii="宋体" w:hAnsi="宋体" w:eastAsia="宋体" w:cs="宋体"/>
          <w:strike/>
          <w:color w:val="auto"/>
          <w:sz w:val="24"/>
          <w:szCs w:val="24"/>
          <w:lang w:eastAsia="zh-CN"/>
        </w:rPr>
        <w:t>注：从业人员、营业收入、资产总额填报上一年度数据，</w:t>
      </w:r>
      <w:r>
        <w:rPr>
          <w:rFonts w:ascii="宋体" w:hAnsi="宋体" w:eastAsia="宋体" w:cs="宋体"/>
          <w:strike/>
          <w:color w:val="auto"/>
          <w:spacing w:val="-1"/>
          <w:sz w:val="24"/>
          <w:szCs w:val="24"/>
          <w:lang w:eastAsia="zh-CN"/>
        </w:rPr>
        <w:t>无上一年度数据的新成立</w:t>
      </w:r>
      <w:r>
        <w:rPr>
          <w:rFonts w:ascii="宋体" w:hAnsi="宋体" w:eastAsia="宋体" w:cs="宋体"/>
          <w:strike/>
          <w:color w:val="auto"/>
          <w:spacing w:val="-6"/>
          <w:sz w:val="24"/>
          <w:szCs w:val="24"/>
          <w:lang w:eastAsia="zh-CN"/>
        </w:rPr>
        <w:t>企业可不填报。</w:t>
      </w:r>
    </w:p>
    <w:p w14:paraId="68A44A7E">
      <w:pPr>
        <w:rPr>
          <w:rFonts w:hint="eastAsia" w:ascii="宋体" w:hAnsi="宋体" w:eastAsia="宋体" w:cs="宋体"/>
          <w:strike/>
          <w:color w:val="auto"/>
          <w:spacing w:val="-2"/>
          <w:sz w:val="24"/>
          <w:szCs w:val="24"/>
          <w:lang w:eastAsia="zh-CN"/>
        </w:rPr>
      </w:pPr>
      <w:r>
        <w:rPr>
          <w:rFonts w:ascii="宋体" w:hAnsi="宋体" w:eastAsia="宋体" w:cs="宋体"/>
          <w:strike/>
          <w:color w:val="auto"/>
          <w:spacing w:val="-2"/>
          <w:sz w:val="24"/>
          <w:szCs w:val="24"/>
          <w:lang w:eastAsia="zh-CN"/>
        </w:rPr>
        <w:br w:type="page"/>
      </w:r>
    </w:p>
    <w:p w14:paraId="01CAAEED">
      <w:pPr>
        <w:spacing w:before="180" w:line="219" w:lineRule="auto"/>
        <w:ind w:left="296"/>
        <w:jc w:val="center"/>
        <w:rPr>
          <w:rFonts w:hint="eastAsia" w:ascii="宋体" w:hAnsi="宋体" w:eastAsia="宋体" w:cs="宋体"/>
          <w:color w:val="auto"/>
          <w:spacing w:val="-2"/>
          <w:sz w:val="24"/>
          <w:szCs w:val="24"/>
          <w:lang w:eastAsia="zh-CN"/>
        </w:rPr>
        <w:sectPr>
          <w:footerReference r:id="rId19" w:type="default"/>
          <w:pgSz w:w="11907" w:h="16841"/>
          <w:pgMar w:top="1417" w:right="1361" w:bottom="1134" w:left="1474" w:header="0" w:footer="1094" w:gutter="0"/>
          <w:pgNumType w:fmt="numberInDash"/>
          <w:cols w:space="0" w:num="1"/>
        </w:sectPr>
      </w:pPr>
      <w:r>
        <w:rPr>
          <w:rFonts w:ascii="宋体" w:hAnsi="宋体" w:eastAsia="宋体" w:cs="宋体"/>
          <w:b/>
          <w:bCs/>
          <w:color w:val="auto"/>
          <w:spacing w:val="1"/>
          <w:sz w:val="43"/>
          <w:szCs w:val="43"/>
          <w:lang w:eastAsia="zh-CN"/>
        </w:rPr>
        <w:t>其他材料</w:t>
      </w:r>
    </w:p>
    <w:p w14:paraId="57A563D5">
      <w:pPr>
        <w:spacing w:line="520" w:lineRule="exact"/>
        <w:jc w:val="center"/>
        <w:rPr>
          <w:rFonts w:hint="eastAsia" w:ascii="宋体" w:hAnsi="宋体" w:eastAsia="宋体" w:cs="宋体"/>
          <w:color w:val="auto"/>
          <w:sz w:val="36"/>
          <w:szCs w:val="36"/>
          <w:lang w:eastAsia="zh-CN"/>
        </w:rPr>
      </w:pPr>
    </w:p>
    <w:p w14:paraId="7EF3C2E3">
      <w:pPr>
        <w:pStyle w:val="8"/>
        <w:spacing w:line="520" w:lineRule="exact"/>
        <w:jc w:val="center"/>
        <w:rPr>
          <w:color w:val="auto"/>
          <w:lang w:eastAsia="zh-CN"/>
        </w:rPr>
      </w:pPr>
    </w:p>
    <w:p w14:paraId="68886D82">
      <w:pPr>
        <w:tabs>
          <w:tab w:val="left" w:pos="3486"/>
        </w:tabs>
        <w:spacing w:line="5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pacing w:val="-1"/>
          <w:sz w:val="24"/>
          <w:szCs w:val="24"/>
          <w:lang w:eastAsia="zh-CN"/>
        </w:rPr>
        <w:t>（</w:t>
      </w:r>
      <w:r>
        <w:rPr>
          <w:rFonts w:ascii="宋体" w:hAnsi="宋体" w:eastAsia="宋体" w:cs="宋体"/>
          <w:i/>
          <w:iCs/>
          <w:color w:val="auto"/>
          <w:spacing w:val="-1"/>
          <w:sz w:val="25"/>
          <w:szCs w:val="25"/>
          <w:lang w:eastAsia="zh-CN"/>
        </w:rPr>
        <w:t>项目名称</w:t>
      </w:r>
      <w:r>
        <w:rPr>
          <w:rFonts w:ascii="宋体" w:hAnsi="宋体" w:eastAsia="宋体" w:cs="宋体"/>
          <w:color w:val="auto"/>
          <w:spacing w:val="-25"/>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25"/>
          <w:sz w:val="24"/>
          <w:szCs w:val="24"/>
          <w:lang w:eastAsia="zh-CN"/>
        </w:rPr>
        <w:t>（</w:t>
      </w:r>
      <w:r>
        <w:rPr>
          <w:rFonts w:ascii="宋体" w:hAnsi="宋体" w:eastAsia="宋体" w:cs="宋体"/>
          <w:i/>
          <w:iCs/>
          <w:color w:val="auto"/>
          <w:spacing w:val="-1"/>
          <w:sz w:val="25"/>
          <w:szCs w:val="25"/>
          <w:lang w:eastAsia="zh-CN"/>
        </w:rPr>
        <w:t>标段名称</w:t>
      </w:r>
      <w:r>
        <w:rPr>
          <w:rFonts w:ascii="宋体" w:hAnsi="宋体" w:eastAsia="宋体" w:cs="宋体"/>
          <w:color w:val="auto"/>
          <w:spacing w:val="-1"/>
          <w:sz w:val="24"/>
          <w:szCs w:val="24"/>
          <w:lang w:eastAsia="zh-CN"/>
        </w:rPr>
        <w:t>）</w:t>
      </w:r>
    </w:p>
    <w:p w14:paraId="54DDF58F">
      <w:pPr>
        <w:pStyle w:val="8"/>
        <w:spacing w:line="520" w:lineRule="exact"/>
        <w:jc w:val="center"/>
        <w:rPr>
          <w:color w:val="auto"/>
          <w:lang w:eastAsia="zh-CN"/>
        </w:rPr>
      </w:pPr>
    </w:p>
    <w:p w14:paraId="622246EA">
      <w:pPr>
        <w:pStyle w:val="8"/>
        <w:spacing w:line="520" w:lineRule="exact"/>
        <w:jc w:val="center"/>
        <w:rPr>
          <w:color w:val="auto"/>
          <w:lang w:eastAsia="zh-CN"/>
        </w:rPr>
      </w:pPr>
    </w:p>
    <w:p w14:paraId="58076249">
      <w:pPr>
        <w:pStyle w:val="8"/>
        <w:spacing w:line="245" w:lineRule="auto"/>
        <w:rPr>
          <w:color w:val="auto"/>
          <w:lang w:eastAsia="zh-CN"/>
        </w:rPr>
      </w:pPr>
    </w:p>
    <w:p w14:paraId="2E527E36">
      <w:pPr>
        <w:pStyle w:val="8"/>
        <w:spacing w:line="245" w:lineRule="auto"/>
        <w:rPr>
          <w:color w:val="auto"/>
          <w:lang w:eastAsia="zh-CN"/>
        </w:rPr>
      </w:pPr>
    </w:p>
    <w:p w14:paraId="2DC0A27A">
      <w:pPr>
        <w:pStyle w:val="8"/>
        <w:spacing w:line="245" w:lineRule="auto"/>
        <w:rPr>
          <w:color w:val="auto"/>
          <w:lang w:eastAsia="zh-CN"/>
        </w:rPr>
      </w:pPr>
    </w:p>
    <w:p w14:paraId="5225F963">
      <w:pPr>
        <w:pStyle w:val="8"/>
        <w:spacing w:line="245" w:lineRule="auto"/>
        <w:rPr>
          <w:color w:val="auto"/>
          <w:lang w:eastAsia="zh-CN"/>
        </w:rPr>
      </w:pPr>
    </w:p>
    <w:p w14:paraId="15DD275B">
      <w:pPr>
        <w:pStyle w:val="8"/>
        <w:spacing w:line="245" w:lineRule="auto"/>
        <w:rPr>
          <w:color w:val="auto"/>
          <w:lang w:eastAsia="zh-CN"/>
        </w:rPr>
      </w:pPr>
    </w:p>
    <w:p w14:paraId="603B801C">
      <w:pPr>
        <w:spacing w:before="140" w:line="223" w:lineRule="auto"/>
        <w:jc w:val="center"/>
        <w:rPr>
          <w:rFonts w:hint="eastAsia" w:ascii="宋体" w:hAnsi="宋体" w:eastAsia="宋体" w:cs="宋体"/>
          <w:color w:val="auto"/>
          <w:sz w:val="43"/>
          <w:szCs w:val="43"/>
          <w:lang w:eastAsia="zh-CN"/>
        </w:rPr>
      </w:pPr>
      <w:r>
        <w:rPr>
          <w:rFonts w:ascii="宋体" w:hAnsi="宋体" w:eastAsia="宋体" w:cs="宋体"/>
          <w:b/>
          <w:bCs/>
          <w:color w:val="auto"/>
          <w:spacing w:val="-14"/>
          <w:sz w:val="43"/>
          <w:szCs w:val="43"/>
          <w:lang w:eastAsia="zh-CN"/>
        </w:rPr>
        <w:t>投</w:t>
      </w:r>
      <w:r>
        <w:rPr>
          <w:rFonts w:hint="eastAsia" w:ascii="宋体" w:hAnsi="宋体" w:eastAsia="宋体" w:cs="宋体"/>
          <w:b/>
          <w:bCs/>
          <w:color w:val="auto"/>
          <w:spacing w:val="-14"/>
          <w:sz w:val="43"/>
          <w:szCs w:val="43"/>
          <w:lang w:eastAsia="zh-CN"/>
        </w:rPr>
        <w:t xml:space="preserve"> </w:t>
      </w:r>
      <w:r>
        <w:rPr>
          <w:rFonts w:ascii="宋体" w:hAnsi="宋体" w:eastAsia="宋体" w:cs="宋体"/>
          <w:b/>
          <w:bCs/>
          <w:color w:val="auto"/>
          <w:spacing w:val="-14"/>
          <w:sz w:val="43"/>
          <w:szCs w:val="43"/>
          <w:lang w:eastAsia="zh-CN"/>
        </w:rPr>
        <w:t>标</w:t>
      </w:r>
      <w:r>
        <w:rPr>
          <w:rFonts w:hint="eastAsia" w:ascii="宋体" w:hAnsi="宋体" w:eastAsia="宋体" w:cs="宋体"/>
          <w:b/>
          <w:bCs/>
          <w:color w:val="auto"/>
          <w:spacing w:val="-14"/>
          <w:sz w:val="43"/>
          <w:szCs w:val="43"/>
          <w:lang w:eastAsia="zh-CN"/>
        </w:rPr>
        <w:t xml:space="preserve"> </w:t>
      </w:r>
      <w:r>
        <w:rPr>
          <w:rFonts w:ascii="宋体" w:hAnsi="宋体" w:eastAsia="宋体" w:cs="宋体"/>
          <w:b/>
          <w:bCs/>
          <w:color w:val="auto"/>
          <w:spacing w:val="-14"/>
          <w:sz w:val="43"/>
          <w:szCs w:val="43"/>
          <w:lang w:eastAsia="zh-CN"/>
        </w:rPr>
        <w:t>文</w:t>
      </w:r>
      <w:r>
        <w:rPr>
          <w:rFonts w:hint="eastAsia" w:ascii="宋体" w:hAnsi="宋体" w:eastAsia="宋体" w:cs="宋体"/>
          <w:b/>
          <w:bCs/>
          <w:color w:val="auto"/>
          <w:spacing w:val="-14"/>
          <w:sz w:val="43"/>
          <w:szCs w:val="43"/>
          <w:lang w:eastAsia="zh-CN"/>
        </w:rPr>
        <w:t xml:space="preserve"> </w:t>
      </w:r>
      <w:r>
        <w:rPr>
          <w:rFonts w:ascii="宋体" w:hAnsi="宋体" w:eastAsia="宋体" w:cs="宋体"/>
          <w:b/>
          <w:bCs/>
          <w:color w:val="auto"/>
          <w:spacing w:val="-14"/>
          <w:sz w:val="43"/>
          <w:szCs w:val="43"/>
          <w:lang w:eastAsia="zh-CN"/>
        </w:rPr>
        <w:t>件</w:t>
      </w:r>
    </w:p>
    <w:p w14:paraId="65AE98E6">
      <w:pPr>
        <w:spacing w:before="305" w:line="221" w:lineRule="auto"/>
        <w:jc w:val="center"/>
        <w:outlineLvl w:val="1"/>
        <w:rPr>
          <w:rFonts w:hint="eastAsia" w:ascii="宋体" w:hAnsi="宋体" w:eastAsia="宋体" w:cs="宋体"/>
          <w:color w:val="auto"/>
          <w:sz w:val="24"/>
          <w:szCs w:val="24"/>
          <w:lang w:eastAsia="zh-CN"/>
        </w:rPr>
      </w:pPr>
      <w:bookmarkStart w:id="1867" w:name="_Toc27092"/>
      <w:bookmarkStart w:id="1868" w:name="_Toc8075"/>
      <w:r>
        <w:rPr>
          <w:rFonts w:ascii="宋体" w:hAnsi="宋体" w:eastAsia="宋体" w:cs="宋体"/>
          <w:color w:val="auto"/>
          <w:spacing w:val="-4"/>
          <w:sz w:val="24"/>
          <w:szCs w:val="24"/>
          <w:lang w:eastAsia="zh-CN"/>
        </w:rPr>
        <w:t>（技术标）</w:t>
      </w:r>
      <w:bookmarkEnd w:id="1867"/>
      <w:bookmarkEnd w:id="1868"/>
    </w:p>
    <w:p w14:paraId="762C8A84">
      <w:pPr>
        <w:pStyle w:val="8"/>
        <w:spacing w:line="247" w:lineRule="auto"/>
        <w:rPr>
          <w:color w:val="auto"/>
          <w:lang w:eastAsia="zh-CN"/>
        </w:rPr>
      </w:pPr>
    </w:p>
    <w:p w14:paraId="25CAD76D">
      <w:pPr>
        <w:pStyle w:val="8"/>
        <w:spacing w:line="248" w:lineRule="auto"/>
        <w:rPr>
          <w:color w:val="auto"/>
          <w:lang w:eastAsia="zh-CN"/>
        </w:rPr>
      </w:pPr>
    </w:p>
    <w:p w14:paraId="71B7329B">
      <w:pPr>
        <w:pStyle w:val="8"/>
        <w:spacing w:line="248" w:lineRule="auto"/>
        <w:rPr>
          <w:color w:val="auto"/>
          <w:lang w:eastAsia="zh-CN"/>
        </w:rPr>
      </w:pPr>
    </w:p>
    <w:p w14:paraId="1C1D657D">
      <w:pPr>
        <w:pStyle w:val="8"/>
        <w:spacing w:line="248" w:lineRule="auto"/>
        <w:rPr>
          <w:color w:val="auto"/>
          <w:lang w:eastAsia="zh-CN"/>
        </w:rPr>
      </w:pPr>
    </w:p>
    <w:p w14:paraId="2ECB2595">
      <w:pPr>
        <w:pStyle w:val="8"/>
        <w:spacing w:line="248" w:lineRule="auto"/>
        <w:rPr>
          <w:color w:val="auto"/>
          <w:lang w:eastAsia="zh-CN"/>
        </w:rPr>
      </w:pPr>
    </w:p>
    <w:p w14:paraId="426D8F4F">
      <w:pPr>
        <w:pStyle w:val="8"/>
        <w:spacing w:line="248" w:lineRule="auto"/>
        <w:rPr>
          <w:color w:val="auto"/>
          <w:lang w:eastAsia="zh-CN"/>
        </w:rPr>
      </w:pPr>
    </w:p>
    <w:p w14:paraId="001F9CCD">
      <w:pPr>
        <w:pStyle w:val="8"/>
        <w:spacing w:line="248" w:lineRule="auto"/>
        <w:rPr>
          <w:color w:val="auto"/>
          <w:lang w:eastAsia="zh-CN"/>
        </w:rPr>
      </w:pPr>
    </w:p>
    <w:p w14:paraId="57CF0271">
      <w:pPr>
        <w:pStyle w:val="8"/>
        <w:spacing w:line="248" w:lineRule="auto"/>
        <w:rPr>
          <w:color w:val="auto"/>
          <w:lang w:eastAsia="zh-CN"/>
        </w:rPr>
      </w:pPr>
    </w:p>
    <w:p w14:paraId="3B9D9C11">
      <w:pPr>
        <w:pStyle w:val="8"/>
        <w:spacing w:line="248" w:lineRule="auto"/>
        <w:rPr>
          <w:color w:val="auto"/>
          <w:lang w:eastAsia="zh-CN"/>
        </w:rPr>
      </w:pPr>
    </w:p>
    <w:p w14:paraId="2879196F">
      <w:pPr>
        <w:pStyle w:val="8"/>
        <w:spacing w:line="248" w:lineRule="auto"/>
        <w:rPr>
          <w:color w:val="auto"/>
          <w:lang w:eastAsia="zh-CN"/>
        </w:rPr>
      </w:pPr>
    </w:p>
    <w:p w14:paraId="48D18852">
      <w:pPr>
        <w:pStyle w:val="8"/>
        <w:spacing w:line="248" w:lineRule="auto"/>
        <w:rPr>
          <w:color w:val="auto"/>
          <w:lang w:eastAsia="zh-CN"/>
        </w:rPr>
      </w:pPr>
    </w:p>
    <w:p w14:paraId="29679931">
      <w:pPr>
        <w:pStyle w:val="8"/>
        <w:spacing w:line="248" w:lineRule="auto"/>
        <w:rPr>
          <w:color w:val="auto"/>
          <w:lang w:eastAsia="zh-CN"/>
        </w:rPr>
      </w:pPr>
    </w:p>
    <w:p w14:paraId="066CB9C2">
      <w:pPr>
        <w:pStyle w:val="8"/>
        <w:spacing w:line="248" w:lineRule="auto"/>
        <w:rPr>
          <w:color w:val="auto"/>
          <w:lang w:eastAsia="zh-CN"/>
        </w:rPr>
      </w:pPr>
    </w:p>
    <w:p w14:paraId="141EE97F">
      <w:pPr>
        <w:pStyle w:val="8"/>
        <w:spacing w:line="248" w:lineRule="auto"/>
        <w:rPr>
          <w:color w:val="auto"/>
          <w:lang w:eastAsia="zh-CN"/>
        </w:rPr>
      </w:pPr>
    </w:p>
    <w:p w14:paraId="00F07273">
      <w:pPr>
        <w:pStyle w:val="8"/>
        <w:spacing w:line="248" w:lineRule="auto"/>
        <w:rPr>
          <w:color w:val="auto"/>
          <w:lang w:eastAsia="zh-CN"/>
        </w:rPr>
      </w:pPr>
    </w:p>
    <w:p w14:paraId="236359EE">
      <w:pPr>
        <w:pStyle w:val="8"/>
        <w:spacing w:line="248" w:lineRule="auto"/>
        <w:rPr>
          <w:color w:val="auto"/>
          <w:lang w:eastAsia="zh-CN"/>
        </w:rPr>
      </w:pPr>
    </w:p>
    <w:p w14:paraId="357DC320">
      <w:pPr>
        <w:pStyle w:val="8"/>
        <w:spacing w:line="248" w:lineRule="auto"/>
        <w:rPr>
          <w:color w:val="auto"/>
          <w:lang w:eastAsia="zh-CN"/>
        </w:rPr>
      </w:pPr>
    </w:p>
    <w:p w14:paraId="34B3626D">
      <w:pPr>
        <w:pStyle w:val="8"/>
        <w:spacing w:line="248" w:lineRule="auto"/>
        <w:rPr>
          <w:color w:val="auto"/>
          <w:lang w:eastAsia="zh-CN"/>
        </w:rPr>
      </w:pPr>
    </w:p>
    <w:p w14:paraId="60D3CFCE">
      <w:pPr>
        <w:pStyle w:val="8"/>
        <w:spacing w:line="248" w:lineRule="auto"/>
        <w:rPr>
          <w:color w:val="auto"/>
          <w:lang w:eastAsia="zh-CN"/>
        </w:rPr>
      </w:pPr>
    </w:p>
    <w:p w14:paraId="38D7F45E">
      <w:pPr>
        <w:spacing w:before="78" w:line="219" w:lineRule="auto"/>
        <w:ind w:left="112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投</w:t>
      </w:r>
      <w:r>
        <w:rPr>
          <w:rFonts w:hint="eastAsia" w:ascii="宋体" w:hAnsi="宋体" w:eastAsia="宋体" w:cs="宋体"/>
          <w:color w:val="auto"/>
          <w:spacing w:val="15"/>
          <w:sz w:val="24"/>
          <w:szCs w:val="24"/>
          <w:lang w:eastAsia="zh-CN"/>
        </w:rPr>
        <w:t>　</w:t>
      </w:r>
      <w:r>
        <w:rPr>
          <w:rFonts w:ascii="宋体" w:hAnsi="宋体" w:eastAsia="宋体" w:cs="宋体"/>
          <w:color w:val="auto"/>
          <w:spacing w:val="-1"/>
          <w:sz w:val="24"/>
          <w:szCs w:val="24"/>
          <w:lang w:eastAsia="zh-CN"/>
        </w:rPr>
        <w:t>标</w:t>
      </w:r>
      <w:r>
        <w:rPr>
          <w:rFonts w:hint="eastAsia" w:ascii="宋体" w:hAnsi="宋体" w:eastAsia="宋体" w:cs="宋体"/>
          <w:color w:val="auto"/>
          <w:spacing w:val="15"/>
          <w:sz w:val="24"/>
          <w:szCs w:val="24"/>
          <w:lang w:eastAsia="zh-CN"/>
        </w:rPr>
        <w:t>　</w:t>
      </w:r>
      <w:r>
        <w:rPr>
          <w:rFonts w:ascii="宋体" w:hAnsi="宋体" w:eastAsia="宋体" w:cs="宋体"/>
          <w:color w:val="auto"/>
          <w:spacing w:val="-1"/>
          <w:sz w:val="24"/>
          <w:szCs w:val="24"/>
          <w:lang w:eastAsia="zh-CN"/>
        </w:rPr>
        <w:t>人</w:t>
      </w:r>
      <w:r>
        <w:rPr>
          <w:rFonts w:ascii="宋体" w:hAnsi="宋体" w:eastAsia="宋体" w:cs="宋体"/>
          <w:color w:val="auto"/>
          <w:spacing w:val="-31"/>
          <w:sz w:val="24"/>
          <w:szCs w:val="24"/>
          <w:lang w:eastAsia="zh-CN"/>
        </w:rPr>
        <w:t>：</w:t>
      </w:r>
      <w:r>
        <w:rPr>
          <w:rFonts w:hint="eastAsia" w:ascii="宋体" w:hAnsi="宋体" w:eastAsia="宋体" w:cs="宋体"/>
          <w:color w:val="auto"/>
          <w:spacing w:val="17"/>
          <w:sz w:val="24"/>
          <w:szCs w:val="24"/>
          <w:u w:val="single"/>
          <w:lang w:eastAsia="zh-CN"/>
        </w:rPr>
        <w:t>　　　</w:t>
      </w:r>
      <w:r>
        <w:rPr>
          <w:rFonts w:ascii="宋体" w:hAnsi="宋体" w:eastAsia="宋体" w:cs="宋体"/>
          <w:color w:val="auto"/>
          <w:spacing w:val="-31"/>
          <w:sz w:val="24"/>
          <w:szCs w:val="24"/>
          <w:u w:val="single"/>
          <w:lang w:eastAsia="zh-CN"/>
        </w:rPr>
        <w:t>（</w:t>
      </w:r>
      <w:r>
        <w:rPr>
          <w:rFonts w:ascii="宋体" w:hAnsi="宋体" w:eastAsia="宋体" w:cs="宋体"/>
          <w:color w:val="auto"/>
          <w:spacing w:val="-1"/>
          <w:sz w:val="24"/>
          <w:szCs w:val="24"/>
          <w:u w:val="single"/>
          <w:lang w:eastAsia="zh-CN"/>
        </w:rPr>
        <w:t>盖单位公章）</w:t>
      </w:r>
      <w:r>
        <w:rPr>
          <w:rFonts w:hint="eastAsia" w:ascii="宋体" w:hAnsi="宋体" w:eastAsia="宋体" w:cs="宋体"/>
          <w:color w:val="auto"/>
          <w:sz w:val="24"/>
          <w:szCs w:val="24"/>
          <w:u w:val="single"/>
          <w:lang w:eastAsia="zh-CN"/>
        </w:rPr>
        <w:t>　　　　　　</w:t>
      </w:r>
    </w:p>
    <w:p w14:paraId="4FC68E84">
      <w:pPr>
        <w:pStyle w:val="8"/>
        <w:spacing w:line="257" w:lineRule="auto"/>
        <w:rPr>
          <w:color w:val="auto"/>
          <w:lang w:eastAsia="zh-CN"/>
        </w:rPr>
      </w:pPr>
    </w:p>
    <w:p w14:paraId="0F564C07">
      <w:pPr>
        <w:pStyle w:val="8"/>
        <w:spacing w:line="258" w:lineRule="auto"/>
        <w:rPr>
          <w:color w:val="auto"/>
          <w:lang w:eastAsia="zh-CN"/>
        </w:rPr>
      </w:pPr>
    </w:p>
    <w:p w14:paraId="7CAF557F">
      <w:pPr>
        <w:tabs>
          <w:tab w:val="left" w:pos="4125"/>
        </w:tabs>
        <w:spacing w:before="78" w:line="362" w:lineRule="auto"/>
        <w:ind w:left="2805" w:right="1808" w:hanging="1684"/>
        <w:rPr>
          <w:rFonts w:hint="eastAsia" w:ascii="宋体" w:hAnsi="宋体" w:eastAsia="宋体" w:cs="宋体"/>
          <w:color w:val="auto"/>
          <w:sz w:val="24"/>
          <w:szCs w:val="24"/>
          <w:u w:val="single"/>
          <w:lang w:eastAsia="zh-CN"/>
        </w:rPr>
      </w:pPr>
      <w:r>
        <w:rPr>
          <w:rFonts w:ascii="宋体" w:hAnsi="宋体" w:eastAsia="宋体" w:cs="宋体"/>
          <w:color w:val="auto"/>
          <w:spacing w:val="2"/>
          <w:sz w:val="24"/>
          <w:szCs w:val="24"/>
          <w:lang w:eastAsia="zh-CN"/>
        </w:rPr>
        <w:t>法定代表人或委托代理人</w:t>
      </w:r>
      <w:r>
        <w:rPr>
          <w:rFonts w:ascii="宋体" w:hAnsi="宋体" w:eastAsia="宋体" w:cs="宋体"/>
          <w:color w:val="auto"/>
          <w:spacing w:val="-14"/>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14"/>
          <w:sz w:val="24"/>
          <w:szCs w:val="24"/>
          <w:u w:val="single"/>
          <w:lang w:eastAsia="zh-CN"/>
        </w:rPr>
        <w:t>（</w:t>
      </w:r>
      <w:r>
        <w:rPr>
          <w:rFonts w:ascii="宋体" w:hAnsi="宋体" w:eastAsia="宋体" w:cs="宋体"/>
          <w:color w:val="auto"/>
          <w:spacing w:val="2"/>
          <w:sz w:val="24"/>
          <w:szCs w:val="24"/>
          <w:u w:val="single"/>
          <w:lang w:eastAsia="zh-CN"/>
        </w:rPr>
        <w:t>签字或盖章）</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u w:val="single"/>
          <w:lang w:eastAsia="zh-CN"/>
        </w:rPr>
        <w:tab/>
      </w:r>
    </w:p>
    <w:p w14:paraId="6D6FE8BD">
      <w:pPr>
        <w:tabs>
          <w:tab w:val="left" w:pos="4125"/>
        </w:tabs>
        <w:spacing w:before="78" w:line="362" w:lineRule="auto"/>
        <w:ind w:left="2805" w:right="1808" w:hanging="1684"/>
        <w:rPr>
          <w:rFonts w:hint="eastAsia" w:ascii="宋体" w:hAnsi="宋体" w:eastAsia="宋体" w:cs="宋体"/>
          <w:color w:val="auto"/>
          <w:sz w:val="24"/>
          <w:szCs w:val="24"/>
          <w:u w:val="single"/>
          <w:lang w:eastAsia="zh-CN"/>
        </w:rPr>
      </w:pPr>
    </w:p>
    <w:p w14:paraId="79408162">
      <w:pPr>
        <w:tabs>
          <w:tab w:val="left" w:pos="4125"/>
        </w:tabs>
        <w:spacing w:before="78" w:line="362" w:lineRule="auto"/>
        <w:ind w:left="2805" w:right="1808" w:hanging="1684"/>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日</w:t>
      </w:r>
    </w:p>
    <w:p w14:paraId="3AB08E01">
      <w:pPr>
        <w:pStyle w:val="8"/>
        <w:spacing w:line="286" w:lineRule="auto"/>
        <w:rPr>
          <w:color w:val="auto"/>
          <w:lang w:eastAsia="zh-CN"/>
        </w:rPr>
      </w:pPr>
    </w:p>
    <w:p w14:paraId="22448A84">
      <w:pPr>
        <w:pStyle w:val="8"/>
        <w:spacing w:line="287" w:lineRule="auto"/>
        <w:rPr>
          <w:color w:val="auto"/>
          <w:lang w:eastAsia="zh-CN"/>
        </w:rPr>
      </w:pPr>
    </w:p>
    <w:p w14:paraId="3A82AEBD">
      <w:pPr>
        <w:pStyle w:val="8"/>
        <w:spacing w:line="287" w:lineRule="auto"/>
        <w:rPr>
          <w:color w:val="auto"/>
          <w:lang w:eastAsia="zh-CN"/>
        </w:rPr>
      </w:pPr>
    </w:p>
    <w:p w14:paraId="427658C2">
      <w:pPr>
        <w:pStyle w:val="8"/>
        <w:spacing w:line="287" w:lineRule="auto"/>
        <w:rPr>
          <w:color w:val="auto"/>
          <w:lang w:eastAsia="zh-CN"/>
        </w:rPr>
      </w:pPr>
    </w:p>
    <w:p w14:paraId="5137EAFC">
      <w:pPr>
        <w:spacing w:before="82" w:line="211" w:lineRule="auto"/>
        <w:rPr>
          <w:rFonts w:hint="eastAsia" w:ascii="宋体" w:hAnsi="宋体" w:eastAsia="宋体" w:cs="宋体"/>
          <w:i/>
          <w:iCs/>
          <w:color w:val="auto"/>
          <w:spacing w:val="-19"/>
          <w:sz w:val="25"/>
          <w:szCs w:val="25"/>
          <w:lang w:eastAsia="zh-CN"/>
        </w:rPr>
      </w:pPr>
      <w:r>
        <w:rPr>
          <w:rFonts w:ascii="宋体" w:hAnsi="宋体" w:eastAsia="宋体" w:cs="宋体"/>
          <w:i/>
          <w:iCs/>
          <w:color w:val="auto"/>
          <w:spacing w:val="-19"/>
          <w:sz w:val="25"/>
          <w:szCs w:val="25"/>
          <w:lang w:eastAsia="zh-CN"/>
        </w:rPr>
        <w:t>注：本页同时适用于封面或扉页。</w:t>
      </w:r>
    </w:p>
    <w:p w14:paraId="693E9D96">
      <w:pPr>
        <w:rPr>
          <w:rFonts w:hint="eastAsia" w:ascii="宋体" w:hAnsi="宋体" w:eastAsia="宋体" w:cs="宋体"/>
          <w:i/>
          <w:iCs/>
          <w:color w:val="auto"/>
          <w:spacing w:val="-19"/>
          <w:sz w:val="25"/>
          <w:szCs w:val="25"/>
          <w:lang w:eastAsia="zh-CN"/>
        </w:rPr>
      </w:pPr>
      <w:r>
        <w:rPr>
          <w:rFonts w:ascii="宋体" w:hAnsi="宋体" w:eastAsia="宋体" w:cs="宋体"/>
          <w:i/>
          <w:iCs/>
          <w:color w:val="auto"/>
          <w:spacing w:val="-19"/>
          <w:sz w:val="25"/>
          <w:szCs w:val="25"/>
          <w:lang w:eastAsia="zh-CN"/>
        </w:rPr>
        <w:br w:type="page"/>
      </w:r>
    </w:p>
    <w:p w14:paraId="22306DBE">
      <w:pPr>
        <w:spacing w:before="91" w:line="220" w:lineRule="auto"/>
        <w:ind w:left="3507"/>
        <w:outlineLvl w:val="2"/>
        <w:rPr>
          <w:rFonts w:hint="eastAsia" w:ascii="宋体" w:hAnsi="宋体" w:eastAsia="宋体" w:cs="宋体"/>
          <w:color w:val="auto"/>
          <w:sz w:val="28"/>
          <w:szCs w:val="28"/>
          <w:lang w:eastAsia="zh-CN"/>
        </w:rPr>
      </w:pPr>
      <w:bookmarkStart w:id="1869" w:name="_Toc5395"/>
      <w:bookmarkStart w:id="1870" w:name="_Toc7225"/>
      <w:bookmarkStart w:id="1871" w:name="_Toc3520"/>
      <w:bookmarkStart w:id="1872" w:name="_Toc29459"/>
      <w:r>
        <w:rPr>
          <w:rFonts w:ascii="宋体" w:hAnsi="宋体" w:eastAsia="宋体" w:cs="宋体"/>
          <w:b/>
          <w:bCs/>
          <w:color w:val="auto"/>
          <w:spacing w:val="-5"/>
          <w:sz w:val="28"/>
          <w:szCs w:val="28"/>
          <w:lang w:eastAsia="zh-CN"/>
        </w:rPr>
        <w:t>技术标目录</w:t>
      </w:r>
      <w:bookmarkEnd w:id="1869"/>
      <w:bookmarkEnd w:id="1870"/>
      <w:bookmarkEnd w:id="1871"/>
      <w:bookmarkEnd w:id="1872"/>
    </w:p>
    <w:p w14:paraId="36EEDB3B">
      <w:pPr>
        <w:pStyle w:val="8"/>
        <w:spacing w:line="245" w:lineRule="auto"/>
        <w:rPr>
          <w:color w:val="auto"/>
          <w:lang w:eastAsia="zh-CN"/>
        </w:rPr>
      </w:pPr>
    </w:p>
    <w:p w14:paraId="045D2BAC">
      <w:pPr>
        <w:spacing w:line="520" w:lineRule="exact"/>
        <w:ind w:firstLine="472" w:firstLineChars="200"/>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一、施工组织设计</w:t>
      </w:r>
    </w:p>
    <w:p w14:paraId="056112AC">
      <w:pPr>
        <w:spacing w:line="520" w:lineRule="exact"/>
        <w:ind w:firstLine="472" w:firstLineChars="200"/>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二、拟分包项目情况表</w:t>
      </w:r>
    </w:p>
    <w:p w14:paraId="7815F1E6">
      <w:pPr>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br w:type="page"/>
      </w:r>
    </w:p>
    <w:p w14:paraId="7CEE0534">
      <w:pPr>
        <w:spacing w:line="520" w:lineRule="exact"/>
        <w:jc w:val="center"/>
        <w:outlineLvl w:val="2"/>
        <w:rPr>
          <w:rFonts w:hint="eastAsia" w:ascii="宋体" w:hAnsi="宋体" w:eastAsia="宋体" w:cs="宋体"/>
          <w:color w:val="auto"/>
          <w:sz w:val="28"/>
          <w:szCs w:val="28"/>
          <w:lang w:eastAsia="zh-CN"/>
        </w:rPr>
      </w:pPr>
      <w:bookmarkStart w:id="1873" w:name="_Toc30196"/>
      <w:bookmarkStart w:id="1874" w:name="_Toc9673"/>
      <w:bookmarkStart w:id="1875" w:name="_Toc7392"/>
      <w:bookmarkStart w:id="1876" w:name="_Toc20528"/>
      <w:r>
        <w:rPr>
          <w:rFonts w:hint="eastAsia" w:ascii="宋体" w:hAnsi="宋体" w:eastAsia="宋体" w:cs="宋体"/>
          <w:b/>
          <w:bCs/>
          <w:color w:val="auto"/>
          <w:spacing w:val="-7"/>
          <w:sz w:val="28"/>
          <w:szCs w:val="28"/>
          <w:lang w:eastAsia="zh-CN"/>
        </w:rPr>
        <w:t>一</w:t>
      </w:r>
      <w:r>
        <w:rPr>
          <w:rFonts w:ascii="宋体" w:hAnsi="宋体" w:eastAsia="宋体" w:cs="宋体"/>
          <w:b/>
          <w:bCs/>
          <w:color w:val="auto"/>
          <w:spacing w:val="-7"/>
          <w:sz w:val="28"/>
          <w:szCs w:val="28"/>
          <w:lang w:eastAsia="zh-CN"/>
        </w:rPr>
        <w:t>、施工组织设计</w:t>
      </w:r>
      <w:bookmarkEnd w:id="1873"/>
      <w:bookmarkEnd w:id="1874"/>
      <w:bookmarkEnd w:id="1875"/>
      <w:bookmarkEnd w:id="1876"/>
    </w:p>
    <w:p w14:paraId="524A9772">
      <w:pPr>
        <w:rPr>
          <w:rFonts w:hint="eastAsia" w:ascii="宋体" w:hAnsi="宋体" w:eastAsia="宋体" w:cs="宋体"/>
          <w:color w:val="auto"/>
          <w:sz w:val="28"/>
          <w:szCs w:val="28"/>
          <w:lang w:eastAsia="zh-CN"/>
        </w:rPr>
      </w:pPr>
      <w:r>
        <w:rPr>
          <w:rFonts w:ascii="宋体" w:hAnsi="宋体" w:eastAsia="宋体" w:cs="宋体"/>
          <w:color w:val="auto"/>
          <w:sz w:val="28"/>
          <w:szCs w:val="28"/>
          <w:lang w:eastAsia="zh-CN"/>
        </w:rPr>
        <w:br w:type="page"/>
      </w:r>
    </w:p>
    <w:p w14:paraId="12A0DE7D">
      <w:pPr>
        <w:autoSpaceDE/>
        <w:autoSpaceDN/>
        <w:spacing w:line="520" w:lineRule="exact"/>
        <w:jc w:val="center"/>
        <w:rPr>
          <w:rFonts w:hint="eastAsia" w:ascii="宋体" w:hAnsi="宋体" w:eastAsia="宋体" w:cs="宋体"/>
          <w:color w:val="auto"/>
          <w:sz w:val="28"/>
          <w:szCs w:val="28"/>
          <w:lang w:eastAsia="zh-CN"/>
        </w:rPr>
      </w:pPr>
      <w:bookmarkStart w:id="1877" w:name="bookmark650"/>
      <w:bookmarkEnd w:id="1877"/>
      <w:bookmarkStart w:id="1878" w:name="_Toc17733"/>
      <w:bookmarkStart w:id="1879" w:name="_Toc17326"/>
      <w:r>
        <w:rPr>
          <w:rFonts w:ascii="宋体" w:hAnsi="宋体" w:eastAsia="宋体" w:cs="宋体"/>
          <w:b/>
          <w:bCs/>
          <w:color w:val="auto"/>
          <w:spacing w:val="-3"/>
          <w:sz w:val="28"/>
          <w:szCs w:val="28"/>
          <w:lang w:eastAsia="zh-CN"/>
        </w:rPr>
        <w:t>施工组织设计编制原则</w:t>
      </w:r>
      <w:bookmarkEnd w:id="1878"/>
      <w:bookmarkEnd w:id="1879"/>
    </w:p>
    <w:p w14:paraId="40840E5E">
      <w:pPr>
        <w:pStyle w:val="8"/>
        <w:spacing w:line="246" w:lineRule="auto"/>
        <w:rPr>
          <w:color w:val="auto"/>
          <w:lang w:eastAsia="zh-CN"/>
        </w:rPr>
      </w:pPr>
    </w:p>
    <w:p w14:paraId="25280564">
      <w:pPr>
        <w:widowControl w:val="0"/>
        <w:kinsoku/>
        <w:wordWrap w:val="0"/>
        <w:topLinePunct/>
        <w:autoSpaceDE/>
        <w:autoSpaceDN/>
        <w:spacing w:line="520" w:lineRule="exact"/>
        <w:ind w:firstLine="476"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1"/>
          <w:sz w:val="24"/>
          <w:szCs w:val="24"/>
          <w:lang w:eastAsia="zh-CN"/>
        </w:rPr>
        <w:t>1</w:t>
      </w:r>
      <w:r>
        <w:rPr>
          <w:rFonts w:ascii="宋体" w:hAnsi="宋体" w:eastAsia="宋体" w:cs="宋体"/>
          <w:color w:val="auto"/>
          <w:spacing w:val="-1"/>
          <w:sz w:val="24"/>
          <w:szCs w:val="24"/>
          <w:lang w:eastAsia="zh-CN"/>
        </w:rPr>
        <w:t>投标人编制施工组织设计时应采用文字并结合图表形式说明工程的施工组织、</w:t>
      </w:r>
      <w:r>
        <w:rPr>
          <w:rFonts w:ascii="宋体" w:hAnsi="宋体" w:eastAsia="宋体" w:cs="宋体"/>
          <w:color w:val="auto"/>
          <w:spacing w:val="-9"/>
          <w:sz w:val="24"/>
          <w:szCs w:val="24"/>
          <w:lang w:eastAsia="zh-CN"/>
        </w:rPr>
        <w:t>施工方法、技术组织措施，同时应对关键工序、复杂环节重点提出相应技术措施，如</w:t>
      </w:r>
      <w:r>
        <w:rPr>
          <w:rFonts w:ascii="宋体" w:hAnsi="宋体" w:eastAsia="宋体" w:cs="宋体"/>
          <w:color w:val="auto"/>
          <w:spacing w:val="-3"/>
          <w:sz w:val="24"/>
          <w:szCs w:val="24"/>
          <w:lang w:eastAsia="zh-CN"/>
        </w:rPr>
        <w:t>冬雨季施工技术、减少噪音、降低环境污染、地下管线及其它地上地下设施的保护加固措施等。施工组织设计还应结合工程特点提出切实可行的工程质量、工程进度、安</w:t>
      </w:r>
      <w:r>
        <w:rPr>
          <w:rFonts w:ascii="宋体" w:hAnsi="宋体" w:eastAsia="宋体" w:cs="宋体"/>
          <w:color w:val="auto"/>
          <w:spacing w:val="-2"/>
          <w:sz w:val="24"/>
          <w:szCs w:val="24"/>
          <w:lang w:eastAsia="zh-CN"/>
        </w:rPr>
        <w:t>全生产、防汛度汛、文明施工、水土保持、环境保护管理方案等。</w:t>
      </w:r>
    </w:p>
    <w:p w14:paraId="0B638D9F">
      <w:pPr>
        <w:widowControl w:val="0"/>
        <w:kinsoku/>
        <w:wordWrap w:val="0"/>
        <w:topLinePunct/>
        <w:autoSpaceDE/>
        <w:autoSpaceDN/>
        <w:spacing w:line="520" w:lineRule="exact"/>
        <w:ind w:firstLine="476" w:firstLineChars="200"/>
        <w:jc w:val="both"/>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1"/>
          <w:sz w:val="24"/>
          <w:szCs w:val="24"/>
          <w:lang w:eastAsia="zh-CN"/>
        </w:rPr>
        <w:t>2</w:t>
      </w:r>
      <w:r>
        <w:rPr>
          <w:rFonts w:ascii="宋体" w:hAnsi="宋体" w:eastAsia="宋体" w:cs="宋体"/>
          <w:color w:val="auto"/>
          <w:spacing w:val="-1"/>
          <w:sz w:val="24"/>
          <w:szCs w:val="24"/>
          <w:lang w:eastAsia="zh-CN"/>
        </w:rPr>
        <w:t>施工组织设计除采用文字表述外，应附下列图表，图表及格</w:t>
      </w:r>
      <w:r>
        <w:rPr>
          <w:rFonts w:ascii="宋体" w:hAnsi="宋体" w:eastAsia="宋体" w:cs="宋体"/>
          <w:color w:val="auto"/>
          <w:spacing w:val="-2"/>
          <w:sz w:val="24"/>
          <w:szCs w:val="24"/>
          <w:lang w:eastAsia="zh-CN"/>
        </w:rPr>
        <w:t>式要求附后。</w:t>
      </w:r>
    </w:p>
    <w:p w14:paraId="053CBA66">
      <w:pPr>
        <w:widowControl w:val="0"/>
        <w:kinsoku/>
        <w:wordWrap w:val="0"/>
        <w:topLinePunct/>
        <w:autoSpaceDE/>
        <w:autoSpaceDN/>
        <w:spacing w:line="520" w:lineRule="exact"/>
        <w:ind w:firstLine="468" w:firstLineChars="200"/>
        <w:jc w:val="both"/>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附件一：拟投入本标段的主要施工设备表</w:t>
      </w:r>
    </w:p>
    <w:p w14:paraId="05C77FEC">
      <w:pPr>
        <w:widowControl w:val="0"/>
        <w:kinsoku/>
        <w:wordWrap w:val="0"/>
        <w:topLinePunct/>
        <w:autoSpaceDE/>
        <w:autoSpaceDN/>
        <w:spacing w:line="520" w:lineRule="exact"/>
        <w:ind w:firstLine="472" w:firstLineChars="200"/>
        <w:jc w:val="both"/>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附件二：拟投入本标段的试验和检测仪器设备表</w:t>
      </w:r>
    </w:p>
    <w:p w14:paraId="5183424C">
      <w:pPr>
        <w:widowControl w:val="0"/>
        <w:kinsoku/>
        <w:wordWrap w:val="0"/>
        <w:topLinePunct/>
        <w:autoSpaceDE/>
        <w:autoSpaceDN/>
        <w:spacing w:line="520" w:lineRule="exact"/>
        <w:ind w:firstLine="472" w:firstLineChars="200"/>
        <w:jc w:val="both"/>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附件三：拟投入本标段的劳动力计划表</w:t>
      </w:r>
    </w:p>
    <w:p w14:paraId="339334FA">
      <w:pPr>
        <w:widowControl w:val="0"/>
        <w:kinsoku/>
        <w:wordWrap w:val="0"/>
        <w:topLinePunct/>
        <w:autoSpaceDE/>
        <w:autoSpaceDN/>
        <w:spacing w:line="520" w:lineRule="exact"/>
        <w:ind w:firstLine="472" w:firstLineChars="200"/>
        <w:jc w:val="both"/>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附件四：计划开工日期、完工日期和施工进度表</w:t>
      </w:r>
    </w:p>
    <w:p w14:paraId="31642CB8">
      <w:pPr>
        <w:widowControl w:val="0"/>
        <w:kinsoku/>
        <w:wordWrap w:val="0"/>
        <w:topLinePunct/>
        <w:autoSpaceDE/>
        <w:autoSpaceDN/>
        <w:spacing w:line="520" w:lineRule="exact"/>
        <w:ind w:firstLine="468" w:firstLineChars="200"/>
        <w:jc w:val="both"/>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附件五：施工总平面图</w:t>
      </w:r>
    </w:p>
    <w:p w14:paraId="6B1456C6">
      <w:pPr>
        <w:widowControl w:val="0"/>
        <w:kinsoku/>
        <w:wordWrap w:val="0"/>
        <w:topLinePunct/>
        <w:autoSpaceDE/>
        <w:autoSpaceDN/>
        <w:spacing w:line="520" w:lineRule="exact"/>
        <w:ind w:firstLine="468" w:firstLineChars="200"/>
        <w:jc w:val="both"/>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附表六：临时用地表</w:t>
      </w:r>
    </w:p>
    <w:p w14:paraId="0651D229">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0BF8157C">
      <w:pPr>
        <w:spacing w:before="78" w:line="219" w:lineRule="auto"/>
        <w:ind w:left="28"/>
        <w:rPr>
          <w:rFonts w:hint="eastAsia" w:ascii="宋体" w:hAnsi="宋体" w:eastAsia="宋体" w:cs="宋体"/>
          <w:color w:val="auto"/>
          <w:sz w:val="24"/>
          <w:szCs w:val="24"/>
          <w:lang w:eastAsia="zh-CN"/>
        </w:rPr>
      </w:pPr>
      <w:r>
        <w:rPr>
          <w:rFonts w:ascii="宋体" w:hAnsi="宋体" w:eastAsia="宋体" w:cs="宋体"/>
          <w:color w:val="auto"/>
          <w:spacing w:val="-8"/>
          <w:sz w:val="24"/>
          <w:szCs w:val="24"/>
          <w:lang w:eastAsia="zh-CN"/>
        </w:rPr>
        <w:t>附件一：</w:t>
      </w:r>
    </w:p>
    <w:p w14:paraId="475CFE6D">
      <w:pPr>
        <w:spacing w:before="183" w:line="219" w:lineRule="auto"/>
        <w:ind w:left="2716"/>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拟投入本标段的主要施工设备表</w:t>
      </w:r>
    </w:p>
    <w:p w14:paraId="55998745">
      <w:pPr>
        <w:spacing w:line="144" w:lineRule="exact"/>
        <w:rPr>
          <w:color w:val="auto"/>
          <w:lang w:eastAsia="zh-CN"/>
        </w:rPr>
      </w:pPr>
    </w:p>
    <w:tbl>
      <w:tblPr>
        <w:tblStyle w:val="20"/>
        <w:tblW w:w="89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1071"/>
        <w:gridCol w:w="719"/>
        <w:gridCol w:w="740"/>
        <w:gridCol w:w="738"/>
        <w:gridCol w:w="855"/>
        <w:gridCol w:w="1270"/>
        <w:gridCol w:w="882"/>
        <w:gridCol w:w="980"/>
        <w:gridCol w:w="987"/>
      </w:tblGrid>
      <w:tr w14:paraId="7F21D2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jc w:val="center"/>
        </w:trPr>
        <w:tc>
          <w:tcPr>
            <w:tcW w:w="663" w:type="dxa"/>
            <w:tcBorders>
              <w:top w:val="single" w:color="000000" w:sz="6" w:space="0"/>
              <w:left w:val="single" w:color="000000" w:sz="6" w:space="0"/>
            </w:tcBorders>
            <w:vAlign w:val="center"/>
          </w:tcPr>
          <w:p w14:paraId="7DE73C94">
            <w:pPr>
              <w:pStyle w:val="21"/>
              <w:jc w:val="center"/>
              <w:rPr>
                <w:rFonts w:hint="eastAsia"/>
                <w:color w:val="auto"/>
                <w:sz w:val="24"/>
                <w:szCs w:val="24"/>
              </w:rPr>
            </w:pPr>
            <w:r>
              <w:rPr>
                <w:rFonts w:hint="eastAsia"/>
                <w:color w:val="auto"/>
                <w:sz w:val="24"/>
                <w:szCs w:val="24"/>
              </w:rPr>
              <w:t>序号</w:t>
            </w:r>
          </w:p>
        </w:tc>
        <w:tc>
          <w:tcPr>
            <w:tcW w:w="1071" w:type="dxa"/>
            <w:tcBorders>
              <w:top w:val="single" w:color="000000" w:sz="6" w:space="0"/>
            </w:tcBorders>
            <w:vAlign w:val="center"/>
          </w:tcPr>
          <w:p w14:paraId="2B0BE3CA">
            <w:pPr>
              <w:pStyle w:val="21"/>
              <w:jc w:val="center"/>
              <w:rPr>
                <w:rFonts w:hint="eastAsia"/>
                <w:color w:val="auto"/>
                <w:sz w:val="24"/>
                <w:szCs w:val="24"/>
              </w:rPr>
            </w:pPr>
            <w:r>
              <w:rPr>
                <w:rFonts w:hint="eastAsia"/>
                <w:color w:val="auto"/>
                <w:sz w:val="24"/>
                <w:szCs w:val="24"/>
              </w:rPr>
              <w:t>设备名称</w:t>
            </w:r>
          </w:p>
        </w:tc>
        <w:tc>
          <w:tcPr>
            <w:tcW w:w="719" w:type="dxa"/>
            <w:tcBorders>
              <w:top w:val="single" w:color="000000" w:sz="6" w:space="0"/>
            </w:tcBorders>
            <w:vAlign w:val="center"/>
          </w:tcPr>
          <w:p w14:paraId="022E9720">
            <w:pPr>
              <w:pStyle w:val="21"/>
              <w:jc w:val="center"/>
              <w:rPr>
                <w:rFonts w:hint="eastAsia"/>
                <w:color w:val="auto"/>
                <w:sz w:val="24"/>
                <w:szCs w:val="24"/>
              </w:rPr>
            </w:pPr>
            <w:r>
              <w:rPr>
                <w:rFonts w:hint="eastAsia"/>
                <w:color w:val="auto"/>
                <w:sz w:val="24"/>
                <w:szCs w:val="24"/>
              </w:rPr>
              <w:t>型号规格</w:t>
            </w:r>
          </w:p>
        </w:tc>
        <w:tc>
          <w:tcPr>
            <w:tcW w:w="740" w:type="dxa"/>
            <w:tcBorders>
              <w:top w:val="single" w:color="000000" w:sz="6" w:space="0"/>
            </w:tcBorders>
            <w:vAlign w:val="center"/>
          </w:tcPr>
          <w:p w14:paraId="506858D4">
            <w:pPr>
              <w:pStyle w:val="21"/>
              <w:jc w:val="center"/>
              <w:rPr>
                <w:rFonts w:hint="eastAsia"/>
                <w:color w:val="auto"/>
                <w:sz w:val="24"/>
                <w:szCs w:val="24"/>
              </w:rPr>
            </w:pPr>
            <w:r>
              <w:rPr>
                <w:rFonts w:hint="eastAsia"/>
                <w:color w:val="auto"/>
                <w:sz w:val="24"/>
                <w:szCs w:val="24"/>
              </w:rPr>
              <w:t>数量</w:t>
            </w:r>
          </w:p>
        </w:tc>
        <w:tc>
          <w:tcPr>
            <w:tcW w:w="738" w:type="dxa"/>
            <w:tcBorders>
              <w:top w:val="single" w:color="000000" w:sz="6" w:space="0"/>
            </w:tcBorders>
            <w:vAlign w:val="center"/>
          </w:tcPr>
          <w:p w14:paraId="4E248B51">
            <w:pPr>
              <w:pStyle w:val="21"/>
              <w:jc w:val="center"/>
              <w:rPr>
                <w:rFonts w:hint="eastAsia"/>
                <w:color w:val="auto"/>
                <w:sz w:val="24"/>
                <w:szCs w:val="24"/>
              </w:rPr>
            </w:pPr>
            <w:r>
              <w:rPr>
                <w:rFonts w:hint="eastAsia"/>
                <w:color w:val="auto"/>
                <w:sz w:val="24"/>
                <w:szCs w:val="24"/>
              </w:rPr>
              <w:t>国别</w:t>
            </w:r>
          </w:p>
          <w:p w14:paraId="6B018C26">
            <w:pPr>
              <w:pStyle w:val="21"/>
              <w:jc w:val="center"/>
              <w:rPr>
                <w:rFonts w:hint="eastAsia"/>
                <w:color w:val="auto"/>
                <w:sz w:val="24"/>
                <w:szCs w:val="24"/>
              </w:rPr>
            </w:pPr>
            <w:r>
              <w:rPr>
                <w:rFonts w:hint="eastAsia"/>
                <w:color w:val="auto"/>
                <w:sz w:val="24"/>
                <w:szCs w:val="24"/>
              </w:rPr>
              <w:t>产地</w:t>
            </w:r>
          </w:p>
        </w:tc>
        <w:tc>
          <w:tcPr>
            <w:tcW w:w="855" w:type="dxa"/>
            <w:tcBorders>
              <w:top w:val="single" w:color="000000" w:sz="6" w:space="0"/>
            </w:tcBorders>
            <w:vAlign w:val="center"/>
          </w:tcPr>
          <w:p w14:paraId="356A72F5">
            <w:pPr>
              <w:pStyle w:val="21"/>
              <w:jc w:val="center"/>
              <w:rPr>
                <w:rFonts w:hint="eastAsia"/>
                <w:color w:val="auto"/>
                <w:sz w:val="24"/>
                <w:szCs w:val="24"/>
              </w:rPr>
            </w:pPr>
            <w:r>
              <w:rPr>
                <w:rFonts w:hint="eastAsia"/>
                <w:color w:val="auto"/>
                <w:sz w:val="24"/>
                <w:szCs w:val="24"/>
              </w:rPr>
              <w:t>制造年份</w:t>
            </w:r>
          </w:p>
        </w:tc>
        <w:tc>
          <w:tcPr>
            <w:tcW w:w="1270" w:type="dxa"/>
            <w:tcBorders>
              <w:top w:val="single" w:color="000000" w:sz="6" w:space="0"/>
            </w:tcBorders>
            <w:vAlign w:val="center"/>
          </w:tcPr>
          <w:p w14:paraId="4FC9033C">
            <w:pPr>
              <w:pStyle w:val="21"/>
              <w:jc w:val="center"/>
              <w:rPr>
                <w:rFonts w:hint="eastAsia"/>
                <w:color w:val="auto"/>
                <w:sz w:val="24"/>
                <w:szCs w:val="24"/>
              </w:rPr>
            </w:pPr>
            <w:r>
              <w:rPr>
                <w:rFonts w:hint="eastAsia"/>
                <w:color w:val="auto"/>
                <w:sz w:val="24"/>
                <w:szCs w:val="24"/>
              </w:rPr>
              <w:t>额定功率</w:t>
            </w:r>
          </w:p>
          <w:p w14:paraId="6D8DF3A7">
            <w:pPr>
              <w:pStyle w:val="21"/>
              <w:jc w:val="center"/>
              <w:rPr>
                <w:rFonts w:hint="eastAsia"/>
                <w:color w:val="auto"/>
                <w:sz w:val="24"/>
                <w:szCs w:val="24"/>
              </w:rPr>
            </w:pPr>
            <w:r>
              <w:rPr>
                <w:rFonts w:hint="eastAsia"/>
                <w:color w:val="auto"/>
                <w:sz w:val="24"/>
                <w:szCs w:val="24"/>
              </w:rPr>
              <w:t>（kW)</w:t>
            </w:r>
          </w:p>
        </w:tc>
        <w:tc>
          <w:tcPr>
            <w:tcW w:w="882" w:type="dxa"/>
            <w:tcBorders>
              <w:top w:val="single" w:color="000000" w:sz="6" w:space="0"/>
            </w:tcBorders>
            <w:vAlign w:val="center"/>
          </w:tcPr>
          <w:p w14:paraId="79C94C38">
            <w:pPr>
              <w:pStyle w:val="21"/>
              <w:jc w:val="center"/>
              <w:rPr>
                <w:rFonts w:hint="eastAsia"/>
                <w:color w:val="auto"/>
                <w:sz w:val="24"/>
                <w:szCs w:val="24"/>
              </w:rPr>
            </w:pPr>
            <w:r>
              <w:rPr>
                <w:rFonts w:hint="eastAsia"/>
                <w:color w:val="auto"/>
                <w:sz w:val="24"/>
                <w:szCs w:val="24"/>
              </w:rPr>
              <w:t>生产</w:t>
            </w:r>
          </w:p>
          <w:p w14:paraId="3A7DF89B">
            <w:pPr>
              <w:pStyle w:val="21"/>
              <w:jc w:val="center"/>
              <w:rPr>
                <w:rFonts w:hint="eastAsia"/>
                <w:color w:val="auto"/>
                <w:sz w:val="24"/>
                <w:szCs w:val="24"/>
              </w:rPr>
            </w:pPr>
            <w:r>
              <w:rPr>
                <w:rFonts w:hint="eastAsia"/>
                <w:color w:val="auto"/>
                <w:sz w:val="24"/>
                <w:szCs w:val="24"/>
              </w:rPr>
              <w:t>能力</w:t>
            </w:r>
          </w:p>
        </w:tc>
        <w:tc>
          <w:tcPr>
            <w:tcW w:w="980" w:type="dxa"/>
            <w:tcBorders>
              <w:top w:val="single" w:color="000000" w:sz="6" w:space="0"/>
            </w:tcBorders>
            <w:vAlign w:val="center"/>
          </w:tcPr>
          <w:p w14:paraId="0DB71A51">
            <w:pPr>
              <w:pStyle w:val="21"/>
              <w:jc w:val="center"/>
              <w:rPr>
                <w:rFonts w:hint="eastAsia"/>
                <w:color w:val="auto"/>
                <w:sz w:val="24"/>
                <w:szCs w:val="24"/>
              </w:rPr>
            </w:pPr>
            <w:r>
              <w:rPr>
                <w:rFonts w:hint="eastAsia"/>
                <w:color w:val="auto"/>
                <w:sz w:val="24"/>
                <w:szCs w:val="24"/>
              </w:rPr>
              <w:t>用于施工部位</w:t>
            </w:r>
          </w:p>
        </w:tc>
        <w:tc>
          <w:tcPr>
            <w:tcW w:w="987" w:type="dxa"/>
            <w:tcBorders>
              <w:top w:val="single" w:color="000000" w:sz="6" w:space="0"/>
              <w:right w:val="single" w:color="000000" w:sz="6" w:space="0"/>
            </w:tcBorders>
            <w:vAlign w:val="center"/>
          </w:tcPr>
          <w:p w14:paraId="44795E42">
            <w:pPr>
              <w:pStyle w:val="21"/>
              <w:jc w:val="center"/>
              <w:rPr>
                <w:rFonts w:hint="eastAsia"/>
                <w:color w:val="auto"/>
                <w:sz w:val="24"/>
                <w:szCs w:val="24"/>
              </w:rPr>
            </w:pPr>
            <w:r>
              <w:rPr>
                <w:rFonts w:hint="eastAsia"/>
                <w:color w:val="auto"/>
                <w:sz w:val="24"/>
                <w:szCs w:val="24"/>
              </w:rPr>
              <w:t>备注</w:t>
            </w:r>
          </w:p>
        </w:tc>
      </w:tr>
      <w:tr w14:paraId="483B6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63" w:type="dxa"/>
            <w:tcBorders>
              <w:left w:val="single" w:color="000000" w:sz="6" w:space="0"/>
            </w:tcBorders>
          </w:tcPr>
          <w:p w14:paraId="4F9E3815">
            <w:pPr>
              <w:rPr>
                <w:color w:val="auto"/>
              </w:rPr>
            </w:pPr>
          </w:p>
        </w:tc>
        <w:tc>
          <w:tcPr>
            <w:tcW w:w="1071" w:type="dxa"/>
          </w:tcPr>
          <w:p w14:paraId="03DA6A0E">
            <w:pPr>
              <w:rPr>
                <w:color w:val="auto"/>
              </w:rPr>
            </w:pPr>
          </w:p>
        </w:tc>
        <w:tc>
          <w:tcPr>
            <w:tcW w:w="719" w:type="dxa"/>
          </w:tcPr>
          <w:p w14:paraId="6D234831">
            <w:pPr>
              <w:rPr>
                <w:color w:val="auto"/>
              </w:rPr>
            </w:pPr>
          </w:p>
        </w:tc>
        <w:tc>
          <w:tcPr>
            <w:tcW w:w="740" w:type="dxa"/>
          </w:tcPr>
          <w:p w14:paraId="7D9566F9">
            <w:pPr>
              <w:rPr>
                <w:color w:val="auto"/>
              </w:rPr>
            </w:pPr>
          </w:p>
        </w:tc>
        <w:tc>
          <w:tcPr>
            <w:tcW w:w="738" w:type="dxa"/>
          </w:tcPr>
          <w:p w14:paraId="679C634E">
            <w:pPr>
              <w:rPr>
                <w:color w:val="auto"/>
              </w:rPr>
            </w:pPr>
          </w:p>
        </w:tc>
        <w:tc>
          <w:tcPr>
            <w:tcW w:w="855" w:type="dxa"/>
          </w:tcPr>
          <w:p w14:paraId="759A831F">
            <w:pPr>
              <w:rPr>
                <w:color w:val="auto"/>
              </w:rPr>
            </w:pPr>
          </w:p>
        </w:tc>
        <w:tc>
          <w:tcPr>
            <w:tcW w:w="1270" w:type="dxa"/>
          </w:tcPr>
          <w:p w14:paraId="43A529A8">
            <w:pPr>
              <w:rPr>
                <w:color w:val="auto"/>
              </w:rPr>
            </w:pPr>
          </w:p>
        </w:tc>
        <w:tc>
          <w:tcPr>
            <w:tcW w:w="882" w:type="dxa"/>
          </w:tcPr>
          <w:p w14:paraId="323BF35D">
            <w:pPr>
              <w:rPr>
                <w:color w:val="auto"/>
              </w:rPr>
            </w:pPr>
          </w:p>
        </w:tc>
        <w:tc>
          <w:tcPr>
            <w:tcW w:w="980" w:type="dxa"/>
          </w:tcPr>
          <w:p w14:paraId="40F40EC0">
            <w:pPr>
              <w:rPr>
                <w:color w:val="auto"/>
              </w:rPr>
            </w:pPr>
          </w:p>
        </w:tc>
        <w:tc>
          <w:tcPr>
            <w:tcW w:w="987" w:type="dxa"/>
            <w:tcBorders>
              <w:right w:val="single" w:color="000000" w:sz="6" w:space="0"/>
            </w:tcBorders>
          </w:tcPr>
          <w:p w14:paraId="6DE6BF07">
            <w:pPr>
              <w:rPr>
                <w:color w:val="auto"/>
              </w:rPr>
            </w:pPr>
          </w:p>
        </w:tc>
      </w:tr>
      <w:tr w14:paraId="29A44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jc w:val="center"/>
        </w:trPr>
        <w:tc>
          <w:tcPr>
            <w:tcW w:w="663" w:type="dxa"/>
            <w:tcBorders>
              <w:left w:val="single" w:color="000000" w:sz="6" w:space="0"/>
            </w:tcBorders>
          </w:tcPr>
          <w:p w14:paraId="295AB9A8">
            <w:pPr>
              <w:rPr>
                <w:color w:val="auto"/>
              </w:rPr>
            </w:pPr>
          </w:p>
        </w:tc>
        <w:tc>
          <w:tcPr>
            <w:tcW w:w="1071" w:type="dxa"/>
          </w:tcPr>
          <w:p w14:paraId="1891391A">
            <w:pPr>
              <w:rPr>
                <w:color w:val="auto"/>
              </w:rPr>
            </w:pPr>
          </w:p>
        </w:tc>
        <w:tc>
          <w:tcPr>
            <w:tcW w:w="719" w:type="dxa"/>
          </w:tcPr>
          <w:p w14:paraId="16485079">
            <w:pPr>
              <w:rPr>
                <w:color w:val="auto"/>
              </w:rPr>
            </w:pPr>
          </w:p>
        </w:tc>
        <w:tc>
          <w:tcPr>
            <w:tcW w:w="740" w:type="dxa"/>
          </w:tcPr>
          <w:p w14:paraId="6F43E402">
            <w:pPr>
              <w:rPr>
                <w:color w:val="auto"/>
              </w:rPr>
            </w:pPr>
          </w:p>
        </w:tc>
        <w:tc>
          <w:tcPr>
            <w:tcW w:w="738" w:type="dxa"/>
          </w:tcPr>
          <w:p w14:paraId="1A8F0775">
            <w:pPr>
              <w:rPr>
                <w:color w:val="auto"/>
              </w:rPr>
            </w:pPr>
          </w:p>
        </w:tc>
        <w:tc>
          <w:tcPr>
            <w:tcW w:w="855" w:type="dxa"/>
          </w:tcPr>
          <w:p w14:paraId="7C1DC82D">
            <w:pPr>
              <w:rPr>
                <w:color w:val="auto"/>
              </w:rPr>
            </w:pPr>
          </w:p>
        </w:tc>
        <w:tc>
          <w:tcPr>
            <w:tcW w:w="1270" w:type="dxa"/>
          </w:tcPr>
          <w:p w14:paraId="1D955ACA">
            <w:pPr>
              <w:rPr>
                <w:color w:val="auto"/>
              </w:rPr>
            </w:pPr>
          </w:p>
        </w:tc>
        <w:tc>
          <w:tcPr>
            <w:tcW w:w="882" w:type="dxa"/>
          </w:tcPr>
          <w:p w14:paraId="05C8B55A">
            <w:pPr>
              <w:rPr>
                <w:color w:val="auto"/>
              </w:rPr>
            </w:pPr>
          </w:p>
        </w:tc>
        <w:tc>
          <w:tcPr>
            <w:tcW w:w="980" w:type="dxa"/>
          </w:tcPr>
          <w:p w14:paraId="7FE1F97C">
            <w:pPr>
              <w:rPr>
                <w:color w:val="auto"/>
              </w:rPr>
            </w:pPr>
          </w:p>
        </w:tc>
        <w:tc>
          <w:tcPr>
            <w:tcW w:w="987" w:type="dxa"/>
            <w:tcBorders>
              <w:right w:val="single" w:color="000000" w:sz="6" w:space="0"/>
            </w:tcBorders>
          </w:tcPr>
          <w:p w14:paraId="1B2D084E">
            <w:pPr>
              <w:rPr>
                <w:color w:val="auto"/>
              </w:rPr>
            </w:pPr>
          </w:p>
        </w:tc>
      </w:tr>
      <w:tr w14:paraId="5D2A8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jc w:val="center"/>
        </w:trPr>
        <w:tc>
          <w:tcPr>
            <w:tcW w:w="663" w:type="dxa"/>
            <w:tcBorders>
              <w:left w:val="single" w:color="000000" w:sz="6" w:space="0"/>
            </w:tcBorders>
          </w:tcPr>
          <w:p w14:paraId="1F5EF7D7">
            <w:pPr>
              <w:rPr>
                <w:color w:val="auto"/>
              </w:rPr>
            </w:pPr>
          </w:p>
        </w:tc>
        <w:tc>
          <w:tcPr>
            <w:tcW w:w="1071" w:type="dxa"/>
          </w:tcPr>
          <w:p w14:paraId="1956B379">
            <w:pPr>
              <w:rPr>
                <w:color w:val="auto"/>
              </w:rPr>
            </w:pPr>
          </w:p>
        </w:tc>
        <w:tc>
          <w:tcPr>
            <w:tcW w:w="719" w:type="dxa"/>
          </w:tcPr>
          <w:p w14:paraId="2E2FDD8F">
            <w:pPr>
              <w:rPr>
                <w:color w:val="auto"/>
              </w:rPr>
            </w:pPr>
          </w:p>
        </w:tc>
        <w:tc>
          <w:tcPr>
            <w:tcW w:w="740" w:type="dxa"/>
          </w:tcPr>
          <w:p w14:paraId="7D537E0E">
            <w:pPr>
              <w:rPr>
                <w:color w:val="auto"/>
              </w:rPr>
            </w:pPr>
          </w:p>
        </w:tc>
        <w:tc>
          <w:tcPr>
            <w:tcW w:w="738" w:type="dxa"/>
          </w:tcPr>
          <w:p w14:paraId="0717C764">
            <w:pPr>
              <w:rPr>
                <w:color w:val="auto"/>
              </w:rPr>
            </w:pPr>
          </w:p>
        </w:tc>
        <w:tc>
          <w:tcPr>
            <w:tcW w:w="855" w:type="dxa"/>
          </w:tcPr>
          <w:p w14:paraId="3648F4CF">
            <w:pPr>
              <w:rPr>
                <w:color w:val="auto"/>
              </w:rPr>
            </w:pPr>
          </w:p>
        </w:tc>
        <w:tc>
          <w:tcPr>
            <w:tcW w:w="1270" w:type="dxa"/>
          </w:tcPr>
          <w:p w14:paraId="27E48CDB">
            <w:pPr>
              <w:rPr>
                <w:color w:val="auto"/>
              </w:rPr>
            </w:pPr>
          </w:p>
        </w:tc>
        <w:tc>
          <w:tcPr>
            <w:tcW w:w="882" w:type="dxa"/>
          </w:tcPr>
          <w:p w14:paraId="05FC775E">
            <w:pPr>
              <w:rPr>
                <w:color w:val="auto"/>
              </w:rPr>
            </w:pPr>
          </w:p>
        </w:tc>
        <w:tc>
          <w:tcPr>
            <w:tcW w:w="980" w:type="dxa"/>
          </w:tcPr>
          <w:p w14:paraId="417C0167">
            <w:pPr>
              <w:rPr>
                <w:color w:val="auto"/>
              </w:rPr>
            </w:pPr>
          </w:p>
        </w:tc>
        <w:tc>
          <w:tcPr>
            <w:tcW w:w="987" w:type="dxa"/>
            <w:tcBorders>
              <w:right w:val="single" w:color="000000" w:sz="6" w:space="0"/>
            </w:tcBorders>
          </w:tcPr>
          <w:p w14:paraId="4D4EA55B">
            <w:pPr>
              <w:rPr>
                <w:color w:val="auto"/>
              </w:rPr>
            </w:pPr>
          </w:p>
        </w:tc>
      </w:tr>
      <w:tr w14:paraId="5500D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4344DA02">
            <w:pPr>
              <w:rPr>
                <w:color w:val="auto"/>
              </w:rPr>
            </w:pPr>
          </w:p>
        </w:tc>
        <w:tc>
          <w:tcPr>
            <w:tcW w:w="1071" w:type="dxa"/>
          </w:tcPr>
          <w:p w14:paraId="436C4875">
            <w:pPr>
              <w:rPr>
                <w:color w:val="auto"/>
              </w:rPr>
            </w:pPr>
          </w:p>
        </w:tc>
        <w:tc>
          <w:tcPr>
            <w:tcW w:w="719" w:type="dxa"/>
          </w:tcPr>
          <w:p w14:paraId="2C248027">
            <w:pPr>
              <w:rPr>
                <w:color w:val="auto"/>
              </w:rPr>
            </w:pPr>
          </w:p>
        </w:tc>
        <w:tc>
          <w:tcPr>
            <w:tcW w:w="740" w:type="dxa"/>
          </w:tcPr>
          <w:p w14:paraId="0F55353B">
            <w:pPr>
              <w:rPr>
                <w:color w:val="auto"/>
              </w:rPr>
            </w:pPr>
          </w:p>
        </w:tc>
        <w:tc>
          <w:tcPr>
            <w:tcW w:w="738" w:type="dxa"/>
          </w:tcPr>
          <w:p w14:paraId="52E7E2D6">
            <w:pPr>
              <w:rPr>
                <w:color w:val="auto"/>
              </w:rPr>
            </w:pPr>
          </w:p>
        </w:tc>
        <w:tc>
          <w:tcPr>
            <w:tcW w:w="855" w:type="dxa"/>
          </w:tcPr>
          <w:p w14:paraId="24F613BF">
            <w:pPr>
              <w:rPr>
                <w:color w:val="auto"/>
              </w:rPr>
            </w:pPr>
          </w:p>
        </w:tc>
        <w:tc>
          <w:tcPr>
            <w:tcW w:w="1270" w:type="dxa"/>
          </w:tcPr>
          <w:p w14:paraId="0F603E5D">
            <w:pPr>
              <w:rPr>
                <w:color w:val="auto"/>
              </w:rPr>
            </w:pPr>
          </w:p>
        </w:tc>
        <w:tc>
          <w:tcPr>
            <w:tcW w:w="882" w:type="dxa"/>
          </w:tcPr>
          <w:p w14:paraId="7A451D32">
            <w:pPr>
              <w:rPr>
                <w:color w:val="auto"/>
              </w:rPr>
            </w:pPr>
          </w:p>
        </w:tc>
        <w:tc>
          <w:tcPr>
            <w:tcW w:w="980" w:type="dxa"/>
          </w:tcPr>
          <w:p w14:paraId="487DF5D5">
            <w:pPr>
              <w:rPr>
                <w:color w:val="auto"/>
              </w:rPr>
            </w:pPr>
          </w:p>
        </w:tc>
        <w:tc>
          <w:tcPr>
            <w:tcW w:w="987" w:type="dxa"/>
            <w:tcBorders>
              <w:right w:val="single" w:color="000000" w:sz="6" w:space="0"/>
            </w:tcBorders>
          </w:tcPr>
          <w:p w14:paraId="234CD129">
            <w:pPr>
              <w:rPr>
                <w:color w:val="auto"/>
              </w:rPr>
            </w:pPr>
          </w:p>
        </w:tc>
      </w:tr>
      <w:tr w14:paraId="54D79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1B63EAE2">
            <w:pPr>
              <w:rPr>
                <w:color w:val="auto"/>
              </w:rPr>
            </w:pPr>
          </w:p>
        </w:tc>
        <w:tc>
          <w:tcPr>
            <w:tcW w:w="1071" w:type="dxa"/>
          </w:tcPr>
          <w:p w14:paraId="6336984C">
            <w:pPr>
              <w:rPr>
                <w:color w:val="auto"/>
              </w:rPr>
            </w:pPr>
          </w:p>
        </w:tc>
        <w:tc>
          <w:tcPr>
            <w:tcW w:w="719" w:type="dxa"/>
          </w:tcPr>
          <w:p w14:paraId="407D7E4A">
            <w:pPr>
              <w:rPr>
                <w:color w:val="auto"/>
              </w:rPr>
            </w:pPr>
          </w:p>
        </w:tc>
        <w:tc>
          <w:tcPr>
            <w:tcW w:w="740" w:type="dxa"/>
          </w:tcPr>
          <w:p w14:paraId="2962BF31">
            <w:pPr>
              <w:rPr>
                <w:color w:val="auto"/>
              </w:rPr>
            </w:pPr>
          </w:p>
        </w:tc>
        <w:tc>
          <w:tcPr>
            <w:tcW w:w="738" w:type="dxa"/>
          </w:tcPr>
          <w:p w14:paraId="4C4D7A44">
            <w:pPr>
              <w:rPr>
                <w:color w:val="auto"/>
              </w:rPr>
            </w:pPr>
          </w:p>
        </w:tc>
        <w:tc>
          <w:tcPr>
            <w:tcW w:w="855" w:type="dxa"/>
          </w:tcPr>
          <w:p w14:paraId="535856C6">
            <w:pPr>
              <w:rPr>
                <w:color w:val="auto"/>
              </w:rPr>
            </w:pPr>
          </w:p>
        </w:tc>
        <w:tc>
          <w:tcPr>
            <w:tcW w:w="1270" w:type="dxa"/>
          </w:tcPr>
          <w:p w14:paraId="7F05BC1F">
            <w:pPr>
              <w:rPr>
                <w:color w:val="auto"/>
              </w:rPr>
            </w:pPr>
          </w:p>
        </w:tc>
        <w:tc>
          <w:tcPr>
            <w:tcW w:w="882" w:type="dxa"/>
          </w:tcPr>
          <w:p w14:paraId="1A0EFB6F">
            <w:pPr>
              <w:rPr>
                <w:color w:val="auto"/>
              </w:rPr>
            </w:pPr>
          </w:p>
        </w:tc>
        <w:tc>
          <w:tcPr>
            <w:tcW w:w="980" w:type="dxa"/>
          </w:tcPr>
          <w:p w14:paraId="4BD082B4">
            <w:pPr>
              <w:rPr>
                <w:color w:val="auto"/>
              </w:rPr>
            </w:pPr>
          </w:p>
        </w:tc>
        <w:tc>
          <w:tcPr>
            <w:tcW w:w="987" w:type="dxa"/>
            <w:tcBorders>
              <w:right w:val="single" w:color="000000" w:sz="6" w:space="0"/>
            </w:tcBorders>
          </w:tcPr>
          <w:p w14:paraId="193301C5">
            <w:pPr>
              <w:rPr>
                <w:color w:val="auto"/>
              </w:rPr>
            </w:pPr>
          </w:p>
        </w:tc>
      </w:tr>
      <w:tr w14:paraId="5DAD6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6D9E35ED">
            <w:pPr>
              <w:rPr>
                <w:color w:val="auto"/>
              </w:rPr>
            </w:pPr>
          </w:p>
        </w:tc>
        <w:tc>
          <w:tcPr>
            <w:tcW w:w="1071" w:type="dxa"/>
          </w:tcPr>
          <w:p w14:paraId="6987A6BA">
            <w:pPr>
              <w:rPr>
                <w:color w:val="auto"/>
              </w:rPr>
            </w:pPr>
          </w:p>
        </w:tc>
        <w:tc>
          <w:tcPr>
            <w:tcW w:w="719" w:type="dxa"/>
          </w:tcPr>
          <w:p w14:paraId="1414217D">
            <w:pPr>
              <w:rPr>
                <w:color w:val="auto"/>
              </w:rPr>
            </w:pPr>
          </w:p>
        </w:tc>
        <w:tc>
          <w:tcPr>
            <w:tcW w:w="740" w:type="dxa"/>
          </w:tcPr>
          <w:p w14:paraId="63556BCF">
            <w:pPr>
              <w:rPr>
                <w:color w:val="auto"/>
              </w:rPr>
            </w:pPr>
          </w:p>
        </w:tc>
        <w:tc>
          <w:tcPr>
            <w:tcW w:w="738" w:type="dxa"/>
          </w:tcPr>
          <w:p w14:paraId="5F15D544">
            <w:pPr>
              <w:rPr>
                <w:color w:val="auto"/>
              </w:rPr>
            </w:pPr>
          </w:p>
        </w:tc>
        <w:tc>
          <w:tcPr>
            <w:tcW w:w="855" w:type="dxa"/>
          </w:tcPr>
          <w:p w14:paraId="63A36F36">
            <w:pPr>
              <w:rPr>
                <w:color w:val="auto"/>
              </w:rPr>
            </w:pPr>
          </w:p>
        </w:tc>
        <w:tc>
          <w:tcPr>
            <w:tcW w:w="1270" w:type="dxa"/>
          </w:tcPr>
          <w:p w14:paraId="0FEE5ED6">
            <w:pPr>
              <w:rPr>
                <w:color w:val="auto"/>
              </w:rPr>
            </w:pPr>
          </w:p>
        </w:tc>
        <w:tc>
          <w:tcPr>
            <w:tcW w:w="882" w:type="dxa"/>
          </w:tcPr>
          <w:p w14:paraId="46B8E0A7">
            <w:pPr>
              <w:rPr>
                <w:color w:val="auto"/>
              </w:rPr>
            </w:pPr>
          </w:p>
        </w:tc>
        <w:tc>
          <w:tcPr>
            <w:tcW w:w="980" w:type="dxa"/>
          </w:tcPr>
          <w:p w14:paraId="3D8F4740">
            <w:pPr>
              <w:rPr>
                <w:color w:val="auto"/>
              </w:rPr>
            </w:pPr>
          </w:p>
        </w:tc>
        <w:tc>
          <w:tcPr>
            <w:tcW w:w="987" w:type="dxa"/>
            <w:tcBorders>
              <w:right w:val="single" w:color="000000" w:sz="6" w:space="0"/>
            </w:tcBorders>
          </w:tcPr>
          <w:p w14:paraId="3CAD4142">
            <w:pPr>
              <w:rPr>
                <w:color w:val="auto"/>
              </w:rPr>
            </w:pPr>
          </w:p>
        </w:tc>
      </w:tr>
      <w:tr w14:paraId="79F24E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63" w:type="dxa"/>
            <w:tcBorders>
              <w:left w:val="single" w:color="000000" w:sz="6" w:space="0"/>
            </w:tcBorders>
          </w:tcPr>
          <w:p w14:paraId="60594063">
            <w:pPr>
              <w:rPr>
                <w:color w:val="auto"/>
              </w:rPr>
            </w:pPr>
          </w:p>
        </w:tc>
        <w:tc>
          <w:tcPr>
            <w:tcW w:w="1071" w:type="dxa"/>
          </w:tcPr>
          <w:p w14:paraId="5B07FE0A">
            <w:pPr>
              <w:rPr>
                <w:color w:val="auto"/>
              </w:rPr>
            </w:pPr>
          </w:p>
        </w:tc>
        <w:tc>
          <w:tcPr>
            <w:tcW w:w="719" w:type="dxa"/>
          </w:tcPr>
          <w:p w14:paraId="5CA9AAEF">
            <w:pPr>
              <w:rPr>
                <w:color w:val="auto"/>
              </w:rPr>
            </w:pPr>
          </w:p>
        </w:tc>
        <w:tc>
          <w:tcPr>
            <w:tcW w:w="740" w:type="dxa"/>
          </w:tcPr>
          <w:p w14:paraId="740F82D7">
            <w:pPr>
              <w:rPr>
                <w:color w:val="auto"/>
              </w:rPr>
            </w:pPr>
          </w:p>
        </w:tc>
        <w:tc>
          <w:tcPr>
            <w:tcW w:w="738" w:type="dxa"/>
          </w:tcPr>
          <w:p w14:paraId="121B6127">
            <w:pPr>
              <w:rPr>
                <w:color w:val="auto"/>
              </w:rPr>
            </w:pPr>
          </w:p>
        </w:tc>
        <w:tc>
          <w:tcPr>
            <w:tcW w:w="855" w:type="dxa"/>
          </w:tcPr>
          <w:p w14:paraId="3F6AD023">
            <w:pPr>
              <w:rPr>
                <w:color w:val="auto"/>
              </w:rPr>
            </w:pPr>
          </w:p>
        </w:tc>
        <w:tc>
          <w:tcPr>
            <w:tcW w:w="1270" w:type="dxa"/>
          </w:tcPr>
          <w:p w14:paraId="7FBFA6AD">
            <w:pPr>
              <w:rPr>
                <w:color w:val="auto"/>
              </w:rPr>
            </w:pPr>
          </w:p>
        </w:tc>
        <w:tc>
          <w:tcPr>
            <w:tcW w:w="882" w:type="dxa"/>
          </w:tcPr>
          <w:p w14:paraId="766A447D">
            <w:pPr>
              <w:rPr>
                <w:color w:val="auto"/>
              </w:rPr>
            </w:pPr>
          </w:p>
        </w:tc>
        <w:tc>
          <w:tcPr>
            <w:tcW w:w="980" w:type="dxa"/>
          </w:tcPr>
          <w:p w14:paraId="65D2632C">
            <w:pPr>
              <w:rPr>
                <w:color w:val="auto"/>
              </w:rPr>
            </w:pPr>
          </w:p>
        </w:tc>
        <w:tc>
          <w:tcPr>
            <w:tcW w:w="987" w:type="dxa"/>
            <w:tcBorders>
              <w:right w:val="single" w:color="000000" w:sz="6" w:space="0"/>
            </w:tcBorders>
          </w:tcPr>
          <w:p w14:paraId="53338140">
            <w:pPr>
              <w:rPr>
                <w:color w:val="auto"/>
              </w:rPr>
            </w:pPr>
          </w:p>
        </w:tc>
      </w:tr>
      <w:tr w14:paraId="68367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5FAD79E5">
            <w:pPr>
              <w:rPr>
                <w:color w:val="auto"/>
              </w:rPr>
            </w:pPr>
          </w:p>
        </w:tc>
        <w:tc>
          <w:tcPr>
            <w:tcW w:w="1071" w:type="dxa"/>
          </w:tcPr>
          <w:p w14:paraId="1D2A41E7">
            <w:pPr>
              <w:rPr>
                <w:color w:val="auto"/>
              </w:rPr>
            </w:pPr>
          </w:p>
        </w:tc>
        <w:tc>
          <w:tcPr>
            <w:tcW w:w="719" w:type="dxa"/>
          </w:tcPr>
          <w:p w14:paraId="792EEA1F">
            <w:pPr>
              <w:rPr>
                <w:color w:val="auto"/>
              </w:rPr>
            </w:pPr>
          </w:p>
        </w:tc>
        <w:tc>
          <w:tcPr>
            <w:tcW w:w="740" w:type="dxa"/>
          </w:tcPr>
          <w:p w14:paraId="17D891BD">
            <w:pPr>
              <w:rPr>
                <w:color w:val="auto"/>
              </w:rPr>
            </w:pPr>
          </w:p>
        </w:tc>
        <w:tc>
          <w:tcPr>
            <w:tcW w:w="738" w:type="dxa"/>
          </w:tcPr>
          <w:p w14:paraId="6A5BB77B">
            <w:pPr>
              <w:rPr>
                <w:color w:val="auto"/>
              </w:rPr>
            </w:pPr>
          </w:p>
        </w:tc>
        <w:tc>
          <w:tcPr>
            <w:tcW w:w="855" w:type="dxa"/>
          </w:tcPr>
          <w:p w14:paraId="5B9ACFE2">
            <w:pPr>
              <w:rPr>
                <w:color w:val="auto"/>
              </w:rPr>
            </w:pPr>
          </w:p>
        </w:tc>
        <w:tc>
          <w:tcPr>
            <w:tcW w:w="1270" w:type="dxa"/>
          </w:tcPr>
          <w:p w14:paraId="5D260803">
            <w:pPr>
              <w:rPr>
                <w:color w:val="auto"/>
              </w:rPr>
            </w:pPr>
          </w:p>
        </w:tc>
        <w:tc>
          <w:tcPr>
            <w:tcW w:w="882" w:type="dxa"/>
          </w:tcPr>
          <w:p w14:paraId="170E3F0C">
            <w:pPr>
              <w:rPr>
                <w:color w:val="auto"/>
              </w:rPr>
            </w:pPr>
          </w:p>
        </w:tc>
        <w:tc>
          <w:tcPr>
            <w:tcW w:w="980" w:type="dxa"/>
          </w:tcPr>
          <w:p w14:paraId="18956EAD">
            <w:pPr>
              <w:rPr>
                <w:color w:val="auto"/>
              </w:rPr>
            </w:pPr>
          </w:p>
        </w:tc>
        <w:tc>
          <w:tcPr>
            <w:tcW w:w="987" w:type="dxa"/>
            <w:tcBorders>
              <w:right w:val="single" w:color="000000" w:sz="6" w:space="0"/>
            </w:tcBorders>
          </w:tcPr>
          <w:p w14:paraId="37C3A8FB">
            <w:pPr>
              <w:rPr>
                <w:color w:val="auto"/>
              </w:rPr>
            </w:pPr>
          </w:p>
        </w:tc>
      </w:tr>
      <w:tr w14:paraId="5691A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0DCAD9D2">
            <w:pPr>
              <w:rPr>
                <w:color w:val="auto"/>
              </w:rPr>
            </w:pPr>
          </w:p>
        </w:tc>
        <w:tc>
          <w:tcPr>
            <w:tcW w:w="1071" w:type="dxa"/>
          </w:tcPr>
          <w:p w14:paraId="3A1305B6">
            <w:pPr>
              <w:rPr>
                <w:color w:val="auto"/>
              </w:rPr>
            </w:pPr>
          </w:p>
        </w:tc>
        <w:tc>
          <w:tcPr>
            <w:tcW w:w="719" w:type="dxa"/>
          </w:tcPr>
          <w:p w14:paraId="06CEE858">
            <w:pPr>
              <w:rPr>
                <w:color w:val="auto"/>
              </w:rPr>
            </w:pPr>
          </w:p>
        </w:tc>
        <w:tc>
          <w:tcPr>
            <w:tcW w:w="740" w:type="dxa"/>
          </w:tcPr>
          <w:p w14:paraId="4AB4278C">
            <w:pPr>
              <w:rPr>
                <w:color w:val="auto"/>
              </w:rPr>
            </w:pPr>
          </w:p>
        </w:tc>
        <w:tc>
          <w:tcPr>
            <w:tcW w:w="738" w:type="dxa"/>
          </w:tcPr>
          <w:p w14:paraId="7C5E0CCF">
            <w:pPr>
              <w:rPr>
                <w:color w:val="auto"/>
              </w:rPr>
            </w:pPr>
          </w:p>
        </w:tc>
        <w:tc>
          <w:tcPr>
            <w:tcW w:w="855" w:type="dxa"/>
          </w:tcPr>
          <w:p w14:paraId="3F1E5111">
            <w:pPr>
              <w:rPr>
                <w:color w:val="auto"/>
              </w:rPr>
            </w:pPr>
          </w:p>
        </w:tc>
        <w:tc>
          <w:tcPr>
            <w:tcW w:w="1270" w:type="dxa"/>
          </w:tcPr>
          <w:p w14:paraId="0918DA5D">
            <w:pPr>
              <w:rPr>
                <w:color w:val="auto"/>
              </w:rPr>
            </w:pPr>
          </w:p>
        </w:tc>
        <w:tc>
          <w:tcPr>
            <w:tcW w:w="882" w:type="dxa"/>
          </w:tcPr>
          <w:p w14:paraId="197DC574">
            <w:pPr>
              <w:rPr>
                <w:color w:val="auto"/>
              </w:rPr>
            </w:pPr>
          </w:p>
        </w:tc>
        <w:tc>
          <w:tcPr>
            <w:tcW w:w="980" w:type="dxa"/>
          </w:tcPr>
          <w:p w14:paraId="090CB84E">
            <w:pPr>
              <w:rPr>
                <w:color w:val="auto"/>
              </w:rPr>
            </w:pPr>
          </w:p>
        </w:tc>
        <w:tc>
          <w:tcPr>
            <w:tcW w:w="987" w:type="dxa"/>
            <w:tcBorders>
              <w:right w:val="single" w:color="000000" w:sz="6" w:space="0"/>
            </w:tcBorders>
          </w:tcPr>
          <w:p w14:paraId="48072E8D">
            <w:pPr>
              <w:rPr>
                <w:color w:val="auto"/>
              </w:rPr>
            </w:pPr>
          </w:p>
        </w:tc>
      </w:tr>
      <w:tr w14:paraId="2A076F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2C2BDC8A">
            <w:pPr>
              <w:rPr>
                <w:color w:val="auto"/>
              </w:rPr>
            </w:pPr>
          </w:p>
        </w:tc>
        <w:tc>
          <w:tcPr>
            <w:tcW w:w="1071" w:type="dxa"/>
          </w:tcPr>
          <w:p w14:paraId="29B872C6">
            <w:pPr>
              <w:rPr>
                <w:color w:val="auto"/>
              </w:rPr>
            </w:pPr>
          </w:p>
        </w:tc>
        <w:tc>
          <w:tcPr>
            <w:tcW w:w="719" w:type="dxa"/>
          </w:tcPr>
          <w:p w14:paraId="2417EB33">
            <w:pPr>
              <w:rPr>
                <w:color w:val="auto"/>
              </w:rPr>
            </w:pPr>
          </w:p>
        </w:tc>
        <w:tc>
          <w:tcPr>
            <w:tcW w:w="740" w:type="dxa"/>
          </w:tcPr>
          <w:p w14:paraId="44A6D221">
            <w:pPr>
              <w:rPr>
                <w:color w:val="auto"/>
              </w:rPr>
            </w:pPr>
          </w:p>
        </w:tc>
        <w:tc>
          <w:tcPr>
            <w:tcW w:w="738" w:type="dxa"/>
          </w:tcPr>
          <w:p w14:paraId="4ED80438">
            <w:pPr>
              <w:rPr>
                <w:color w:val="auto"/>
              </w:rPr>
            </w:pPr>
          </w:p>
        </w:tc>
        <w:tc>
          <w:tcPr>
            <w:tcW w:w="855" w:type="dxa"/>
          </w:tcPr>
          <w:p w14:paraId="5026B614">
            <w:pPr>
              <w:rPr>
                <w:color w:val="auto"/>
              </w:rPr>
            </w:pPr>
          </w:p>
        </w:tc>
        <w:tc>
          <w:tcPr>
            <w:tcW w:w="1270" w:type="dxa"/>
          </w:tcPr>
          <w:p w14:paraId="78240005">
            <w:pPr>
              <w:rPr>
                <w:color w:val="auto"/>
              </w:rPr>
            </w:pPr>
          </w:p>
        </w:tc>
        <w:tc>
          <w:tcPr>
            <w:tcW w:w="882" w:type="dxa"/>
          </w:tcPr>
          <w:p w14:paraId="1821A918">
            <w:pPr>
              <w:rPr>
                <w:color w:val="auto"/>
              </w:rPr>
            </w:pPr>
          </w:p>
        </w:tc>
        <w:tc>
          <w:tcPr>
            <w:tcW w:w="980" w:type="dxa"/>
          </w:tcPr>
          <w:p w14:paraId="5E60B923">
            <w:pPr>
              <w:rPr>
                <w:color w:val="auto"/>
              </w:rPr>
            </w:pPr>
          </w:p>
        </w:tc>
        <w:tc>
          <w:tcPr>
            <w:tcW w:w="987" w:type="dxa"/>
            <w:tcBorders>
              <w:right w:val="single" w:color="000000" w:sz="6" w:space="0"/>
            </w:tcBorders>
          </w:tcPr>
          <w:p w14:paraId="3FAB4F21">
            <w:pPr>
              <w:rPr>
                <w:color w:val="auto"/>
              </w:rPr>
            </w:pPr>
          </w:p>
        </w:tc>
      </w:tr>
      <w:tr w14:paraId="6841BD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7A4EF711">
            <w:pPr>
              <w:rPr>
                <w:color w:val="auto"/>
              </w:rPr>
            </w:pPr>
          </w:p>
        </w:tc>
        <w:tc>
          <w:tcPr>
            <w:tcW w:w="1071" w:type="dxa"/>
          </w:tcPr>
          <w:p w14:paraId="426943A2">
            <w:pPr>
              <w:rPr>
                <w:color w:val="auto"/>
              </w:rPr>
            </w:pPr>
          </w:p>
        </w:tc>
        <w:tc>
          <w:tcPr>
            <w:tcW w:w="719" w:type="dxa"/>
          </w:tcPr>
          <w:p w14:paraId="5B546C73">
            <w:pPr>
              <w:rPr>
                <w:color w:val="auto"/>
              </w:rPr>
            </w:pPr>
          </w:p>
        </w:tc>
        <w:tc>
          <w:tcPr>
            <w:tcW w:w="740" w:type="dxa"/>
          </w:tcPr>
          <w:p w14:paraId="50D1665F">
            <w:pPr>
              <w:rPr>
                <w:color w:val="auto"/>
              </w:rPr>
            </w:pPr>
          </w:p>
        </w:tc>
        <w:tc>
          <w:tcPr>
            <w:tcW w:w="738" w:type="dxa"/>
          </w:tcPr>
          <w:p w14:paraId="0C512840">
            <w:pPr>
              <w:rPr>
                <w:color w:val="auto"/>
              </w:rPr>
            </w:pPr>
          </w:p>
        </w:tc>
        <w:tc>
          <w:tcPr>
            <w:tcW w:w="855" w:type="dxa"/>
          </w:tcPr>
          <w:p w14:paraId="2081DBA5">
            <w:pPr>
              <w:rPr>
                <w:color w:val="auto"/>
              </w:rPr>
            </w:pPr>
          </w:p>
        </w:tc>
        <w:tc>
          <w:tcPr>
            <w:tcW w:w="1270" w:type="dxa"/>
          </w:tcPr>
          <w:p w14:paraId="30D40BDB">
            <w:pPr>
              <w:rPr>
                <w:color w:val="auto"/>
              </w:rPr>
            </w:pPr>
          </w:p>
        </w:tc>
        <w:tc>
          <w:tcPr>
            <w:tcW w:w="882" w:type="dxa"/>
          </w:tcPr>
          <w:p w14:paraId="51D78BE7">
            <w:pPr>
              <w:rPr>
                <w:color w:val="auto"/>
              </w:rPr>
            </w:pPr>
          </w:p>
        </w:tc>
        <w:tc>
          <w:tcPr>
            <w:tcW w:w="980" w:type="dxa"/>
          </w:tcPr>
          <w:p w14:paraId="551EF15C">
            <w:pPr>
              <w:rPr>
                <w:color w:val="auto"/>
              </w:rPr>
            </w:pPr>
          </w:p>
        </w:tc>
        <w:tc>
          <w:tcPr>
            <w:tcW w:w="987" w:type="dxa"/>
            <w:tcBorders>
              <w:right w:val="single" w:color="000000" w:sz="6" w:space="0"/>
            </w:tcBorders>
          </w:tcPr>
          <w:p w14:paraId="1F1E4B76">
            <w:pPr>
              <w:rPr>
                <w:color w:val="auto"/>
              </w:rPr>
            </w:pPr>
          </w:p>
        </w:tc>
      </w:tr>
      <w:tr w14:paraId="4D473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3CFF0ECA">
            <w:pPr>
              <w:rPr>
                <w:color w:val="auto"/>
              </w:rPr>
            </w:pPr>
          </w:p>
        </w:tc>
        <w:tc>
          <w:tcPr>
            <w:tcW w:w="1071" w:type="dxa"/>
          </w:tcPr>
          <w:p w14:paraId="1FE73E84">
            <w:pPr>
              <w:rPr>
                <w:color w:val="auto"/>
              </w:rPr>
            </w:pPr>
          </w:p>
        </w:tc>
        <w:tc>
          <w:tcPr>
            <w:tcW w:w="719" w:type="dxa"/>
          </w:tcPr>
          <w:p w14:paraId="05560D59">
            <w:pPr>
              <w:rPr>
                <w:color w:val="auto"/>
              </w:rPr>
            </w:pPr>
          </w:p>
        </w:tc>
        <w:tc>
          <w:tcPr>
            <w:tcW w:w="740" w:type="dxa"/>
          </w:tcPr>
          <w:p w14:paraId="514AB612">
            <w:pPr>
              <w:rPr>
                <w:color w:val="auto"/>
              </w:rPr>
            </w:pPr>
          </w:p>
        </w:tc>
        <w:tc>
          <w:tcPr>
            <w:tcW w:w="738" w:type="dxa"/>
          </w:tcPr>
          <w:p w14:paraId="3A37A6DB">
            <w:pPr>
              <w:rPr>
                <w:color w:val="auto"/>
              </w:rPr>
            </w:pPr>
          </w:p>
        </w:tc>
        <w:tc>
          <w:tcPr>
            <w:tcW w:w="855" w:type="dxa"/>
          </w:tcPr>
          <w:p w14:paraId="040902FE">
            <w:pPr>
              <w:rPr>
                <w:color w:val="auto"/>
              </w:rPr>
            </w:pPr>
          </w:p>
        </w:tc>
        <w:tc>
          <w:tcPr>
            <w:tcW w:w="1270" w:type="dxa"/>
          </w:tcPr>
          <w:p w14:paraId="68C47F2C">
            <w:pPr>
              <w:rPr>
                <w:color w:val="auto"/>
              </w:rPr>
            </w:pPr>
          </w:p>
        </w:tc>
        <w:tc>
          <w:tcPr>
            <w:tcW w:w="882" w:type="dxa"/>
          </w:tcPr>
          <w:p w14:paraId="554F9DF7">
            <w:pPr>
              <w:rPr>
                <w:color w:val="auto"/>
              </w:rPr>
            </w:pPr>
          </w:p>
        </w:tc>
        <w:tc>
          <w:tcPr>
            <w:tcW w:w="980" w:type="dxa"/>
          </w:tcPr>
          <w:p w14:paraId="6A6BE48B">
            <w:pPr>
              <w:rPr>
                <w:color w:val="auto"/>
              </w:rPr>
            </w:pPr>
          </w:p>
        </w:tc>
        <w:tc>
          <w:tcPr>
            <w:tcW w:w="987" w:type="dxa"/>
            <w:tcBorders>
              <w:right w:val="single" w:color="000000" w:sz="6" w:space="0"/>
            </w:tcBorders>
          </w:tcPr>
          <w:p w14:paraId="482BA434">
            <w:pPr>
              <w:rPr>
                <w:color w:val="auto"/>
              </w:rPr>
            </w:pPr>
          </w:p>
        </w:tc>
      </w:tr>
      <w:tr w14:paraId="4720D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663" w:type="dxa"/>
            <w:tcBorders>
              <w:left w:val="single" w:color="000000" w:sz="6" w:space="0"/>
            </w:tcBorders>
          </w:tcPr>
          <w:p w14:paraId="3FB456FA">
            <w:pPr>
              <w:rPr>
                <w:color w:val="auto"/>
              </w:rPr>
            </w:pPr>
          </w:p>
        </w:tc>
        <w:tc>
          <w:tcPr>
            <w:tcW w:w="1071" w:type="dxa"/>
          </w:tcPr>
          <w:p w14:paraId="047992EF">
            <w:pPr>
              <w:rPr>
                <w:color w:val="auto"/>
              </w:rPr>
            </w:pPr>
          </w:p>
        </w:tc>
        <w:tc>
          <w:tcPr>
            <w:tcW w:w="719" w:type="dxa"/>
          </w:tcPr>
          <w:p w14:paraId="470693B2">
            <w:pPr>
              <w:rPr>
                <w:color w:val="auto"/>
              </w:rPr>
            </w:pPr>
          </w:p>
        </w:tc>
        <w:tc>
          <w:tcPr>
            <w:tcW w:w="740" w:type="dxa"/>
          </w:tcPr>
          <w:p w14:paraId="625CE855">
            <w:pPr>
              <w:rPr>
                <w:color w:val="auto"/>
              </w:rPr>
            </w:pPr>
          </w:p>
        </w:tc>
        <w:tc>
          <w:tcPr>
            <w:tcW w:w="738" w:type="dxa"/>
          </w:tcPr>
          <w:p w14:paraId="2149E876">
            <w:pPr>
              <w:rPr>
                <w:color w:val="auto"/>
              </w:rPr>
            </w:pPr>
          </w:p>
        </w:tc>
        <w:tc>
          <w:tcPr>
            <w:tcW w:w="855" w:type="dxa"/>
          </w:tcPr>
          <w:p w14:paraId="2B67B9B4">
            <w:pPr>
              <w:rPr>
                <w:color w:val="auto"/>
              </w:rPr>
            </w:pPr>
          </w:p>
        </w:tc>
        <w:tc>
          <w:tcPr>
            <w:tcW w:w="1270" w:type="dxa"/>
          </w:tcPr>
          <w:p w14:paraId="454C0921">
            <w:pPr>
              <w:rPr>
                <w:color w:val="auto"/>
              </w:rPr>
            </w:pPr>
          </w:p>
        </w:tc>
        <w:tc>
          <w:tcPr>
            <w:tcW w:w="882" w:type="dxa"/>
          </w:tcPr>
          <w:p w14:paraId="11070F8F">
            <w:pPr>
              <w:rPr>
                <w:color w:val="auto"/>
              </w:rPr>
            </w:pPr>
          </w:p>
        </w:tc>
        <w:tc>
          <w:tcPr>
            <w:tcW w:w="980" w:type="dxa"/>
          </w:tcPr>
          <w:p w14:paraId="56EC88E3">
            <w:pPr>
              <w:rPr>
                <w:color w:val="auto"/>
              </w:rPr>
            </w:pPr>
          </w:p>
        </w:tc>
        <w:tc>
          <w:tcPr>
            <w:tcW w:w="987" w:type="dxa"/>
            <w:tcBorders>
              <w:right w:val="single" w:color="000000" w:sz="6" w:space="0"/>
            </w:tcBorders>
          </w:tcPr>
          <w:p w14:paraId="4B4C3F2F">
            <w:pPr>
              <w:rPr>
                <w:color w:val="auto"/>
              </w:rPr>
            </w:pPr>
          </w:p>
        </w:tc>
      </w:tr>
      <w:tr w14:paraId="0A49C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52B00A81">
            <w:pPr>
              <w:rPr>
                <w:color w:val="auto"/>
              </w:rPr>
            </w:pPr>
          </w:p>
        </w:tc>
        <w:tc>
          <w:tcPr>
            <w:tcW w:w="1071" w:type="dxa"/>
          </w:tcPr>
          <w:p w14:paraId="468FC7DC">
            <w:pPr>
              <w:rPr>
                <w:color w:val="auto"/>
              </w:rPr>
            </w:pPr>
          </w:p>
        </w:tc>
        <w:tc>
          <w:tcPr>
            <w:tcW w:w="719" w:type="dxa"/>
          </w:tcPr>
          <w:p w14:paraId="14F32A53">
            <w:pPr>
              <w:rPr>
                <w:color w:val="auto"/>
              </w:rPr>
            </w:pPr>
          </w:p>
        </w:tc>
        <w:tc>
          <w:tcPr>
            <w:tcW w:w="740" w:type="dxa"/>
          </w:tcPr>
          <w:p w14:paraId="4FAB7F1A">
            <w:pPr>
              <w:rPr>
                <w:color w:val="auto"/>
              </w:rPr>
            </w:pPr>
          </w:p>
        </w:tc>
        <w:tc>
          <w:tcPr>
            <w:tcW w:w="738" w:type="dxa"/>
          </w:tcPr>
          <w:p w14:paraId="0137F732">
            <w:pPr>
              <w:rPr>
                <w:color w:val="auto"/>
              </w:rPr>
            </w:pPr>
          </w:p>
        </w:tc>
        <w:tc>
          <w:tcPr>
            <w:tcW w:w="855" w:type="dxa"/>
          </w:tcPr>
          <w:p w14:paraId="5B12D81C">
            <w:pPr>
              <w:rPr>
                <w:color w:val="auto"/>
              </w:rPr>
            </w:pPr>
          </w:p>
        </w:tc>
        <w:tc>
          <w:tcPr>
            <w:tcW w:w="1270" w:type="dxa"/>
          </w:tcPr>
          <w:p w14:paraId="7CF984AF">
            <w:pPr>
              <w:rPr>
                <w:color w:val="auto"/>
              </w:rPr>
            </w:pPr>
          </w:p>
        </w:tc>
        <w:tc>
          <w:tcPr>
            <w:tcW w:w="882" w:type="dxa"/>
          </w:tcPr>
          <w:p w14:paraId="0B642311">
            <w:pPr>
              <w:rPr>
                <w:color w:val="auto"/>
              </w:rPr>
            </w:pPr>
          </w:p>
        </w:tc>
        <w:tc>
          <w:tcPr>
            <w:tcW w:w="980" w:type="dxa"/>
          </w:tcPr>
          <w:p w14:paraId="1BA1EF76">
            <w:pPr>
              <w:rPr>
                <w:color w:val="auto"/>
              </w:rPr>
            </w:pPr>
          </w:p>
        </w:tc>
        <w:tc>
          <w:tcPr>
            <w:tcW w:w="987" w:type="dxa"/>
            <w:tcBorders>
              <w:right w:val="single" w:color="000000" w:sz="6" w:space="0"/>
            </w:tcBorders>
          </w:tcPr>
          <w:p w14:paraId="2E6C42C2">
            <w:pPr>
              <w:rPr>
                <w:color w:val="auto"/>
              </w:rPr>
            </w:pPr>
          </w:p>
        </w:tc>
      </w:tr>
      <w:tr w14:paraId="6654D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4C107165">
            <w:pPr>
              <w:rPr>
                <w:color w:val="auto"/>
              </w:rPr>
            </w:pPr>
          </w:p>
        </w:tc>
        <w:tc>
          <w:tcPr>
            <w:tcW w:w="1071" w:type="dxa"/>
          </w:tcPr>
          <w:p w14:paraId="2DDB1A9E">
            <w:pPr>
              <w:rPr>
                <w:color w:val="auto"/>
              </w:rPr>
            </w:pPr>
          </w:p>
        </w:tc>
        <w:tc>
          <w:tcPr>
            <w:tcW w:w="719" w:type="dxa"/>
          </w:tcPr>
          <w:p w14:paraId="4998DA97">
            <w:pPr>
              <w:rPr>
                <w:color w:val="auto"/>
              </w:rPr>
            </w:pPr>
          </w:p>
        </w:tc>
        <w:tc>
          <w:tcPr>
            <w:tcW w:w="740" w:type="dxa"/>
          </w:tcPr>
          <w:p w14:paraId="0806BFBB">
            <w:pPr>
              <w:rPr>
                <w:color w:val="auto"/>
              </w:rPr>
            </w:pPr>
          </w:p>
        </w:tc>
        <w:tc>
          <w:tcPr>
            <w:tcW w:w="738" w:type="dxa"/>
          </w:tcPr>
          <w:p w14:paraId="05F6197E">
            <w:pPr>
              <w:rPr>
                <w:color w:val="auto"/>
              </w:rPr>
            </w:pPr>
          </w:p>
        </w:tc>
        <w:tc>
          <w:tcPr>
            <w:tcW w:w="855" w:type="dxa"/>
          </w:tcPr>
          <w:p w14:paraId="4D3C9EDC">
            <w:pPr>
              <w:rPr>
                <w:color w:val="auto"/>
              </w:rPr>
            </w:pPr>
          </w:p>
        </w:tc>
        <w:tc>
          <w:tcPr>
            <w:tcW w:w="1270" w:type="dxa"/>
          </w:tcPr>
          <w:p w14:paraId="29A73E95">
            <w:pPr>
              <w:rPr>
                <w:color w:val="auto"/>
              </w:rPr>
            </w:pPr>
          </w:p>
        </w:tc>
        <w:tc>
          <w:tcPr>
            <w:tcW w:w="882" w:type="dxa"/>
          </w:tcPr>
          <w:p w14:paraId="101899BF">
            <w:pPr>
              <w:rPr>
                <w:color w:val="auto"/>
              </w:rPr>
            </w:pPr>
          </w:p>
        </w:tc>
        <w:tc>
          <w:tcPr>
            <w:tcW w:w="980" w:type="dxa"/>
          </w:tcPr>
          <w:p w14:paraId="1ACEF008">
            <w:pPr>
              <w:rPr>
                <w:color w:val="auto"/>
              </w:rPr>
            </w:pPr>
          </w:p>
        </w:tc>
        <w:tc>
          <w:tcPr>
            <w:tcW w:w="987" w:type="dxa"/>
            <w:tcBorders>
              <w:right w:val="single" w:color="000000" w:sz="6" w:space="0"/>
            </w:tcBorders>
          </w:tcPr>
          <w:p w14:paraId="0FDB2CDD">
            <w:pPr>
              <w:rPr>
                <w:color w:val="auto"/>
              </w:rPr>
            </w:pPr>
          </w:p>
        </w:tc>
      </w:tr>
      <w:tr w14:paraId="480CD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663" w:type="dxa"/>
            <w:tcBorders>
              <w:left w:val="single" w:color="000000" w:sz="6" w:space="0"/>
            </w:tcBorders>
          </w:tcPr>
          <w:p w14:paraId="60019104">
            <w:pPr>
              <w:rPr>
                <w:color w:val="auto"/>
              </w:rPr>
            </w:pPr>
          </w:p>
        </w:tc>
        <w:tc>
          <w:tcPr>
            <w:tcW w:w="1071" w:type="dxa"/>
          </w:tcPr>
          <w:p w14:paraId="37253858">
            <w:pPr>
              <w:rPr>
                <w:color w:val="auto"/>
              </w:rPr>
            </w:pPr>
          </w:p>
        </w:tc>
        <w:tc>
          <w:tcPr>
            <w:tcW w:w="719" w:type="dxa"/>
          </w:tcPr>
          <w:p w14:paraId="29EF6568">
            <w:pPr>
              <w:rPr>
                <w:color w:val="auto"/>
              </w:rPr>
            </w:pPr>
          </w:p>
        </w:tc>
        <w:tc>
          <w:tcPr>
            <w:tcW w:w="740" w:type="dxa"/>
          </w:tcPr>
          <w:p w14:paraId="60120DA9">
            <w:pPr>
              <w:rPr>
                <w:color w:val="auto"/>
              </w:rPr>
            </w:pPr>
          </w:p>
        </w:tc>
        <w:tc>
          <w:tcPr>
            <w:tcW w:w="738" w:type="dxa"/>
          </w:tcPr>
          <w:p w14:paraId="2FA30628">
            <w:pPr>
              <w:rPr>
                <w:color w:val="auto"/>
              </w:rPr>
            </w:pPr>
          </w:p>
        </w:tc>
        <w:tc>
          <w:tcPr>
            <w:tcW w:w="855" w:type="dxa"/>
          </w:tcPr>
          <w:p w14:paraId="1C2FE661">
            <w:pPr>
              <w:rPr>
                <w:color w:val="auto"/>
              </w:rPr>
            </w:pPr>
          </w:p>
        </w:tc>
        <w:tc>
          <w:tcPr>
            <w:tcW w:w="1270" w:type="dxa"/>
          </w:tcPr>
          <w:p w14:paraId="74A5D367">
            <w:pPr>
              <w:rPr>
                <w:color w:val="auto"/>
              </w:rPr>
            </w:pPr>
          </w:p>
        </w:tc>
        <w:tc>
          <w:tcPr>
            <w:tcW w:w="882" w:type="dxa"/>
          </w:tcPr>
          <w:p w14:paraId="18AC1127">
            <w:pPr>
              <w:rPr>
                <w:color w:val="auto"/>
              </w:rPr>
            </w:pPr>
          </w:p>
        </w:tc>
        <w:tc>
          <w:tcPr>
            <w:tcW w:w="980" w:type="dxa"/>
          </w:tcPr>
          <w:p w14:paraId="1C1ACD07">
            <w:pPr>
              <w:rPr>
                <w:color w:val="auto"/>
              </w:rPr>
            </w:pPr>
          </w:p>
        </w:tc>
        <w:tc>
          <w:tcPr>
            <w:tcW w:w="987" w:type="dxa"/>
            <w:tcBorders>
              <w:right w:val="single" w:color="000000" w:sz="6" w:space="0"/>
            </w:tcBorders>
          </w:tcPr>
          <w:p w14:paraId="4B384070">
            <w:pPr>
              <w:rPr>
                <w:color w:val="auto"/>
              </w:rPr>
            </w:pPr>
          </w:p>
        </w:tc>
      </w:tr>
      <w:tr w14:paraId="0DBC2A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jc w:val="center"/>
        </w:trPr>
        <w:tc>
          <w:tcPr>
            <w:tcW w:w="663" w:type="dxa"/>
            <w:tcBorders>
              <w:left w:val="single" w:color="000000" w:sz="6" w:space="0"/>
              <w:bottom w:val="single" w:color="000000" w:sz="6" w:space="0"/>
            </w:tcBorders>
          </w:tcPr>
          <w:p w14:paraId="3007F5FA">
            <w:pPr>
              <w:rPr>
                <w:color w:val="auto"/>
              </w:rPr>
            </w:pPr>
          </w:p>
        </w:tc>
        <w:tc>
          <w:tcPr>
            <w:tcW w:w="1071" w:type="dxa"/>
            <w:tcBorders>
              <w:bottom w:val="single" w:color="000000" w:sz="6" w:space="0"/>
            </w:tcBorders>
          </w:tcPr>
          <w:p w14:paraId="3C7444C6">
            <w:pPr>
              <w:rPr>
                <w:color w:val="auto"/>
              </w:rPr>
            </w:pPr>
          </w:p>
        </w:tc>
        <w:tc>
          <w:tcPr>
            <w:tcW w:w="719" w:type="dxa"/>
            <w:tcBorders>
              <w:bottom w:val="single" w:color="000000" w:sz="6" w:space="0"/>
            </w:tcBorders>
          </w:tcPr>
          <w:p w14:paraId="537F284F">
            <w:pPr>
              <w:rPr>
                <w:color w:val="auto"/>
              </w:rPr>
            </w:pPr>
          </w:p>
        </w:tc>
        <w:tc>
          <w:tcPr>
            <w:tcW w:w="740" w:type="dxa"/>
            <w:tcBorders>
              <w:bottom w:val="single" w:color="000000" w:sz="6" w:space="0"/>
            </w:tcBorders>
          </w:tcPr>
          <w:p w14:paraId="503A4A5F">
            <w:pPr>
              <w:rPr>
                <w:color w:val="auto"/>
              </w:rPr>
            </w:pPr>
          </w:p>
        </w:tc>
        <w:tc>
          <w:tcPr>
            <w:tcW w:w="738" w:type="dxa"/>
            <w:tcBorders>
              <w:bottom w:val="single" w:color="000000" w:sz="6" w:space="0"/>
            </w:tcBorders>
          </w:tcPr>
          <w:p w14:paraId="6743F906">
            <w:pPr>
              <w:rPr>
                <w:color w:val="auto"/>
              </w:rPr>
            </w:pPr>
          </w:p>
        </w:tc>
        <w:tc>
          <w:tcPr>
            <w:tcW w:w="855" w:type="dxa"/>
            <w:tcBorders>
              <w:bottom w:val="single" w:color="000000" w:sz="6" w:space="0"/>
            </w:tcBorders>
          </w:tcPr>
          <w:p w14:paraId="35B54534">
            <w:pPr>
              <w:rPr>
                <w:color w:val="auto"/>
              </w:rPr>
            </w:pPr>
          </w:p>
        </w:tc>
        <w:tc>
          <w:tcPr>
            <w:tcW w:w="1270" w:type="dxa"/>
            <w:tcBorders>
              <w:bottom w:val="single" w:color="000000" w:sz="6" w:space="0"/>
            </w:tcBorders>
          </w:tcPr>
          <w:p w14:paraId="062CB68F">
            <w:pPr>
              <w:rPr>
                <w:color w:val="auto"/>
              </w:rPr>
            </w:pPr>
          </w:p>
        </w:tc>
        <w:tc>
          <w:tcPr>
            <w:tcW w:w="882" w:type="dxa"/>
            <w:tcBorders>
              <w:bottom w:val="single" w:color="000000" w:sz="6" w:space="0"/>
            </w:tcBorders>
          </w:tcPr>
          <w:p w14:paraId="7C64372E">
            <w:pPr>
              <w:rPr>
                <w:color w:val="auto"/>
              </w:rPr>
            </w:pPr>
          </w:p>
        </w:tc>
        <w:tc>
          <w:tcPr>
            <w:tcW w:w="980" w:type="dxa"/>
            <w:tcBorders>
              <w:bottom w:val="single" w:color="000000" w:sz="6" w:space="0"/>
            </w:tcBorders>
          </w:tcPr>
          <w:p w14:paraId="2BA5D87F">
            <w:pPr>
              <w:rPr>
                <w:color w:val="auto"/>
              </w:rPr>
            </w:pPr>
          </w:p>
        </w:tc>
        <w:tc>
          <w:tcPr>
            <w:tcW w:w="987" w:type="dxa"/>
            <w:tcBorders>
              <w:bottom w:val="single" w:color="000000" w:sz="6" w:space="0"/>
              <w:right w:val="single" w:color="000000" w:sz="6" w:space="0"/>
            </w:tcBorders>
          </w:tcPr>
          <w:p w14:paraId="146F527C">
            <w:pPr>
              <w:rPr>
                <w:color w:val="auto"/>
              </w:rPr>
            </w:pPr>
          </w:p>
        </w:tc>
      </w:tr>
    </w:tbl>
    <w:p w14:paraId="06B4671A">
      <w:pPr>
        <w:pStyle w:val="8"/>
        <w:rPr>
          <w:color w:val="auto"/>
        </w:rPr>
      </w:pPr>
    </w:p>
    <w:p w14:paraId="51E3F935">
      <w:pPr>
        <w:rPr>
          <w:color w:val="auto"/>
        </w:rPr>
      </w:pPr>
      <w:r>
        <w:rPr>
          <w:color w:val="auto"/>
        </w:rPr>
        <w:br w:type="page"/>
      </w:r>
    </w:p>
    <w:p w14:paraId="31DC38E7">
      <w:pPr>
        <w:spacing w:before="78" w:line="219" w:lineRule="auto"/>
        <w:ind w:left="28"/>
        <w:rPr>
          <w:rFonts w:hint="eastAsia" w:ascii="宋体" w:hAnsi="宋体" w:eastAsia="宋体" w:cs="宋体"/>
          <w:color w:val="auto"/>
          <w:sz w:val="24"/>
          <w:szCs w:val="24"/>
        </w:rPr>
      </w:pPr>
      <w:r>
        <w:rPr>
          <w:rFonts w:ascii="宋体" w:hAnsi="宋体" w:eastAsia="宋体" w:cs="宋体"/>
          <w:color w:val="auto"/>
          <w:spacing w:val="-16"/>
          <w:sz w:val="24"/>
          <w:szCs w:val="24"/>
        </w:rPr>
        <w:t>附件二：</w:t>
      </w:r>
    </w:p>
    <w:p w14:paraId="687FB6CE">
      <w:pPr>
        <w:spacing w:before="183" w:line="219" w:lineRule="auto"/>
        <w:ind w:left="2354"/>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拟投入本标段的试验和检测仪器设备表</w:t>
      </w:r>
    </w:p>
    <w:p w14:paraId="0694E238">
      <w:pPr>
        <w:spacing w:line="144" w:lineRule="exact"/>
        <w:rPr>
          <w:color w:val="auto"/>
          <w:lang w:eastAsia="zh-CN"/>
        </w:rPr>
      </w:pPr>
    </w:p>
    <w:tbl>
      <w:tblPr>
        <w:tblStyle w:val="20"/>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7"/>
        <w:gridCol w:w="1696"/>
        <w:gridCol w:w="851"/>
        <w:gridCol w:w="707"/>
        <w:gridCol w:w="850"/>
        <w:gridCol w:w="848"/>
        <w:gridCol w:w="1131"/>
        <w:gridCol w:w="992"/>
        <w:gridCol w:w="1107"/>
      </w:tblGrid>
      <w:tr w14:paraId="0E111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827" w:type="dxa"/>
            <w:tcBorders>
              <w:top w:val="single" w:color="000000" w:sz="6" w:space="0"/>
              <w:left w:val="single" w:color="000000" w:sz="6" w:space="0"/>
            </w:tcBorders>
          </w:tcPr>
          <w:p w14:paraId="18B7289B">
            <w:pPr>
              <w:pStyle w:val="21"/>
              <w:spacing w:before="256" w:line="221" w:lineRule="auto"/>
              <w:ind w:left="170"/>
              <w:rPr>
                <w:rFonts w:hint="eastAsia"/>
                <w:color w:val="auto"/>
                <w:sz w:val="24"/>
                <w:szCs w:val="24"/>
              </w:rPr>
            </w:pPr>
            <w:r>
              <w:rPr>
                <w:color w:val="auto"/>
                <w:spacing w:val="-3"/>
                <w:sz w:val="24"/>
                <w:szCs w:val="24"/>
              </w:rPr>
              <w:t>序号</w:t>
            </w:r>
          </w:p>
        </w:tc>
        <w:tc>
          <w:tcPr>
            <w:tcW w:w="1696" w:type="dxa"/>
            <w:tcBorders>
              <w:top w:val="single" w:color="000000" w:sz="6" w:space="0"/>
            </w:tcBorders>
          </w:tcPr>
          <w:p w14:paraId="459D86DE">
            <w:pPr>
              <w:pStyle w:val="21"/>
              <w:spacing w:before="255" w:line="220" w:lineRule="auto"/>
              <w:ind w:left="128"/>
              <w:rPr>
                <w:rFonts w:hint="eastAsia"/>
                <w:color w:val="auto"/>
                <w:sz w:val="24"/>
                <w:szCs w:val="24"/>
              </w:rPr>
            </w:pPr>
            <w:r>
              <w:rPr>
                <w:color w:val="auto"/>
                <w:spacing w:val="-2"/>
                <w:sz w:val="24"/>
                <w:szCs w:val="24"/>
              </w:rPr>
              <w:t>仪器设备名称</w:t>
            </w:r>
          </w:p>
        </w:tc>
        <w:tc>
          <w:tcPr>
            <w:tcW w:w="851" w:type="dxa"/>
            <w:tcBorders>
              <w:top w:val="single" w:color="000000" w:sz="6" w:space="0"/>
            </w:tcBorders>
          </w:tcPr>
          <w:p w14:paraId="474BD434">
            <w:pPr>
              <w:pStyle w:val="21"/>
              <w:spacing w:before="102" w:line="221" w:lineRule="auto"/>
              <w:ind w:left="195"/>
              <w:rPr>
                <w:rFonts w:hint="eastAsia"/>
                <w:color w:val="auto"/>
                <w:sz w:val="24"/>
                <w:szCs w:val="24"/>
              </w:rPr>
            </w:pPr>
            <w:r>
              <w:rPr>
                <w:color w:val="auto"/>
                <w:spacing w:val="-5"/>
                <w:sz w:val="24"/>
                <w:szCs w:val="24"/>
              </w:rPr>
              <w:t>型号</w:t>
            </w:r>
            <w:r>
              <w:rPr>
                <w:color w:val="auto"/>
                <w:spacing w:val="-3"/>
                <w:sz w:val="24"/>
                <w:szCs w:val="24"/>
              </w:rPr>
              <w:t>规格</w:t>
            </w:r>
          </w:p>
        </w:tc>
        <w:tc>
          <w:tcPr>
            <w:tcW w:w="707" w:type="dxa"/>
            <w:tcBorders>
              <w:top w:val="single" w:color="000000" w:sz="6" w:space="0"/>
            </w:tcBorders>
          </w:tcPr>
          <w:p w14:paraId="4318BBC3">
            <w:pPr>
              <w:pStyle w:val="21"/>
              <w:spacing w:before="255" w:line="220" w:lineRule="auto"/>
              <w:ind w:left="119"/>
              <w:rPr>
                <w:rFonts w:hint="eastAsia"/>
                <w:color w:val="auto"/>
                <w:sz w:val="24"/>
                <w:szCs w:val="24"/>
              </w:rPr>
            </w:pPr>
            <w:r>
              <w:rPr>
                <w:color w:val="auto"/>
                <w:spacing w:val="-3"/>
                <w:sz w:val="24"/>
                <w:szCs w:val="24"/>
              </w:rPr>
              <w:t>数量</w:t>
            </w:r>
          </w:p>
        </w:tc>
        <w:tc>
          <w:tcPr>
            <w:tcW w:w="850" w:type="dxa"/>
            <w:tcBorders>
              <w:top w:val="single" w:color="000000" w:sz="6" w:space="0"/>
            </w:tcBorders>
          </w:tcPr>
          <w:p w14:paraId="26E7FEC2">
            <w:pPr>
              <w:pStyle w:val="21"/>
              <w:spacing w:before="103" w:line="220" w:lineRule="auto"/>
              <w:ind w:left="213"/>
              <w:rPr>
                <w:rFonts w:hint="eastAsia"/>
                <w:color w:val="auto"/>
                <w:sz w:val="24"/>
                <w:szCs w:val="24"/>
              </w:rPr>
            </w:pPr>
            <w:r>
              <w:rPr>
                <w:color w:val="auto"/>
                <w:spacing w:val="-9"/>
                <w:sz w:val="24"/>
                <w:szCs w:val="24"/>
              </w:rPr>
              <w:t>国别</w:t>
            </w:r>
            <w:r>
              <w:rPr>
                <w:color w:val="auto"/>
                <w:spacing w:val="-3"/>
                <w:sz w:val="24"/>
                <w:szCs w:val="24"/>
              </w:rPr>
              <w:t>产地</w:t>
            </w:r>
          </w:p>
        </w:tc>
        <w:tc>
          <w:tcPr>
            <w:tcW w:w="848" w:type="dxa"/>
            <w:tcBorders>
              <w:top w:val="single" w:color="000000" w:sz="6" w:space="0"/>
            </w:tcBorders>
          </w:tcPr>
          <w:p w14:paraId="2D2526EE">
            <w:pPr>
              <w:pStyle w:val="21"/>
              <w:spacing w:before="103" w:line="220" w:lineRule="auto"/>
              <w:ind w:left="190"/>
              <w:rPr>
                <w:rFonts w:hint="eastAsia"/>
                <w:color w:val="auto"/>
                <w:sz w:val="24"/>
                <w:szCs w:val="24"/>
              </w:rPr>
            </w:pPr>
            <w:r>
              <w:rPr>
                <w:color w:val="auto"/>
                <w:spacing w:val="-3"/>
                <w:sz w:val="24"/>
                <w:szCs w:val="24"/>
              </w:rPr>
              <w:t>制造年份</w:t>
            </w:r>
          </w:p>
        </w:tc>
        <w:tc>
          <w:tcPr>
            <w:tcW w:w="1131" w:type="dxa"/>
            <w:tcBorders>
              <w:top w:val="single" w:color="000000" w:sz="6" w:space="0"/>
            </w:tcBorders>
          </w:tcPr>
          <w:p w14:paraId="055332C2">
            <w:pPr>
              <w:pStyle w:val="21"/>
              <w:spacing w:before="102" w:line="220" w:lineRule="auto"/>
              <w:ind w:left="239"/>
              <w:rPr>
                <w:rFonts w:hint="eastAsia"/>
                <w:color w:val="auto"/>
                <w:sz w:val="24"/>
                <w:szCs w:val="24"/>
              </w:rPr>
            </w:pPr>
            <w:r>
              <w:rPr>
                <w:color w:val="auto"/>
                <w:spacing w:val="-8"/>
                <w:sz w:val="24"/>
                <w:szCs w:val="24"/>
              </w:rPr>
              <w:t>已使用</w:t>
            </w:r>
            <w:r>
              <w:rPr>
                <w:color w:val="auto"/>
                <w:spacing w:val="-10"/>
                <w:sz w:val="24"/>
                <w:szCs w:val="24"/>
              </w:rPr>
              <w:t>台班数</w:t>
            </w:r>
          </w:p>
        </w:tc>
        <w:tc>
          <w:tcPr>
            <w:tcW w:w="992" w:type="dxa"/>
            <w:tcBorders>
              <w:top w:val="single" w:color="000000" w:sz="6" w:space="0"/>
            </w:tcBorders>
          </w:tcPr>
          <w:p w14:paraId="63CEFC17">
            <w:pPr>
              <w:pStyle w:val="21"/>
              <w:spacing w:before="256" w:line="221" w:lineRule="auto"/>
              <w:ind w:left="269"/>
              <w:rPr>
                <w:rFonts w:hint="eastAsia"/>
                <w:color w:val="auto"/>
                <w:sz w:val="24"/>
                <w:szCs w:val="24"/>
              </w:rPr>
            </w:pPr>
            <w:r>
              <w:rPr>
                <w:color w:val="auto"/>
                <w:spacing w:val="-3"/>
                <w:sz w:val="24"/>
                <w:szCs w:val="24"/>
              </w:rPr>
              <w:t>用途</w:t>
            </w:r>
          </w:p>
        </w:tc>
        <w:tc>
          <w:tcPr>
            <w:tcW w:w="1107" w:type="dxa"/>
            <w:tcBorders>
              <w:top w:val="single" w:color="000000" w:sz="6" w:space="0"/>
              <w:right w:val="single" w:color="000000" w:sz="6" w:space="0"/>
            </w:tcBorders>
          </w:tcPr>
          <w:p w14:paraId="16A9E05D">
            <w:pPr>
              <w:pStyle w:val="21"/>
              <w:spacing w:before="256" w:line="221" w:lineRule="auto"/>
              <w:ind w:left="325"/>
              <w:rPr>
                <w:rFonts w:hint="eastAsia"/>
                <w:color w:val="auto"/>
                <w:sz w:val="24"/>
                <w:szCs w:val="24"/>
              </w:rPr>
            </w:pPr>
            <w:r>
              <w:rPr>
                <w:color w:val="auto"/>
                <w:spacing w:val="-4"/>
                <w:sz w:val="24"/>
                <w:szCs w:val="24"/>
              </w:rPr>
              <w:t>备注</w:t>
            </w:r>
          </w:p>
        </w:tc>
      </w:tr>
      <w:tr w14:paraId="0FF6D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27" w:type="dxa"/>
            <w:tcBorders>
              <w:left w:val="single" w:color="000000" w:sz="6" w:space="0"/>
            </w:tcBorders>
          </w:tcPr>
          <w:p w14:paraId="41154C37">
            <w:pPr>
              <w:rPr>
                <w:color w:val="auto"/>
              </w:rPr>
            </w:pPr>
          </w:p>
        </w:tc>
        <w:tc>
          <w:tcPr>
            <w:tcW w:w="1696" w:type="dxa"/>
          </w:tcPr>
          <w:p w14:paraId="6919AAAD">
            <w:pPr>
              <w:rPr>
                <w:color w:val="auto"/>
              </w:rPr>
            </w:pPr>
          </w:p>
        </w:tc>
        <w:tc>
          <w:tcPr>
            <w:tcW w:w="851" w:type="dxa"/>
          </w:tcPr>
          <w:p w14:paraId="18B5A0BE">
            <w:pPr>
              <w:rPr>
                <w:color w:val="auto"/>
              </w:rPr>
            </w:pPr>
          </w:p>
        </w:tc>
        <w:tc>
          <w:tcPr>
            <w:tcW w:w="707" w:type="dxa"/>
          </w:tcPr>
          <w:p w14:paraId="0AE45019">
            <w:pPr>
              <w:rPr>
                <w:color w:val="auto"/>
              </w:rPr>
            </w:pPr>
          </w:p>
        </w:tc>
        <w:tc>
          <w:tcPr>
            <w:tcW w:w="850" w:type="dxa"/>
          </w:tcPr>
          <w:p w14:paraId="73E195F6">
            <w:pPr>
              <w:rPr>
                <w:color w:val="auto"/>
              </w:rPr>
            </w:pPr>
          </w:p>
        </w:tc>
        <w:tc>
          <w:tcPr>
            <w:tcW w:w="848" w:type="dxa"/>
          </w:tcPr>
          <w:p w14:paraId="3042F820">
            <w:pPr>
              <w:rPr>
                <w:color w:val="auto"/>
              </w:rPr>
            </w:pPr>
          </w:p>
        </w:tc>
        <w:tc>
          <w:tcPr>
            <w:tcW w:w="1131" w:type="dxa"/>
          </w:tcPr>
          <w:p w14:paraId="1435C3E9">
            <w:pPr>
              <w:rPr>
                <w:color w:val="auto"/>
              </w:rPr>
            </w:pPr>
          </w:p>
        </w:tc>
        <w:tc>
          <w:tcPr>
            <w:tcW w:w="992" w:type="dxa"/>
          </w:tcPr>
          <w:p w14:paraId="6DA984C7">
            <w:pPr>
              <w:rPr>
                <w:color w:val="auto"/>
              </w:rPr>
            </w:pPr>
          </w:p>
        </w:tc>
        <w:tc>
          <w:tcPr>
            <w:tcW w:w="1107" w:type="dxa"/>
            <w:tcBorders>
              <w:right w:val="single" w:color="000000" w:sz="6" w:space="0"/>
            </w:tcBorders>
          </w:tcPr>
          <w:p w14:paraId="1B57BCE8">
            <w:pPr>
              <w:rPr>
                <w:color w:val="auto"/>
              </w:rPr>
            </w:pPr>
          </w:p>
        </w:tc>
      </w:tr>
      <w:tr w14:paraId="199CF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0BDA1775">
            <w:pPr>
              <w:rPr>
                <w:color w:val="auto"/>
              </w:rPr>
            </w:pPr>
          </w:p>
        </w:tc>
        <w:tc>
          <w:tcPr>
            <w:tcW w:w="1696" w:type="dxa"/>
          </w:tcPr>
          <w:p w14:paraId="48C2A404">
            <w:pPr>
              <w:rPr>
                <w:color w:val="auto"/>
              </w:rPr>
            </w:pPr>
          </w:p>
        </w:tc>
        <w:tc>
          <w:tcPr>
            <w:tcW w:w="851" w:type="dxa"/>
          </w:tcPr>
          <w:p w14:paraId="6E1B165A">
            <w:pPr>
              <w:rPr>
                <w:color w:val="auto"/>
              </w:rPr>
            </w:pPr>
          </w:p>
        </w:tc>
        <w:tc>
          <w:tcPr>
            <w:tcW w:w="707" w:type="dxa"/>
          </w:tcPr>
          <w:p w14:paraId="20355FED">
            <w:pPr>
              <w:rPr>
                <w:color w:val="auto"/>
              </w:rPr>
            </w:pPr>
          </w:p>
        </w:tc>
        <w:tc>
          <w:tcPr>
            <w:tcW w:w="850" w:type="dxa"/>
          </w:tcPr>
          <w:p w14:paraId="3AADC9DC">
            <w:pPr>
              <w:rPr>
                <w:color w:val="auto"/>
              </w:rPr>
            </w:pPr>
          </w:p>
        </w:tc>
        <w:tc>
          <w:tcPr>
            <w:tcW w:w="848" w:type="dxa"/>
          </w:tcPr>
          <w:p w14:paraId="3825D0B1">
            <w:pPr>
              <w:rPr>
                <w:color w:val="auto"/>
              </w:rPr>
            </w:pPr>
          </w:p>
        </w:tc>
        <w:tc>
          <w:tcPr>
            <w:tcW w:w="1131" w:type="dxa"/>
          </w:tcPr>
          <w:p w14:paraId="1DC3F2FD">
            <w:pPr>
              <w:rPr>
                <w:color w:val="auto"/>
              </w:rPr>
            </w:pPr>
          </w:p>
        </w:tc>
        <w:tc>
          <w:tcPr>
            <w:tcW w:w="992" w:type="dxa"/>
          </w:tcPr>
          <w:p w14:paraId="014DA1D7">
            <w:pPr>
              <w:rPr>
                <w:color w:val="auto"/>
              </w:rPr>
            </w:pPr>
          </w:p>
        </w:tc>
        <w:tc>
          <w:tcPr>
            <w:tcW w:w="1107" w:type="dxa"/>
            <w:tcBorders>
              <w:right w:val="single" w:color="000000" w:sz="6" w:space="0"/>
            </w:tcBorders>
          </w:tcPr>
          <w:p w14:paraId="1A4664FD">
            <w:pPr>
              <w:rPr>
                <w:color w:val="auto"/>
              </w:rPr>
            </w:pPr>
          </w:p>
        </w:tc>
      </w:tr>
      <w:tr w14:paraId="511C5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3549DB9D">
            <w:pPr>
              <w:rPr>
                <w:color w:val="auto"/>
              </w:rPr>
            </w:pPr>
          </w:p>
        </w:tc>
        <w:tc>
          <w:tcPr>
            <w:tcW w:w="1696" w:type="dxa"/>
          </w:tcPr>
          <w:p w14:paraId="6D7AE0EC">
            <w:pPr>
              <w:rPr>
                <w:color w:val="auto"/>
              </w:rPr>
            </w:pPr>
          </w:p>
        </w:tc>
        <w:tc>
          <w:tcPr>
            <w:tcW w:w="851" w:type="dxa"/>
          </w:tcPr>
          <w:p w14:paraId="1E13BFDA">
            <w:pPr>
              <w:rPr>
                <w:color w:val="auto"/>
              </w:rPr>
            </w:pPr>
          </w:p>
        </w:tc>
        <w:tc>
          <w:tcPr>
            <w:tcW w:w="707" w:type="dxa"/>
          </w:tcPr>
          <w:p w14:paraId="76B3BEAC">
            <w:pPr>
              <w:rPr>
                <w:color w:val="auto"/>
              </w:rPr>
            </w:pPr>
          </w:p>
        </w:tc>
        <w:tc>
          <w:tcPr>
            <w:tcW w:w="850" w:type="dxa"/>
          </w:tcPr>
          <w:p w14:paraId="68A6BA54">
            <w:pPr>
              <w:rPr>
                <w:color w:val="auto"/>
              </w:rPr>
            </w:pPr>
          </w:p>
        </w:tc>
        <w:tc>
          <w:tcPr>
            <w:tcW w:w="848" w:type="dxa"/>
          </w:tcPr>
          <w:p w14:paraId="5F470D71">
            <w:pPr>
              <w:rPr>
                <w:color w:val="auto"/>
              </w:rPr>
            </w:pPr>
          </w:p>
        </w:tc>
        <w:tc>
          <w:tcPr>
            <w:tcW w:w="1131" w:type="dxa"/>
          </w:tcPr>
          <w:p w14:paraId="43DB9B97">
            <w:pPr>
              <w:rPr>
                <w:color w:val="auto"/>
              </w:rPr>
            </w:pPr>
          </w:p>
        </w:tc>
        <w:tc>
          <w:tcPr>
            <w:tcW w:w="992" w:type="dxa"/>
          </w:tcPr>
          <w:p w14:paraId="5AECCD24">
            <w:pPr>
              <w:rPr>
                <w:color w:val="auto"/>
              </w:rPr>
            </w:pPr>
          </w:p>
        </w:tc>
        <w:tc>
          <w:tcPr>
            <w:tcW w:w="1107" w:type="dxa"/>
            <w:tcBorders>
              <w:right w:val="single" w:color="000000" w:sz="6" w:space="0"/>
            </w:tcBorders>
          </w:tcPr>
          <w:p w14:paraId="4986BD63">
            <w:pPr>
              <w:rPr>
                <w:color w:val="auto"/>
              </w:rPr>
            </w:pPr>
          </w:p>
        </w:tc>
      </w:tr>
      <w:tr w14:paraId="32AF99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tcPr>
          <w:p w14:paraId="47CCA567">
            <w:pPr>
              <w:rPr>
                <w:color w:val="auto"/>
              </w:rPr>
            </w:pPr>
          </w:p>
        </w:tc>
        <w:tc>
          <w:tcPr>
            <w:tcW w:w="1696" w:type="dxa"/>
          </w:tcPr>
          <w:p w14:paraId="10F249FF">
            <w:pPr>
              <w:rPr>
                <w:color w:val="auto"/>
              </w:rPr>
            </w:pPr>
          </w:p>
        </w:tc>
        <w:tc>
          <w:tcPr>
            <w:tcW w:w="851" w:type="dxa"/>
          </w:tcPr>
          <w:p w14:paraId="3A0D6C7E">
            <w:pPr>
              <w:rPr>
                <w:color w:val="auto"/>
              </w:rPr>
            </w:pPr>
          </w:p>
        </w:tc>
        <w:tc>
          <w:tcPr>
            <w:tcW w:w="707" w:type="dxa"/>
          </w:tcPr>
          <w:p w14:paraId="3007E1BC">
            <w:pPr>
              <w:rPr>
                <w:color w:val="auto"/>
              </w:rPr>
            </w:pPr>
          </w:p>
        </w:tc>
        <w:tc>
          <w:tcPr>
            <w:tcW w:w="850" w:type="dxa"/>
          </w:tcPr>
          <w:p w14:paraId="396BB979">
            <w:pPr>
              <w:rPr>
                <w:color w:val="auto"/>
              </w:rPr>
            </w:pPr>
          </w:p>
        </w:tc>
        <w:tc>
          <w:tcPr>
            <w:tcW w:w="848" w:type="dxa"/>
          </w:tcPr>
          <w:p w14:paraId="74B71811">
            <w:pPr>
              <w:rPr>
                <w:color w:val="auto"/>
              </w:rPr>
            </w:pPr>
          </w:p>
        </w:tc>
        <w:tc>
          <w:tcPr>
            <w:tcW w:w="1131" w:type="dxa"/>
          </w:tcPr>
          <w:p w14:paraId="2F233E76">
            <w:pPr>
              <w:rPr>
                <w:color w:val="auto"/>
              </w:rPr>
            </w:pPr>
          </w:p>
        </w:tc>
        <w:tc>
          <w:tcPr>
            <w:tcW w:w="992" w:type="dxa"/>
          </w:tcPr>
          <w:p w14:paraId="761FF920">
            <w:pPr>
              <w:rPr>
                <w:color w:val="auto"/>
              </w:rPr>
            </w:pPr>
          </w:p>
        </w:tc>
        <w:tc>
          <w:tcPr>
            <w:tcW w:w="1107" w:type="dxa"/>
            <w:tcBorders>
              <w:right w:val="single" w:color="000000" w:sz="6" w:space="0"/>
            </w:tcBorders>
          </w:tcPr>
          <w:p w14:paraId="43A52CAC">
            <w:pPr>
              <w:rPr>
                <w:color w:val="auto"/>
              </w:rPr>
            </w:pPr>
          </w:p>
        </w:tc>
      </w:tr>
      <w:tr w14:paraId="7B1CA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15A5727C">
            <w:pPr>
              <w:rPr>
                <w:color w:val="auto"/>
              </w:rPr>
            </w:pPr>
          </w:p>
        </w:tc>
        <w:tc>
          <w:tcPr>
            <w:tcW w:w="1696" w:type="dxa"/>
          </w:tcPr>
          <w:p w14:paraId="0725ACFB">
            <w:pPr>
              <w:rPr>
                <w:color w:val="auto"/>
              </w:rPr>
            </w:pPr>
          </w:p>
        </w:tc>
        <w:tc>
          <w:tcPr>
            <w:tcW w:w="851" w:type="dxa"/>
          </w:tcPr>
          <w:p w14:paraId="4B69D9EC">
            <w:pPr>
              <w:rPr>
                <w:color w:val="auto"/>
              </w:rPr>
            </w:pPr>
          </w:p>
        </w:tc>
        <w:tc>
          <w:tcPr>
            <w:tcW w:w="707" w:type="dxa"/>
          </w:tcPr>
          <w:p w14:paraId="36DA0A2D">
            <w:pPr>
              <w:rPr>
                <w:color w:val="auto"/>
              </w:rPr>
            </w:pPr>
          </w:p>
        </w:tc>
        <w:tc>
          <w:tcPr>
            <w:tcW w:w="850" w:type="dxa"/>
          </w:tcPr>
          <w:p w14:paraId="65C53936">
            <w:pPr>
              <w:rPr>
                <w:color w:val="auto"/>
              </w:rPr>
            </w:pPr>
          </w:p>
        </w:tc>
        <w:tc>
          <w:tcPr>
            <w:tcW w:w="848" w:type="dxa"/>
          </w:tcPr>
          <w:p w14:paraId="5A30B6CA">
            <w:pPr>
              <w:rPr>
                <w:color w:val="auto"/>
              </w:rPr>
            </w:pPr>
          </w:p>
        </w:tc>
        <w:tc>
          <w:tcPr>
            <w:tcW w:w="1131" w:type="dxa"/>
          </w:tcPr>
          <w:p w14:paraId="19E14BFC">
            <w:pPr>
              <w:rPr>
                <w:color w:val="auto"/>
              </w:rPr>
            </w:pPr>
          </w:p>
        </w:tc>
        <w:tc>
          <w:tcPr>
            <w:tcW w:w="992" w:type="dxa"/>
          </w:tcPr>
          <w:p w14:paraId="732CCBE6">
            <w:pPr>
              <w:rPr>
                <w:color w:val="auto"/>
              </w:rPr>
            </w:pPr>
          </w:p>
        </w:tc>
        <w:tc>
          <w:tcPr>
            <w:tcW w:w="1107" w:type="dxa"/>
            <w:tcBorders>
              <w:right w:val="single" w:color="000000" w:sz="6" w:space="0"/>
            </w:tcBorders>
          </w:tcPr>
          <w:p w14:paraId="18973017">
            <w:pPr>
              <w:rPr>
                <w:color w:val="auto"/>
              </w:rPr>
            </w:pPr>
          </w:p>
        </w:tc>
      </w:tr>
      <w:tr w14:paraId="67F6FB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1644B4AB">
            <w:pPr>
              <w:rPr>
                <w:color w:val="auto"/>
              </w:rPr>
            </w:pPr>
          </w:p>
        </w:tc>
        <w:tc>
          <w:tcPr>
            <w:tcW w:w="1696" w:type="dxa"/>
          </w:tcPr>
          <w:p w14:paraId="64D3CF46">
            <w:pPr>
              <w:rPr>
                <w:color w:val="auto"/>
              </w:rPr>
            </w:pPr>
          </w:p>
        </w:tc>
        <w:tc>
          <w:tcPr>
            <w:tcW w:w="851" w:type="dxa"/>
          </w:tcPr>
          <w:p w14:paraId="2CC39163">
            <w:pPr>
              <w:rPr>
                <w:color w:val="auto"/>
              </w:rPr>
            </w:pPr>
          </w:p>
        </w:tc>
        <w:tc>
          <w:tcPr>
            <w:tcW w:w="707" w:type="dxa"/>
          </w:tcPr>
          <w:p w14:paraId="65AD5E73">
            <w:pPr>
              <w:rPr>
                <w:color w:val="auto"/>
              </w:rPr>
            </w:pPr>
          </w:p>
        </w:tc>
        <w:tc>
          <w:tcPr>
            <w:tcW w:w="850" w:type="dxa"/>
          </w:tcPr>
          <w:p w14:paraId="470D59AA">
            <w:pPr>
              <w:rPr>
                <w:color w:val="auto"/>
              </w:rPr>
            </w:pPr>
          </w:p>
        </w:tc>
        <w:tc>
          <w:tcPr>
            <w:tcW w:w="848" w:type="dxa"/>
          </w:tcPr>
          <w:p w14:paraId="66359A35">
            <w:pPr>
              <w:rPr>
                <w:color w:val="auto"/>
              </w:rPr>
            </w:pPr>
          </w:p>
        </w:tc>
        <w:tc>
          <w:tcPr>
            <w:tcW w:w="1131" w:type="dxa"/>
          </w:tcPr>
          <w:p w14:paraId="3169E016">
            <w:pPr>
              <w:rPr>
                <w:color w:val="auto"/>
              </w:rPr>
            </w:pPr>
          </w:p>
        </w:tc>
        <w:tc>
          <w:tcPr>
            <w:tcW w:w="992" w:type="dxa"/>
          </w:tcPr>
          <w:p w14:paraId="45C676FF">
            <w:pPr>
              <w:rPr>
                <w:color w:val="auto"/>
              </w:rPr>
            </w:pPr>
          </w:p>
        </w:tc>
        <w:tc>
          <w:tcPr>
            <w:tcW w:w="1107" w:type="dxa"/>
            <w:tcBorders>
              <w:right w:val="single" w:color="000000" w:sz="6" w:space="0"/>
            </w:tcBorders>
          </w:tcPr>
          <w:p w14:paraId="69CFE7A8">
            <w:pPr>
              <w:rPr>
                <w:color w:val="auto"/>
              </w:rPr>
            </w:pPr>
          </w:p>
        </w:tc>
      </w:tr>
      <w:tr w14:paraId="2467F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tcPr>
          <w:p w14:paraId="0925389E">
            <w:pPr>
              <w:rPr>
                <w:color w:val="auto"/>
              </w:rPr>
            </w:pPr>
          </w:p>
        </w:tc>
        <w:tc>
          <w:tcPr>
            <w:tcW w:w="1696" w:type="dxa"/>
          </w:tcPr>
          <w:p w14:paraId="73F9B187">
            <w:pPr>
              <w:rPr>
                <w:color w:val="auto"/>
              </w:rPr>
            </w:pPr>
          </w:p>
        </w:tc>
        <w:tc>
          <w:tcPr>
            <w:tcW w:w="851" w:type="dxa"/>
          </w:tcPr>
          <w:p w14:paraId="4D1C87B8">
            <w:pPr>
              <w:rPr>
                <w:color w:val="auto"/>
              </w:rPr>
            </w:pPr>
          </w:p>
        </w:tc>
        <w:tc>
          <w:tcPr>
            <w:tcW w:w="707" w:type="dxa"/>
          </w:tcPr>
          <w:p w14:paraId="5A8F8B76">
            <w:pPr>
              <w:rPr>
                <w:color w:val="auto"/>
              </w:rPr>
            </w:pPr>
          </w:p>
        </w:tc>
        <w:tc>
          <w:tcPr>
            <w:tcW w:w="850" w:type="dxa"/>
          </w:tcPr>
          <w:p w14:paraId="4FE6241A">
            <w:pPr>
              <w:rPr>
                <w:color w:val="auto"/>
              </w:rPr>
            </w:pPr>
          </w:p>
        </w:tc>
        <w:tc>
          <w:tcPr>
            <w:tcW w:w="848" w:type="dxa"/>
          </w:tcPr>
          <w:p w14:paraId="4B03EB69">
            <w:pPr>
              <w:rPr>
                <w:color w:val="auto"/>
              </w:rPr>
            </w:pPr>
          </w:p>
        </w:tc>
        <w:tc>
          <w:tcPr>
            <w:tcW w:w="1131" w:type="dxa"/>
          </w:tcPr>
          <w:p w14:paraId="706AFF8C">
            <w:pPr>
              <w:rPr>
                <w:color w:val="auto"/>
              </w:rPr>
            </w:pPr>
          </w:p>
        </w:tc>
        <w:tc>
          <w:tcPr>
            <w:tcW w:w="992" w:type="dxa"/>
          </w:tcPr>
          <w:p w14:paraId="53DA86FC">
            <w:pPr>
              <w:rPr>
                <w:color w:val="auto"/>
              </w:rPr>
            </w:pPr>
          </w:p>
        </w:tc>
        <w:tc>
          <w:tcPr>
            <w:tcW w:w="1107" w:type="dxa"/>
            <w:tcBorders>
              <w:right w:val="single" w:color="000000" w:sz="6" w:space="0"/>
            </w:tcBorders>
          </w:tcPr>
          <w:p w14:paraId="01794565">
            <w:pPr>
              <w:rPr>
                <w:color w:val="auto"/>
              </w:rPr>
            </w:pPr>
          </w:p>
        </w:tc>
      </w:tr>
      <w:tr w14:paraId="780FAE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4294BD5A">
            <w:pPr>
              <w:rPr>
                <w:color w:val="auto"/>
              </w:rPr>
            </w:pPr>
          </w:p>
        </w:tc>
        <w:tc>
          <w:tcPr>
            <w:tcW w:w="1696" w:type="dxa"/>
          </w:tcPr>
          <w:p w14:paraId="5F3107D0">
            <w:pPr>
              <w:rPr>
                <w:color w:val="auto"/>
              </w:rPr>
            </w:pPr>
          </w:p>
        </w:tc>
        <w:tc>
          <w:tcPr>
            <w:tcW w:w="851" w:type="dxa"/>
          </w:tcPr>
          <w:p w14:paraId="77059E1C">
            <w:pPr>
              <w:rPr>
                <w:color w:val="auto"/>
              </w:rPr>
            </w:pPr>
          </w:p>
        </w:tc>
        <w:tc>
          <w:tcPr>
            <w:tcW w:w="707" w:type="dxa"/>
          </w:tcPr>
          <w:p w14:paraId="2D8F996D">
            <w:pPr>
              <w:rPr>
                <w:color w:val="auto"/>
              </w:rPr>
            </w:pPr>
          </w:p>
        </w:tc>
        <w:tc>
          <w:tcPr>
            <w:tcW w:w="850" w:type="dxa"/>
          </w:tcPr>
          <w:p w14:paraId="78FDAACF">
            <w:pPr>
              <w:rPr>
                <w:color w:val="auto"/>
              </w:rPr>
            </w:pPr>
          </w:p>
        </w:tc>
        <w:tc>
          <w:tcPr>
            <w:tcW w:w="848" w:type="dxa"/>
          </w:tcPr>
          <w:p w14:paraId="368EBA97">
            <w:pPr>
              <w:rPr>
                <w:color w:val="auto"/>
              </w:rPr>
            </w:pPr>
          </w:p>
        </w:tc>
        <w:tc>
          <w:tcPr>
            <w:tcW w:w="1131" w:type="dxa"/>
          </w:tcPr>
          <w:p w14:paraId="1C990235">
            <w:pPr>
              <w:rPr>
                <w:color w:val="auto"/>
              </w:rPr>
            </w:pPr>
          </w:p>
        </w:tc>
        <w:tc>
          <w:tcPr>
            <w:tcW w:w="992" w:type="dxa"/>
          </w:tcPr>
          <w:p w14:paraId="34F66C71">
            <w:pPr>
              <w:rPr>
                <w:color w:val="auto"/>
              </w:rPr>
            </w:pPr>
          </w:p>
        </w:tc>
        <w:tc>
          <w:tcPr>
            <w:tcW w:w="1107" w:type="dxa"/>
            <w:tcBorders>
              <w:right w:val="single" w:color="000000" w:sz="6" w:space="0"/>
            </w:tcBorders>
          </w:tcPr>
          <w:p w14:paraId="6CAB05F0">
            <w:pPr>
              <w:rPr>
                <w:color w:val="auto"/>
              </w:rPr>
            </w:pPr>
          </w:p>
        </w:tc>
      </w:tr>
      <w:tr w14:paraId="4D1D1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0CAD825D">
            <w:pPr>
              <w:rPr>
                <w:color w:val="auto"/>
              </w:rPr>
            </w:pPr>
          </w:p>
        </w:tc>
        <w:tc>
          <w:tcPr>
            <w:tcW w:w="1696" w:type="dxa"/>
          </w:tcPr>
          <w:p w14:paraId="776ED6F7">
            <w:pPr>
              <w:rPr>
                <w:color w:val="auto"/>
              </w:rPr>
            </w:pPr>
          </w:p>
        </w:tc>
        <w:tc>
          <w:tcPr>
            <w:tcW w:w="851" w:type="dxa"/>
          </w:tcPr>
          <w:p w14:paraId="7239AFDF">
            <w:pPr>
              <w:rPr>
                <w:color w:val="auto"/>
              </w:rPr>
            </w:pPr>
          </w:p>
        </w:tc>
        <w:tc>
          <w:tcPr>
            <w:tcW w:w="707" w:type="dxa"/>
          </w:tcPr>
          <w:p w14:paraId="2A1CFED1">
            <w:pPr>
              <w:rPr>
                <w:color w:val="auto"/>
              </w:rPr>
            </w:pPr>
          </w:p>
        </w:tc>
        <w:tc>
          <w:tcPr>
            <w:tcW w:w="850" w:type="dxa"/>
          </w:tcPr>
          <w:p w14:paraId="356854B2">
            <w:pPr>
              <w:rPr>
                <w:color w:val="auto"/>
              </w:rPr>
            </w:pPr>
          </w:p>
        </w:tc>
        <w:tc>
          <w:tcPr>
            <w:tcW w:w="848" w:type="dxa"/>
          </w:tcPr>
          <w:p w14:paraId="7E85F00D">
            <w:pPr>
              <w:rPr>
                <w:color w:val="auto"/>
              </w:rPr>
            </w:pPr>
          </w:p>
        </w:tc>
        <w:tc>
          <w:tcPr>
            <w:tcW w:w="1131" w:type="dxa"/>
          </w:tcPr>
          <w:p w14:paraId="7357162F">
            <w:pPr>
              <w:rPr>
                <w:color w:val="auto"/>
              </w:rPr>
            </w:pPr>
          </w:p>
        </w:tc>
        <w:tc>
          <w:tcPr>
            <w:tcW w:w="992" w:type="dxa"/>
          </w:tcPr>
          <w:p w14:paraId="6EFB05D4">
            <w:pPr>
              <w:rPr>
                <w:color w:val="auto"/>
              </w:rPr>
            </w:pPr>
          </w:p>
        </w:tc>
        <w:tc>
          <w:tcPr>
            <w:tcW w:w="1107" w:type="dxa"/>
            <w:tcBorders>
              <w:right w:val="single" w:color="000000" w:sz="6" w:space="0"/>
            </w:tcBorders>
          </w:tcPr>
          <w:p w14:paraId="2F1B807D">
            <w:pPr>
              <w:rPr>
                <w:color w:val="auto"/>
              </w:rPr>
            </w:pPr>
          </w:p>
        </w:tc>
      </w:tr>
      <w:tr w14:paraId="1E835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tcPr>
          <w:p w14:paraId="706BC26B">
            <w:pPr>
              <w:rPr>
                <w:color w:val="auto"/>
              </w:rPr>
            </w:pPr>
          </w:p>
        </w:tc>
        <w:tc>
          <w:tcPr>
            <w:tcW w:w="1696" w:type="dxa"/>
          </w:tcPr>
          <w:p w14:paraId="710E79C8">
            <w:pPr>
              <w:rPr>
                <w:color w:val="auto"/>
              </w:rPr>
            </w:pPr>
          </w:p>
        </w:tc>
        <w:tc>
          <w:tcPr>
            <w:tcW w:w="851" w:type="dxa"/>
          </w:tcPr>
          <w:p w14:paraId="5362D1AF">
            <w:pPr>
              <w:rPr>
                <w:color w:val="auto"/>
              </w:rPr>
            </w:pPr>
          </w:p>
        </w:tc>
        <w:tc>
          <w:tcPr>
            <w:tcW w:w="707" w:type="dxa"/>
          </w:tcPr>
          <w:p w14:paraId="1113134C">
            <w:pPr>
              <w:rPr>
                <w:color w:val="auto"/>
              </w:rPr>
            </w:pPr>
          </w:p>
        </w:tc>
        <w:tc>
          <w:tcPr>
            <w:tcW w:w="850" w:type="dxa"/>
          </w:tcPr>
          <w:p w14:paraId="23D81397">
            <w:pPr>
              <w:rPr>
                <w:color w:val="auto"/>
              </w:rPr>
            </w:pPr>
          </w:p>
        </w:tc>
        <w:tc>
          <w:tcPr>
            <w:tcW w:w="848" w:type="dxa"/>
          </w:tcPr>
          <w:p w14:paraId="33745E8C">
            <w:pPr>
              <w:rPr>
                <w:color w:val="auto"/>
              </w:rPr>
            </w:pPr>
          </w:p>
        </w:tc>
        <w:tc>
          <w:tcPr>
            <w:tcW w:w="1131" w:type="dxa"/>
          </w:tcPr>
          <w:p w14:paraId="125C00C5">
            <w:pPr>
              <w:rPr>
                <w:color w:val="auto"/>
              </w:rPr>
            </w:pPr>
          </w:p>
        </w:tc>
        <w:tc>
          <w:tcPr>
            <w:tcW w:w="992" w:type="dxa"/>
          </w:tcPr>
          <w:p w14:paraId="6E964C39">
            <w:pPr>
              <w:rPr>
                <w:color w:val="auto"/>
              </w:rPr>
            </w:pPr>
          </w:p>
        </w:tc>
        <w:tc>
          <w:tcPr>
            <w:tcW w:w="1107" w:type="dxa"/>
            <w:tcBorders>
              <w:right w:val="single" w:color="000000" w:sz="6" w:space="0"/>
            </w:tcBorders>
          </w:tcPr>
          <w:p w14:paraId="16F70B90">
            <w:pPr>
              <w:rPr>
                <w:color w:val="auto"/>
              </w:rPr>
            </w:pPr>
          </w:p>
        </w:tc>
      </w:tr>
      <w:tr w14:paraId="012B8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3013E477">
            <w:pPr>
              <w:rPr>
                <w:color w:val="auto"/>
              </w:rPr>
            </w:pPr>
          </w:p>
        </w:tc>
        <w:tc>
          <w:tcPr>
            <w:tcW w:w="1696" w:type="dxa"/>
          </w:tcPr>
          <w:p w14:paraId="06307FED">
            <w:pPr>
              <w:rPr>
                <w:color w:val="auto"/>
              </w:rPr>
            </w:pPr>
          </w:p>
        </w:tc>
        <w:tc>
          <w:tcPr>
            <w:tcW w:w="851" w:type="dxa"/>
          </w:tcPr>
          <w:p w14:paraId="0DA860A5">
            <w:pPr>
              <w:rPr>
                <w:color w:val="auto"/>
              </w:rPr>
            </w:pPr>
          </w:p>
        </w:tc>
        <w:tc>
          <w:tcPr>
            <w:tcW w:w="707" w:type="dxa"/>
          </w:tcPr>
          <w:p w14:paraId="0F90609A">
            <w:pPr>
              <w:rPr>
                <w:color w:val="auto"/>
              </w:rPr>
            </w:pPr>
          </w:p>
        </w:tc>
        <w:tc>
          <w:tcPr>
            <w:tcW w:w="850" w:type="dxa"/>
          </w:tcPr>
          <w:p w14:paraId="30D6B270">
            <w:pPr>
              <w:rPr>
                <w:color w:val="auto"/>
              </w:rPr>
            </w:pPr>
          </w:p>
        </w:tc>
        <w:tc>
          <w:tcPr>
            <w:tcW w:w="848" w:type="dxa"/>
          </w:tcPr>
          <w:p w14:paraId="378838E5">
            <w:pPr>
              <w:rPr>
                <w:color w:val="auto"/>
              </w:rPr>
            </w:pPr>
          </w:p>
        </w:tc>
        <w:tc>
          <w:tcPr>
            <w:tcW w:w="1131" w:type="dxa"/>
          </w:tcPr>
          <w:p w14:paraId="7FFB8A98">
            <w:pPr>
              <w:rPr>
                <w:color w:val="auto"/>
              </w:rPr>
            </w:pPr>
          </w:p>
        </w:tc>
        <w:tc>
          <w:tcPr>
            <w:tcW w:w="992" w:type="dxa"/>
          </w:tcPr>
          <w:p w14:paraId="7000EE83">
            <w:pPr>
              <w:rPr>
                <w:color w:val="auto"/>
              </w:rPr>
            </w:pPr>
          </w:p>
        </w:tc>
        <w:tc>
          <w:tcPr>
            <w:tcW w:w="1107" w:type="dxa"/>
            <w:tcBorders>
              <w:right w:val="single" w:color="000000" w:sz="6" w:space="0"/>
            </w:tcBorders>
          </w:tcPr>
          <w:p w14:paraId="6ECB1D2F">
            <w:pPr>
              <w:rPr>
                <w:color w:val="auto"/>
              </w:rPr>
            </w:pPr>
          </w:p>
        </w:tc>
      </w:tr>
      <w:tr w14:paraId="5AB7F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7F20C255">
            <w:pPr>
              <w:rPr>
                <w:color w:val="auto"/>
              </w:rPr>
            </w:pPr>
          </w:p>
        </w:tc>
        <w:tc>
          <w:tcPr>
            <w:tcW w:w="1696" w:type="dxa"/>
          </w:tcPr>
          <w:p w14:paraId="26CC22EE">
            <w:pPr>
              <w:rPr>
                <w:color w:val="auto"/>
              </w:rPr>
            </w:pPr>
          </w:p>
        </w:tc>
        <w:tc>
          <w:tcPr>
            <w:tcW w:w="851" w:type="dxa"/>
          </w:tcPr>
          <w:p w14:paraId="0064C0A2">
            <w:pPr>
              <w:rPr>
                <w:color w:val="auto"/>
              </w:rPr>
            </w:pPr>
          </w:p>
        </w:tc>
        <w:tc>
          <w:tcPr>
            <w:tcW w:w="707" w:type="dxa"/>
          </w:tcPr>
          <w:p w14:paraId="343EB4DC">
            <w:pPr>
              <w:rPr>
                <w:color w:val="auto"/>
              </w:rPr>
            </w:pPr>
          </w:p>
        </w:tc>
        <w:tc>
          <w:tcPr>
            <w:tcW w:w="850" w:type="dxa"/>
          </w:tcPr>
          <w:p w14:paraId="64AD23A1">
            <w:pPr>
              <w:rPr>
                <w:color w:val="auto"/>
              </w:rPr>
            </w:pPr>
          </w:p>
        </w:tc>
        <w:tc>
          <w:tcPr>
            <w:tcW w:w="848" w:type="dxa"/>
          </w:tcPr>
          <w:p w14:paraId="613CB931">
            <w:pPr>
              <w:rPr>
                <w:color w:val="auto"/>
              </w:rPr>
            </w:pPr>
          </w:p>
        </w:tc>
        <w:tc>
          <w:tcPr>
            <w:tcW w:w="1131" w:type="dxa"/>
          </w:tcPr>
          <w:p w14:paraId="7199879B">
            <w:pPr>
              <w:rPr>
                <w:color w:val="auto"/>
              </w:rPr>
            </w:pPr>
          </w:p>
        </w:tc>
        <w:tc>
          <w:tcPr>
            <w:tcW w:w="992" w:type="dxa"/>
          </w:tcPr>
          <w:p w14:paraId="29F43A59">
            <w:pPr>
              <w:rPr>
                <w:color w:val="auto"/>
              </w:rPr>
            </w:pPr>
          </w:p>
        </w:tc>
        <w:tc>
          <w:tcPr>
            <w:tcW w:w="1107" w:type="dxa"/>
            <w:tcBorders>
              <w:right w:val="single" w:color="000000" w:sz="6" w:space="0"/>
            </w:tcBorders>
          </w:tcPr>
          <w:p w14:paraId="196F37AF">
            <w:pPr>
              <w:rPr>
                <w:color w:val="auto"/>
              </w:rPr>
            </w:pPr>
          </w:p>
        </w:tc>
      </w:tr>
      <w:tr w14:paraId="2EA4B5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tcPr>
          <w:p w14:paraId="5E5C14BA">
            <w:pPr>
              <w:rPr>
                <w:color w:val="auto"/>
              </w:rPr>
            </w:pPr>
          </w:p>
        </w:tc>
        <w:tc>
          <w:tcPr>
            <w:tcW w:w="1696" w:type="dxa"/>
          </w:tcPr>
          <w:p w14:paraId="0D940A13">
            <w:pPr>
              <w:rPr>
                <w:color w:val="auto"/>
              </w:rPr>
            </w:pPr>
          </w:p>
        </w:tc>
        <w:tc>
          <w:tcPr>
            <w:tcW w:w="851" w:type="dxa"/>
          </w:tcPr>
          <w:p w14:paraId="035340F7">
            <w:pPr>
              <w:rPr>
                <w:color w:val="auto"/>
              </w:rPr>
            </w:pPr>
          </w:p>
        </w:tc>
        <w:tc>
          <w:tcPr>
            <w:tcW w:w="707" w:type="dxa"/>
          </w:tcPr>
          <w:p w14:paraId="2BEFF0D7">
            <w:pPr>
              <w:rPr>
                <w:color w:val="auto"/>
              </w:rPr>
            </w:pPr>
          </w:p>
        </w:tc>
        <w:tc>
          <w:tcPr>
            <w:tcW w:w="850" w:type="dxa"/>
          </w:tcPr>
          <w:p w14:paraId="2EF728EC">
            <w:pPr>
              <w:rPr>
                <w:color w:val="auto"/>
              </w:rPr>
            </w:pPr>
          </w:p>
        </w:tc>
        <w:tc>
          <w:tcPr>
            <w:tcW w:w="848" w:type="dxa"/>
          </w:tcPr>
          <w:p w14:paraId="5AE9B4C8">
            <w:pPr>
              <w:rPr>
                <w:color w:val="auto"/>
              </w:rPr>
            </w:pPr>
          </w:p>
        </w:tc>
        <w:tc>
          <w:tcPr>
            <w:tcW w:w="1131" w:type="dxa"/>
          </w:tcPr>
          <w:p w14:paraId="52C94EB2">
            <w:pPr>
              <w:rPr>
                <w:color w:val="auto"/>
              </w:rPr>
            </w:pPr>
          </w:p>
        </w:tc>
        <w:tc>
          <w:tcPr>
            <w:tcW w:w="992" w:type="dxa"/>
          </w:tcPr>
          <w:p w14:paraId="0FDCEE0A">
            <w:pPr>
              <w:rPr>
                <w:color w:val="auto"/>
              </w:rPr>
            </w:pPr>
          </w:p>
        </w:tc>
        <w:tc>
          <w:tcPr>
            <w:tcW w:w="1107" w:type="dxa"/>
            <w:tcBorders>
              <w:right w:val="single" w:color="000000" w:sz="6" w:space="0"/>
            </w:tcBorders>
          </w:tcPr>
          <w:p w14:paraId="29A4B446">
            <w:pPr>
              <w:rPr>
                <w:color w:val="auto"/>
              </w:rPr>
            </w:pPr>
          </w:p>
        </w:tc>
      </w:tr>
      <w:tr w14:paraId="07BFD9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7FD6A190">
            <w:pPr>
              <w:rPr>
                <w:color w:val="auto"/>
              </w:rPr>
            </w:pPr>
          </w:p>
        </w:tc>
        <w:tc>
          <w:tcPr>
            <w:tcW w:w="1696" w:type="dxa"/>
          </w:tcPr>
          <w:p w14:paraId="6801175B">
            <w:pPr>
              <w:rPr>
                <w:color w:val="auto"/>
              </w:rPr>
            </w:pPr>
          </w:p>
        </w:tc>
        <w:tc>
          <w:tcPr>
            <w:tcW w:w="851" w:type="dxa"/>
          </w:tcPr>
          <w:p w14:paraId="0CE9FC9E">
            <w:pPr>
              <w:rPr>
                <w:color w:val="auto"/>
              </w:rPr>
            </w:pPr>
          </w:p>
        </w:tc>
        <w:tc>
          <w:tcPr>
            <w:tcW w:w="707" w:type="dxa"/>
          </w:tcPr>
          <w:p w14:paraId="078CE4DC">
            <w:pPr>
              <w:rPr>
                <w:color w:val="auto"/>
              </w:rPr>
            </w:pPr>
          </w:p>
        </w:tc>
        <w:tc>
          <w:tcPr>
            <w:tcW w:w="850" w:type="dxa"/>
          </w:tcPr>
          <w:p w14:paraId="43348CE3">
            <w:pPr>
              <w:rPr>
                <w:color w:val="auto"/>
              </w:rPr>
            </w:pPr>
          </w:p>
        </w:tc>
        <w:tc>
          <w:tcPr>
            <w:tcW w:w="848" w:type="dxa"/>
          </w:tcPr>
          <w:p w14:paraId="520DA672">
            <w:pPr>
              <w:rPr>
                <w:color w:val="auto"/>
              </w:rPr>
            </w:pPr>
          </w:p>
        </w:tc>
        <w:tc>
          <w:tcPr>
            <w:tcW w:w="1131" w:type="dxa"/>
          </w:tcPr>
          <w:p w14:paraId="70B75647">
            <w:pPr>
              <w:rPr>
                <w:color w:val="auto"/>
              </w:rPr>
            </w:pPr>
          </w:p>
        </w:tc>
        <w:tc>
          <w:tcPr>
            <w:tcW w:w="992" w:type="dxa"/>
          </w:tcPr>
          <w:p w14:paraId="4475CD17">
            <w:pPr>
              <w:rPr>
                <w:color w:val="auto"/>
              </w:rPr>
            </w:pPr>
          </w:p>
        </w:tc>
        <w:tc>
          <w:tcPr>
            <w:tcW w:w="1107" w:type="dxa"/>
            <w:tcBorders>
              <w:right w:val="single" w:color="000000" w:sz="6" w:space="0"/>
            </w:tcBorders>
          </w:tcPr>
          <w:p w14:paraId="7649C963">
            <w:pPr>
              <w:rPr>
                <w:color w:val="auto"/>
              </w:rPr>
            </w:pPr>
          </w:p>
        </w:tc>
      </w:tr>
      <w:tr w14:paraId="1D05A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660B7528">
            <w:pPr>
              <w:rPr>
                <w:color w:val="auto"/>
              </w:rPr>
            </w:pPr>
          </w:p>
        </w:tc>
        <w:tc>
          <w:tcPr>
            <w:tcW w:w="1696" w:type="dxa"/>
          </w:tcPr>
          <w:p w14:paraId="609A70AC">
            <w:pPr>
              <w:rPr>
                <w:color w:val="auto"/>
              </w:rPr>
            </w:pPr>
          </w:p>
        </w:tc>
        <w:tc>
          <w:tcPr>
            <w:tcW w:w="851" w:type="dxa"/>
          </w:tcPr>
          <w:p w14:paraId="1FE15AF7">
            <w:pPr>
              <w:rPr>
                <w:color w:val="auto"/>
              </w:rPr>
            </w:pPr>
          </w:p>
        </w:tc>
        <w:tc>
          <w:tcPr>
            <w:tcW w:w="707" w:type="dxa"/>
          </w:tcPr>
          <w:p w14:paraId="236B7F76">
            <w:pPr>
              <w:rPr>
                <w:color w:val="auto"/>
              </w:rPr>
            </w:pPr>
          </w:p>
        </w:tc>
        <w:tc>
          <w:tcPr>
            <w:tcW w:w="850" w:type="dxa"/>
          </w:tcPr>
          <w:p w14:paraId="6E05A183">
            <w:pPr>
              <w:rPr>
                <w:color w:val="auto"/>
              </w:rPr>
            </w:pPr>
          </w:p>
        </w:tc>
        <w:tc>
          <w:tcPr>
            <w:tcW w:w="848" w:type="dxa"/>
          </w:tcPr>
          <w:p w14:paraId="69122203">
            <w:pPr>
              <w:rPr>
                <w:color w:val="auto"/>
              </w:rPr>
            </w:pPr>
          </w:p>
        </w:tc>
        <w:tc>
          <w:tcPr>
            <w:tcW w:w="1131" w:type="dxa"/>
          </w:tcPr>
          <w:p w14:paraId="77AFBE01">
            <w:pPr>
              <w:rPr>
                <w:color w:val="auto"/>
              </w:rPr>
            </w:pPr>
          </w:p>
        </w:tc>
        <w:tc>
          <w:tcPr>
            <w:tcW w:w="992" w:type="dxa"/>
          </w:tcPr>
          <w:p w14:paraId="2C19224D">
            <w:pPr>
              <w:rPr>
                <w:color w:val="auto"/>
              </w:rPr>
            </w:pPr>
          </w:p>
        </w:tc>
        <w:tc>
          <w:tcPr>
            <w:tcW w:w="1107" w:type="dxa"/>
            <w:tcBorders>
              <w:right w:val="single" w:color="000000" w:sz="6" w:space="0"/>
            </w:tcBorders>
          </w:tcPr>
          <w:p w14:paraId="5B45BA37">
            <w:pPr>
              <w:rPr>
                <w:color w:val="auto"/>
              </w:rPr>
            </w:pPr>
          </w:p>
        </w:tc>
      </w:tr>
      <w:tr w14:paraId="74953F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tcPr>
          <w:p w14:paraId="7DB54A6E">
            <w:pPr>
              <w:rPr>
                <w:color w:val="auto"/>
              </w:rPr>
            </w:pPr>
          </w:p>
        </w:tc>
        <w:tc>
          <w:tcPr>
            <w:tcW w:w="1696" w:type="dxa"/>
          </w:tcPr>
          <w:p w14:paraId="2EF566EE">
            <w:pPr>
              <w:rPr>
                <w:color w:val="auto"/>
              </w:rPr>
            </w:pPr>
          </w:p>
        </w:tc>
        <w:tc>
          <w:tcPr>
            <w:tcW w:w="851" w:type="dxa"/>
          </w:tcPr>
          <w:p w14:paraId="177A93CD">
            <w:pPr>
              <w:rPr>
                <w:color w:val="auto"/>
              </w:rPr>
            </w:pPr>
          </w:p>
        </w:tc>
        <w:tc>
          <w:tcPr>
            <w:tcW w:w="707" w:type="dxa"/>
          </w:tcPr>
          <w:p w14:paraId="5484E30F">
            <w:pPr>
              <w:rPr>
                <w:color w:val="auto"/>
              </w:rPr>
            </w:pPr>
          </w:p>
        </w:tc>
        <w:tc>
          <w:tcPr>
            <w:tcW w:w="850" w:type="dxa"/>
          </w:tcPr>
          <w:p w14:paraId="09078A26">
            <w:pPr>
              <w:rPr>
                <w:color w:val="auto"/>
              </w:rPr>
            </w:pPr>
          </w:p>
        </w:tc>
        <w:tc>
          <w:tcPr>
            <w:tcW w:w="848" w:type="dxa"/>
          </w:tcPr>
          <w:p w14:paraId="014B832A">
            <w:pPr>
              <w:rPr>
                <w:color w:val="auto"/>
              </w:rPr>
            </w:pPr>
          </w:p>
        </w:tc>
        <w:tc>
          <w:tcPr>
            <w:tcW w:w="1131" w:type="dxa"/>
          </w:tcPr>
          <w:p w14:paraId="48F38DF1">
            <w:pPr>
              <w:rPr>
                <w:color w:val="auto"/>
              </w:rPr>
            </w:pPr>
          </w:p>
        </w:tc>
        <w:tc>
          <w:tcPr>
            <w:tcW w:w="992" w:type="dxa"/>
          </w:tcPr>
          <w:p w14:paraId="42992C6C">
            <w:pPr>
              <w:rPr>
                <w:color w:val="auto"/>
              </w:rPr>
            </w:pPr>
          </w:p>
        </w:tc>
        <w:tc>
          <w:tcPr>
            <w:tcW w:w="1107" w:type="dxa"/>
            <w:tcBorders>
              <w:right w:val="single" w:color="000000" w:sz="6" w:space="0"/>
            </w:tcBorders>
          </w:tcPr>
          <w:p w14:paraId="0949F052">
            <w:pPr>
              <w:rPr>
                <w:color w:val="auto"/>
              </w:rPr>
            </w:pPr>
          </w:p>
        </w:tc>
      </w:tr>
      <w:tr w14:paraId="52B76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1CADFC15">
            <w:pPr>
              <w:rPr>
                <w:color w:val="auto"/>
              </w:rPr>
            </w:pPr>
          </w:p>
        </w:tc>
        <w:tc>
          <w:tcPr>
            <w:tcW w:w="1696" w:type="dxa"/>
          </w:tcPr>
          <w:p w14:paraId="59AC64CE">
            <w:pPr>
              <w:rPr>
                <w:color w:val="auto"/>
              </w:rPr>
            </w:pPr>
          </w:p>
        </w:tc>
        <w:tc>
          <w:tcPr>
            <w:tcW w:w="851" w:type="dxa"/>
          </w:tcPr>
          <w:p w14:paraId="45A40EFF">
            <w:pPr>
              <w:rPr>
                <w:color w:val="auto"/>
              </w:rPr>
            </w:pPr>
          </w:p>
        </w:tc>
        <w:tc>
          <w:tcPr>
            <w:tcW w:w="707" w:type="dxa"/>
          </w:tcPr>
          <w:p w14:paraId="41E03683">
            <w:pPr>
              <w:rPr>
                <w:color w:val="auto"/>
              </w:rPr>
            </w:pPr>
          </w:p>
        </w:tc>
        <w:tc>
          <w:tcPr>
            <w:tcW w:w="850" w:type="dxa"/>
          </w:tcPr>
          <w:p w14:paraId="51980C51">
            <w:pPr>
              <w:rPr>
                <w:color w:val="auto"/>
              </w:rPr>
            </w:pPr>
          </w:p>
        </w:tc>
        <w:tc>
          <w:tcPr>
            <w:tcW w:w="848" w:type="dxa"/>
          </w:tcPr>
          <w:p w14:paraId="511D5944">
            <w:pPr>
              <w:rPr>
                <w:color w:val="auto"/>
              </w:rPr>
            </w:pPr>
          </w:p>
        </w:tc>
        <w:tc>
          <w:tcPr>
            <w:tcW w:w="1131" w:type="dxa"/>
          </w:tcPr>
          <w:p w14:paraId="6DF6575F">
            <w:pPr>
              <w:rPr>
                <w:color w:val="auto"/>
              </w:rPr>
            </w:pPr>
          </w:p>
        </w:tc>
        <w:tc>
          <w:tcPr>
            <w:tcW w:w="992" w:type="dxa"/>
          </w:tcPr>
          <w:p w14:paraId="1E82D744">
            <w:pPr>
              <w:rPr>
                <w:color w:val="auto"/>
              </w:rPr>
            </w:pPr>
          </w:p>
        </w:tc>
        <w:tc>
          <w:tcPr>
            <w:tcW w:w="1107" w:type="dxa"/>
            <w:tcBorders>
              <w:right w:val="single" w:color="000000" w:sz="6" w:space="0"/>
            </w:tcBorders>
          </w:tcPr>
          <w:p w14:paraId="1C891A01">
            <w:pPr>
              <w:rPr>
                <w:color w:val="auto"/>
              </w:rPr>
            </w:pPr>
          </w:p>
        </w:tc>
      </w:tr>
      <w:tr w14:paraId="5A1A7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tcPr>
          <w:p w14:paraId="6193F2D9">
            <w:pPr>
              <w:rPr>
                <w:color w:val="auto"/>
              </w:rPr>
            </w:pPr>
          </w:p>
        </w:tc>
        <w:tc>
          <w:tcPr>
            <w:tcW w:w="1696" w:type="dxa"/>
          </w:tcPr>
          <w:p w14:paraId="03D85018">
            <w:pPr>
              <w:rPr>
                <w:color w:val="auto"/>
              </w:rPr>
            </w:pPr>
          </w:p>
        </w:tc>
        <w:tc>
          <w:tcPr>
            <w:tcW w:w="851" w:type="dxa"/>
          </w:tcPr>
          <w:p w14:paraId="1C85535B">
            <w:pPr>
              <w:rPr>
                <w:color w:val="auto"/>
              </w:rPr>
            </w:pPr>
          </w:p>
        </w:tc>
        <w:tc>
          <w:tcPr>
            <w:tcW w:w="707" w:type="dxa"/>
          </w:tcPr>
          <w:p w14:paraId="41DB8B19">
            <w:pPr>
              <w:rPr>
                <w:color w:val="auto"/>
              </w:rPr>
            </w:pPr>
          </w:p>
        </w:tc>
        <w:tc>
          <w:tcPr>
            <w:tcW w:w="850" w:type="dxa"/>
          </w:tcPr>
          <w:p w14:paraId="1E740B09">
            <w:pPr>
              <w:rPr>
                <w:color w:val="auto"/>
              </w:rPr>
            </w:pPr>
          </w:p>
        </w:tc>
        <w:tc>
          <w:tcPr>
            <w:tcW w:w="848" w:type="dxa"/>
          </w:tcPr>
          <w:p w14:paraId="64D820A6">
            <w:pPr>
              <w:rPr>
                <w:color w:val="auto"/>
              </w:rPr>
            </w:pPr>
          </w:p>
        </w:tc>
        <w:tc>
          <w:tcPr>
            <w:tcW w:w="1131" w:type="dxa"/>
          </w:tcPr>
          <w:p w14:paraId="52696BFA">
            <w:pPr>
              <w:rPr>
                <w:color w:val="auto"/>
              </w:rPr>
            </w:pPr>
          </w:p>
        </w:tc>
        <w:tc>
          <w:tcPr>
            <w:tcW w:w="992" w:type="dxa"/>
          </w:tcPr>
          <w:p w14:paraId="31603056">
            <w:pPr>
              <w:rPr>
                <w:color w:val="auto"/>
              </w:rPr>
            </w:pPr>
          </w:p>
        </w:tc>
        <w:tc>
          <w:tcPr>
            <w:tcW w:w="1107" w:type="dxa"/>
            <w:tcBorders>
              <w:right w:val="single" w:color="000000" w:sz="6" w:space="0"/>
            </w:tcBorders>
          </w:tcPr>
          <w:p w14:paraId="522B16E7">
            <w:pPr>
              <w:rPr>
                <w:color w:val="auto"/>
              </w:rPr>
            </w:pPr>
          </w:p>
        </w:tc>
      </w:tr>
      <w:tr w14:paraId="73EA6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827" w:type="dxa"/>
            <w:tcBorders>
              <w:left w:val="single" w:color="000000" w:sz="6" w:space="0"/>
              <w:bottom w:val="single" w:color="000000" w:sz="6" w:space="0"/>
            </w:tcBorders>
          </w:tcPr>
          <w:p w14:paraId="444403BA">
            <w:pPr>
              <w:rPr>
                <w:color w:val="auto"/>
              </w:rPr>
            </w:pPr>
          </w:p>
        </w:tc>
        <w:tc>
          <w:tcPr>
            <w:tcW w:w="1696" w:type="dxa"/>
            <w:tcBorders>
              <w:bottom w:val="single" w:color="000000" w:sz="6" w:space="0"/>
            </w:tcBorders>
          </w:tcPr>
          <w:p w14:paraId="004FC8FF">
            <w:pPr>
              <w:rPr>
                <w:color w:val="auto"/>
              </w:rPr>
            </w:pPr>
          </w:p>
        </w:tc>
        <w:tc>
          <w:tcPr>
            <w:tcW w:w="851" w:type="dxa"/>
            <w:tcBorders>
              <w:bottom w:val="single" w:color="000000" w:sz="6" w:space="0"/>
            </w:tcBorders>
          </w:tcPr>
          <w:p w14:paraId="0FDE8A9F">
            <w:pPr>
              <w:rPr>
                <w:color w:val="auto"/>
              </w:rPr>
            </w:pPr>
          </w:p>
        </w:tc>
        <w:tc>
          <w:tcPr>
            <w:tcW w:w="707" w:type="dxa"/>
            <w:tcBorders>
              <w:bottom w:val="single" w:color="000000" w:sz="6" w:space="0"/>
            </w:tcBorders>
          </w:tcPr>
          <w:p w14:paraId="6778C124">
            <w:pPr>
              <w:rPr>
                <w:color w:val="auto"/>
              </w:rPr>
            </w:pPr>
          </w:p>
        </w:tc>
        <w:tc>
          <w:tcPr>
            <w:tcW w:w="850" w:type="dxa"/>
            <w:tcBorders>
              <w:bottom w:val="single" w:color="000000" w:sz="6" w:space="0"/>
            </w:tcBorders>
          </w:tcPr>
          <w:p w14:paraId="1E965FF2">
            <w:pPr>
              <w:rPr>
                <w:color w:val="auto"/>
              </w:rPr>
            </w:pPr>
          </w:p>
        </w:tc>
        <w:tc>
          <w:tcPr>
            <w:tcW w:w="848" w:type="dxa"/>
            <w:tcBorders>
              <w:bottom w:val="single" w:color="000000" w:sz="6" w:space="0"/>
            </w:tcBorders>
          </w:tcPr>
          <w:p w14:paraId="09EB991D">
            <w:pPr>
              <w:rPr>
                <w:color w:val="auto"/>
              </w:rPr>
            </w:pPr>
          </w:p>
        </w:tc>
        <w:tc>
          <w:tcPr>
            <w:tcW w:w="1131" w:type="dxa"/>
            <w:tcBorders>
              <w:bottom w:val="single" w:color="000000" w:sz="6" w:space="0"/>
            </w:tcBorders>
          </w:tcPr>
          <w:p w14:paraId="2E5DAAFA">
            <w:pPr>
              <w:rPr>
                <w:color w:val="auto"/>
              </w:rPr>
            </w:pPr>
          </w:p>
        </w:tc>
        <w:tc>
          <w:tcPr>
            <w:tcW w:w="992" w:type="dxa"/>
            <w:tcBorders>
              <w:bottom w:val="single" w:color="000000" w:sz="6" w:space="0"/>
            </w:tcBorders>
          </w:tcPr>
          <w:p w14:paraId="5A75108F">
            <w:pPr>
              <w:rPr>
                <w:color w:val="auto"/>
              </w:rPr>
            </w:pPr>
          </w:p>
        </w:tc>
        <w:tc>
          <w:tcPr>
            <w:tcW w:w="1107" w:type="dxa"/>
            <w:tcBorders>
              <w:bottom w:val="single" w:color="000000" w:sz="6" w:space="0"/>
              <w:right w:val="single" w:color="000000" w:sz="6" w:space="0"/>
            </w:tcBorders>
          </w:tcPr>
          <w:p w14:paraId="580932B0">
            <w:pPr>
              <w:rPr>
                <w:color w:val="auto"/>
              </w:rPr>
            </w:pPr>
          </w:p>
        </w:tc>
      </w:tr>
    </w:tbl>
    <w:p w14:paraId="01FCDB3A">
      <w:pPr>
        <w:pStyle w:val="8"/>
        <w:rPr>
          <w:color w:val="auto"/>
        </w:rPr>
      </w:pPr>
    </w:p>
    <w:p w14:paraId="5C72FB56">
      <w:pPr>
        <w:rPr>
          <w:color w:val="auto"/>
        </w:rPr>
      </w:pPr>
      <w:r>
        <w:rPr>
          <w:color w:val="auto"/>
        </w:rPr>
        <w:br w:type="page"/>
      </w:r>
    </w:p>
    <w:p w14:paraId="42210615">
      <w:pPr>
        <w:spacing w:before="78" w:line="219" w:lineRule="auto"/>
        <w:ind w:left="28"/>
        <w:rPr>
          <w:rFonts w:hint="eastAsia" w:ascii="宋体" w:hAnsi="宋体" w:eastAsia="宋体" w:cs="宋体"/>
          <w:color w:val="auto"/>
          <w:sz w:val="24"/>
          <w:szCs w:val="24"/>
        </w:rPr>
      </w:pPr>
      <w:r>
        <w:rPr>
          <w:rFonts w:ascii="宋体" w:hAnsi="宋体" w:eastAsia="宋体" w:cs="宋体"/>
          <w:color w:val="auto"/>
          <w:spacing w:val="-16"/>
          <w:sz w:val="24"/>
          <w:szCs w:val="24"/>
        </w:rPr>
        <w:t>附件三：</w:t>
      </w:r>
    </w:p>
    <w:p w14:paraId="07F33D6E">
      <w:pPr>
        <w:spacing w:before="183" w:line="219" w:lineRule="auto"/>
        <w:ind w:left="2836"/>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拟投入本标段的劳动力计划表</w:t>
      </w:r>
    </w:p>
    <w:p w14:paraId="19886AB9">
      <w:pPr>
        <w:spacing w:before="181" w:line="220" w:lineRule="auto"/>
        <w:ind w:left="7458"/>
        <w:rPr>
          <w:rFonts w:hint="eastAsia" w:ascii="宋体" w:hAnsi="宋体" w:eastAsia="宋体" w:cs="宋体"/>
          <w:color w:val="auto"/>
          <w:sz w:val="24"/>
          <w:szCs w:val="24"/>
        </w:rPr>
      </w:pPr>
      <w:r>
        <w:rPr>
          <w:rFonts w:ascii="宋体" w:hAnsi="宋体" w:eastAsia="宋体" w:cs="宋体"/>
          <w:color w:val="auto"/>
          <w:spacing w:val="-3"/>
          <w:sz w:val="24"/>
          <w:szCs w:val="24"/>
        </w:rPr>
        <w:t>单位：人</w:t>
      </w:r>
    </w:p>
    <w:p w14:paraId="2172F2CE">
      <w:pPr>
        <w:spacing w:line="145" w:lineRule="exact"/>
        <w:rPr>
          <w:color w:val="auto"/>
        </w:rPr>
      </w:pPr>
    </w:p>
    <w:tbl>
      <w:tblPr>
        <w:tblStyle w:val="20"/>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2"/>
        <w:gridCol w:w="1001"/>
        <w:gridCol w:w="1002"/>
        <w:gridCol w:w="1004"/>
        <w:gridCol w:w="997"/>
        <w:gridCol w:w="1126"/>
        <w:gridCol w:w="1124"/>
        <w:gridCol w:w="1133"/>
      </w:tblGrid>
      <w:tr w14:paraId="6B86D8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622" w:type="dxa"/>
            <w:tcBorders>
              <w:top w:val="single" w:color="000000" w:sz="6" w:space="0"/>
              <w:left w:val="single" w:color="000000" w:sz="6" w:space="0"/>
            </w:tcBorders>
            <w:vAlign w:val="center"/>
          </w:tcPr>
          <w:p w14:paraId="51D99A22">
            <w:pPr>
              <w:pStyle w:val="21"/>
              <w:jc w:val="center"/>
              <w:rPr>
                <w:rFonts w:hint="eastAsia"/>
                <w:color w:val="auto"/>
                <w:sz w:val="24"/>
                <w:szCs w:val="24"/>
              </w:rPr>
            </w:pPr>
            <w:r>
              <w:rPr>
                <w:color w:val="auto"/>
                <w:spacing w:val="-7"/>
                <w:sz w:val="24"/>
                <w:szCs w:val="24"/>
              </w:rPr>
              <w:t>工种</w:t>
            </w:r>
          </w:p>
        </w:tc>
        <w:tc>
          <w:tcPr>
            <w:tcW w:w="7387" w:type="dxa"/>
            <w:gridSpan w:val="7"/>
            <w:tcBorders>
              <w:top w:val="single" w:color="000000" w:sz="6" w:space="0"/>
              <w:right w:val="single" w:color="000000" w:sz="6" w:space="0"/>
            </w:tcBorders>
            <w:vAlign w:val="center"/>
          </w:tcPr>
          <w:p w14:paraId="23FAE744">
            <w:pPr>
              <w:pStyle w:val="21"/>
              <w:jc w:val="center"/>
              <w:rPr>
                <w:rFonts w:hint="eastAsia"/>
                <w:color w:val="auto"/>
                <w:sz w:val="24"/>
                <w:szCs w:val="24"/>
                <w:lang w:eastAsia="zh-CN"/>
              </w:rPr>
            </w:pPr>
            <w:r>
              <w:rPr>
                <w:color w:val="auto"/>
                <w:spacing w:val="-1"/>
                <w:sz w:val="24"/>
                <w:szCs w:val="24"/>
                <w:lang w:eastAsia="zh-CN"/>
              </w:rPr>
              <w:t>按工程施工阶段投入劳动力情况</w:t>
            </w:r>
          </w:p>
        </w:tc>
      </w:tr>
      <w:tr w14:paraId="3DFB2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center"/>
          </w:tcPr>
          <w:p w14:paraId="2F1FD9DD">
            <w:pPr>
              <w:jc w:val="center"/>
              <w:rPr>
                <w:color w:val="auto"/>
                <w:lang w:eastAsia="zh-CN"/>
              </w:rPr>
            </w:pPr>
          </w:p>
        </w:tc>
        <w:tc>
          <w:tcPr>
            <w:tcW w:w="1001" w:type="dxa"/>
            <w:vAlign w:val="center"/>
          </w:tcPr>
          <w:p w14:paraId="73F5D105">
            <w:pPr>
              <w:jc w:val="center"/>
              <w:rPr>
                <w:color w:val="auto"/>
                <w:lang w:eastAsia="zh-CN"/>
              </w:rPr>
            </w:pPr>
          </w:p>
        </w:tc>
        <w:tc>
          <w:tcPr>
            <w:tcW w:w="1002" w:type="dxa"/>
            <w:vAlign w:val="center"/>
          </w:tcPr>
          <w:p w14:paraId="38608F93">
            <w:pPr>
              <w:jc w:val="center"/>
              <w:rPr>
                <w:color w:val="auto"/>
                <w:lang w:eastAsia="zh-CN"/>
              </w:rPr>
            </w:pPr>
          </w:p>
        </w:tc>
        <w:tc>
          <w:tcPr>
            <w:tcW w:w="1004" w:type="dxa"/>
            <w:vAlign w:val="center"/>
          </w:tcPr>
          <w:p w14:paraId="6B70BD76">
            <w:pPr>
              <w:jc w:val="center"/>
              <w:rPr>
                <w:color w:val="auto"/>
                <w:lang w:eastAsia="zh-CN"/>
              </w:rPr>
            </w:pPr>
          </w:p>
        </w:tc>
        <w:tc>
          <w:tcPr>
            <w:tcW w:w="997" w:type="dxa"/>
            <w:vAlign w:val="center"/>
          </w:tcPr>
          <w:p w14:paraId="5F214782">
            <w:pPr>
              <w:jc w:val="center"/>
              <w:rPr>
                <w:color w:val="auto"/>
                <w:lang w:eastAsia="zh-CN"/>
              </w:rPr>
            </w:pPr>
          </w:p>
        </w:tc>
        <w:tc>
          <w:tcPr>
            <w:tcW w:w="1126" w:type="dxa"/>
            <w:vAlign w:val="center"/>
          </w:tcPr>
          <w:p w14:paraId="1AC138F2">
            <w:pPr>
              <w:jc w:val="center"/>
              <w:rPr>
                <w:color w:val="auto"/>
                <w:lang w:eastAsia="zh-CN"/>
              </w:rPr>
            </w:pPr>
          </w:p>
        </w:tc>
        <w:tc>
          <w:tcPr>
            <w:tcW w:w="1124" w:type="dxa"/>
            <w:vAlign w:val="center"/>
          </w:tcPr>
          <w:p w14:paraId="01B252EA">
            <w:pPr>
              <w:jc w:val="center"/>
              <w:rPr>
                <w:color w:val="auto"/>
                <w:lang w:eastAsia="zh-CN"/>
              </w:rPr>
            </w:pPr>
          </w:p>
        </w:tc>
        <w:tc>
          <w:tcPr>
            <w:tcW w:w="1133" w:type="dxa"/>
            <w:tcBorders>
              <w:right w:val="single" w:color="000000" w:sz="6" w:space="0"/>
            </w:tcBorders>
            <w:vAlign w:val="center"/>
          </w:tcPr>
          <w:p w14:paraId="31239AEC">
            <w:pPr>
              <w:jc w:val="center"/>
              <w:rPr>
                <w:color w:val="auto"/>
                <w:lang w:eastAsia="zh-CN"/>
              </w:rPr>
            </w:pPr>
          </w:p>
        </w:tc>
      </w:tr>
      <w:tr w14:paraId="13150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671DB916">
            <w:pPr>
              <w:jc w:val="center"/>
              <w:rPr>
                <w:color w:val="auto"/>
                <w:lang w:eastAsia="zh-CN"/>
              </w:rPr>
            </w:pPr>
          </w:p>
        </w:tc>
        <w:tc>
          <w:tcPr>
            <w:tcW w:w="1001" w:type="dxa"/>
            <w:vAlign w:val="center"/>
          </w:tcPr>
          <w:p w14:paraId="7A525DFA">
            <w:pPr>
              <w:jc w:val="center"/>
              <w:rPr>
                <w:color w:val="auto"/>
                <w:lang w:eastAsia="zh-CN"/>
              </w:rPr>
            </w:pPr>
          </w:p>
        </w:tc>
        <w:tc>
          <w:tcPr>
            <w:tcW w:w="1002" w:type="dxa"/>
            <w:vAlign w:val="center"/>
          </w:tcPr>
          <w:p w14:paraId="44EC299E">
            <w:pPr>
              <w:jc w:val="center"/>
              <w:rPr>
                <w:color w:val="auto"/>
                <w:lang w:eastAsia="zh-CN"/>
              </w:rPr>
            </w:pPr>
          </w:p>
        </w:tc>
        <w:tc>
          <w:tcPr>
            <w:tcW w:w="1004" w:type="dxa"/>
            <w:vAlign w:val="center"/>
          </w:tcPr>
          <w:p w14:paraId="33057E85">
            <w:pPr>
              <w:jc w:val="center"/>
              <w:rPr>
                <w:color w:val="auto"/>
                <w:lang w:eastAsia="zh-CN"/>
              </w:rPr>
            </w:pPr>
          </w:p>
        </w:tc>
        <w:tc>
          <w:tcPr>
            <w:tcW w:w="997" w:type="dxa"/>
            <w:vAlign w:val="center"/>
          </w:tcPr>
          <w:p w14:paraId="74D39246">
            <w:pPr>
              <w:jc w:val="center"/>
              <w:rPr>
                <w:color w:val="auto"/>
                <w:lang w:eastAsia="zh-CN"/>
              </w:rPr>
            </w:pPr>
          </w:p>
        </w:tc>
        <w:tc>
          <w:tcPr>
            <w:tcW w:w="1126" w:type="dxa"/>
            <w:vAlign w:val="center"/>
          </w:tcPr>
          <w:p w14:paraId="739F7F16">
            <w:pPr>
              <w:jc w:val="center"/>
              <w:rPr>
                <w:color w:val="auto"/>
                <w:lang w:eastAsia="zh-CN"/>
              </w:rPr>
            </w:pPr>
          </w:p>
        </w:tc>
        <w:tc>
          <w:tcPr>
            <w:tcW w:w="1124" w:type="dxa"/>
            <w:vAlign w:val="center"/>
          </w:tcPr>
          <w:p w14:paraId="48DB7257">
            <w:pPr>
              <w:jc w:val="center"/>
              <w:rPr>
                <w:color w:val="auto"/>
                <w:lang w:eastAsia="zh-CN"/>
              </w:rPr>
            </w:pPr>
          </w:p>
        </w:tc>
        <w:tc>
          <w:tcPr>
            <w:tcW w:w="1133" w:type="dxa"/>
            <w:tcBorders>
              <w:right w:val="single" w:color="000000" w:sz="6" w:space="0"/>
            </w:tcBorders>
            <w:vAlign w:val="center"/>
          </w:tcPr>
          <w:p w14:paraId="25BE5D7B">
            <w:pPr>
              <w:jc w:val="center"/>
              <w:rPr>
                <w:color w:val="auto"/>
                <w:lang w:eastAsia="zh-CN"/>
              </w:rPr>
            </w:pPr>
          </w:p>
        </w:tc>
      </w:tr>
      <w:tr w14:paraId="165D7F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285709FC">
            <w:pPr>
              <w:jc w:val="center"/>
              <w:rPr>
                <w:color w:val="auto"/>
                <w:lang w:eastAsia="zh-CN"/>
              </w:rPr>
            </w:pPr>
          </w:p>
        </w:tc>
        <w:tc>
          <w:tcPr>
            <w:tcW w:w="1001" w:type="dxa"/>
            <w:vAlign w:val="center"/>
          </w:tcPr>
          <w:p w14:paraId="2E26DA38">
            <w:pPr>
              <w:jc w:val="center"/>
              <w:rPr>
                <w:color w:val="auto"/>
                <w:lang w:eastAsia="zh-CN"/>
              </w:rPr>
            </w:pPr>
          </w:p>
        </w:tc>
        <w:tc>
          <w:tcPr>
            <w:tcW w:w="1002" w:type="dxa"/>
            <w:vAlign w:val="center"/>
          </w:tcPr>
          <w:p w14:paraId="238E6FBC">
            <w:pPr>
              <w:jc w:val="center"/>
              <w:rPr>
                <w:color w:val="auto"/>
                <w:lang w:eastAsia="zh-CN"/>
              </w:rPr>
            </w:pPr>
          </w:p>
        </w:tc>
        <w:tc>
          <w:tcPr>
            <w:tcW w:w="1004" w:type="dxa"/>
            <w:vAlign w:val="center"/>
          </w:tcPr>
          <w:p w14:paraId="2A614D86">
            <w:pPr>
              <w:jc w:val="center"/>
              <w:rPr>
                <w:color w:val="auto"/>
                <w:lang w:eastAsia="zh-CN"/>
              </w:rPr>
            </w:pPr>
          </w:p>
        </w:tc>
        <w:tc>
          <w:tcPr>
            <w:tcW w:w="997" w:type="dxa"/>
            <w:vAlign w:val="center"/>
          </w:tcPr>
          <w:p w14:paraId="71E7D96E">
            <w:pPr>
              <w:jc w:val="center"/>
              <w:rPr>
                <w:color w:val="auto"/>
                <w:lang w:eastAsia="zh-CN"/>
              </w:rPr>
            </w:pPr>
          </w:p>
        </w:tc>
        <w:tc>
          <w:tcPr>
            <w:tcW w:w="1126" w:type="dxa"/>
            <w:vAlign w:val="center"/>
          </w:tcPr>
          <w:p w14:paraId="668D434D">
            <w:pPr>
              <w:jc w:val="center"/>
              <w:rPr>
                <w:color w:val="auto"/>
                <w:lang w:eastAsia="zh-CN"/>
              </w:rPr>
            </w:pPr>
          </w:p>
        </w:tc>
        <w:tc>
          <w:tcPr>
            <w:tcW w:w="1124" w:type="dxa"/>
            <w:vAlign w:val="center"/>
          </w:tcPr>
          <w:p w14:paraId="545BC201">
            <w:pPr>
              <w:jc w:val="center"/>
              <w:rPr>
                <w:color w:val="auto"/>
                <w:lang w:eastAsia="zh-CN"/>
              </w:rPr>
            </w:pPr>
          </w:p>
        </w:tc>
        <w:tc>
          <w:tcPr>
            <w:tcW w:w="1133" w:type="dxa"/>
            <w:tcBorders>
              <w:right w:val="single" w:color="000000" w:sz="6" w:space="0"/>
            </w:tcBorders>
            <w:vAlign w:val="center"/>
          </w:tcPr>
          <w:p w14:paraId="5F2E82D1">
            <w:pPr>
              <w:jc w:val="center"/>
              <w:rPr>
                <w:color w:val="auto"/>
                <w:lang w:eastAsia="zh-CN"/>
              </w:rPr>
            </w:pPr>
          </w:p>
        </w:tc>
      </w:tr>
      <w:tr w14:paraId="49EA2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center"/>
          </w:tcPr>
          <w:p w14:paraId="1BF87521">
            <w:pPr>
              <w:jc w:val="center"/>
              <w:rPr>
                <w:color w:val="auto"/>
                <w:lang w:eastAsia="zh-CN"/>
              </w:rPr>
            </w:pPr>
          </w:p>
        </w:tc>
        <w:tc>
          <w:tcPr>
            <w:tcW w:w="1001" w:type="dxa"/>
            <w:vAlign w:val="center"/>
          </w:tcPr>
          <w:p w14:paraId="25B245F0">
            <w:pPr>
              <w:jc w:val="center"/>
              <w:rPr>
                <w:color w:val="auto"/>
                <w:lang w:eastAsia="zh-CN"/>
              </w:rPr>
            </w:pPr>
          </w:p>
        </w:tc>
        <w:tc>
          <w:tcPr>
            <w:tcW w:w="1002" w:type="dxa"/>
            <w:vAlign w:val="center"/>
          </w:tcPr>
          <w:p w14:paraId="4331BE96">
            <w:pPr>
              <w:jc w:val="center"/>
              <w:rPr>
                <w:color w:val="auto"/>
                <w:lang w:eastAsia="zh-CN"/>
              </w:rPr>
            </w:pPr>
          </w:p>
        </w:tc>
        <w:tc>
          <w:tcPr>
            <w:tcW w:w="1004" w:type="dxa"/>
            <w:vAlign w:val="center"/>
          </w:tcPr>
          <w:p w14:paraId="66695562">
            <w:pPr>
              <w:jc w:val="center"/>
              <w:rPr>
                <w:color w:val="auto"/>
                <w:lang w:eastAsia="zh-CN"/>
              </w:rPr>
            </w:pPr>
          </w:p>
        </w:tc>
        <w:tc>
          <w:tcPr>
            <w:tcW w:w="997" w:type="dxa"/>
            <w:vAlign w:val="center"/>
          </w:tcPr>
          <w:p w14:paraId="71FD8915">
            <w:pPr>
              <w:jc w:val="center"/>
              <w:rPr>
                <w:color w:val="auto"/>
                <w:lang w:eastAsia="zh-CN"/>
              </w:rPr>
            </w:pPr>
          </w:p>
        </w:tc>
        <w:tc>
          <w:tcPr>
            <w:tcW w:w="1126" w:type="dxa"/>
            <w:vAlign w:val="center"/>
          </w:tcPr>
          <w:p w14:paraId="2680EDD5">
            <w:pPr>
              <w:jc w:val="center"/>
              <w:rPr>
                <w:color w:val="auto"/>
                <w:lang w:eastAsia="zh-CN"/>
              </w:rPr>
            </w:pPr>
          </w:p>
        </w:tc>
        <w:tc>
          <w:tcPr>
            <w:tcW w:w="1124" w:type="dxa"/>
            <w:vAlign w:val="center"/>
          </w:tcPr>
          <w:p w14:paraId="3B30B9F4">
            <w:pPr>
              <w:jc w:val="center"/>
              <w:rPr>
                <w:color w:val="auto"/>
                <w:lang w:eastAsia="zh-CN"/>
              </w:rPr>
            </w:pPr>
          </w:p>
        </w:tc>
        <w:tc>
          <w:tcPr>
            <w:tcW w:w="1133" w:type="dxa"/>
            <w:tcBorders>
              <w:right w:val="single" w:color="000000" w:sz="6" w:space="0"/>
            </w:tcBorders>
            <w:vAlign w:val="center"/>
          </w:tcPr>
          <w:p w14:paraId="575A9A9C">
            <w:pPr>
              <w:jc w:val="center"/>
              <w:rPr>
                <w:color w:val="auto"/>
                <w:lang w:eastAsia="zh-CN"/>
              </w:rPr>
            </w:pPr>
          </w:p>
        </w:tc>
      </w:tr>
      <w:tr w14:paraId="66CFB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379DB08E">
            <w:pPr>
              <w:jc w:val="center"/>
              <w:rPr>
                <w:color w:val="auto"/>
                <w:lang w:eastAsia="zh-CN"/>
              </w:rPr>
            </w:pPr>
          </w:p>
        </w:tc>
        <w:tc>
          <w:tcPr>
            <w:tcW w:w="1001" w:type="dxa"/>
            <w:vAlign w:val="center"/>
          </w:tcPr>
          <w:p w14:paraId="378B13D3">
            <w:pPr>
              <w:jc w:val="center"/>
              <w:rPr>
                <w:color w:val="auto"/>
                <w:lang w:eastAsia="zh-CN"/>
              </w:rPr>
            </w:pPr>
          </w:p>
        </w:tc>
        <w:tc>
          <w:tcPr>
            <w:tcW w:w="1002" w:type="dxa"/>
            <w:vAlign w:val="center"/>
          </w:tcPr>
          <w:p w14:paraId="6D845021">
            <w:pPr>
              <w:jc w:val="center"/>
              <w:rPr>
                <w:color w:val="auto"/>
                <w:lang w:eastAsia="zh-CN"/>
              </w:rPr>
            </w:pPr>
          </w:p>
        </w:tc>
        <w:tc>
          <w:tcPr>
            <w:tcW w:w="1004" w:type="dxa"/>
            <w:vAlign w:val="center"/>
          </w:tcPr>
          <w:p w14:paraId="0802F0F6">
            <w:pPr>
              <w:jc w:val="center"/>
              <w:rPr>
                <w:color w:val="auto"/>
                <w:lang w:eastAsia="zh-CN"/>
              </w:rPr>
            </w:pPr>
          </w:p>
        </w:tc>
        <w:tc>
          <w:tcPr>
            <w:tcW w:w="997" w:type="dxa"/>
            <w:vAlign w:val="center"/>
          </w:tcPr>
          <w:p w14:paraId="73E2C14A">
            <w:pPr>
              <w:jc w:val="center"/>
              <w:rPr>
                <w:color w:val="auto"/>
                <w:lang w:eastAsia="zh-CN"/>
              </w:rPr>
            </w:pPr>
          </w:p>
        </w:tc>
        <w:tc>
          <w:tcPr>
            <w:tcW w:w="1126" w:type="dxa"/>
            <w:vAlign w:val="center"/>
          </w:tcPr>
          <w:p w14:paraId="5D1E2F5D">
            <w:pPr>
              <w:jc w:val="center"/>
              <w:rPr>
                <w:color w:val="auto"/>
                <w:lang w:eastAsia="zh-CN"/>
              </w:rPr>
            </w:pPr>
          </w:p>
        </w:tc>
        <w:tc>
          <w:tcPr>
            <w:tcW w:w="1124" w:type="dxa"/>
            <w:vAlign w:val="center"/>
          </w:tcPr>
          <w:p w14:paraId="6A0BE9CF">
            <w:pPr>
              <w:jc w:val="center"/>
              <w:rPr>
                <w:color w:val="auto"/>
                <w:lang w:eastAsia="zh-CN"/>
              </w:rPr>
            </w:pPr>
          </w:p>
        </w:tc>
        <w:tc>
          <w:tcPr>
            <w:tcW w:w="1133" w:type="dxa"/>
            <w:tcBorders>
              <w:right w:val="single" w:color="000000" w:sz="6" w:space="0"/>
            </w:tcBorders>
            <w:vAlign w:val="center"/>
          </w:tcPr>
          <w:p w14:paraId="6615A109">
            <w:pPr>
              <w:jc w:val="center"/>
              <w:rPr>
                <w:color w:val="auto"/>
                <w:lang w:eastAsia="zh-CN"/>
              </w:rPr>
            </w:pPr>
          </w:p>
        </w:tc>
      </w:tr>
      <w:tr w14:paraId="07280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center"/>
          </w:tcPr>
          <w:p w14:paraId="491CAE69">
            <w:pPr>
              <w:jc w:val="center"/>
              <w:rPr>
                <w:color w:val="auto"/>
                <w:lang w:eastAsia="zh-CN"/>
              </w:rPr>
            </w:pPr>
          </w:p>
        </w:tc>
        <w:tc>
          <w:tcPr>
            <w:tcW w:w="1001" w:type="dxa"/>
            <w:vAlign w:val="center"/>
          </w:tcPr>
          <w:p w14:paraId="6C5BDE44">
            <w:pPr>
              <w:jc w:val="center"/>
              <w:rPr>
                <w:color w:val="auto"/>
                <w:lang w:eastAsia="zh-CN"/>
              </w:rPr>
            </w:pPr>
          </w:p>
        </w:tc>
        <w:tc>
          <w:tcPr>
            <w:tcW w:w="1002" w:type="dxa"/>
            <w:vAlign w:val="center"/>
          </w:tcPr>
          <w:p w14:paraId="1B6AB4AA">
            <w:pPr>
              <w:jc w:val="center"/>
              <w:rPr>
                <w:color w:val="auto"/>
                <w:lang w:eastAsia="zh-CN"/>
              </w:rPr>
            </w:pPr>
          </w:p>
        </w:tc>
        <w:tc>
          <w:tcPr>
            <w:tcW w:w="1004" w:type="dxa"/>
            <w:vAlign w:val="center"/>
          </w:tcPr>
          <w:p w14:paraId="67A1AF34">
            <w:pPr>
              <w:jc w:val="center"/>
              <w:rPr>
                <w:color w:val="auto"/>
                <w:lang w:eastAsia="zh-CN"/>
              </w:rPr>
            </w:pPr>
          </w:p>
        </w:tc>
        <w:tc>
          <w:tcPr>
            <w:tcW w:w="997" w:type="dxa"/>
            <w:vAlign w:val="center"/>
          </w:tcPr>
          <w:p w14:paraId="40CB48BD">
            <w:pPr>
              <w:jc w:val="center"/>
              <w:rPr>
                <w:color w:val="auto"/>
                <w:lang w:eastAsia="zh-CN"/>
              </w:rPr>
            </w:pPr>
          </w:p>
        </w:tc>
        <w:tc>
          <w:tcPr>
            <w:tcW w:w="1126" w:type="dxa"/>
            <w:vAlign w:val="center"/>
          </w:tcPr>
          <w:p w14:paraId="51B2553F">
            <w:pPr>
              <w:jc w:val="center"/>
              <w:rPr>
                <w:color w:val="auto"/>
                <w:lang w:eastAsia="zh-CN"/>
              </w:rPr>
            </w:pPr>
          </w:p>
        </w:tc>
        <w:tc>
          <w:tcPr>
            <w:tcW w:w="1124" w:type="dxa"/>
            <w:vAlign w:val="center"/>
          </w:tcPr>
          <w:p w14:paraId="417D42E1">
            <w:pPr>
              <w:jc w:val="center"/>
              <w:rPr>
                <w:color w:val="auto"/>
                <w:lang w:eastAsia="zh-CN"/>
              </w:rPr>
            </w:pPr>
          </w:p>
        </w:tc>
        <w:tc>
          <w:tcPr>
            <w:tcW w:w="1133" w:type="dxa"/>
            <w:tcBorders>
              <w:right w:val="single" w:color="000000" w:sz="6" w:space="0"/>
            </w:tcBorders>
            <w:vAlign w:val="center"/>
          </w:tcPr>
          <w:p w14:paraId="7D7B8847">
            <w:pPr>
              <w:jc w:val="center"/>
              <w:rPr>
                <w:color w:val="auto"/>
                <w:lang w:eastAsia="zh-CN"/>
              </w:rPr>
            </w:pPr>
          </w:p>
        </w:tc>
      </w:tr>
      <w:tr w14:paraId="39966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2533350A">
            <w:pPr>
              <w:jc w:val="center"/>
              <w:rPr>
                <w:color w:val="auto"/>
                <w:lang w:eastAsia="zh-CN"/>
              </w:rPr>
            </w:pPr>
          </w:p>
        </w:tc>
        <w:tc>
          <w:tcPr>
            <w:tcW w:w="1001" w:type="dxa"/>
            <w:vAlign w:val="center"/>
          </w:tcPr>
          <w:p w14:paraId="38868C50">
            <w:pPr>
              <w:jc w:val="center"/>
              <w:rPr>
                <w:color w:val="auto"/>
                <w:lang w:eastAsia="zh-CN"/>
              </w:rPr>
            </w:pPr>
          </w:p>
        </w:tc>
        <w:tc>
          <w:tcPr>
            <w:tcW w:w="1002" w:type="dxa"/>
            <w:vAlign w:val="center"/>
          </w:tcPr>
          <w:p w14:paraId="1CC19E13">
            <w:pPr>
              <w:jc w:val="center"/>
              <w:rPr>
                <w:color w:val="auto"/>
                <w:lang w:eastAsia="zh-CN"/>
              </w:rPr>
            </w:pPr>
          </w:p>
        </w:tc>
        <w:tc>
          <w:tcPr>
            <w:tcW w:w="1004" w:type="dxa"/>
            <w:vAlign w:val="center"/>
          </w:tcPr>
          <w:p w14:paraId="4AD9FD8B">
            <w:pPr>
              <w:jc w:val="center"/>
              <w:rPr>
                <w:color w:val="auto"/>
                <w:lang w:eastAsia="zh-CN"/>
              </w:rPr>
            </w:pPr>
          </w:p>
        </w:tc>
        <w:tc>
          <w:tcPr>
            <w:tcW w:w="997" w:type="dxa"/>
            <w:vAlign w:val="center"/>
          </w:tcPr>
          <w:p w14:paraId="27E091A4">
            <w:pPr>
              <w:jc w:val="center"/>
              <w:rPr>
                <w:color w:val="auto"/>
                <w:lang w:eastAsia="zh-CN"/>
              </w:rPr>
            </w:pPr>
          </w:p>
        </w:tc>
        <w:tc>
          <w:tcPr>
            <w:tcW w:w="1126" w:type="dxa"/>
            <w:vAlign w:val="center"/>
          </w:tcPr>
          <w:p w14:paraId="6D4019BE">
            <w:pPr>
              <w:jc w:val="center"/>
              <w:rPr>
                <w:color w:val="auto"/>
                <w:lang w:eastAsia="zh-CN"/>
              </w:rPr>
            </w:pPr>
          </w:p>
        </w:tc>
        <w:tc>
          <w:tcPr>
            <w:tcW w:w="1124" w:type="dxa"/>
            <w:vAlign w:val="center"/>
          </w:tcPr>
          <w:p w14:paraId="4F286DB5">
            <w:pPr>
              <w:jc w:val="center"/>
              <w:rPr>
                <w:color w:val="auto"/>
                <w:lang w:eastAsia="zh-CN"/>
              </w:rPr>
            </w:pPr>
          </w:p>
        </w:tc>
        <w:tc>
          <w:tcPr>
            <w:tcW w:w="1133" w:type="dxa"/>
            <w:tcBorders>
              <w:right w:val="single" w:color="000000" w:sz="6" w:space="0"/>
            </w:tcBorders>
            <w:vAlign w:val="center"/>
          </w:tcPr>
          <w:p w14:paraId="5D0590F1">
            <w:pPr>
              <w:jc w:val="center"/>
              <w:rPr>
                <w:color w:val="auto"/>
                <w:lang w:eastAsia="zh-CN"/>
              </w:rPr>
            </w:pPr>
          </w:p>
        </w:tc>
      </w:tr>
      <w:tr w14:paraId="7E75E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center"/>
          </w:tcPr>
          <w:p w14:paraId="59C9C49F">
            <w:pPr>
              <w:jc w:val="center"/>
              <w:rPr>
                <w:color w:val="auto"/>
                <w:lang w:eastAsia="zh-CN"/>
              </w:rPr>
            </w:pPr>
          </w:p>
        </w:tc>
        <w:tc>
          <w:tcPr>
            <w:tcW w:w="1001" w:type="dxa"/>
            <w:vAlign w:val="center"/>
          </w:tcPr>
          <w:p w14:paraId="2C88F41C">
            <w:pPr>
              <w:jc w:val="center"/>
              <w:rPr>
                <w:color w:val="auto"/>
                <w:lang w:eastAsia="zh-CN"/>
              </w:rPr>
            </w:pPr>
          </w:p>
        </w:tc>
        <w:tc>
          <w:tcPr>
            <w:tcW w:w="1002" w:type="dxa"/>
            <w:vAlign w:val="center"/>
          </w:tcPr>
          <w:p w14:paraId="1D09A2AD">
            <w:pPr>
              <w:jc w:val="center"/>
              <w:rPr>
                <w:color w:val="auto"/>
                <w:lang w:eastAsia="zh-CN"/>
              </w:rPr>
            </w:pPr>
          </w:p>
        </w:tc>
        <w:tc>
          <w:tcPr>
            <w:tcW w:w="1004" w:type="dxa"/>
            <w:vAlign w:val="center"/>
          </w:tcPr>
          <w:p w14:paraId="15B28BC9">
            <w:pPr>
              <w:jc w:val="center"/>
              <w:rPr>
                <w:color w:val="auto"/>
                <w:lang w:eastAsia="zh-CN"/>
              </w:rPr>
            </w:pPr>
          </w:p>
        </w:tc>
        <w:tc>
          <w:tcPr>
            <w:tcW w:w="997" w:type="dxa"/>
            <w:vAlign w:val="center"/>
          </w:tcPr>
          <w:p w14:paraId="7DA955B0">
            <w:pPr>
              <w:jc w:val="center"/>
              <w:rPr>
                <w:color w:val="auto"/>
                <w:lang w:eastAsia="zh-CN"/>
              </w:rPr>
            </w:pPr>
          </w:p>
        </w:tc>
        <w:tc>
          <w:tcPr>
            <w:tcW w:w="1126" w:type="dxa"/>
            <w:vAlign w:val="center"/>
          </w:tcPr>
          <w:p w14:paraId="64493F90">
            <w:pPr>
              <w:jc w:val="center"/>
              <w:rPr>
                <w:color w:val="auto"/>
                <w:lang w:eastAsia="zh-CN"/>
              </w:rPr>
            </w:pPr>
          </w:p>
        </w:tc>
        <w:tc>
          <w:tcPr>
            <w:tcW w:w="1124" w:type="dxa"/>
            <w:vAlign w:val="center"/>
          </w:tcPr>
          <w:p w14:paraId="6918769D">
            <w:pPr>
              <w:jc w:val="center"/>
              <w:rPr>
                <w:color w:val="auto"/>
                <w:lang w:eastAsia="zh-CN"/>
              </w:rPr>
            </w:pPr>
          </w:p>
        </w:tc>
        <w:tc>
          <w:tcPr>
            <w:tcW w:w="1133" w:type="dxa"/>
            <w:tcBorders>
              <w:right w:val="single" w:color="000000" w:sz="6" w:space="0"/>
            </w:tcBorders>
            <w:vAlign w:val="center"/>
          </w:tcPr>
          <w:p w14:paraId="6A8B562D">
            <w:pPr>
              <w:jc w:val="center"/>
              <w:rPr>
                <w:color w:val="auto"/>
                <w:lang w:eastAsia="zh-CN"/>
              </w:rPr>
            </w:pPr>
          </w:p>
        </w:tc>
      </w:tr>
      <w:tr w14:paraId="5770A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0B3EEEC0">
            <w:pPr>
              <w:jc w:val="center"/>
              <w:rPr>
                <w:color w:val="auto"/>
                <w:lang w:eastAsia="zh-CN"/>
              </w:rPr>
            </w:pPr>
          </w:p>
        </w:tc>
        <w:tc>
          <w:tcPr>
            <w:tcW w:w="1001" w:type="dxa"/>
            <w:vAlign w:val="center"/>
          </w:tcPr>
          <w:p w14:paraId="0859E50A">
            <w:pPr>
              <w:jc w:val="center"/>
              <w:rPr>
                <w:color w:val="auto"/>
                <w:lang w:eastAsia="zh-CN"/>
              </w:rPr>
            </w:pPr>
          </w:p>
        </w:tc>
        <w:tc>
          <w:tcPr>
            <w:tcW w:w="1002" w:type="dxa"/>
            <w:vAlign w:val="center"/>
          </w:tcPr>
          <w:p w14:paraId="7BB46754">
            <w:pPr>
              <w:jc w:val="center"/>
              <w:rPr>
                <w:color w:val="auto"/>
                <w:lang w:eastAsia="zh-CN"/>
              </w:rPr>
            </w:pPr>
          </w:p>
        </w:tc>
        <w:tc>
          <w:tcPr>
            <w:tcW w:w="1004" w:type="dxa"/>
            <w:vAlign w:val="center"/>
          </w:tcPr>
          <w:p w14:paraId="52ECF248">
            <w:pPr>
              <w:jc w:val="center"/>
              <w:rPr>
                <w:color w:val="auto"/>
                <w:lang w:eastAsia="zh-CN"/>
              </w:rPr>
            </w:pPr>
          </w:p>
        </w:tc>
        <w:tc>
          <w:tcPr>
            <w:tcW w:w="997" w:type="dxa"/>
            <w:vAlign w:val="center"/>
          </w:tcPr>
          <w:p w14:paraId="67179C3B">
            <w:pPr>
              <w:jc w:val="center"/>
              <w:rPr>
                <w:color w:val="auto"/>
                <w:lang w:eastAsia="zh-CN"/>
              </w:rPr>
            </w:pPr>
          </w:p>
        </w:tc>
        <w:tc>
          <w:tcPr>
            <w:tcW w:w="1126" w:type="dxa"/>
            <w:vAlign w:val="center"/>
          </w:tcPr>
          <w:p w14:paraId="0FD168BD">
            <w:pPr>
              <w:jc w:val="center"/>
              <w:rPr>
                <w:color w:val="auto"/>
                <w:lang w:eastAsia="zh-CN"/>
              </w:rPr>
            </w:pPr>
          </w:p>
        </w:tc>
        <w:tc>
          <w:tcPr>
            <w:tcW w:w="1124" w:type="dxa"/>
            <w:vAlign w:val="center"/>
          </w:tcPr>
          <w:p w14:paraId="6FABE450">
            <w:pPr>
              <w:jc w:val="center"/>
              <w:rPr>
                <w:color w:val="auto"/>
                <w:lang w:eastAsia="zh-CN"/>
              </w:rPr>
            </w:pPr>
          </w:p>
        </w:tc>
        <w:tc>
          <w:tcPr>
            <w:tcW w:w="1133" w:type="dxa"/>
            <w:tcBorders>
              <w:right w:val="single" w:color="000000" w:sz="6" w:space="0"/>
            </w:tcBorders>
            <w:vAlign w:val="center"/>
          </w:tcPr>
          <w:p w14:paraId="3062C01C">
            <w:pPr>
              <w:jc w:val="center"/>
              <w:rPr>
                <w:color w:val="auto"/>
                <w:lang w:eastAsia="zh-CN"/>
              </w:rPr>
            </w:pPr>
          </w:p>
        </w:tc>
      </w:tr>
      <w:tr w14:paraId="14F7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18AF160C">
            <w:pPr>
              <w:jc w:val="center"/>
              <w:rPr>
                <w:color w:val="auto"/>
                <w:lang w:eastAsia="zh-CN"/>
              </w:rPr>
            </w:pPr>
          </w:p>
        </w:tc>
        <w:tc>
          <w:tcPr>
            <w:tcW w:w="1001" w:type="dxa"/>
            <w:vAlign w:val="center"/>
          </w:tcPr>
          <w:p w14:paraId="0FED8748">
            <w:pPr>
              <w:jc w:val="center"/>
              <w:rPr>
                <w:color w:val="auto"/>
                <w:lang w:eastAsia="zh-CN"/>
              </w:rPr>
            </w:pPr>
          </w:p>
        </w:tc>
        <w:tc>
          <w:tcPr>
            <w:tcW w:w="1002" w:type="dxa"/>
            <w:vAlign w:val="center"/>
          </w:tcPr>
          <w:p w14:paraId="266B7C1F">
            <w:pPr>
              <w:jc w:val="center"/>
              <w:rPr>
                <w:color w:val="auto"/>
                <w:lang w:eastAsia="zh-CN"/>
              </w:rPr>
            </w:pPr>
          </w:p>
        </w:tc>
        <w:tc>
          <w:tcPr>
            <w:tcW w:w="1004" w:type="dxa"/>
            <w:vAlign w:val="center"/>
          </w:tcPr>
          <w:p w14:paraId="04857620">
            <w:pPr>
              <w:jc w:val="center"/>
              <w:rPr>
                <w:color w:val="auto"/>
                <w:lang w:eastAsia="zh-CN"/>
              </w:rPr>
            </w:pPr>
          </w:p>
        </w:tc>
        <w:tc>
          <w:tcPr>
            <w:tcW w:w="997" w:type="dxa"/>
            <w:vAlign w:val="center"/>
          </w:tcPr>
          <w:p w14:paraId="0F115A55">
            <w:pPr>
              <w:jc w:val="center"/>
              <w:rPr>
                <w:color w:val="auto"/>
                <w:lang w:eastAsia="zh-CN"/>
              </w:rPr>
            </w:pPr>
          </w:p>
        </w:tc>
        <w:tc>
          <w:tcPr>
            <w:tcW w:w="1126" w:type="dxa"/>
            <w:vAlign w:val="center"/>
          </w:tcPr>
          <w:p w14:paraId="27C324E7">
            <w:pPr>
              <w:jc w:val="center"/>
              <w:rPr>
                <w:color w:val="auto"/>
                <w:lang w:eastAsia="zh-CN"/>
              </w:rPr>
            </w:pPr>
          </w:p>
        </w:tc>
        <w:tc>
          <w:tcPr>
            <w:tcW w:w="1124" w:type="dxa"/>
            <w:vAlign w:val="center"/>
          </w:tcPr>
          <w:p w14:paraId="046B8A56">
            <w:pPr>
              <w:jc w:val="center"/>
              <w:rPr>
                <w:color w:val="auto"/>
                <w:lang w:eastAsia="zh-CN"/>
              </w:rPr>
            </w:pPr>
          </w:p>
        </w:tc>
        <w:tc>
          <w:tcPr>
            <w:tcW w:w="1133" w:type="dxa"/>
            <w:tcBorders>
              <w:right w:val="single" w:color="000000" w:sz="6" w:space="0"/>
            </w:tcBorders>
            <w:vAlign w:val="center"/>
          </w:tcPr>
          <w:p w14:paraId="2CA6C59B">
            <w:pPr>
              <w:jc w:val="center"/>
              <w:rPr>
                <w:color w:val="auto"/>
                <w:lang w:eastAsia="zh-CN"/>
              </w:rPr>
            </w:pPr>
          </w:p>
        </w:tc>
      </w:tr>
      <w:tr w14:paraId="7A1B8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center"/>
          </w:tcPr>
          <w:p w14:paraId="7BB29289">
            <w:pPr>
              <w:jc w:val="center"/>
              <w:rPr>
                <w:color w:val="auto"/>
                <w:lang w:eastAsia="zh-CN"/>
              </w:rPr>
            </w:pPr>
          </w:p>
        </w:tc>
        <w:tc>
          <w:tcPr>
            <w:tcW w:w="1001" w:type="dxa"/>
            <w:vAlign w:val="center"/>
          </w:tcPr>
          <w:p w14:paraId="0CAC7A13">
            <w:pPr>
              <w:jc w:val="center"/>
              <w:rPr>
                <w:color w:val="auto"/>
                <w:lang w:eastAsia="zh-CN"/>
              </w:rPr>
            </w:pPr>
          </w:p>
        </w:tc>
        <w:tc>
          <w:tcPr>
            <w:tcW w:w="1002" w:type="dxa"/>
            <w:vAlign w:val="center"/>
          </w:tcPr>
          <w:p w14:paraId="4FD3D862">
            <w:pPr>
              <w:jc w:val="center"/>
              <w:rPr>
                <w:color w:val="auto"/>
                <w:lang w:eastAsia="zh-CN"/>
              </w:rPr>
            </w:pPr>
          </w:p>
        </w:tc>
        <w:tc>
          <w:tcPr>
            <w:tcW w:w="1004" w:type="dxa"/>
            <w:vAlign w:val="center"/>
          </w:tcPr>
          <w:p w14:paraId="0D210B42">
            <w:pPr>
              <w:jc w:val="center"/>
              <w:rPr>
                <w:color w:val="auto"/>
                <w:lang w:eastAsia="zh-CN"/>
              </w:rPr>
            </w:pPr>
          </w:p>
        </w:tc>
        <w:tc>
          <w:tcPr>
            <w:tcW w:w="997" w:type="dxa"/>
            <w:vAlign w:val="center"/>
          </w:tcPr>
          <w:p w14:paraId="47B9ACC8">
            <w:pPr>
              <w:jc w:val="center"/>
              <w:rPr>
                <w:color w:val="auto"/>
                <w:lang w:eastAsia="zh-CN"/>
              </w:rPr>
            </w:pPr>
          </w:p>
        </w:tc>
        <w:tc>
          <w:tcPr>
            <w:tcW w:w="1126" w:type="dxa"/>
            <w:vAlign w:val="center"/>
          </w:tcPr>
          <w:p w14:paraId="39264B46">
            <w:pPr>
              <w:jc w:val="center"/>
              <w:rPr>
                <w:color w:val="auto"/>
                <w:lang w:eastAsia="zh-CN"/>
              </w:rPr>
            </w:pPr>
          </w:p>
        </w:tc>
        <w:tc>
          <w:tcPr>
            <w:tcW w:w="1124" w:type="dxa"/>
            <w:vAlign w:val="center"/>
          </w:tcPr>
          <w:p w14:paraId="0D22955F">
            <w:pPr>
              <w:jc w:val="center"/>
              <w:rPr>
                <w:color w:val="auto"/>
                <w:lang w:eastAsia="zh-CN"/>
              </w:rPr>
            </w:pPr>
          </w:p>
        </w:tc>
        <w:tc>
          <w:tcPr>
            <w:tcW w:w="1133" w:type="dxa"/>
            <w:tcBorders>
              <w:right w:val="single" w:color="000000" w:sz="6" w:space="0"/>
            </w:tcBorders>
            <w:vAlign w:val="center"/>
          </w:tcPr>
          <w:p w14:paraId="02C9284B">
            <w:pPr>
              <w:jc w:val="center"/>
              <w:rPr>
                <w:color w:val="auto"/>
                <w:lang w:eastAsia="zh-CN"/>
              </w:rPr>
            </w:pPr>
          </w:p>
        </w:tc>
      </w:tr>
      <w:tr w14:paraId="3BB09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0C8B5085">
            <w:pPr>
              <w:jc w:val="center"/>
              <w:rPr>
                <w:color w:val="auto"/>
                <w:lang w:eastAsia="zh-CN"/>
              </w:rPr>
            </w:pPr>
          </w:p>
        </w:tc>
        <w:tc>
          <w:tcPr>
            <w:tcW w:w="1001" w:type="dxa"/>
            <w:vAlign w:val="center"/>
          </w:tcPr>
          <w:p w14:paraId="579CBEAE">
            <w:pPr>
              <w:jc w:val="center"/>
              <w:rPr>
                <w:color w:val="auto"/>
                <w:lang w:eastAsia="zh-CN"/>
              </w:rPr>
            </w:pPr>
          </w:p>
        </w:tc>
        <w:tc>
          <w:tcPr>
            <w:tcW w:w="1002" w:type="dxa"/>
            <w:vAlign w:val="center"/>
          </w:tcPr>
          <w:p w14:paraId="334BF42D">
            <w:pPr>
              <w:jc w:val="center"/>
              <w:rPr>
                <w:color w:val="auto"/>
                <w:lang w:eastAsia="zh-CN"/>
              </w:rPr>
            </w:pPr>
          </w:p>
        </w:tc>
        <w:tc>
          <w:tcPr>
            <w:tcW w:w="1004" w:type="dxa"/>
            <w:vAlign w:val="center"/>
          </w:tcPr>
          <w:p w14:paraId="03E32975">
            <w:pPr>
              <w:jc w:val="center"/>
              <w:rPr>
                <w:color w:val="auto"/>
                <w:lang w:eastAsia="zh-CN"/>
              </w:rPr>
            </w:pPr>
          </w:p>
        </w:tc>
        <w:tc>
          <w:tcPr>
            <w:tcW w:w="997" w:type="dxa"/>
            <w:vAlign w:val="center"/>
          </w:tcPr>
          <w:p w14:paraId="3CBA2F71">
            <w:pPr>
              <w:jc w:val="center"/>
              <w:rPr>
                <w:color w:val="auto"/>
                <w:lang w:eastAsia="zh-CN"/>
              </w:rPr>
            </w:pPr>
          </w:p>
        </w:tc>
        <w:tc>
          <w:tcPr>
            <w:tcW w:w="1126" w:type="dxa"/>
            <w:vAlign w:val="center"/>
          </w:tcPr>
          <w:p w14:paraId="4DBAD5E5">
            <w:pPr>
              <w:jc w:val="center"/>
              <w:rPr>
                <w:color w:val="auto"/>
                <w:lang w:eastAsia="zh-CN"/>
              </w:rPr>
            </w:pPr>
          </w:p>
        </w:tc>
        <w:tc>
          <w:tcPr>
            <w:tcW w:w="1124" w:type="dxa"/>
            <w:vAlign w:val="center"/>
          </w:tcPr>
          <w:p w14:paraId="13AC95D9">
            <w:pPr>
              <w:jc w:val="center"/>
              <w:rPr>
                <w:color w:val="auto"/>
                <w:lang w:eastAsia="zh-CN"/>
              </w:rPr>
            </w:pPr>
          </w:p>
        </w:tc>
        <w:tc>
          <w:tcPr>
            <w:tcW w:w="1133" w:type="dxa"/>
            <w:tcBorders>
              <w:right w:val="single" w:color="000000" w:sz="6" w:space="0"/>
            </w:tcBorders>
            <w:vAlign w:val="center"/>
          </w:tcPr>
          <w:p w14:paraId="5EFD6FA3">
            <w:pPr>
              <w:jc w:val="center"/>
              <w:rPr>
                <w:color w:val="auto"/>
                <w:lang w:eastAsia="zh-CN"/>
              </w:rPr>
            </w:pPr>
          </w:p>
        </w:tc>
      </w:tr>
      <w:tr w14:paraId="2364E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center"/>
          </w:tcPr>
          <w:p w14:paraId="00974253">
            <w:pPr>
              <w:jc w:val="center"/>
              <w:rPr>
                <w:color w:val="auto"/>
                <w:lang w:eastAsia="zh-CN"/>
              </w:rPr>
            </w:pPr>
          </w:p>
        </w:tc>
        <w:tc>
          <w:tcPr>
            <w:tcW w:w="1001" w:type="dxa"/>
            <w:vAlign w:val="center"/>
          </w:tcPr>
          <w:p w14:paraId="45D80E91">
            <w:pPr>
              <w:jc w:val="center"/>
              <w:rPr>
                <w:color w:val="auto"/>
                <w:lang w:eastAsia="zh-CN"/>
              </w:rPr>
            </w:pPr>
          </w:p>
        </w:tc>
        <w:tc>
          <w:tcPr>
            <w:tcW w:w="1002" w:type="dxa"/>
            <w:vAlign w:val="center"/>
          </w:tcPr>
          <w:p w14:paraId="0CB3B529">
            <w:pPr>
              <w:jc w:val="center"/>
              <w:rPr>
                <w:color w:val="auto"/>
                <w:lang w:eastAsia="zh-CN"/>
              </w:rPr>
            </w:pPr>
          </w:p>
        </w:tc>
        <w:tc>
          <w:tcPr>
            <w:tcW w:w="1004" w:type="dxa"/>
            <w:vAlign w:val="center"/>
          </w:tcPr>
          <w:p w14:paraId="653994B9">
            <w:pPr>
              <w:jc w:val="center"/>
              <w:rPr>
                <w:color w:val="auto"/>
                <w:lang w:eastAsia="zh-CN"/>
              </w:rPr>
            </w:pPr>
          </w:p>
        </w:tc>
        <w:tc>
          <w:tcPr>
            <w:tcW w:w="997" w:type="dxa"/>
            <w:vAlign w:val="center"/>
          </w:tcPr>
          <w:p w14:paraId="6D0B6B33">
            <w:pPr>
              <w:jc w:val="center"/>
              <w:rPr>
                <w:color w:val="auto"/>
                <w:lang w:eastAsia="zh-CN"/>
              </w:rPr>
            </w:pPr>
          </w:p>
        </w:tc>
        <w:tc>
          <w:tcPr>
            <w:tcW w:w="1126" w:type="dxa"/>
            <w:vAlign w:val="center"/>
          </w:tcPr>
          <w:p w14:paraId="6A1C763E">
            <w:pPr>
              <w:jc w:val="center"/>
              <w:rPr>
                <w:color w:val="auto"/>
                <w:lang w:eastAsia="zh-CN"/>
              </w:rPr>
            </w:pPr>
          </w:p>
        </w:tc>
        <w:tc>
          <w:tcPr>
            <w:tcW w:w="1124" w:type="dxa"/>
            <w:vAlign w:val="center"/>
          </w:tcPr>
          <w:p w14:paraId="60F105F5">
            <w:pPr>
              <w:jc w:val="center"/>
              <w:rPr>
                <w:color w:val="auto"/>
                <w:lang w:eastAsia="zh-CN"/>
              </w:rPr>
            </w:pPr>
          </w:p>
        </w:tc>
        <w:tc>
          <w:tcPr>
            <w:tcW w:w="1133" w:type="dxa"/>
            <w:tcBorders>
              <w:right w:val="single" w:color="000000" w:sz="6" w:space="0"/>
            </w:tcBorders>
            <w:vAlign w:val="center"/>
          </w:tcPr>
          <w:p w14:paraId="197E7541">
            <w:pPr>
              <w:jc w:val="center"/>
              <w:rPr>
                <w:color w:val="auto"/>
                <w:lang w:eastAsia="zh-CN"/>
              </w:rPr>
            </w:pPr>
          </w:p>
        </w:tc>
      </w:tr>
      <w:tr w14:paraId="6CA14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71B0F926">
            <w:pPr>
              <w:jc w:val="center"/>
              <w:rPr>
                <w:color w:val="auto"/>
                <w:lang w:eastAsia="zh-CN"/>
              </w:rPr>
            </w:pPr>
          </w:p>
        </w:tc>
        <w:tc>
          <w:tcPr>
            <w:tcW w:w="1001" w:type="dxa"/>
            <w:vAlign w:val="center"/>
          </w:tcPr>
          <w:p w14:paraId="2D530956">
            <w:pPr>
              <w:jc w:val="center"/>
              <w:rPr>
                <w:color w:val="auto"/>
                <w:lang w:eastAsia="zh-CN"/>
              </w:rPr>
            </w:pPr>
          </w:p>
        </w:tc>
        <w:tc>
          <w:tcPr>
            <w:tcW w:w="1002" w:type="dxa"/>
            <w:vAlign w:val="center"/>
          </w:tcPr>
          <w:p w14:paraId="6599FCAF">
            <w:pPr>
              <w:jc w:val="center"/>
              <w:rPr>
                <w:color w:val="auto"/>
                <w:lang w:eastAsia="zh-CN"/>
              </w:rPr>
            </w:pPr>
          </w:p>
        </w:tc>
        <w:tc>
          <w:tcPr>
            <w:tcW w:w="1004" w:type="dxa"/>
            <w:vAlign w:val="center"/>
          </w:tcPr>
          <w:p w14:paraId="5F7FBA9C">
            <w:pPr>
              <w:jc w:val="center"/>
              <w:rPr>
                <w:color w:val="auto"/>
                <w:lang w:eastAsia="zh-CN"/>
              </w:rPr>
            </w:pPr>
          </w:p>
        </w:tc>
        <w:tc>
          <w:tcPr>
            <w:tcW w:w="997" w:type="dxa"/>
            <w:vAlign w:val="center"/>
          </w:tcPr>
          <w:p w14:paraId="4226E83C">
            <w:pPr>
              <w:jc w:val="center"/>
              <w:rPr>
                <w:color w:val="auto"/>
                <w:lang w:eastAsia="zh-CN"/>
              </w:rPr>
            </w:pPr>
          </w:p>
        </w:tc>
        <w:tc>
          <w:tcPr>
            <w:tcW w:w="1126" w:type="dxa"/>
            <w:vAlign w:val="center"/>
          </w:tcPr>
          <w:p w14:paraId="69A81F69">
            <w:pPr>
              <w:jc w:val="center"/>
              <w:rPr>
                <w:color w:val="auto"/>
                <w:lang w:eastAsia="zh-CN"/>
              </w:rPr>
            </w:pPr>
          </w:p>
        </w:tc>
        <w:tc>
          <w:tcPr>
            <w:tcW w:w="1124" w:type="dxa"/>
            <w:vAlign w:val="center"/>
          </w:tcPr>
          <w:p w14:paraId="71C9E246">
            <w:pPr>
              <w:jc w:val="center"/>
              <w:rPr>
                <w:color w:val="auto"/>
                <w:lang w:eastAsia="zh-CN"/>
              </w:rPr>
            </w:pPr>
          </w:p>
        </w:tc>
        <w:tc>
          <w:tcPr>
            <w:tcW w:w="1133" w:type="dxa"/>
            <w:tcBorders>
              <w:right w:val="single" w:color="000000" w:sz="6" w:space="0"/>
            </w:tcBorders>
            <w:vAlign w:val="center"/>
          </w:tcPr>
          <w:p w14:paraId="68FA7D2E">
            <w:pPr>
              <w:jc w:val="center"/>
              <w:rPr>
                <w:color w:val="auto"/>
                <w:lang w:eastAsia="zh-CN"/>
              </w:rPr>
            </w:pPr>
          </w:p>
        </w:tc>
      </w:tr>
      <w:tr w14:paraId="79646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0153F169">
            <w:pPr>
              <w:jc w:val="center"/>
              <w:rPr>
                <w:color w:val="auto"/>
                <w:lang w:eastAsia="zh-CN"/>
              </w:rPr>
            </w:pPr>
          </w:p>
        </w:tc>
        <w:tc>
          <w:tcPr>
            <w:tcW w:w="1001" w:type="dxa"/>
            <w:vAlign w:val="center"/>
          </w:tcPr>
          <w:p w14:paraId="0C60FE1F">
            <w:pPr>
              <w:jc w:val="center"/>
              <w:rPr>
                <w:color w:val="auto"/>
                <w:lang w:eastAsia="zh-CN"/>
              </w:rPr>
            </w:pPr>
          </w:p>
        </w:tc>
        <w:tc>
          <w:tcPr>
            <w:tcW w:w="1002" w:type="dxa"/>
            <w:vAlign w:val="center"/>
          </w:tcPr>
          <w:p w14:paraId="0001AEDA">
            <w:pPr>
              <w:jc w:val="center"/>
              <w:rPr>
                <w:color w:val="auto"/>
                <w:lang w:eastAsia="zh-CN"/>
              </w:rPr>
            </w:pPr>
          </w:p>
        </w:tc>
        <w:tc>
          <w:tcPr>
            <w:tcW w:w="1004" w:type="dxa"/>
            <w:vAlign w:val="center"/>
          </w:tcPr>
          <w:p w14:paraId="5B9D9A07">
            <w:pPr>
              <w:jc w:val="center"/>
              <w:rPr>
                <w:color w:val="auto"/>
                <w:lang w:eastAsia="zh-CN"/>
              </w:rPr>
            </w:pPr>
          </w:p>
        </w:tc>
        <w:tc>
          <w:tcPr>
            <w:tcW w:w="997" w:type="dxa"/>
            <w:vAlign w:val="center"/>
          </w:tcPr>
          <w:p w14:paraId="482AE2E9">
            <w:pPr>
              <w:jc w:val="center"/>
              <w:rPr>
                <w:color w:val="auto"/>
                <w:lang w:eastAsia="zh-CN"/>
              </w:rPr>
            </w:pPr>
          </w:p>
        </w:tc>
        <w:tc>
          <w:tcPr>
            <w:tcW w:w="1126" w:type="dxa"/>
            <w:vAlign w:val="center"/>
          </w:tcPr>
          <w:p w14:paraId="304FE4EE">
            <w:pPr>
              <w:jc w:val="center"/>
              <w:rPr>
                <w:color w:val="auto"/>
                <w:lang w:eastAsia="zh-CN"/>
              </w:rPr>
            </w:pPr>
          </w:p>
        </w:tc>
        <w:tc>
          <w:tcPr>
            <w:tcW w:w="1124" w:type="dxa"/>
            <w:vAlign w:val="center"/>
          </w:tcPr>
          <w:p w14:paraId="040E419A">
            <w:pPr>
              <w:jc w:val="center"/>
              <w:rPr>
                <w:color w:val="auto"/>
                <w:lang w:eastAsia="zh-CN"/>
              </w:rPr>
            </w:pPr>
          </w:p>
        </w:tc>
        <w:tc>
          <w:tcPr>
            <w:tcW w:w="1133" w:type="dxa"/>
            <w:tcBorders>
              <w:right w:val="single" w:color="000000" w:sz="6" w:space="0"/>
            </w:tcBorders>
            <w:vAlign w:val="center"/>
          </w:tcPr>
          <w:p w14:paraId="31F75AD5">
            <w:pPr>
              <w:jc w:val="center"/>
              <w:rPr>
                <w:color w:val="auto"/>
                <w:lang w:eastAsia="zh-CN"/>
              </w:rPr>
            </w:pPr>
          </w:p>
        </w:tc>
      </w:tr>
      <w:tr w14:paraId="34F12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center"/>
          </w:tcPr>
          <w:p w14:paraId="1B952FAB">
            <w:pPr>
              <w:jc w:val="center"/>
              <w:rPr>
                <w:color w:val="auto"/>
                <w:lang w:eastAsia="zh-CN"/>
              </w:rPr>
            </w:pPr>
          </w:p>
        </w:tc>
        <w:tc>
          <w:tcPr>
            <w:tcW w:w="1001" w:type="dxa"/>
            <w:vAlign w:val="center"/>
          </w:tcPr>
          <w:p w14:paraId="455277D5">
            <w:pPr>
              <w:jc w:val="center"/>
              <w:rPr>
                <w:color w:val="auto"/>
                <w:lang w:eastAsia="zh-CN"/>
              </w:rPr>
            </w:pPr>
          </w:p>
        </w:tc>
        <w:tc>
          <w:tcPr>
            <w:tcW w:w="1002" w:type="dxa"/>
            <w:vAlign w:val="center"/>
          </w:tcPr>
          <w:p w14:paraId="07CBEF83">
            <w:pPr>
              <w:jc w:val="center"/>
              <w:rPr>
                <w:color w:val="auto"/>
                <w:lang w:eastAsia="zh-CN"/>
              </w:rPr>
            </w:pPr>
          </w:p>
        </w:tc>
        <w:tc>
          <w:tcPr>
            <w:tcW w:w="1004" w:type="dxa"/>
            <w:vAlign w:val="center"/>
          </w:tcPr>
          <w:p w14:paraId="35B032DB">
            <w:pPr>
              <w:jc w:val="center"/>
              <w:rPr>
                <w:color w:val="auto"/>
                <w:lang w:eastAsia="zh-CN"/>
              </w:rPr>
            </w:pPr>
          </w:p>
        </w:tc>
        <w:tc>
          <w:tcPr>
            <w:tcW w:w="997" w:type="dxa"/>
            <w:vAlign w:val="center"/>
          </w:tcPr>
          <w:p w14:paraId="439BD33A">
            <w:pPr>
              <w:jc w:val="center"/>
              <w:rPr>
                <w:color w:val="auto"/>
                <w:lang w:eastAsia="zh-CN"/>
              </w:rPr>
            </w:pPr>
          </w:p>
        </w:tc>
        <w:tc>
          <w:tcPr>
            <w:tcW w:w="1126" w:type="dxa"/>
            <w:vAlign w:val="center"/>
          </w:tcPr>
          <w:p w14:paraId="4C031F7A">
            <w:pPr>
              <w:jc w:val="center"/>
              <w:rPr>
                <w:color w:val="auto"/>
                <w:lang w:eastAsia="zh-CN"/>
              </w:rPr>
            </w:pPr>
          </w:p>
        </w:tc>
        <w:tc>
          <w:tcPr>
            <w:tcW w:w="1124" w:type="dxa"/>
            <w:vAlign w:val="center"/>
          </w:tcPr>
          <w:p w14:paraId="2EDB6922">
            <w:pPr>
              <w:jc w:val="center"/>
              <w:rPr>
                <w:color w:val="auto"/>
                <w:lang w:eastAsia="zh-CN"/>
              </w:rPr>
            </w:pPr>
          </w:p>
        </w:tc>
        <w:tc>
          <w:tcPr>
            <w:tcW w:w="1133" w:type="dxa"/>
            <w:tcBorders>
              <w:right w:val="single" w:color="000000" w:sz="6" w:space="0"/>
            </w:tcBorders>
            <w:vAlign w:val="center"/>
          </w:tcPr>
          <w:p w14:paraId="325D00B7">
            <w:pPr>
              <w:jc w:val="center"/>
              <w:rPr>
                <w:color w:val="auto"/>
                <w:lang w:eastAsia="zh-CN"/>
              </w:rPr>
            </w:pPr>
          </w:p>
        </w:tc>
      </w:tr>
      <w:tr w14:paraId="3DC10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center"/>
          </w:tcPr>
          <w:p w14:paraId="2315D826">
            <w:pPr>
              <w:jc w:val="center"/>
              <w:rPr>
                <w:color w:val="auto"/>
                <w:lang w:eastAsia="zh-CN"/>
              </w:rPr>
            </w:pPr>
          </w:p>
        </w:tc>
        <w:tc>
          <w:tcPr>
            <w:tcW w:w="1001" w:type="dxa"/>
            <w:vAlign w:val="center"/>
          </w:tcPr>
          <w:p w14:paraId="1811FABB">
            <w:pPr>
              <w:jc w:val="center"/>
              <w:rPr>
                <w:color w:val="auto"/>
                <w:lang w:eastAsia="zh-CN"/>
              </w:rPr>
            </w:pPr>
          </w:p>
        </w:tc>
        <w:tc>
          <w:tcPr>
            <w:tcW w:w="1002" w:type="dxa"/>
            <w:vAlign w:val="center"/>
          </w:tcPr>
          <w:p w14:paraId="04CC9202">
            <w:pPr>
              <w:jc w:val="center"/>
              <w:rPr>
                <w:color w:val="auto"/>
                <w:lang w:eastAsia="zh-CN"/>
              </w:rPr>
            </w:pPr>
          </w:p>
        </w:tc>
        <w:tc>
          <w:tcPr>
            <w:tcW w:w="1004" w:type="dxa"/>
            <w:vAlign w:val="center"/>
          </w:tcPr>
          <w:p w14:paraId="370A0170">
            <w:pPr>
              <w:jc w:val="center"/>
              <w:rPr>
                <w:color w:val="auto"/>
                <w:lang w:eastAsia="zh-CN"/>
              </w:rPr>
            </w:pPr>
          </w:p>
        </w:tc>
        <w:tc>
          <w:tcPr>
            <w:tcW w:w="997" w:type="dxa"/>
            <w:vAlign w:val="center"/>
          </w:tcPr>
          <w:p w14:paraId="15E5EDB2">
            <w:pPr>
              <w:jc w:val="center"/>
              <w:rPr>
                <w:color w:val="auto"/>
                <w:lang w:eastAsia="zh-CN"/>
              </w:rPr>
            </w:pPr>
          </w:p>
        </w:tc>
        <w:tc>
          <w:tcPr>
            <w:tcW w:w="1126" w:type="dxa"/>
            <w:vAlign w:val="center"/>
          </w:tcPr>
          <w:p w14:paraId="30DC8E7F">
            <w:pPr>
              <w:jc w:val="center"/>
              <w:rPr>
                <w:color w:val="auto"/>
                <w:lang w:eastAsia="zh-CN"/>
              </w:rPr>
            </w:pPr>
          </w:p>
        </w:tc>
        <w:tc>
          <w:tcPr>
            <w:tcW w:w="1124" w:type="dxa"/>
            <w:vAlign w:val="center"/>
          </w:tcPr>
          <w:p w14:paraId="185366E5">
            <w:pPr>
              <w:jc w:val="center"/>
              <w:rPr>
                <w:color w:val="auto"/>
                <w:lang w:eastAsia="zh-CN"/>
              </w:rPr>
            </w:pPr>
          </w:p>
        </w:tc>
        <w:tc>
          <w:tcPr>
            <w:tcW w:w="1133" w:type="dxa"/>
            <w:tcBorders>
              <w:right w:val="single" w:color="000000" w:sz="6" w:space="0"/>
            </w:tcBorders>
            <w:vAlign w:val="center"/>
          </w:tcPr>
          <w:p w14:paraId="529F20FA">
            <w:pPr>
              <w:jc w:val="center"/>
              <w:rPr>
                <w:color w:val="auto"/>
                <w:lang w:eastAsia="zh-CN"/>
              </w:rPr>
            </w:pPr>
          </w:p>
        </w:tc>
      </w:tr>
      <w:tr w14:paraId="50776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center"/>
          </w:tcPr>
          <w:p w14:paraId="30A07541">
            <w:pPr>
              <w:jc w:val="center"/>
              <w:rPr>
                <w:color w:val="auto"/>
                <w:lang w:eastAsia="zh-CN"/>
              </w:rPr>
            </w:pPr>
          </w:p>
        </w:tc>
        <w:tc>
          <w:tcPr>
            <w:tcW w:w="1001" w:type="dxa"/>
            <w:vAlign w:val="center"/>
          </w:tcPr>
          <w:p w14:paraId="16BF07AC">
            <w:pPr>
              <w:jc w:val="center"/>
              <w:rPr>
                <w:color w:val="auto"/>
                <w:lang w:eastAsia="zh-CN"/>
              </w:rPr>
            </w:pPr>
          </w:p>
        </w:tc>
        <w:tc>
          <w:tcPr>
            <w:tcW w:w="1002" w:type="dxa"/>
            <w:vAlign w:val="center"/>
          </w:tcPr>
          <w:p w14:paraId="399608C8">
            <w:pPr>
              <w:jc w:val="center"/>
              <w:rPr>
                <w:color w:val="auto"/>
                <w:lang w:eastAsia="zh-CN"/>
              </w:rPr>
            </w:pPr>
          </w:p>
        </w:tc>
        <w:tc>
          <w:tcPr>
            <w:tcW w:w="1004" w:type="dxa"/>
            <w:vAlign w:val="center"/>
          </w:tcPr>
          <w:p w14:paraId="4BDBBC71">
            <w:pPr>
              <w:jc w:val="center"/>
              <w:rPr>
                <w:color w:val="auto"/>
                <w:lang w:eastAsia="zh-CN"/>
              </w:rPr>
            </w:pPr>
          </w:p>
        </w:tc>
        <w:tc>
          <w:tcPr>
            <w:tcW w:w="997" w:type="dxa"/>
            <w:vAlign w:val="center"/>
          </w:tcPr>
          <w:p w14:paraId="47D92872">
            <w:pPr>
              <w:jc w:val="center"/>
              <w:rPr>
                <w:color w:val="auto"/>
                <w:lang w:eastAsia="zh-CN"/>
              </w:rPr>
            </w:pPr>
          </w:p>
        </w:tc>
        <w:tc>
          <w:tcPr>
            <w:tcW w:w="1126" w:type="dxa"/>
            <w:vAlign w:val="center"/>
          </w:tcPr>
          <w:p w14:paraId="70F17EBE">
            <w:pPr>
              <w:jc w:val="center"/>
              <w:rPr>
                <w:color w:val="auto"/>
                <w:lang w:eastAsia="zh-CN"/>
              </w:rPr>
            </w:pPr>
          </w:p>
        </w:tc>
        <w:tc>
          <w:tcPr>
            <w:tcW w:w="1124" w:type="dxa"/>
            <w:vAlign w:val="center"/>
          </w:tcPr>
          <w:p w14:paraId="7B983D59">
            <w:pPr>
              <w:jc w:val="center"/>
              <w:rPr>
                <w:color w:val="auto"/>
                <w:lang w:eastAsia="zh-CN"/>
              </w:rPr>
            </w:pPr>
          </w:p>
        </w:tc>
        <w:tc>
          <w:tcPr>
            <w:tcW w:w="1133" w:type="dxa"/>
            <w:tcBorders>
              <w:right w:val="single" w:color="000000" w:sz="6" w:space="0"/>
            </w:tcBorders>
            <w:vAlign w:val="center"/>
          </w:tcPr>
          <w:p w14:paraId="1A768921">
            <w:pPr>
              <w:jc w:val="center"/>
              <w:rPr>
                <w:color w:val="auto"/>
                <w:lang w:eastAsia="zh-CN"/>
              </w:rPr>
            </w:pPr>
          </w:p>
        </w:tc>
      </w:tr>
      <w:tr w14:paraId="182CF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1622" w:type="dxa"/>
            <w:tcBorders>
              <w:left w:val="single" w:color="000000" w:sz="6" w:space="0"/>
              <w:bottom w:val="single" w:color="000000" w:sz="6" w:space="0"/>
            </w:tcBorders>
            <w:vAlign w:val="center"/>
          </w:tcPr>
          <w:p w14:paraId="1075A652">
            <w:pPr>
              <w:jc w:val="center"/>
              <w:rPr>
                <w:color w:val="auto"/>
                <w:lang w:eastAsia="zh-CN"/>
              </w:rPr>
            </w:pPr>
          </w:p>
        </w:tc>
        <w:tc>
          <w:tcPr>
            <w:tcW w:w="1001" w:type="dxa"/>
            <w:tcBorders>
              <w:bottom w:val="single" w:color="000000" w:sz="6" w:space="0"/>
            </w:tcBorders>
            <w:vAlign w:val="center"/>
          </w:tcPr>
          <w:p w14:paraId="0C7A4520">
            <w:pPr>
              <w:jc w:val="center"/>
              <w:rPr>
                <w:color w:val="auto"/>
                <w:lang w:eastAsia="zh-CN"/>
              </w:rPr>
            </w:pPr>
          </w:p>
        </w:tc>
        <w:tc>
          <w:tcPr>
            <w:tcW w:w="1002" w:type="dxa"/>
            <w:tcBorders>
              <w:bottom w:val="single" w:color="000000" w:sz="6" w:space="0"/>
            </w:tcBorders>
            <w:vAlign w:val="center"/>
          </w:tcPr>
          <w:p w14:paraId="49BA8BFB">
            <w:pPr>
              <w:jc w:val="center"/>
              <w:rPr>
                <w:color w:val="auto"/>
                <w:lang w:eastAsia="zh-CN"/>
              </w:rPr>
            </w:pPr>
          </w:p>
        </w:tc>
        <w:tc>
          <w:tcPr>
            <w:tcW w:w="1004" w:type="dxa"/>
            <w:tcBorders>
              <w:bottom w:val="single" w:color="000000" w:sz="6" w:space="0"/>
            </w:tcBorders>
            <w:vAlign w:val="center"/>
          </w:tcPr>
          <w:p w14:paraId="1498EE3C">
            <w:pPr>
              <w:jc w:val="center"/>
              <w:rPr>
                <w:color w:val="auto"/>
                <w:lang w:eastAsia="zh-CN"/>
              </w:rPr>
            </w:pPr>
          </w:p>
        </w:tc>
        <w:tc>
          <w:tcPr>
            <w:tcW w:w="997" w:type="dxa"/>
            <w:tcBorders>
              <w:bottom w:val="single" w:color="000000" w:sz="6" w:space="0"/>
            </w:tcBorders>
            <w:vAlign w:val="center"/>
          </w:tcPr>
          <w:p w14:paraId="49F8234D">
            <w:pPr>
              <w:jc w:val="center"/>
              <w:rPr>
                <w:color w:val="auto"/>
                <w:lang w:eastAsia="zh-CN"/>
              </w:rPr>
            </w:pPr>
          </w:p>
        </w:tc>
        <w:tc>
          <w:tcPr>
            <w:tcW w:w="1126" w:type="dxa"/>
            <w:tcBorders>
              <w:bottom w:val="single" w:color="000000" w:sz="6" w:space="0"/>
            </w:tcBorders>
            <w:vAlign w:val="center"/>
          </w:tcPr>
          <w:p w14:paraId="4F6F20F5">
            <w:pPr>
              <w:jc w:val="center"/>
              <w:rPr>
                <w:color w:val="auto"/>
                <w:lang w:eastAsia="zh-CN"/>
              </w:rPr>
            </w:pPr>
          </w:p>
        </w:tc>
        <w:tc>
          <w:tcPr>
            <w:tcW w:w="1124" w:type="dxa"/>
            <w:tcBorders>
              <w:bottom w:val="single" w:color="000000" w:sz="6" w:space="0"/>
            </w:tcBorders>
            <w:vAlign w:val="center"/>
          </w:tcPr>
          <w:p w14:paraId="755024A0">
            <w:pPr>
              <w:jc w:val="center"/>
              <w:rPr>
                <w:color w:val="auto"/>
                <w:lang w:eastAsia="zh-CN"/>
              </w:rPr>
            </w:pPr>
          </w:p>
        </w:tc>
        <w:tc>
          <w:tcPr>
            <w:tcW w:w="1133" w:type="dxa"/>
            <w:tcBorders>
              <w:bottom w:val="single" w:color="000000" w:sz="6" w:space="0"/>
              <w:right w:val="single" w:color="000000" w:sz="6" w:space="0"/>
            </w:tcBorders>
            <w:vAlign w:val="center"/>
          </w:tcPr>
          <w:p w14:paraId="1E9A1539">
            <w:pPr>
              <w:jc w:val="center"/>
              <w:rPr>
                <w:color w:val="auto"/>
                <w:lang w:eastAsia="zh-CN"/>
              </w:rPr>
            </w:pPr>
          </w:p>
        </w:tc>
      </w:tr>
    </w:tbl>
    <w:p w14:paraId="0F5ABEA4">
      <w:pPr>
        <w:pStyle w:val="8"/>
        <w:rPr>
          <w:color w:val="auto"/>
          <w:lang w:eastAsia="zh-CN"/>
        </w:rPr>
      </w:pPr>
    </w:p>
    <w:p w14:paraId="27505FCA">
      <w:pPr>
        <w:rPr>
          <w:color w:val="auto"/>
          <w:lang w:eastAsia="zh-CN"/>
        </w:rPr>
      </w:pPr>
      <w:r>
        <w:rPr>
          <w:color w:val="auto"/>
          <w:lang w:eastAsia="zh-CN"/>
        </w:rPr>
        <w:br w:type="page"/>
      </w:r>
    </w:p>
    <w:p w14:paraId="5177836D">
      <w:pPr>
        <w:spacing w:before="78" w:line="219" w:lineRule="auto"/>
        <w:ind w:left="14"/>
        <w:rPr>
          <w:rFonts w:hint="eastAsia" w:ascii="宋体" w:hAnsi="宋体" w:eastAsia="宋体" w:cs="宋体"/>
          <w:color w:val="auto"/>
          <w:sz w:val="24"/>
          <w:szCs w:val="24"/>
          <w:lang w:eastAsia="zh-CN"/>
        </w:rPr>
      </w:pPr>
      <w:r>
        <w:rPr>
          <w:rFonts w:ascii="宋体" w:hAnsi="宋体" w:eastAsia="宋体" w:cs="宋体"/>
          <w:color w:val="auto"/>
          <w:spacing w:val="-16"/>
          <w:sz w:val="24"/>
          <w:szCs w:val="24"/>
          <w:lang w:eastAsia="zh-CN"/>
        </w:rPr>
        <w:t>附件四：</w:t>
      </w:r>
    </w:p>
    <w:p w14:paraId="70F9CB87">
      <w:pPr>
        <w:spacing w:before="182" w:line="220" w:lineRule="auto"/>
        <w:ind w:left="2340"/>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计划开工日期、完工日期和施工进度表</w:t>
      </w:r>
    </w:p>
    <w:p w14:paraId="3A01FF91">
      <w:pPr>
        <w:pStyle w:val="8"/>
        <w:spacing w:line="257" w:lineRule="auto"/>
        <w:rPr>
          <w:color w:val="auto"/>
          <w:lang w:eastAsia="zh-CN"/>
        </w:rPr>
      </w:pPr>
    </w:p>
    <w:p w14:paraId="79B62B86">
      <w:pPr>
        <w:pStyle w:val="8"/>
        <w:spacing w:line="257" w:lineRule="auto"/>
        <w:rPr>
          <w:color w:val="auto"/>
          <w:lang w:eastAsia="zh-CN"/>
        </w:rPr>
      </w:pPr>
    </w:p>
    <w:p w14:paraId="5CB0A951">
      <w:pPr>
        <w:spacing w:before="78" w:line="289" w:lineRule="auto"/>
        <w:ind w:right="1" w:firstLine="494"/>
        <w:rPr>
          <w:rFonts w:hint="eastAsia" w:ascii="宋体" w:hAnsi="宋体" w:eastAsia="宋体" w:cs="宋体"/>
          <w:color w:val="auto"/>
          <w:sz w:val="24"/>
          <w:szCs w:val="24"/>
          <w:lang w:eastAsia="zh-CN"/>
        </w:rPr>
      </w:pPr>
      <w:r>
        <w:rPr>
          <w:rFonts w:ascii="Times New Roman" w:hAnsi="Times New Roman" w:eastAsia="Times New Roman" w:cs="Times New Roman"/>
          <w:color w:val="auto"/>
          <w:spacing w:val="2"/>
          <w:sz w:val="24"/>
          <w:szCs w:val="24"/>
          <w:lang w:eastAsia="zh-CN"/>
        </w:rPr>
        <w:t>1.</w:t>
      </w:r>
      <w:r>
        <w:rPr>
          <w:rFonts w:ascii="宋体" w:hAnsi="宋体" w:eastAsia="宋体" w:cs="宋体"/>
          <w:color w:val="auto"/>
          <w:spacing w:val="2"/>
          <w:sz w:val="24"/>
          <w:szCs w:val="24"/>
          <w:lang w:eastAsia="zh-CN"/>
        </w:rPr>
        <w:t>投标人应递交施工进度表，说明按招标文</w:t>
      </w:r>
      <w:r>
        <w:rPr>
          <w:rFonts w:ascii="宋体" w:hAnsi="宋体" w:eastAsia="宋体" w:cs="宋体"/>
          <w:color w:val="auto"/>
          <w:spacing w:val="1"/>
          <w:sz w:val="24"/>
          <w:szCs w:val="24"/>
          <w:lang w:eastAsia="zh-CN"/>
        </w:rPr>
        <w:t>件要求的计划工期进行施工的各个</w:t>
      </w:r>
      <w:r>
        <w:rPr>
          <w:rFonts w:ascii="宋体" w:hAnsi="宋体" w:eastAsia="宋体" w:cs="宋体"/>
          <w:color w:val="auto"/>
          <w:spacing w:val="-8"/>
          <w:sz w:val="24"/>
          <w:szCs w:val="24"/>
          <w:lang w:eastAsia="zh-CN"/>
        </w:rPr>
        <w:t>关键日期。</w:t>
      </w:r>
    </w:p>
    <w:p w14:paraId="005C692A">
      <w:pPr>
        <w:spacing w:before="181" w:line="219" w:lineRule="auto"/>
        <w:ind w:left="471"/>
        <w:rPr>
          <w:rFonts w:hint="eastAsia" w:ascii="宋体" w:hAnsi="宋体" w:eastAsia="宋体" w:cs="宋体"/>
          <w:color w:val="auto"/>
          <w:sz w:val="24"/>
          <w:szCs w:val="24"/>
          <w:lang w:eastAsia="zh-CN"/>
        </w:rPr>
      </w:pPr>
      <w:r>
        <w:rPr>
          <w:rFonts w:ascii="Times New Roman" w:hAnsi="Times New Roman" w:eastAsia="Times New Roman" w:cs="Times New Roman"/>
          <w:color w:val="auto"/>
          <w:spacing w:val="-2"/>
          <w:sz w:val="24"/>
          <w:szCs w:val="24"/>
          <w:lang w:eastAsia="zh-CN"/>
        </w:rPr>
        <w:t>2.</w:t>
      </w:r>
      <w:r>
        <w:rPr>
          <w:rFonts w:ascii="宋体" w:hAnsi="宋体" w:eastAsia="宋体" w:cs="宋体"/>
          <w:color w:val="auto"/>
          <w:spacing w:val="-2"/>
          <w:sz w:val="24"/>
          <w:szCs w:val="24"/>
          <w:lang w:eastAsia="zh-CN"/>
        </w:rPr>
        <w:t>施工进度表可采用网络图（或横道图）表示。</w:t>
      </w:r>
    </w:p>
    <w:p w14:paraId="743B1079">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18F3F636">
      <w:pPr>
        <w:spacing w:before="78" w:line="219" w:lineRule="auto"/>
        <w:ind w:left="15"/>
        <w:rPr>
          <w:rFonts w:hint="eastAsia" w:ascii="宋体" w:hAnsi="宋体" w:eastAsia="宋体" w:cs="宋体"/>
          <w:color w:val="auto"/>
          <w:sz w:val="24"/>
          <w:szCs w:val="24"/>
          <w:lang w:eastAsia="zh-CN"/>
        </w:rPr>
      </w:pPr>
      <w:r>
        <w:rPr>
          <w:rFonts w:ascii="宋体" w:hAnsi="宋体" w:eastAsia="宋体" w:cs="宋体"/>
          <w:color w:val="auto"/>
          <w:spacing w:val="-16"/>
          <w:sz w:val="24"/>
          <w:szCs w:val="24"/>
          <w:lang w:eastAsia="zh-CN"/>
        </w:rPr>
        <w:t>附件五：</w:t>
      </w:r>
    </w:p>
    <w:p w14:paraId="6239280B">
      <w:pPr>
        <w:spacing w:before="183" w:line="221" w:lineRule="auto"/>
        <w:ind w:left="3668"/>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施工总平面图</w:t>
      </w:r>
    </w:p>
    <w:p w14:paraId="45C21133">
      <w:pPr>
        <w:spacing w:before="179" w:line="360" w:lineRule="auto"/>
        <w:ind w:firstLine="480"/>
        <w:jc w:val="both"/>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投标人应递交一份施工总平面图，绘出现场临时设施布置图及表并附文字</w:t>
      </w:r>
      <w:r>
        <w:rPr>
          <w:rFonts w:ascii="宋体" w:hAnsi="宋体" w:eastAsia="宋体" w:cs="宋体"/>
          <w:color w:val="auto"/>
          <w:spacing w:val="-2"/>
          <w:sz w:val="24"/>
          <w:szCs w:val="24"/>
          <w:lang w:eastAsia="zh-CN"/>
        </w:rPr>
        <w:t>说明，</w:t>
      </w:r>
      <w:r>
        <w:rPr>
          <w:rFonts w:ascii="宋体" w:hAnsi="宋体" w:eastAsia="宋体" w:cs="宋体"/>
          <w:color w:val="auto"/>
          <w:spacing w:val="-10"/>
          <w:sz w:val="24"/>
          <w:szCs w:val="24"/>
          <w:lang w:eastAsia="zh-CN"/>
        </w:rPr>
        <w:t>说明临时设施、加工车间、现场办公、设备及仓储、供电、供水、卫生、生活、道路、</w:t>
      </w:r>
      <w:r>
        <w:rPr>
          <w:rFonts w:ascii="宋体" w:hAnsi="宋体" w:eastAsia="宋体" w:cs="宋体"/>
          <w:color w:val="auto"/>
          <w:spacing w:val="-4"/>
          <w:sz w:val="24"/>
          <w:szCs w:val="24"/>
          <w:lang w:eastAsia="zh-CN"/>
        </w:rPr>
        <w:t>消防等设施的情况和布置。</w:t>
      </w:r>
    </w:p>
    <w:p w14:paraId="411ABE40">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3A01663B">
      <w:pPr>
        <w:spacing w:before="78" w:line="219" w:lineRule="auto"/>
        <w:ind w:left="28"/>
        <w:rPr>
          <w:rFonts w:hint="eastAsia" w:ascii="宋体" w:hAnsi="宋体" w:eastAsia="宋体" w:cs="宋体"/>
          <w:color w:val="auto"/>
          <w:sz w:val="24"/>
          <w:szCs w:val="24"/>
        </w:rPr>
      </w:pPr>
      <w:r>
        <w:rPr>
          <w:rFonts w:ascii="宋体" w:hAnsi="宋体" w:eastAsia="宋体" w:cs="宋体"/>
          <w:color w:val="auto"/>
          <w:spacing w:val="-16"/>
          <w:sz w:val="24"/>
          <w:szCs w:val="24"/>
        </w:rPr>
        <w:t>附件六：</w:t>
      </w:r>
    </w:p>
    <w:p w14:paraId="62BBBC20">
      <w:pPr>
        <w:spacing w:before="182" w:line="220" w:lineRule="auto"/>
        <w:ind w:left="3814"/>
        <w:rPr>
          <w:rFonts w:hint="eastAsia" w:ascii="宋体" w:hAnsi="宋体" w:eastAsia="宋体" w:cs="宋体"/>
          <w:color w:val="auto"/>
          <w:sz w:val="24"/>
          <w:szCs w:val="24"/>
        </w:rPr>
      </w:pPr>
      <w:r>
        <w:rPr>
          <w:rFonts w:ascii="宋体" w:hAnsi="宋体" w:eastAsia="宋体" w:cs="宋体"/>
          <w:b/>
          <w:bCs/>
          <w:color w:val="auto"/>
          <w:spacing w:val="-7"/>
          <w:sz w:val="24"/>
          <w:szCs w:val="24"/>
        </w:rPr>
        <w:t>临时用地表</w:t>
      </w:r>
    </w:p>
    <w:p w14:paraId="572CF788">
      <w:pPr>
        <w:spacing w:line="144" w:lineRule="exact"/>
        <w:rPr>
          <w:color w:val="auto"/>
        </w:rPr>
      </w:pPr>
    </w:p>
    <w:tbl>
      <w:tblPr>
        <w:tblStyle w:val="20"/>
        <w:tblW w:w="890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93"/>
        <w:gridCol w:w="2211"/>
        <w:gridCol w:w="2358"/>
        <w:gridCol w:w="2039"/>
      </w:tblGrid>
      <w:tr w14:paraId="2E14E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2293" w:type="dxa"/>
            <w:tcBorders>
              <w:top w:val="single" w:color="000000" w:sz="6" w:space="0"/>
              <w:left w:val="single" w:color="000000" w:sz="6" w:space="0"/>
            </w:tcBorders>
            <w:vAlign w:val="center"/>
          </w:tcPr>
          <w:p w14:paraId="7321096D">
            <w:pPr>
              <w:pStyle w:val="21"/>
              <w:jc w:val="center"/>
              <w:rPr>
                <w:rFonts w:hint="eastAsia"/>
                <w:color w:val="auto"/>
                <w:sz w:val="24"/>
                <w:szCs w:val="24"/>
              </w:rPr>
            </w:pPr>
            <w:r>
              <w:rPr>
                <w:color w:val="auto"/>
                <w:spacing w:val="-6"/>
                <w:sz w:val="24"/>
                <w:szCs w:val="24"/>
              </w:rPr>
              <w:t>用</w:t>
            </w:r>
            <w:r>
              <w:rPr>
                <w:rFonts w:hint="eastAsia"/>
                <w:color w:val="auto"/>
                <w:spacing w:val="3"/>
                <w:sz w:val="24"/>
                <w:szCs w:val="24"/>
                <w:lang w:eastAsia="zh-CN"/>
              </w:rPr>
              <w:t>　</w:t>
            </w:r>
            <w:r>
              <w:rPr>
                <w:color w:val="auto"/>
                <w:spacing w:val="-6"/>
                <w:sz w:val="24"/>
                <w:szCs w:val="24"/>
              </w:rPr>
              <w:t>途</w:t>
            </w:r>
          </w:p>
        </w:tc>
        <w:tc>
          <w:tcPr>
            <w:tcW w:w="2211" w:type="dxa"/>
            <w:tcBorders>
              <w:top w:val="single" w:color="000000" w:sz="6" w:space="0"/>
            </w:tcBorders>
            <w:vAlign w:val="center"/>
          </w:tcPr>
          <w:p w14:paraId="55737F73">
            <w:pPr>
              <w:pStyle w:val="21"/>
              <w:jc w:val="center"/>
              <w:rPr>
                <w:rFonts w:hint="eastAsia"/>
                <w:color w:val="auto"/>
                <w:sz w:val="24"/>
                <w:szCs w:val="24"/>
              </w:rPr>
            </w:pPr>
            <w:r>
              <w:rPr>
                <w:color w:val="auto"/>
                <w:spacing w:val="-2"/>
                <w:sz w:val="24"/>
                <w:szCs w:val="24"/>
              </w:rPr>
              <w:t>面积（</w:t>
            </w:r>
            <w:r>
              <w:rPr>
                <w:rFonts w:ascii="Times New Roman" w:hAnsi="Times New Roman" w:eastAsia="Times New Roman" w:cs="Times New Roman"/>
                <w:color w:val="auto"/>
                <w:spacing w:val="-2"/>
                <w:sz w:val="24"/>
                <w:szCs w:val="24"/>
              </w:rPr>
              <w:t>m</w:t>
            </w:r>
            <w:r>
              <w:rPr>
                <w:rFonts w:ascii="Times New Roman" w:hAnsi="Times New Roman" w:eastAsia="Times New Roman" w:cs="Times New Roman"/>
                <w:color w:val="auto"/>
                <w:spacing w:val="-2"/>
                <w:position w:val="8"/>
                <w:sz w:val="16"/>
                <w:szCs w:val="16"/>
              </w:rPr>
              <w:t>2</w:t>
            </w:r>
            <w:r>
              <w:rPr>
                <w:color w:val="auto"/>
                <w:spacing w:val="-2"/>
                <w:sz w:val="24"/>
                <w:szCs w:val="24"/>
              </w:rPr>
              <w:t>）</w:t>
            </w:r>
          </w:p>
        </w:tc>
        <w:tc>
          <w:tcPr>
            <w:tcW w:w="2358" w:type="dxa"/>
            <w:tcBorders>
              <w:top w:val="single" w:color="000000" w:sz="6" w:space="0"/>
            </w:tcBorders>
            <w:vAlign w:val="center"/>
          </w:tcPr>
          <w:p w14:paraId="4AED4B7F">
            <w:pPr>
              <w:pStyle w:val="21"/>
              <w:jc w:val="center"/>
              <w:rPr>
                <w:rFonts w:hint="eastAsia"/>
                <w:color w:val="auto"/>
                <w:sz w:val="24"/>
                <w:szCs w:val="24"/>
              </w:rPr>
            </w:pPr>
            <w:r>
              <w:rPr>
                <w:color w:val="auto"/>
                <w:spacing w:val="-5"/>
                <w:sz w:val="24"/>
                <w:szCs w:val="24"/>
              </w:rPr>
              <w:t>位</w:t>
            </w:r>
            <w:r>
              <w:rPr>
                <w:rFonts w:hint="eastAsia"/>
                <w:color w:val="auto"/>
                <w:spacing w:val="2"/>
                <w:sz w:val="24"/>
                <w:szCs w:val="24"/>
                <w:lang w:eastAsia="zh-CN"/>
              </w:rPr>
              <w:t>　</w:t>
            </w:r>
            <w:r>
              <w:rPr>
                <w:color w:val="auto"/>
                <w:spacing w:val="-5"/>
                <w:sz w:val="24"/>
                <w:szCs w:val="24"/>
              </w:rPr>
              <w:t>置</w:t>
            </w:r>
          </w:p>
        </w:tc>
        <w:tc>
          <w:tcPr>
            <w:tcW w:w="2039" w:type="dxa"/>
            <w:tcBorders>
              <w:top w:val="single" w:color="000000" w:sz="6" w:space="0"/>
              <w:right w:val="single" w:color="000000" w:sz="6" w:space="0"/>
            </w:tcBorders>
            <w:vAlign w:val="center"/>
          </w:tcPr>
          <w:p w14:paraId="0C76367C">
            <w:pPr>
              <w:pStyle w:val="21"/>
              <w:jc w:val="center"/>
              <w:rPr>
                <w:rFonts w:hint="eastAsia"/>
                <w:color w:val="auto"/>
                <w:sz w:val="24"/>
                <w:szCs w:val="24"/>
              </w:rPr>
            </w:pPr>
            <w:r>
              <w:rPr>
                <w:color w:val="auto"/>
                <w:spacing w:val="-5"/>
                <w:sz w:val="24"/>
                <w:szCs w:val="24"/>
              </w:rPr>
              <w:t>需用时间</w:t>
            </w:r>
          </w:p>
        </w:tc>
      </w:tr>
      <w:tr w14:paraId="22961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2293" w:type="dxa"/>
            <w:tcBorders>
              <w:left w:val="single" w:color="000000" w:sz="6" w:space="0"/>
            </w:tcBorders>
            <w:vAlign w:val="center"/>
          </w:tcPr>
          <w:p w14:paraId="7263B9C8">
            <w:pPr>
              <w:jc w:val="center"/>
              <w:rPr>
                <w:color w:val="auto"/>
              </w:rPr>
            </w:pPr>
          </w:p>
        </w:tc>
        <w:tc>
          <w:tcPr>
            <w:tcW w:w="2211" w:type="dxa"/>
            <w:vAlign w:val="center"/>
          </w:tcPr>
          <w:p w14:paraId="76DB1AAD">
            <w:pPr>
              <w:jc w:val="center"/>
              <w:rPr>
                <w:color w:val="auto"/>
              </w:rPr>
            </w:pPr>
          </w:p>
        </w:tc>
        <w:tc>
          <w:tcPr>
            <w:tcW w:w="2358" w:type="dxa"/>
            <w:vAlign w:val="center"/>
          </w:tcPr>
          <w:p w14:paraId="4E9B43C7">
            <w:pPr>
              <w:jc w:val="center"/>
              <w:rPr>
                <w:color w:val="auto"/>
              </w:rPr>
            </w:pPr>
          </w:p>
        </w:tc>
        <w:tc>
          <w:tcPr>
            <w:tcW w:w="2039" w:type="dxa"/>
            <w:tcBorders>
              <w:right w:val="single" w:color="000000" w:sz="6" w:space="0"/>
            </w:tcBorders>
            <w:vAlign w:val="center"/>
          </w:tcPr>
          <w:p w14:paraId="3583F68C">
            <w:pPr>
              <w:jc w:val="center"/>
              <w:rPr>
                <w:color w:val="auto"/>
              </w:rPr>
            </w:pPr>
          </w:p>
        </w:tc>
      </w:tr>
      <w:tr w14:paraId="1B4ED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72F39EEF">
            <w:pPr>
              <w:jc w:val="center"/>
              <w:rPr>
                <w:color w:val="auto"/>
              </w:rPr>
            </w:pPr>
          </w:p>
        </w:tc>
        <w:tc>
          <w:tcPr>
            <w:tcW w:w="2211" w:type="dxa"/>
            <w:vAlign w:val="center"/>
          </w:tcPr>
          <w:p w14:paraId="07253934">
            <w:pPr>
              <w:jc w:val="center"/>
              <w:rPr>
                <w:color w:val="auto"/>
              </w:rPr>
            </w:pPr>
          </w:p>
        </w:tc>
        <w:tc>
          <w:tcPr>
            <w:tcW w:w="2358" w:type="dxa"/>
            <w:vAlign w:val="center"/>
          </w:tcPr>
          <w:p w14:paraId="3A103577">
            <w:pPr>
              <w:jc w:val="center"/>
              <w:rPr>
                <w:color w:val="auto"/>
              </w:rPr>
            </w:pPr>
          </w:p>
        </w:tc>
        <w:tc>
          <w:tcPr>
            <w:tcW w:w="2039" w:type="dxa"/>
            <w:tcBorders>
              <w:right w:val="single" w:color="000000" w:sz="6" w:space="0"/>
            </w:tcBorders>
            <w:vAlign w:val="center"/>
          </w:tcPr>
          <w:p w14:paraId="1ADFEB34">
            <w:pPr>
              <w:jc w:val="center"/>
              <w:rPr>
                <w:color w:val="auto"/>
              </w:rPr>
            </w:pPr>
          </w:p>
        </w:tc>
      </w:tr>
      <w:tr w14:paraId="0FD54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3B72721D">
            <w:pPr>
              <w:jc w:val="center"/>
              <w:rPr>
                <w:color w:val="auto"/>
              </w:rPr>
            </w:pPr>
          </w:p>
        </w:tc>
        <w:tc>
          <w:tcPr>
            <w:tcW w:w="2211" w:type="dxa"/>
            <w:vAlign w:val="center"/>
          </w:tcPr>
          <w:p w14:paraId="30909EC6">
            <w:pPr>
              <w:jc w:val="center"/>
              <w:rPr>
                <w:color w:val="auto"/>
              </w:rPr>
            </w:pPr>
          </w:p>
        </w:tc>
        <w:tc>
          <w:tcPr>
            <w:tcW w:w="2358" w:type="dxa"/>
            <w:vAlign w:val="center"/>
          </w:tcPr>
          <w:p w14:paraId="3727DC69">
            <w:pPr>
              <w:jc w:val="center"/>
              <w:rPr>
                <w:color w:val="auto"/>
              </w:rPr>
            </w:pPr>
          </w:p>
        </w:tc>
        <w:tc>
          <w:tcPr>
            <w:tcW w:w="2039" w:type="dxa"/>
            <w:tcBorders>
              <w:right w:val="single" w:color="000000" w:sz="6" w:space="0"/>
            </w:tcBorders>
            <w:vAlign w:val="center"/>
          </w:tcPr>
          <w:p w14:paraId="0F3F70C1">
            <w:pPr>
              <w:jc w:val="center"/>
              <w:rPr>
                <w:color w:val="auto"/>
              </w:rPr>
            </w:pPr>
          </w:p>
        </w:tc>
      </w:tr>
      <w:tr w14:paraId="05EAD6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056984E2">
            <w:pPr>
              <w:jc w:val="center"/>
              <w:rPr>
                <w:color w:val="auto"/>
              </w:rPr>
            </w:pPr>
          </w:p>
        </w:tc>
        <w:tc>
          <w:tcPr>
            <w:tcW w:w="2211" w:type="dxa"/>
            <w:vAlign w:val="center"/>
          </w:tcPr>
          <w:p w14:paraId="3C1B96E3">
            <w:pPr>
              <w:jc w:val="center"/>
              <w:rPr>
                <w:color w:val="auto"/>
              </w:rPr>
            </w:pPr>
          </w:p>
        </w:tc>
        <w:tc>
          <w:tcPr>
            <w:tcW w:w="2358" w:type="dxa"/>
            <w:vAlign w:val="center"/>
          </w:tcPr>
          <w:p w14:paraId="09785291">
            <w:pPr>
              <w:jc w:val="center"/>
              <w:rPr>
                <w:color w:val="auto"/>
              </w:rPr>
            </w:pPr>
          </w:p>
        </w:tc>
        <w:tc>
          <w:tcPr>
            <w:tcW w:w="2039" w:type="dxa"/>
            <w:tcBorders>
              <w:right w:val="single" w:color="000000" w:sz="6" w:space="0"/>
            </w:tcBorders>
            <w:vAlign w:val="center"/>
          </w:tcPr>
          <w:p w14:paraId="68043ED1">
            <w:pPr>
              <w:jc w:val="center"/>
              <w:rPr>
                <w:color w:val="auto"/>
              </w:rPr>
            </w:pPr>
          </w:p>
        </w:tc>
      </w:tr>
      <w:tr w14:paraId="4C560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2293" w:type="dxa"/>
            <w:tcBorders>
              <w:left w:val="single" w:color="000000" w:sz="6" w:space="0"/>
            </w:tcBorders>
            <w:vAlign w:val="center"/>
          </w:tcPr>
          <w:p w14:paraId="1D2D3EC4">
            <w:pPr>
              <w:jc w:val="center"/>
              <w:rPr>
                <w:color w:val="auto"/>
              </w:rPr>
            </w:pPr>
          </w:p>
        </w:tc>
        <w:tc>
          <w:tcPr>
            <w:tcW w:w="2211" w:type="dxa"/>
            <w:vAlign w:val="center"/>
          </w:tcPr>
          <w:p w14:paraId="6BCDAE68">
            <w:pPr>
              <w:jc w:val="center"/>
              <w:rPr>
                <w:color w:val="auto"/>
              </w:rPr>
            </w:pPr>
          </w:p>
        </w:tc>
        <w:tc>
          <w:tcPr>
            <w:tcW w:w="2358" w:type="dxa"/>
            <w:vAlign w:val="center"/>
          </w:tcPr>
          <w:p w14:paraId="4CA8B761">
            <w:pPr>
              <w:jc w:val="center"/>
              <w:rPr>
                <w:color w:val="auto"/>
              </w:rPr>
            </w:pPr>
          </w:p>
        </w:tc>
        <w:tc>
          <w:tcPr>
            <w:tcW w:w="2039" w:type="dxa"/>
            <w:tcBorders>
              <w:right w:val="single" w:color="000000" w:sz="6" w:space="0"/>
            </w:tcBorders>
            <w:vAlign w:val="center"/>
          </w:tcPr>
          <w:p w14:paraId="7F8FD7C8">
            <w:pPr>
              <w:jc w:val="center"/>
              <w:rPr>
                <w:color w:val="auto"/>
              </w:rPr>
            </w:pPr>
          </w:p>
        </w:tc>
      </w:tr>
      <w:tr w14:paraId="00269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1A8FEFEA">
            <w:pPr>
              <w:jc w:val="center"/>
              <w:rPr>
                <w:color w:val="auto"/>
              </w:rPr>
            </w:pPr>
          </w:p>
        </w:tc>
        <w:tc>
          <w:tcPr>
            <w:tcW w:w="2211" w:type="dxa"/>
            <w:vAlign w:val="center"/>
          </w:tcPr>
          <w:p w14:paraId="1EF3A0B4">
            <w:pPr>
              <w:jc w:val="center"/>
              <w:rPr>
                <w:color w:val="auto"/>
              </w:rPr>
            </w:pPr>
          </w:p>
        </w:tc>
        <w:tc>
          <w:tcPr>
            <w:tcW w:w="2358" w:type="dxa"/>
            <w:vAlign w:val="center"/>
          </w:tcPr>
          <w:p w14:paraId="0368D1D1">
            <w:pPr>
              <w:jc w:val="center"/>
              <w:rPr>
                <w:color w:val="auto"/>
              </w:rPr>
            </w:pPr>
          </w:p>
        </w:tc>
        <w:tc>
          <w:tcPr>
            <w:tcW w:w="2039" w:type="dxa"/>
            <w:tcBorders>
              <w:right w:val="single" w:color="000000" w:sz="6" w:space="0"/>
            </w:tcBorders>
            <w:vAlign w:val="center"/>
          </w:tcPr>
          <w:p w14:paraId="6745E9C8">
            <w:pPr>
              <w:jc w:val="center"/>
              <w:rPr>
                <w:color w:val="auto"/>
              </w:rPr>
            </w:pPr>
          </w:p>
        </w:tc>
      </w:tr>
      <w:tr w14:paraId="049B7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2293" w:type="dxa"/>
            <w:tcBorders>
              <w:left w:val="single" w:color="000000" w:sz="6" w:space="0"/>
            </w:tcBorders>
            <w:vAlign w:val="center"/>
          </w:tcPr>
          <w:p w14:paraId="63ED5951">
            <w:pPr>
              <w:jc w:val="center"/>
              <w:rPr>
                <w:color w:val="auto"/>
              </w:rPr>
            </w:pPr>
          </w:p>
        </w:tc>
        <w:tc>
          <w:tcPr>
            <w:tcW w:w="2211" w:type="dxa"/>
            <w:vAlign w:val="center"/>
          </w:tcPr>
          <w:p w14:paraId="2388684C">
            <w:pPr>
              <w:jc w:val="center"/>
              <w:rPr>
                <w:color w:val="auto"/>
              </w:rPr>
            </w:pPr>
          </w:p>
        </w:tc>
        <w:tc>
          <w:tcPr>
            <w:tcW w:w="2358" w:type="dxa"/>
            <w:vAlign w:val="center"/>
          </w:tcPr>
          <w:p w14:paraId="4315F4BD">
            <w:pPr>
              <w:jc w:val="center"/>
              <w:rPr>
                <w:color w:val="auto"/>
              </w:rPr>
            </w:pPr>
          </w:p>
        </w:tc>
        <w:tc>
          <w:tcPr>
            <w:tcW w:w="2039" w:type="dxa"/>
            <w:tcBorders>
              <w:right w:val="single" w:color="000000" w:sz="6" w:space="0"/>
            </w:tcBorders>
            <w:vAlign w:val="center"/>
          </w:tcPr>
          <w:p w14:paraId="3C5ADB4A">
            <w:pPr>
              <w:jc w:val="center"/>
              <w:rPr>
                <w:color w:val="auto"/>
              </w:rPr>
            </w:pPr>
          </w:p>
        </w:tc>
      </w:tr>
      <w:tr w14:paraId="68457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5C2C51A1">
            <w:pPr>
              <w:jc w:val="center"/>
              <w:rPr>
                <w:color w:val="auto"/>
              </w:rPr>
            </w:pPr>
          </w:p>
        </w:tc>
        <w:tc>
          <w:tcPr>
            <w:tcW w:w="2211" w:type="dxa"/>
            <w:vAlign w:val="center"/>
          </w:tcPr>
          <w:p w14:paraId="2B446B4D">
            <w:pPr>
              <w:jc w:val="center"/>
              <w:rPr>
                <w:color w:val="auto"/>
              </w:rPr>
            </w:pPr>
          </w:p>
        </w:tc>
        <w:tc>
          <w:tcPr>
            <w:tcW w:w="2358" w:type="dxa"/>
            <w:vAlign w:val="center"/>
          </w:tcPr>
          <w:p w14:paraId="7AD52C54">
            <w:pPr>
              <w:jc w:val="center"/>
              <w:rPr>
                <w:color w:val="auto"/>
              </w:rPr>
            </w:pPr>
          </w:p>
        </w:tc>
        <w:tc>
          <w:tcPr>
            <w:tcW w:w="2039" w:type="dxa"/>
            <w:tcBorders>
              <w:right w:val="single" w:color="000000" w:sz="6" w:space="0"/>
            </w:tcBorders>
            <w:vAlign w:val="center"/>
          </w:tcPr>
          <w:p w14:paraId="5F129E08">
            <w:pPr>
              <w:jc w:val="center"/>
              <w:rPr>
                <w:color w:val="auto"/>
              </w:rPr>
            </w:pPr>
          </w:p>
        </w:tc>
      </w:tr>
      <w:tr w14:paraId="0F7AB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4C91CC93">
            <w:pPr>
              <w:jc w:val="center"/>
              <w:rPr>
                <w:color w:val="auto"/>
              </w:rPr>
            </w:pPr>
          </w:p>
        </w:tc>
        <w:tc>
          <w:tcPr>
            <w:tcW w:w="2211" w:type="dxa"/>
            <w:vAlign w:val="center"/>
          </w:tcPr>
          <w:p w14:paraId="1061FB99">
            <w:pPr>
              <w:jc w:val="center"/>
              <w:rPr>
                <w:color w:val="auto"/>
              </w:rPr>
            </w:pPr>
          </w:p>
        </w:tc>
        <w:tc>
          <w:tcPr>
            <w:tcW w:w="2358" w:type="dxa"/>
            <w:vAlign w:val="center"/>
          </w:tcPr>
          <w:p w14:paraId="19FDC80B">
            <w:pPr>
              <w:jc w:val="center"/>
              <w:rPr>
                <w:color w:val="auto"/>
              </w:rPr>
            </w:pPr>
          </w:p>
        </w:tc>
        <w:tc>
          <w:tcPr>
            <w:tcW w:w="2039" w:type="dxa"/>
            <w:tcBorders>
              <w:right w:val="single" w:color="000000" w:sz="6" w:space="0"/>
            </w:tcBorders>
            <w:vAlign w:val="center"/>
          </w:tcPr>
          <w:p w14:paraId="37F00EF6">
            <w:pPr>
              <w:jc w:val="center"/>
              <w:rPr>
                <w:color w:val="auto"/>
              </w:rPr>
            </w:pPr>
          </w:p>
        </w:tc>
      </w:tr>
      <w:tr w14:paraId="5DE99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72257E32">
            <w:pPr>
              <w:jc w:val="center"/>
              <w:rPr>
                <w:color w:val="auto"/>
              </w:rPr>
            </w:pPr>
          </w:p>
        </w:tc>
        <w:tc>
          <w:tcPr>
            <w:tcW w:w="2211" w:type="dxa"/>
            <w:vAlign w:val="center"/>
          </w:tcPr>
          <w:p w14:paraId="23672F77">
            <w:pPr>
              <w:jc w:val="center"/>
              <w:rPr>
                <w:color w:val="auto"/>
              </w:rPr>
            </w:pPr>
          </w:p>
        </w:tc>
        <w:tc>
          <w:tcPr>
            <w:tcW w:w="2358" w:type="dxa"/>
            <w:vAlign w:val="center"/>
          </w:tcPr>
          <w:p w14:paraId="48949FE7">
            <w:pPr>
              <w:jc w:val="center"/>
              <w:rPr>
                <w:color w:val="auto"/>
              </w:rPr>
            </w:pPr>
          </w:p>
        </w:tc>
        <w:tc>
          <w:tcPr>
            <w:tcW w:w="2039" w:type="dxa"/>
            <w:tcBorders>
              <w:right w:val="single" w:color="000000" w:sz="6" w:space="0"/>
            </w:tcBorders>
            <w:vAlign w:val="center"/>
          </w:tcPr>
          <w:p w14:paraId="08C73930">
            <w:pPr>
              <w:jc w:val="center"/>
              <w:rPr>
                <w:color w:val="auto"/>
              </w:rPr>
            </w:pPr>
          </w:p>
        </w:tc>
      </w:tr>
      <w:tr w14:paraId="6D1BA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659A397D">
            <w:pPr>
              <w:jc w:val="center"/>
              <w:rPr>
                <w:color w:val="auto"/>
              </w:rPr>
            </w:pPr>
          </w:p>
        </w:tc>
        <w:tc>
          <w:tcPr>
            <w:tcW w:w="2211" w:type="dxa"/>
            <w:vAlign w:val="center"/>
          </w:tcPr>
          <w:p w14:paraId="689C5D21">
            <w:pPr>
              <w:jc w:val="center"/>
              <w:rPr>
                <w:color w:val="auto"/>
              </w:rPr>
            </w:pPr>
          </w:p>
        </w:tc>
        <w:tc>
          <w:tcPr>
            <w:tcW w:w="2358" w:type="dxa"/>
            <w:vAlign w:val="center"/>
          </w:tcPr>
          <w:p w14:paraId="51ADAA55">
            <w:pPr>
              <w:jc w:val="center"/>
              <w:rPr>
                <w:color w:val="auto"/>
              </w:rPr>
            </w:pPr>
          </w:p>
        </w:tc>
        <w:tc>
          <w:tcPr>
            <w:tcW w:w="2039" w:type="dxa"/>
            <w:tcBorders>
              <w:right w:val="single" w:color="000000" w:sz="6" w:space="0"/>
            </w:tcBorders>
            <w:vAlign w:val="center"/>
          </w:tcPr>
          <w:p w14:paraId="0E6C5593">
            <w:pPr>
              <w:jc w:val="center"/>
              <w:rPr>
                <w:color w:val="auto"/>
              </w:rPr>
            </w:pPr>
          </w:p>
        </w:tc>
      </w:tr>
      <w:tr w14:paraId="25FFB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5820ADEF">
            <w:pPr>
              <w:jc w:val="center"/>
              <w:rPr>
                <w:color w:val="auto"/>
              </w:rPr>
            </w:pPr>
          </w:p>
        </w:tc>
        <w:tc>
          <w:tcPr>
            <w:tcW w:w="2211" w:type="dxa"/>
            <w:vAlign w:val="center"/>
          </w:tcPr>
          <w:p w14:paraId="78BD8EC0">
            <w:pPr>
              <w:jc w:val="center"/>
              <w:rPr>
                <w:color w:val="auto"/>
              </w:rPr>
            </w:pPr>
          </w:p>
        </w:tc>
        <w:tc>
          <w:tcPr>
            <w:tcW w:w="2358" w:type="dxa"/>
            <w:vAlign w:val="center"/>
          </w:tcPr>
          <w:p w14:paraId="1B1A4F4B">
            <w:pPr>
              <w:jc w:val="center"/>
              <w:rPr>
                <w:color w:val="auto"/>
              </w:rPr>
            </w:pPr>
          </w:p>
        </w:tc>
        <w:tc>
          <w:tcPr>
            <w:tcW w:w="2039" w:type="dxa"/>
            <w:tcBorders>
              <w:right w:val="single" w:color="000000" w:sz="6" w:space="0"/>
            </w:tcBorders>
            <w:vAlign w:val="center"/>
          </w:tcPr>
          <w:p w14:paraId="5B60A751">
            <w:pPr>
              <w:jc w:val="center"/>
              <w:rPr>
                <w:color w:val="auto"/>
              </w:rPr>
            </w:pPr>
          </w:p>
        </w:tc>
      </w:tr>
      <w:tr w14:paraId="2C4A5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2293" w:type="dxa"/>
            <w:tcBorders>
              <w:left w:val="single" w:color="000000" w:sz="6" w:space="0"/>
            </w:tcBorders>
            <w:vAlign w:val="center"/>
          </w:tcPr>
          <w:p w14:paraId="5ECF88E1">
            <w:pPr>
              <w:jc w:val="center"/>
              <w:rPr>
                <w:color w:val="auto"/>
              </w:rPr>
            </w:pPr>
          </w:p>
        </w:tc>
        <w:tc>
          <w:tcPr>
            <w:tcW w:w="2211" w:type="dxa"/>
            <w:vAlign w:val="center"/>
          </w:tcPr>
          <w:p w14:paraId="5AC2FFF2">
            <w:pPr>
              <w:jc w:val="center"/>
              <w:rPr>
                <w:color w:val="auto"/>
              </w:rPr>
            </w:pPr>
          </w:p>
        </w:tc>
        <w:tc>
          <w:tcPr>
            <w:tcW w:w="2358" w:type="dxa"/>
            <w:vAlign w:val="center"/>
          </w:tcPr>
          <w:p w14:paraId="05E1C973">
            <w:pPr>
              <w:jc w:val="center"/>
              <w:rPr>
                <w:color w:val="auto"/>
              </w:rPr>
            </w:pPr>
          </w:p>
        </w:tc>
        <w:tc>
          <w:tcPr>
            <w:tcW w:w="2039" w:type="dxa"/>
            <w:tcBorders>
              <w:right w:val="single" w:color="000000" w:sz="6" w:space="0"/>
            </w:tcBorders>
            <w:vAlign w:val="center"/>
          </w:tcPr>
          <w:p w14:paraId="41F9EEC9">
            <w:pPr>
              <w:jc w:val="center"/>
              <w:rPr>
                <w:color w:val="auto"/>
              </w:rPr>
            </w:pPr>
          </w:p>
        </w:tc>
      </w:tr>
      <w:tr w14:paraId="4C8AE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3BD41EE4">
            <w:pPr>
              <w:jc w:val="center"/>
              <w:rPr>
                <w:color w:val="auto"/>
              </w:rPr>
            </w:pPr>
          </w:p>
        </w:tc>
        <w:tc>
          <w:tcPr>
            <w:tcW w:w="2211" w:type="dxa"/>
            <w:vAlign w:val="center"/>
          </w:tcPr>
          <w:p w14:paraId="53B1EA11">
            <w:pPr>
              <w:jc w:val="center"/>
              <w:rPr>
                <w:color w:val="auto"/>
              </w:rPr>
            </w:pPr>
          </w:p>
        </w:tc>
        <w:tc>
          <w:tcPr>
            <w:tcW w:w="2358" w:type="dxa"/>
            <w:vAlign w:val="center"/>
          </w:tcPr>
          <w:p w14:paraId="6B6D74D3">
            <w:pPr>
              <w:jc w:val="center"/>
              <w:rPr>
                <w:color w:val="auto"/>
              </w:rPr>
            </w:pPr>
          </w:p>
        </w:tc>
        <w:tc>
          <w:tcPr>
            <w:tcW w:w="2039" w:type="dxa"/>
            <w:tcBorders>
              <w:right w:val="single" w:color="000000" w:sz="6" w:space="0"/>
            </w:tcBorders>
            <w:vAlign w:val="center"/>
          </w:tcPr>
          <w:p w14:paraId="6127BD02">
            <w:pPr>
              <w:jc w:val="center"/>
              <w:rPr>
                <w:color w:val="auto"/>
              </w:rPr>
            </w:pPr>
          </w:p>
        </w:tc>
      </w:tr>
      <w:tr w14:paraId="7EE1B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07DBD63A">
            <w:pPr>
              <w:jc w:val="center"/>
              <w:rPr>
                <w:color w:val="auto"/>
              </w:rPr>
            </w:pPr>
          </w:p>
        </w:tc>
        <w:tc>
          <w:tcPr>
            <w:tcW w:w="2211" w:type="dxa"/>
            <w:vAlign w:val="center"/>
          </w:tcPr>
          <w:p w14:paraId="17B61BF5">
            <w:pPr>
              <w:jc w:val="center"/>
              <w:rPr>
                <w:color w:val="auto"/>
              </w:rPr>
            </w:pPr>
          </w:p>
        </w:tc>
        <w:tc>
          <w:tcPr>
            <w:tcW w:w="2358" w:type="dxa"/>
            <w:vAlign w:val="center"/>
          </w:tcPr>
          <w:p w14:paraId="405B31EA">
            <w:pPr>
              <w:jc w:val="center"/>
              <w:rPr>
                <w:color w:val="auto"/>
              </w:rPr>
            </w:pPr>
          </w:p>
        </w:tc>
        <w:tc>
          <w:tcPr>
            <w:tcW w:w="2039" w:type="dxa"/>
            <w:tcBorders>
              <w:right w:val="single" w:color="000000" w:sz="6" w:space="0"/>
            </w:tcBorders>
            <w:vAlign w:val="center"/>
          </w:tcPr>
          <w:p w14:paraId="0596A26C">
            <w:pPr>
              <w:jc w:val="center"/>
              <w:rPr>
                <w:color w:val="auto"/>
              </w:rPr>
            </w:pPr>
          </w:p>
        </w:tc>
      </w:tr>
      <w:tr w14:paraId="1EC5F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center"/>
          </w:tcPr>
          <w:p w14:paraId="3422CE86">
            <w:pPr>
              <w:jc w:val="center"/>
              <w:rPr>
                <w:color w:val="auto"/>
              </w:rPr>
            </w:pPr>
          </w:p>
        </w:tc>
        <w:tc>
          <w:tcPr>
            <w:tcW w:w="2211" w:type="dxa"/>
            <w:vAlign w:val="center"/>
          </w:tcPr>
          <w:p w14:paraId="3659C0EC">
            <w:pPr>
              <w:jc w:val="center"/>
              <w:rPr>
                <w:color w:val="auto"/>
              </w:rPr>
            </w:pPr>
          </w:p>
        </w:tc>
        <w:tc>
          <w:tcPr>
            <w:tcW w:w="2358" w:type="dxa"/>
            <w:vAlign w:val="center"/>
          </w:tcPr>
          <w:p w14:paraId="2C4AFA33">
            <w:pPr>
              <w:jc w:val="center"/>
              <w:rPr>
                <w:color w:val="auto"/>
              </w:rPr>
            </w:pPr>
          </w:p>
        </w:tc>
        <w:tc>
          <w:tcPr>
            <w:tcW w:w="2039" w:type="dxa"/>
            <w:tcBorders>
              <w:right w:val="single" w:color="000000" w:sz="6" w:space="0"/>
            </w:tcBorders>
            <w:vAlign w:val="center"/>
          </w:tcPr>
          <w:p w14:paraId="536D2F8C">
            <w:pPr>
              <w:jc w:val="center"/>
              <w:rPr>
                <w:color w:val="auto"/>
              </w:rPr>
            </w:pPr>
          </w:p>
        </w:tc>
      </w:tr>
      <w:tr w14:paraId="36217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tcPr>
          <w:p w14:paraId="2AA6E092">
            <w:pPr>
              <w:rPr>
                <w:color w:val="auto"/>
              </w:rPr>
            </w:pPr>
          </w:p>
        </w:tc>
        <w:tc>
          <w:tcPr>
            <w:tcW w:w="2211" w:type="dxa"/>
          </w:tcPr>
          <w:p w14:paraId="5F02049F">
            <w:pPr>
              <w:rPr>
                <w:color w:val="auto"/>
              </w:rPr>
            </w:pPr>
          </w:p>
        </w:tc>
        <w:tc>
          <w:tcPr>
            <w:tcW w:w="2358" w:type="dxa"/>
          </w:tcPr>
          <w:p w14:paraId="6B7841D1">
            <w:pPr>
              <w:rPr>
                <w:color w:val="auto"/>
              </w:rPr>
            </w:pPr>
          </w:p>
        </w:tc>
        <w:tc>
          <w:tcPr>
            <w:tcW w:w="2039" w:type="dxa"/>
            <w:tcBorders>
              <w:right w:val="single" w:color="000000" w:sz="6" w:space="0"/>
            </w:tcBorders>
          </w:tcPr>
          <w:p w14:paraId="7F81EB01">
            <w:pPr>
              <w:rPr>
                <w:color w:val="auto"/>
              </w:rPr>
            </w:pPr>
          </w:p>
        </w:tc>
      </w:tr>
      <w:tr w14:paraId="4F1EC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tcPr>
          <w:p w14:paraId="3DE2EADF">
            <w:pPr>
              <w:rPr>
                <w:color w:val="auto"/>
              </w:rPr>
            </w:pPr>
          </w:p>
        </w:tc>
        <w:tc>
          <w:tcPr>
            <w:tcW w:w="2211" w:type="dxa"/>
          </w:tcPr>
          <w:p w14:paraId="455953F7">
            <w:pPr>
              <w:rPr>
                <w:color w:val="auto"/>
              </w:rPr>
            </w:pPr>
          </w:p>
        </w:tc>
        <w:tc>
          <w:tcPr>
            <w:tcW w:w="2358" w:type="dxa"/>
          </w:tcPr>
          <w:p w14:paraId="0EF6F43D">
            <w:pPr>
              <w:rPr>
                <w:color w:val="auto"/>
              </w:rPr>
            </w:pPr>
          </w:p>
        </w:tc>
        <w:tc>
          <w:tcPr>
            <w:tcW w:w="2039" w:type="dxa"/>
            <w:tcBorders>
              <w:right w:val="single" w:color="000000" w:sz="6" w:space="0"/>
            </w:tcBorders>
          </w:tcPr>
          <w:p w14:paraId="330482E8">
            <w:pPr>
              <w:rPr>
                <w:color w:val="auto"/>
              </w:rPr>
            </w:pPr>
          </w:p>
        </w:tc>
      </w:tr>
      <w:tr w14:paraId="0E435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2293" w:type="dxa"/>
            <w:tcBorders>
              <w:left w:val="single" w:color="000000" w:sz="6" w:space="0"/>
              <w:bottom w:val="single" w:color="000000" w:sz="6" w:space="0"/>
            </w:tcBorders>
          </w:tcPr>
          <w:p w14:paraId="69EC163F">
            <w:pPr>
              <w:rPr>
                <w:color w:val="auto"/>
              </w:rPr>
            </w:pPr>
          </w:p>
        </w:tc>
        <w:tc>
          <w:tcPr>
            <w:tcW w:w="2211" w:type="dxa"/>
            <w:tcBorders>
              <w:bottom w:val="single" w:color="000000" w:sz="6" w:space="0"/>
            </w:tcBorders>
          </w:tcPr>
          <w:p w14:paraId="211E6174">
            <w:pPr>
              <w:rPr>
                <w:color w:val="auto"/>
              </w:rPr>
            </w:pPr>
          </w:p>
        </w:tc>
        <w:tc>
          <w:tcPr>
            <w:tcW w:w="2358" w:type="dxa"/>
            <w:tcBorders>
              <w:bottom w:val="single" w:color="000000" w:sz="6" w:space="0"/>
            </w:tcBorders>
          </w:tcPr>
          <w:p w14:paraId="258D6E91">
            <w:pPr>
              <w:rPr>
                <w:color w:val="auto"/>
              </w:rPr>
            </w:pPr>
          </w:p>
        </w:tc>
        <w:tc>
          <w:tcPr>
            <w:tcW w:w="2039" w:type="dxa"/>
            <w:tcBorders>
              <w:bottom w:val="single" w:color="000000" w:sz="6" w:space="0"/>
              <w:right w:val="single" w:color="000000" w:sz="6" w:space="0"/>
            </w:tcBorders>
          </w:tcPr>
          <w:p w14:paraId="3DD778D5">
            <w:pPr>
              <w:rPr>
                <w:color w:val="auto"/>
              </w:rPr>
            </w:pPr>
          </w:p>
        </w:tc>
      </w:tr>
    </w:tbl>
    <w:p w14:paraId="48E62451">
      <w:pPr>
        <w:pStyle w:val="8"/>
        <w:rPr>
          <w:color w:val="auto"/>
        </w:rPr>
      </w:pPr>
    </w:p>
    <w:p w14:paraId="400C2053">
      <w:pPr>
        <w:rPr>
          <w:color w:val="auto"/>
        </w:rPr>
      </w:pPr>
      <w:r>
        <w:rPr>
          <w:color w:val="auto"/>
        </w:rPr>
        <w:br w:type="page"/>
      </w:r>
    </w:p>
    <w:p w14:paraId="2C40F562">
      <w:pPr>
        <w:spacing w:before="91" w:line="219" w:lineRule="auto"/>
        <w:ind w:left="3003"/>
        <w:outlineLvl w:val="2"/>
        <w:rPr>
          <w:rFonts w:hint="eastAsia" w:ascii="宋体" w:hAnsi="宋体" w:eastAsia="宋体" w:cs="宋体"/>
          <w:color w:val="auto"/>
          <w:sz w:val="28"/>
          <w:szCs w:val="28"/>
        </w:rPr>
      </w:pPr>
      <w:bookmarkStart w:id="1880" w:name="bookmark651"/>
      <w:bookmarkEnd w:id="1880"/>
      <w:bookmarkStart w:id="1881" w:name="_Toc19296"/>
      <w:bookmarkStart w:id="1882" w:name="_Toc28980"/>
      <w:bookmarkStart w:id="1883" w:name="_Toc12385"/>
      <w:bookmarkStart w:id="1884" w:name="_Toc7778"/>
      <w:r>
        <w:rPr>
          <w:rFonts w:hint="eastAsia" w:ascii="宋体" w:hAnsi="宋体" w:eastAsia="宋体" w:cs="宋体"/>
          <w:b/>
          <w:bCs/>
          <w:color w:val="auto"/>
          <w:spacing w:val="-5"/>
          <w:sz w:val="28"/>
          <w:szCs w:val="28"/>
          <w:lang w:eastAsia="zh-CN"/>
        </w:rPr>
        <w:t>二</w:t>
      </w:r>
      <w:r>
        <w:rPr>
          <w:rFonts w:ascii="宋体" w:hAnsi="宋体" w:eastAsia="宋体" w:cs="宋体"/>
          <w:b/>
          <w:bCs/>
          <w:color w:val="auto"/>
          <w:spacing w:val="-5"/>
          <w:sz w:val="28"/>
          <w:szCs w:val="28"/>
        </w:rPr>
        <w:t>、拟分包项目情况表</w:t>
      </w:r>
      <w:bookmarkEnd w:id="1881"/>
      <w:bookmarkEnd w:id="1882"/>
      <w:bookmarkEnd w:id="1883"/>
      <w:bookmarkEnd w:id="1884"/>
    </w:p>
    <w:p w14:paraId="53127349">
      <w:pPr>
        <w:spacing w:before="48"/>
        <w:rPr>
          <w:color w:val="auto"/>
        </w:rPr>
      </w:pPr>
    </w:p>
    <w:tbl>
      <w:tblPr>
        <w:tblStyle w:val="20"/>
        <w:tblW w:w="890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9"/>
        <w:gridCol w:w="2547"/>
        <w:gridCol w:w="2971"/>
        <w:gridCol w:w="2274"/>
      </w:tblGrid>
      <w:tr w14:paraId="49905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109" w:type="dxa"/>
            <w:tcBorders>
              <w:top w:val="single" w:color="000000" w:sz="6" w:space="0"/>
              <w:left w:val="single" w:color="000000" w:sz="6" w:space="0"/>
            </w:tcBorders>
            <w:vAlign w:val="center"/>
          </w:tcPr>
          <w:p w14:paraId="05DDAAB0">
            <w:pPr>
              <w:pStyle w:val="21"/>
              <w:jc w:val="center"/>
              <w:rPr>
                <w:rFonts w:hint="eastAsia"/>
                <w:color w:val="auto"/>
                <w:sz w:val="24"/>
                <w:szCs w:val="24"/>
              </w:rPr>
            </w:pPr>
            <w:r>
              <w:rPr>
                <w:color w:val="auto"/>
                <w:spacing w:val="-3"/>
                <w:sz w:val="24"/>
                <w:szCs w:val="24"/>
              </w:rPr>
              <w:t>序号</w:t>
            </w:r>
          </w:p>
        </w:tc>
        <w:tc>
          <w:tcPr>
            <w:tcW w:w="2547" w:type="dxa"/>
            <w:tcBorders>
              <w:top w:val="single" w:color="000000" w:sz="6" w:space="0"/>
            </w:tcBorders>
            <w:vAlign w:val="center"/>
          </w:tcPr>
          <w:p w14:paraId="23E9DC62">
            <w:pPr>
              <w:pStyle w:val="21"/>
              <w:jc w:val="center"/>
              <w:rPr>
                <w:rFonts w:hint="eastAsia"/>
                <w:color w:val="auto"/>
                <w:sz w:val="24"/>
                <w:szCs w:val="24"/>
              </w:rPr>
            </w:pPr>
            <w:r>
              <w:rPr>
                <w:color w:val="auto"/>
                <w:spacing w:val="-2"/>
                <w:sz w:val="24"/>
                <w:szCs w:val="24"/>
              </w:rPr>
              <w:t>拟分包的工程项目</w:t>
            </w:r>
          </w:p>
        </w:tc>
        <w:tc>
          <w:tcPr>
            <w:tcW w:w="2971" w:type="dxa"/>
            <w:tcBorders>
              <w:top w:val="single" w:color="000000" w:sz="6" w:space="0"/>
            </w:tcBorders>
            <w:vAlign w:val="center"/>
          </w:tcPr>
          <w:p w14:paraId="5DB86927">
            <w:pPr>
              <w:pStyle w:val="21"/>
              <w:jc w:val="center"/>
              <w:rPr>
                <w:rFonts w:hint="eastAsia"/>
                <w:color w:val="auto"/>
                <w:sz w:val="24"/>
                <w:szCs w:val="24"/>
              </w:rPr>
            </w:pPr>
            <w:r>
              <w:rPr>
                <w:color w:val="auto"/>
                <w:spacing w:val="-3"/>
                <w:sz w:val="24"/>
                <w:szCs w:val="24"/>
              </w:rPr>
              <w:t>主要内容</w:t>
            </w:r>
          </w:p>
        </w:tc>
        <w:tc>
          <w:tcPr>
            <w:tcW w:w="2274" w:type="dxa"/>
            <w:tcBorders>
              <w:top w:val="single" w:color="000000" w:sz="6" w:space="0"/>
              <w:right w:val="single" w:color="000000" w:sz="6" w:space="0"/>
            </w:tcBorders>
            <w:vAlign w:val="center"/>
          </w:tcPr>
          <w:p w14:paraId="06A6D6F0">
            <w:pPr>
              <w:pStyle w:val="21"/>
              <w:jc w:val="center"/>
              <w:rPr>
                <w:rFonts w:hint="eastAsia"/>
                <w:color w:val="auto"/>
                <w:sz w:val="24"/>
                <w:szCs w:val="24"/>
              </w:rPr>
            </w:pPr>
            <w:r>
              <w:rPr>
                <w:color w:val="auto"/>
                <w:spacing w:val="-3"/>
                <w:sz w:val="24"/>
                <w:szCs w:val="24"/>
              </w:rPr>
              <w:t>预计造价（万元）</w:t>
            </w:r>
          </w:p>
        </w:tc>
      </w:tr>
      <w:tr w14:paraId="31C4E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vAlign w:val="center"/>
          </w:tcPr>
          <w:p w14:paraId="41C76D8E">
            <w:pPr>
              <w:jc w:val="center"/>
              <w:rPr>
                <w:color w:val="auto"/>
              </w:rPr>
            </w:pPr>
          </w:p>
        </w:tc>
        <w:tc>
          <w:tcPr>
            <w:tcW w:w="2547" w:type="dxa"/>
            <w:vAlign w:val="center"/>
          </w:tcPr>
          <w:p w14:paraId="1AC2AE70">
            <w:pPr>
              <w:jc w:val="center"/>
              <w:rPr>
                <w:color w:val="auto"/>
              </w:rPr>
            </w:pPr>
          </w:p>
        </w:tc>
        <w:tc>
          <w:tcPr>
            <w:tcW w:w="2971" w:type="dxa"/>
            <w:vAlign w:val="center"/>
          </w:tcPr>
          <w:p w14:paraId="39AACDF6">
            <w:pPr>
              <w:jc w:val="center"/>
              <w:rPr>
                <w:color w:val="auto"/>
              </w:rPr>
            </w:pPr>
          </w:p>
        </w:tc>
        <w:tc>
          <w:tcPr>
            <w:tcW w:w="2274" w:type="dxa"/>
            <w:tcBorders>
              <w:right w:val="single" w:color="000000" w:sz="6" w:space="0"/>
            </w:tcBorders>
            <w:vAlign w:val="center"/>
          </w:tcPr>
          <w:p w14:paraId="68AC36F3">
            <w:pPr>
              <w:jc w:val="center"/>
              <w:rPr>
                <w:color w:val="auto"/>
              </w:rPr>
            </w:pPr>
          </w:p>
        </w:tc>
      </w:tr>
      <w:tr w14:paraId="58A35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center"/>
          </w:tcPr>
          <w:p w14:paraId="69E9C1A5">
            <w:pPr>
              <w:jc w:val="center"/>
              <w:rPr>
                <w:color w:val="auto"/>
              </w:rPr>
            </w:pPr>
          </w:p>
        </w:tc>
        <w:tc>
          <w:tcPr>
            <w:tcW w:w="2547" w:type="dxa"/>
            <w:vAlign w:val="center"/>
          </w:tcPr>
          <w:p w14:paraId="47B6C6E2">
            <w:pPr>
              <w:jc w:val="center"/>
              <w:rPr>
                <w:color w:val="auto"/>
              </w:rPr>
            </w:pPr>
          </w:p>
        </w:tc>
        <w:tc>
          <w:tcPr>
            <w:tcW w:w="2971" w:type="dxa"/>
            <w:vAlign w:val="center"/>
          </w:tcPr>
          <w:p w14:paraId="49F8B42D">
            <w:pPr>
              <w:jc w:val="center"/>
              <w:rPr>
                <w:color w:val="auto"/>
              </w:rPr>
            </w:pPr>
          </w:p>
        </w:tc>
        <w:tc>
          <w:tcPr>
            <w:tcW w:w="2274" w:type="dxa"/>
            <w:tcBorders>
              <w:right w:val="single" w:color="000000" w:sz="6" w:space="0"/>
            </w:tcBorders>
            <w:vAlign w:val="center"/>
          </w:tcPr>
          <w:p w14:paraId="652507A6">
            <w:pPr>
              <w:jc w:val="center"/>
              <w:rPr>
                <w:color w:val="auto"/>
              </w:rPr>
            </w:pPr>
          </w:p>
        </w:tc>
      </w:tr>
      <w:tr w14:paraId="6DAD8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center"/>
          </w:tcPr>
          <w:p w14:paraId="0DF347D6">
            <w:pPr>
              <w:jc w:val="center"/>
              <w:rPr>
                <w:color w:val="auto"/>
              </w:rPr>
            </w:pPr>
          </w:p>
        </w:tc>
        <w:tc>
          <w:tcPr>
            <w:tcW w:w="2547" w:type="dxa"/>
            <w:vAlign w:val="center"/>
          </w:tcPr>
          <w:p w14:paraId="49179790">
            <w:pPr>
              <w:jc w:val="center"/>
              <w:rPr>
                <w:color w:val="auto"/>
              </w:rPr>
            </w:pPr>
          </w:p>
        </w:tc>
        <w:tc>
          <w:tcPr>
            <w:tcW w:w="2971" w:type="dxa"/>
            <w:vAlign w:val="center"/>
          </w:tcPr>
          <w:p w14:paraId="291E3958">
            <w:pPr>
              <w:jc w:val="center"/>
              <w:rPr>
                <w:color w:val="auto"/>
              </w:rPr>
            </w:pPr>
          </w:p>
        </w:tc>
        <w:tc>
          <w:tcPr>
            <w:tcW w:w="2274" w:type="dxa"/>
            <w:tcBorders>
              <w:right w:val="single" w:color="000000" w:sz="6" w:space="0"/>
            </w:tcBorders>
            <w:vAlign w:val="center"/>
          </w:tcPr>
          <w:p w14:paraId="078AAA22">
            <w:pPr>
              <w:jc w:val="center"/>
              <w:rPr>
                <w:color w:val="auto"/>
              </w:rPr>
            </w:pPr>
          </w:p>
        </w:tc>
      </w:tr>
      <w:tr w14:paraId="09E00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vAlign w:val="center"/>
          </w:tcPr>
          <w:p w14:paraId="342A0694">
            <w:pPr>
              <w:jc w:val="center"/>
              <w:rPr>
                <w:color w:val="auto"/>
              </w:rPr>
            </w:pPr>
          </w:p>
        </w:tc>
        <w:tc>
          <w:tcPr>
            <w:tcW w:w="2547" w:type="dxa"/>
            <w:vAlign w:val="center"/>
          </w:tcPr>
          <w:p w14:paraId="4B4B35C1">
            <w:pPr>
              <w:jc w:val="center"/>
              <w:rPr>
                <w:color w:val="auto"/>
              </w:rPr>
            </w:pPr>
          </w:p>
        </w:tc>
        <w:tc>
          <w:tcPr>
            <w:tcW w:w="2971" w:type="dxa"/>
            <w:vAlign w:val="center"/>
          </w:tcPr>
          <w:p w14:paraId="1F5A0CB9">
            <w:pPr>
              <w:jc w:val="center"/>
              <w:rPr>
                <w:color w:val="auto"/>
              </w:rPr>
            </w:pPr>
          </w:p>
        </w:tc>
        <w:tc>
          <w:tcPr>
            <w:tcW w:w="2274" w:type="dxa"/>
            <w:tcBorders>
              <w:right w:val="single" w:color="000000" w:sz="6" w:space="0"/>
            </w:tcBorders>
            <w:vAlign w:val="center"/>
          </w:tcPr>
          <w:p w14:paraId="5CA6E65A">
            <w:pPr>
              <w:jc w:val="center"/>
              <w:rPr>
                <w:color w:val="auto"/>
              </w:rPr>
            </w:pPr>
          </w:p>
        </w:tc>
      </w:tr>
      <w:tr w14:paraId="562F0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center"/>
          </w:tcPr>
          <w:p w14:paraId="716E1DFA">
            <w:pPr>
              <w:jc w:val="center"/>
              <w:rPr>
                <w:color w:val="auto"/>
              </w:rPr>
            </w:pPr>
          </w:p>
        </w:tc>
        <w:tc>
          <w:tcPr>
            <w:tcW w:w="2547" w:type="dxa"/>
            <w:vAlign w:val="center"/>
          </w:tcPr>
          <w:p w14:paraId="2880EF51">
            <w:pPr>
              <w:jc w:val="center"/>
              <w:rPr>
                <w:color w:val="auto"/>
              </w:rPr>
            </w:pPr>
          </w:p>
        </w:tc>
        <w:tc>
          <w:tcPr>
            <w:tcW w:w="2971" w:type="dxa"/>
            <w:vAlign w:val="center"/>
          </w:tcPr>
          <w:p w14:paraId="7569B4B0">
            <w:pPr>
              <w:jc w:val="center"/>
              <w:rPr>
                <w:color w:val="auto"/>
              </w:rPr>
            </w:pPr>
          </w:p>
        </w:tc>
        <w:tc>
          <w:tcPr>
            <w:tcW w:w="2274" w:type="dxa"/>
            <w:tcBorders>
              <w:right w:val="single" w:color="000000" w:sz="6" w:space="0"/>
            </w:tcBorders>
            <w:vAlign w:val="center"/>
          </w:tcPr>
          <w:p w14:paraId="7345C1F7">
            <w:pPr>
              <w:jc w:val="center"/>
              <w:rPr>
                <w:color w:val="auto"/>
              </w:rPr>
            </w:pPr>
          </w:p>
        </w:tc>
      </w:tr>
      <w:tr w14:paraId="59CAE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center"/>
          </w:tcPr>
          <w:p w14:paraId="6651E220">
            <w:pPr>
              <w:jc w:val="center"/>
              <w:rPr>
                <w:color w:val="auto"/>
              </w:rPr>
            </w:pPr>
          </w:p>
        </w:tc>
        <w:tc>
          <w:tcPr>
            <w:tcW w:w="2547" w:type="dxa"/>
            <w:vAlign w:val="center"/>
          </w:tcPr>
          <w:p w14:paraId="6E5CCE13">
            <w:pPr>
              <w:jc w:val="center"/>
              <w:rPr>
                <w:color w:val="auto"/>
              </w:rPr>
            </w:pPr>
          </w:p>
        </w:tc>
        <w:tc>
          <w:tcPr>
            <w:tcW w:w="2971" w:type="dxa"/>
            <w:vAlign w:val="center"/>
          </w:tcPr>
          <w:p w14:paraId="795A90AE">
            <w:pPr>
              <w:jc w:val="center"/>
              <w:rPr>
                <w:color w:val="auto"/>
              </w:rPr>
            </w:pPr>
          </w:p>
        </w:tc>
        <w:tc>
          <w:tcPr>
            <w:tcW w:w="2274" w:type="dxa"/>
            <w:tcBorders>
              <w:right w:val="single" w:color="000000" w:sz="6" w:space="0"/>
            </w:tcBorders>
            <w:vAlign w:val="center"/>
          </w:tcPr>
          <w:p w14:paraId="226D6510">
            <w:pPr>
              <w:jc w:val="center"/>
              <w:rPr>
                <w:color w:val="auto"/>
              </w:rPr>
            </w:pPr>
          </w:p>
        </w:tc>
      </w:tr>
      <w:tr w14:paraId="6388A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vAlign w:val="center"/>
          </w:tcPr>
          <w:p w14:paraId="5842D691">
            <w:pPr>
              <w:jc w:val="center"/>
              <w:rPr>
                <w:color w:val="auto"/>
              </w:rPr>
            </w:pPr>
          </w:p>
        </w:tc>
        <w:tc>
          <w:tcPr>
            <w:tcW w:w="2547" w:type="dxa"/>
            <w:vAlign w:val="center"/>
          </w:tcPr>
          <w:p w14:paraId="172E4B06">
            <w:pPr>
              <w:jc w:val="center"/>
              <w:rPr>
                <w:color w:val="auto"/>
              </w:rPr>
            </w:pPr>
          </w:p>
        </w:tc>
        <w:tc>
          <w:tcPr>
            <w:tcW w:w="2971" w:type="dxa"/>
            <w:vAlign w:val="center"/>
          </w:tcPr>
          <w:p w14:paraId="6600F08E">
            <w:pPr>
              <w:jc w:val="center"/>
              <w:rPr>
                <w:color w:val="auto"/>
              </w:rPr>
            </w:pPr>
          </w:p>
        </w:tc>
        <w:tc>
          <w:tcPr>
            <w:tcW w:w="2274" w:type="dxa"/>
            <w:tcBorders>
              <w:right w:val="single" w:color="000000" w:sz="6" w:space="0"/>
            </w:tcBorders>
            <w:vAlign w:val="center"/>
          </w:tcPr>
          <w:p w14:paraId="4D196D73">
            <w:pPr>
              <w:jc w:val="center"/>
              <w:rPr>
                <w:color w:val="auto"/>
              </w:rPr>
            </w:pPr>
          </w:p>
        </w:tc>
      </w:tr>
      <w:tr w14:paraId="3F664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tcPr>
          <w:p w14:paraId="0C04A791">
            <w:pPr>
              <w:rPr>
                <w:color w:val="auto"/>
              </w:rPr>
            </w:pPr>
          </w:p>
        </w:tc>
        <w:tc>
          <w:tcPr>
            <w:tcW w:w="2547" w:type="dxa"/>
          </w:tcPr>
          <w:p w14:paraId="299D2691">
            <w:pPr>
              <w:rPr>
                <w:color w:val="auto"/>
              </w:rPr>
            </w:pPr>
          </w:p>
        </w:tc>
        <w:tc>
          <w:tcPr>
            <w:tcW w:w="2971" w:type="dxa"/>
          </w:tcPr>
          <w:p w14:paraId="0CDD47B2">
            <w:pPr>
              <w:rPr>
                <w:color w:val="auto"/>
              </w:rPr>
            </w:pPr>
          </w:p>
        </w:tc>
        <w:tc>
          <w:tcPr>
            <w:tcW w:w="2274" w:type="dxa"/>
            <w:tcBorders>
              <w:right w:val="single" w:color="000000" w:sz="6" w:space="0"/>
            </w:tcBorders>
          </w:tcPr>
          <w:p w14:paraId="201421ED">
            <w:pPr>
              <w:rPr>
                <w:color w:val="auto"/>
              </w:rPr>
            </w:pPr>
          </w:p>
        </w:tc>
      </w:tr>
      <w:tr w14:paraId="27942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tcPr>
          <w:p w14:paraId="518B1F96">
            <w:pPr>
              <w:rPr>
                <w:color w:val="auto"/>
              </w:rPr>
            </w:pPr>
          </w:p>
        </w:tc>
        <w:tc>
          <w:tcPr>
            <w:tcW w:w="2547" w:type="dxa"/>
          </w:tcPr>
          <w:p w14:paraId="6147AA5C">
            <w:pPr>
              <w:rPr>
                <w:color w:val="auto"/>
              </w:rPr>
            </w:pPr>
          </w:p>
        </w:tc>
        <w:tc>
          <w:tcPr>
            <w:tcW w:w="2971" w:type="dxa"/>
          </w:tcPr>
          <w:p w14:paraId="155F88B4">
            <w:pPr>
              <w:rPr>
                <w:color w:val="auto"/>
              </w:rPr>
            </w:pPr>
          </w:p>
        </w:tc>
        <w:tc>
          <w:tcPr>
            <w:tcW w:w="2274" w:type="dxa"/>
            <w:tcBorders>
              <w:right w:val="single" w:color="000000" w:sz="6" w:space="0"/>
            </w:tcBorders>
          </w:tcPr>
          <w:p w14:paraId="0D0C2FD8">
            <w:pPr>
              <w:rPr>
                <w:color w:val="auto"/>
              </w:rPr>
            </w:pPr>
          </w:p>
        </w:tc>
      </w:tr>
      <w:tr w14:paraId="1779A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tcPr>
          <w:p w14:paraId="7A5FBDD0">
            <w:pPr>
              <w:rPr>
                <w:color w:val="auto"/>
              </w:rPr>
            </w:pPr>
          </w:p>
        </w:tc>
        <w:tc>
          <w:tcPr>
            <w:tcW w:w="2547" w:type="dxa"/>
          </w:tcPr>
          <w:p w14:paraId="4601DCEF">
            <w:pPr>
              <w:rPr>
                <w:color w:val="auto"/>
              </w:rPr>
            </w:pPr>
          </w:p>
        </w:tc>
        <w:tc>
          <w:tcPr>
            <w:tcW w:w="2971" w:type="dxa"/>
          </w:tcPr>
          <w:p w14:paraId="508586C7">
            <w:pPr>
              <w:rPr>
                <w:color w:val="auto"/>
              </w:rPr>
            </w:pPr>
          </w:p>
        </w:tc>
        <w:tc>
          <w:tcPr>
            <w:tcW w:w="2274" w:type="dxa"/>
            <w:tcBorders>
              <w:right w:val="single" w:color="000000" w:sz="6" w:space="0"/>
            </w:tcBorders>
          </w:tcPr>
          <w:p w14:paraId="2D9064D9">
            <w:pPr>
              <w:rPr>
                <w:color w:val="auto"/>
              </w:rPr>
            </w:pPr>
          </w:p>
        </w:tc>
      </w:tr>
      <w:tr w14:paraId="1468C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tcPr>
          <w:p w14:paraId="316991EF">
            <w:pPr>
              <w:rPr>
                <w:color w:val="auto"/>
              </w:rPr>
            </w:pPr>
          </w:p>
        </w:tc>
        <w:tc>
          <w:tcPr>
            <w:tcW w:w="2547" w:type="dxa"/>
          </w:tcPr>
          <w:p w14:paraId="3A105B43">
            <w:pPr>
              <w:rPr>
                <w:color w:val="auto"/>
              </w:rPr>
            </w:pPr>
          </w:p>
        </w:tc>
        <w:tc>
          <w:tcPr>
            <w:tcW w:w="2971" w:type="dxa"/>
          </w:tcPr>
          <w:p w14:paraId="2089E039">
            <w:pPr>
              <w:rPr>
                <w:color w:val="auto"/>
              </w:rPr>
            </w:pPr>
          </w:p>
        </w:tc>
        <w:tc>
          <w:tcPr>
            <w:tcW w:w="2274" w:type="dxa"/>
            <w:tcBorders>
              <w:right w:val="single" w:color="000000" w:sz="6" w:space="0"/>
            </w:tcBorders>
          </w:tcPr>
          <w:p w14:paraId="646BBE1A">
            <w:pPr>
              <w:rPr>
                <w:color w:val="auto"/>
              </w:rPr>
            </w:pPr>
          </w:p>
        </w:tc>
      </w:tr>
      <w:tr w14:paraId="5DD14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tcPr>
          <w:p w14:paraId="1359A834">
            <w:pPr>
              <w:rPr>
                <w:color w:val="auto"/>
              </w:rPr>
            </w:pPr>
          </w:p>
        </w:tc>
        <w:tc>
          <w:tcPr>
            <w:tcW w:w="2547" w:type="dxa"/>
          </w:tcPr>
          <w:p w14:paraId="719680E5">
            <w:pPr>
              <w:rPr>
                <w:color w:val="auto"/>
              </w:rPr>
            </w:pPr>
          </w:p>
        </w:tc>
        <w:tc>
          <w:tcPr>
            <w:tcW w:w="2971" w:type="dxa"/>
          </w:tcPr>
          <w:p w14:paraId="35DBBF43">
            <w:pPr>
              <w:rPr>
                <w:color w:val="auto"/>
              </w:rPr>
            </w:pPr>
          </w:p>
        </w:tc>
        <w:tc>
          <w:tcPr>
            <w:tcW w:w="2274" w:type="dxa"/>
            <w:tcBorders>
              <w:right w:val="single" w:color="000000" w:sz="6" w:space="0"/>
            </w:tcBorders>
          </w:tcPr>
          <w:p w14:paraId="4A4540BC">
            <w:pPr>
              <w:rPr>
                <w:color w:val="auto"/>
              </w:rPr>
            </w:pPr>
          </w:p>
        </w:tc>
      </w:tr>
      <w:tr w14:paraId="0059C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tcPr>
          <w:p w14:paraId="4170D365">
            <w:pPr>
              <w:rPr>
                <w:color w:val="auto"/>
              </w:rPr>
            </w:pPr>
          </w:p>
        </w:tc>
        <w:tc>
          <w:tcPr>
            <w:tcW w:w="2547" w:type="dxa"/>
          </w:tcPr>
          <w:p w14:paraId="206A9E10">
            <w:pPr>
              <w:rPr>
                <w:color w:val="auto"/>
              </w:rPr>
            </w:pPr>
          </w:p>
        </w:tc>
        <w:tc>
          <w:tcPr>
            <w:tcW w:w="2971" w:type="dxa"/>
          </w:tcPr>
          <w:p w14:paraId="353E9385">
            <w:pPr>
              <w:rPr>
                <w:color w:val="auto"/>
              </w:rPr>
            </w:pPr>
          </w:p>
        </w:tc>
        <w:tc>
          <w:tcPr>
            <w:tcW w:w="2274" w:type="dxa"/>
            <w:tcBorders>
              <w:right w:val="single" w:color="000000" w:sz="6" w:space="0"/>
            </w:tcBorders>
          </w:tcPr>
          <w:p w14:paraId="3CAE28A3">
            <w:pPr>
              <w:rPr>
                <w:color w:val="auto"/>
              </w:rPr>
            </w:pPr>
          </w:p>
        </w:tc>
      </w:tr>
      <w:tr w14:paraId="441F5E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109" w:type="dxa"/>
            <w:tcBorders>
              <w:left w:val="single" w:color="000000" w:sz="6" w:space="0"/>
              <w:bottom w:val="single" w:color="000000" w:sz="6" w:space="0"/>
            </w:tcBorders>
          </w:tcPr>
          <w:p w14:paraId="10521ECC">
            <w:pPr>
              <w:rPr>
                <w:color w:val="auto"/>
              </w:rPr>
            </w:pPr>
          </w:p>
        </w:tc>
        <w:tc>
          <w:tcPr>
            <w:tcW w:w="2547" w:type="dxa"/>
            <w:tcBorders>
              <w:bottom w:val="single" w:color="000000" w:sz="6" w:space="0"/>
            </w:tcBorders>
          </w:tcPr>
          <w:p w14:paraId="397425BE">
            <w:pPr>
              <w:rPr>
                <w:color w:val="auto"/>
              </w:rPr>
            </w:pPr>
          </w:p>
        </w:tc>
        <w:tc>
          <w:tcPr>
            <w:tcW w:w="2971" w:type="dxa"/>
            <w:tcBorders>
              <w:bottom w:val="single" w:color="000000" w:sz="6" w:space="0"/>
            </w:tcBorders>
          </w:tcPr>
          <w:p w14:paraId="37D8C39F">
            <w:pPr>
              <w:rPr>
                <w:color w:val="auto"/>
              </w:rPr>
            </w:pPr>
          </w:p>
        </w:tc>
        <w:tc>
          <w:tcPr>
            <w:tcW w:w="2274" w:type="dxa"/>
            <w:tcBorders>
              <w:bottom w:val="single" w:color="000000" w:sz="6" w:space="0"/>
              <w:right w:val="single" w:color="000000" w:sz="6" w:space="0"/>
            </w:tcBorders>
          </w:tcPr>
          <w:p w14:paraId="11D56F66">
            <w:pPr>
              <w:rPr>
                <w:color w:val="auto"/>
              </w:rPr>
            </w:pPr>
          </w:p>
        </w:tc>
      </w:tr>
    </w:tbl>
    <w:p w14:paraId="026E4CBC">
      <w:pPr>
        <w:pStyle w:val="8"/>
        <w:rPr>
          <w:color w:val="auto"/>
        </w:rPr>
      </w:pPr>
    </w:p>
    <w:p w14:paraId="5C827939">
      <w:pPr>
        <w:rPr>
          <w:color w:val="auto"/>
        </w:rPr>
      </w:pPr>
      <w:r>
        <w:rPr>
          <w:color w:val="auto"/>
        </w:rPr>
        <w:br w:type="page"/>
      </w:r>
    </w:p>
    <w:p w14:paraId="14717101">
      <w:pPr>
        <w:pStyle w:val="8"/>
        <w:spacing w:line="264" w:lineRule="auto"/>
        <w:rPr>
          <w:color w:val="auto"/>
        </w:rPr>
      </w:pPr>
      <w:bookmarkStart w:id="1885" w:name="bookmark652"/>
      <w:bookmarkEnd w:id="1885"/>
    </w:p>
    <w:p w14:paraId="5F08F00E">
      <w:pPr>
        <w:pStyle w:val="8"/>
        <w:spacing w:line="264" w:lineRule="auto"/>
        <w:rPr>
          <w:color w:val="auto"/>
        </w:rPr>
      </w:pPr>
    </w:p>
    <w:p w14:paraId="74EE27DE">
      <w:pPr>
        <w:pStyle w:val="8"/>
        <w:spacing w:line="264" w:lineRule="auto"/>
        <w:rPr>
          <w:color w:val="auto"/>
        </w:rPr>
      </w:pPr>
    </w:p>
    <w:p w14:paraId="6F7C673B">
      <w:pPr>
        <w:tabs>
          <w:tab w:val="left" w:pos="3486"/>
        </w:tabs>
        <w:spacing w:before="81" w:line="213" w:lineRule="auto"/>
        <w:jc w:val="center"/>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u w:val="single"/>
          <w:lang w:eastAsia="zh-CN"/>
        </w:rPr>
        <w:t>　　　　　　</w:t>
      </w:r>
      <w:r>
        <w:rPr>
          <w:rFonts w:ascii="宋体" w:hAnsi="宋体" w:eastAsia="宋体" w:cs="宋体"/>
          <w:color w:val="auto"/>
          <w:spacing w:val="-1"/>
          <w:sz w:val="24"/>
          <w:szCs w:val="24"/>
          <w:lang w:eastAsia="zh-CN"/>
        </w:rPr>
        <w:t>（</w:t>
      </w:r>
      <w:r>
        <w:rPr>
          <w:rFonts w:ascii="宋体" w:hAnsi="宋体" w:eastAsia="宋体" w:cs="宋体"/>
          <w:i/>
          <w:iCs/>
          <w:color w:val="auto"/>
          <w:spacing w:val="-1"/>
          <w:sz w:val="25"/>
          <w:szCs w:val="25"/>
          <w:lang w:eastAsia="zh-CN"/>
        </w:rPr>
        <w:t>项目名称</w:t>
      </w:r>
      <w:r>
        <w:rPr>
          <w:rFonts w:ascii="宋体" w:hAnsi="宋体" w:eastAsia="宋体" w:cs="宋体"/>
          <w:color w:val="auto"/>
          <w:spacing w:val="-25"/>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25"/>
          <w:sz w:val="24"/>
          <w:szCs w:val="24"/>
          <w:lang w:eastAsia="zh-CN"/>
        </w:rPr>
        <w:t>（</w:t>
      </w:r>
      <w:r>
        <w:rPr>
          <w:rFonts w:ascii="宋体" w:hAnsi="宋体" w:eastAsia="宋体" w:cs="宋体"/>
          <w:i/>
          <w:iCs/>
          <w:color w:val="auto"/>
          <w:spacing w:val="-1"/>
          <w:sz w:val="25"/>
          <w:szCs w:val="25"/>
          <w:lang w:eastAsia="zh-CN"/>
        </w:rPr>
        <w:t>标段名称</w:t>
      </w:r>
      <w:r>
        <w:rPr>
          <w:rFonts w:ascii="宋体" w:hAnsi="宋体" w:eastAsia="宋体" w:cs="宋体"/>
          <w:color w:val="auto"/>
          <w:spacing w:val="-1"/>
          <w:sz w:val="24"/>
          <w:szCs w:val="24"/>
          <w:lang w:eastAsia="zh-CN"/>
        </w:rPr>
        <w:t>）</w:t>
      </w:r>
    </w:p>
    <w:p w14:paraId="12913EBE">
      <w:pPr>
        <w:pStyle w:val="8"/>
        <w:spacing w:line="244" w:lineRule="auto"/>
        <w:rPr>
          <w:color w:val="auto"/>
          <w:lang w:eastAsia="zh-CN"/>
        </w:rPr>
      </w:pPr>
    </w:p>
    <w:p w14:paraId="6920BFAF">
      <w:pPr>
        <w:pStyle w:val="8"/>
        <w:spacing w:line="245" w:lineRule="auto"/>
        <w:rPr>
          <w:color w:val="auto"/>
          <w:lang w:eastAsia="zh-CN"/>
        </w:rPr>
      </w:pPr>
    </w:p>
    <w:p w14:paraId="2866936A">
      <w:pPr>
        <w:pStyle w:val="8"/>
        <w:spacing w:line="245" w:lineRule="auto"/>
        <w:rPr>
          <w:color w:val="auto"/>
          <w:lang w:eastAsia="zh-CN"/>
        </w:rPr>
      </w:pPr>
    </w:p>
    <w:p w14:paraId="02320022">
      <w:pPr>
        <w:pStyle w:val="8"/>
        <w:spacing w:line="245" w:lineRule="auto"/>
        <w:rPr>
          <w:color w:val="auto"/>
          <w:lang w:eastAsia="zh-CN"/>
        </w:rPr>
      </w:pPr>
    </w:p>
    <w:p w14:paraId="533BDBC9">
      <w:pPr>
        <w:pStyle w:val="8"/>
        <w:spacing w:line="245" w:lineRule="auto"/>
        <w:rPr>
          <w:color w:val="auto"/>
          <w:lang w:eastAsia="zh-CN"/>
        </w:rPr>
      </w:pPr>
    </w:p>
    <w:p w14:paraId="3A6B9A25">
      <w:pPr>
        <w:pStyle w:val="8"/>
        <w:spacing w:line="245" w:lineRule="auto"/>
        <w:rPr>
          <w:color w:val="auto"/>
          <w:lang w:eastAsia="zh-CN"/>
        </w:rPr>
      </w:pPr>
    </w:p>
    <w:p w14:paraId="4D054C0A">
      <w:pPr>
        <w:pStyle w:val="8"/>
        <w:spacing w:line="245" w:lineRule="auto"/>
        <w:rPr>
          <w:color w:val="auto"/>
          <w:lang w:eastAsia="zh-CN"/>
        </w:rPr>
      </w:pPr>
    </w:p>
    <w:p w14:paraId="5F430A3A">
      <w:pPr>
        <w:spacing w:before="140" w:line="223" w:lineRule="auto"/>
        <w:jc w:val="center"/>
        <w:rPr>
          <w:rFonts w:hint="eastAsia" w:ascii="宋体" w:hAnsi="宋体" w:eastAsia="宋体" w:cs="宋体"/>
          <w:color w:val="auto"/>
          <w:sz w:val="43"/>
          <w:szCs w:val="43"/>
          <w:lang w:eastAsia="zh-CN"/>
        </w:rPr>
      </w:pPr>
      <w:r>
        <w:rPr>
          <w:rFonts w:ascii="宋体" w:hAnsi="宋体" w:eastAsia="宋体" w:cs="宋体"/>
          <w:b/>
          <w:bCs/>
          <w:color w:val="auto"/>
          <w:spacing w:val="-14"/>
          <w:sz w:val="43"/>
          <w:szCs w:val="43"/>
          <w:lang w:eastAsia="zh-CN"/>
        </w:rPr>
        <w:t>投标文件</w:t>
      </w:r>
    </w:p>
    <w:p w14:paraId="29EC30CF">
      <w:pPr>
        <w:autoSpaceDE/>
        <w:autoSpaceDN/>
        <w:spacing w:before="305" w:line="221" w:lineRule="auto"/>
        <w:jc w:val="center"/>
        <w:outlineLvl w:val="1"/>
        <w:rPr>
          <w:rFonts w:hint="eastAsia" w:ascii="宋体" w:hAnsi="宋体" w:eastAsia="宋体" w:cs="宋体"/>
          <w:color w:val="auto"/>
          <w:sz w:val="24"/>
          <w:szCs w:val="24"/>
          <w:lang w:eastAsia="zh-CN"/>
        </w:rPr>
      </w:pPr>
      <w:bookmarkStart w:id="1886" w:name="_Toc11031"/>
      <w:bookmarkStart w:id="1887" w:name="_Toc4211"/>
      <w:r>
        <w:rPr>
          <w:rFonts w:ascii="宋体" w:hAnsi="宋体" w:eastAsia="宋体" w:cs="宋体"/>
          <w:color w:val="auto"/>
          <w:spacing w:val="-4"/>
          <w:sz w:val="24"/>
          <w:szCs w:val="24"/>
          <w:lang w:eastAsia="zh-CN"/>
        </w:rPr>
        <w:t>（资信标）</w:t>
      </w:r>
      <w:bookmarkEnd w:id="1886"/>
      <w:bookmarkEnd w:id="1887"/>
    </w:p>
    <w:p w14:paraId="65193197">
      <w:pPr>
        <w:pStyle w:val="8"/>
        <w:spacing w:line="247" w:lineRule="auto"/>
        <w:rPr>
          <w:color w:val="auto"/>
          <w:lang w:eastAsia="zh-CN"/>
        </w:rPr>
      </w:pPr>
    </w:p>
    <w:p w14:paraId="12905722">
      <w:pPr>
        <w:pStyle w:val="8"/>
        <w:spacing w:line="248" w:lineRule="auto"/>
        <w:rPr>
          <w:color w:val="auto"/>
          <w:lang w:eastAsia="zh-CN"/>
        </w:rPr>
      </w:pPr>
    </w:p>
    <w:p w14:paraId="466B6EB2">
      <w:pPr>
        <w:pStyle w:val="8"/>
        <w:spacing w:line="248" w:lineRule="auto"/>
        <w:rPr>
          <w:color w:val="auto"/>
          <w:lang w:eastAsia="zh-CN"/>
        </w:rPr>
      </w:pPr>
    </w:p>
    <w:p w14:paraId="2282771C">
      <w:pPr>
        <w:pStyle w:val="8"/>
        <w:spacing w:line="248" w:lineRule="auto"/>
        <w:rPr>
          <w:color w:val="auto"/>
          <w:lang w:eastAsia="zh-CN"/>
        </w:rPr>
      </w:pPr>
    </w:p>
    <w:p w14:paraId="02203BDA">
      <w:pPr>
        <w:pStyle w:val="8"/>
        <w:spacing w:line="248" w:lineRule="auto"/>
        <w:rPr>
          <w:color w:val="auto"/>
          <w:lang w:eastAsia="zh-CN"/>
        </w:rPr>
      </w:pPr>
    </w:p>
    <w:p w14:paraId="29A4C308">
      <w:pPr>
        <w:pStyle w:val="8"/>
        <w:spacing w:line="248" w:lineRule="auto"/>
        <w:rPr>
          <w:color w:val="auto"/>
          <w:lang w:eastAsia="zh-CN"/>
        </w:rPr>
      </w:pPr>
    </w:p>
    <w:p w14:paraId="30DAE386">
      <w:pPr>
        <w:pStyle w:val="8"/>
        <w:spacing w:line="248" w:lineRule="auto"/>
        <w:rPr>
          <w:color w:val="auto"/>
          <w:lang w:eastAsia="zh-CN"/>
        </w:rPr>
      </w:pPr>
    </w:p>
    <w:p w14:paraId="58575F73">
      <w:pPr>
        <w:pStyle w:val="8"/>
        <w:spacing w:line="248" w:lineRule="auto"/>
        <w:rPr>
          <w:color w:val="auto"/>
          <w:lang w:eastAsia="zh-CN"/>
        </w:rPr>
      </w:pPr>
    </w:p>
    <w:p w14:paraId="2AF59B77">
      <w:pPr>
        <w:pStyle w:val="8"/>
        <w:spacing w:line="248" w:lineRule="auto"/>
        <w:rPr>
          <w:color w:val="auto"/>
          <w:lang w:eastAsia="zh-CN"/>
        </w:rPr>
      </w:pPr>
    </w:p>
    <w:p w14:paraId="2B59F228">
      <w:pPr>
        <w:pStyle w:val="8"/>
        <w:spacing w:line="248" w:lineRule="auto"/>
        <w:rPr>
          <w:color w:val="auto"/>
          <w:lang w:eastAsia="zh-CN"/>
        </w:rPr>
      </w:pPr>
    </w:p>
    <w:p w14:paraId="34ABBEC6">
      <w:pPr>
        <w:pStyle w:val="8"/>
        <w:spacing w:line="248" w:lineRule="auto"/>
        <w:rPr>
          <w:color w:val="auto"/>
          <w:lang w:eastAsia="zh-CN"/>
        </w:rPr>
      </w:pPr>
    </w:p>
    <w:p w14:paraId="3BC28E64">
      <w:pPr>
        <w:pStyle w:val="8"/>
        <w:spacing w:line="248" w:lineRule="auto"/>
        <w:rPr>
          <w:color w:val="auto"/>
          <w:lang w:eastAsia="zh-CN"/>
        </w:rPr>
      </w:pPr>
    </w:p>
    <w:p w14:paraId="31DD71B7">
      <w:pPr>
        <w:pStyle w:val="8"/>
        <w:spacing w:line="248" w:lineRule="auto"/>
        <w:rPr>
          <w:color w:val="auto"/>
          <w:lang w:eastAsia="zh-CN"/>
        </w:rPr>
      </w:pPr>
    </w:p>
    <w:p w14:paraId="176035BA">
      <w:pPr>
        <w:pStyle w:val="8"/>
        <w:spacing w:line="248" w:lineRule="auto"/>
        <w:rPr>
          <w:color w:val="auto"/>
          <w:lang w:eastAsia="zh-CN"/>
        </w:rPr>
      </w:pPr>
    </w:p>
    <w:p w14:paraId="60F9D58B">
      <w:pPr>
        <w:pStyle w:val="8"/>
        <w:spacing w:line="248" w:lineRule="auto"/>
        <w:rPr>
          <w:color w:val="auto"/>
          <w:lang w:eastAsia="zh-CN"/>
        </w:rPr>
      </w:pPr>
    </w:p>
    <w:p w14:paraId="6B821F71">
      <w:pPr>
        <w:pStyle w:val="8"/>
        <w:spacing w:line="248" w:lineRule="auto"/>
        <w:rPr>
          <w:color w:val="auto"/>
          <w:lang w:eastAsia="zh-CN"/>
        </w:rPr>
      </w:pPr>
    </w:p>
    <w:p w14:paraId="79FD2C1B">
      <w:pPr>
        <w:pStyle w:val="8"/>
        <w:spacing w:line="248" w:lineRule="auto"/>
        <w:rPr>
          <w:color w:val="auto"/>
          <w:lang w:eastAsia="zh-CN"/>
        </w:rPr>
      </w:pPr>
    </w:p>
    <w:p w14:paraId="009203F8">
      <w:pPr>
        <w:spacing w:before="78" w:line="219" w:lineRule="auto"/>
        <w:ind w:left="112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投</w:t>
      </w:r>
      <w:r>
        <w:rPr>
          <w:rFonts w:hint="eastAsia" w:ascii="宋体" w:hAnsi="宋体" w:eastAsia="宋体" w:cs="宋体"/>
          <w:color w:val="auto"/>
          <w:spacing w:val="15"/>
          <w:sz w:val="24"/>
          <w:szCs w:val="24"/>
          <w:lang w:eastAsia="zh-CN"/>
        </w:rPr>
        <w:t>　</w:t>
      </w:r>
      <w:r>
        <w:rPr>
          <w:rFonts w:ascii="宋体" w:hAnsi="宋体" w:eastAsia="宋体" w:cs="宋体"/>
          <w:color w:val="auto"/>
          <w:spacing w:val="-1"/>
          <w:sz w:val="24"/>
          <w:szCs w:val="24"/>
          <w:lang w:eastAsia="zh-CN"/>
        </w:rPr>
        <w:t>标</w:t>
      </w:r>
      <w:r>
        <w:rPr>
          <w:rFonts w:hint="eastAsia" w:ascii="宋体" w:hAnsi="宋体" w:eastAsia="宋体" w:cs="宋体"/>
          <w:color w:val="auto"/>
          <w:spacing w:val="15"/>
          <w:sz w:val="24"/>
          <w:szCs w:val="24"/>
          <w:lang w:eastAsia="zh-CN"/>
        </w:rPr>
        <w:t>　</w:t>
      </w:r>
      <w:r>
        <w:rPr>
          <w:rFonts w:ascii="宋体" w:hAnsi="宋体" w:eastAsia="宋体" w:cs="宋体"/>
          <w:color w:val="auto"/>
          <w:spacing w:val="-1"/>
          <w:sz w:val="24"/>
          <w:szCs w:val="24"/>
          <w:lang w:eastAsia="zh-CN"/>
        </w:rPr>
        <w:t>人</w:t>
      </w:r>
      <w:r>
        <w:rPr>
          <w:rFonts w:ascii="宋体" w:hAnsi="宋体" w:eastAsia="宋体" w:cs="宋体"/>
          <w:color w:val="auto"/>
          <w:spacing w:val="-31"/>
          <w:sz w:val="24"/>
          <w:szCs w:val="24"/>
          <w:lang w:eastAsia="zh-CN"/>
        </w:rPr>
        <w:t>：</w:t>
      </w:r>
      <w:r>
        <w:rPr>
          <w:rFonts w:hint="eastAsia" w:ascii="宋体" w:hAnsi="宋体" w:eastAsia="宋体" w:cs="宋体"/>
          <w:color w:val="auto"/>
          <w:spacing w:val="17"/>
          <w:sz w:val="24"/>
          <w:szCs w:val="24"/>
          <w:u w:val="single"/>
          <w:lang w:eastAsia="zh-CN"/>
        </w:rPr>
        <w:t>　　　</w:t>
      </w:r>
      <w:r>
        <w:rPr>
          <w:rFonts w:ascii="宋体" w:hAnsi="宋体" w:eastAsia="宋体" w:cs="宋体"/>
          <w:color w:val="auto"/>
          <w:spacing w:val="-31"/>
          <w:sz w:val="24"/>
          <w:szCs w:val="24"/>
          <w:u w:val="single"/>
          <w:lang w:eastAsia="zh-CN"/>
        </w:rPr>
        <w:t>（</w:t>
      </w:r>
      <w:r>
        <w:rPr>
          <w:rFonts w:ascii="宋体" w:hAnsi="宋体" w:eastAsia="宋体" w:cs="宋体"/>
          <w:color w:val="auto"/>
          <w:spacing w:val="-1"/>
          <w:sz w:val="24"/>
          <w:szCs w:val="24"/>
          <w:u w:val="single"/>
          <w:lang w:eastAsia="zh-CN"/>
        </w:rPr>
        <w:t>盖单位公章）</w:t>
      </w:r>
      <w:r>
        <w:rPr>
          <w:rFonts w:hint="eastAsia" w:ascii="宋体" w:hAnsi="宋体" w:eastAsia="宋体" w:cs="宋体"/>
          <w:color w:val="auto"/>
          <w:sz w:val="24"/>
          <w:szCs w:val="24"/>
          <w:u w:val="single"/>
          <w:lang w:eastAsia="zh-CN"/>
        </w:rPr>
        <w:t>　　　　　　</w:t>
      </w:r>
    </w:p>
    <w:p w14:paraId="7CAEF3D1">
      <w:pPr>
        <w:pStyle w:val="8"/>
        <w:spacing w:line="257" w:lineRule="auto"/>
        <w:rPr>
          <w:color w:val="auto"/>
          <w:lang w:eastAsia="zh-CN"/>
        </w:rPr>
      </w:pPr>
    </w:p>
    <w:p w14:paraId="5ECC9801">
      <w:pPr>
        <w:pStyle w:val="8"/>
        <w:spacing w:line="258" w:lineRule="auto"/>
        <w:rPr>
          <w:color w:val="auto"/>
          <w:lang w:eastAsia="zh-CN"/>
        </w:rPr>
      </w:pPr>
    </w:p>
    <w:p w14:paraId="69F04623">
      <w:pPr>
        <w:tabs>
          <w:tab w:val="left" w:pos="4125"/>
        </w:tabs>
        <w:spacing w:before="78" w:line="362" w:lineRule="auto"/>
        <w:ind w:left="2805" w:right="1808" w:hanging="168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法定代表人或委托代理人</w:t>
      </w:r>
      <w:r>
        <w:rPr>
          <w:rFonts w:ascii="宋体" w:hAnsi="宋体" w:eastAsia="宋体" w:cs="宋体"/>
          <w:color w:val="auto"/>
          <w:spacing w:val="-14"/>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14"/>
          <w:sz w:val="24"/>
          <w:szCs w:val="24"/>
          <w:u w:val="single"/>
          <w:lang w:eastAsia="zh-CN"/>
        </w:rPr>
        <w:t>（</w:t>
      </w:r>
      <w:r>
        <w:rPr>
          <w:rFonts w:ascii="宋体" w:hAnsi="宋体" w:eastAsia="宋体" w:cs="宋体"/>
          <w:color w:val="auto"/>
          <w:spacing w:val="2"/>
          <w:sz w:val="24"/>
          <w:szCs w:val="24"/>
          <w:u w:val="single"/>
          <w:lang w:eastAsia="zh-CN"/>
        </w:rPr>
        <w:t>签字或盖章）</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u w:val="single"/>
          <w:lang w:eastAsia="zh-CN"/>
        </w:rPr>
        <w:tab/>
      </w:r>
      <w:r>
        <w:rPr>
          <w:rFonts w:ascii="宋体" w:hAnsi="宋体" w:eastAsia="宋体" w:cs="宋体"/>
          <w:color w:val="auto"/>
          <w:spacing w:val="-9"/>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日</w:t>
      </w:r>
    </w:p>
    <w:p w14:paraId="41BF9C82">
      <w:pPr>
        <w:pStyle w:val="8"/>
        <w:spacing w:line="286" w:lineRule="auto"/>
        <w:rPr>
          <w:color w:val="auto"/>
          <w:lang w:eastAsia="zh-CN"/>
        </w:rPr>
      </w:pPr>
    </w:p>
    <w:p w14:paraId="6EE4015D">
      <w:pPr>
        <w:pStyle w:val="8"/>
        <w:spacing w:line="287" w:lineRule="auto"/>
        <w:rPr>
          <w:color w:val="auto"/>
          <w:lang w:eastAsia="zh-CN"/>
        </w:rPr>
      </w:pPr>
    </w:p>
    <w:p w14:paraId="3C153A55">
      <w:pPr>
        <w:pStyle w:val="8"/>
        <w:spacing w:line="287" w:lineRule="auto"/>
        <w:rPr>
          <w:color w:val="auto"/>
          <w:lang w:eastAsia="zh-CN"/>
        </w:rPr>
      </w:pPr>
    </w:p>
    <w:p w14:paraId="156B97F0">
      <w:pPr>
        <w:pStyle w:val="8"/>
        <w:spacing w:line="287" w:lineRule="auto"/>
        <w:rPr>
          <w:color w:val="auto"/>
          <w:lang w:eastAsia="zh-CN"/>
        </w:rPr>
      </w:pPr>
    </w:p>
    <w:p w14:paraId="5BB0897C">
      <w:pPr>
        <w:spacing w:before="82" w:line="211" w:lineRule="auto"/>
        <w:rPr>
          <w:rFonts w:hint="eastAsia" w:ascii="宋体" w:hAnsi="宋体" w:eastAsia="宋体" w:cs="宋体"/>
          <w:color w:val="auto"/>
          <w:sz w:val="25"/>
          <w:szCs w:val="25"/>
          <w:lang w:eastAsia="zh-CN"/>
        </w:rPr>
      </w:pPr>
      <w:r>
        <w:rPr>
          <w:rFonts w:ascii="宋体" w:hAnsi="宋体" w:eastAsia="宋体" w:cs="宋体"/>
          <w:i/>
          <w:iCs/>
          <w:color w:val="auto"/>
          <w:spacing w:val="-19"/>
          <w:sz w:val="25"/>
          <w:szCs w:val="25"/>
          <w:lang w:eastAsia="zh-CN"/>
        </w:rPr>
        <w:t>注：本页同时适用于封面或扉页。</w:t>
      </w:r>
    </w:p>
    <w:p w14:paraId="1E9735D6">
      <w:pPr>
        <w:rPr>
          <w:rFonts w:hint="eastAsia" w:ascii="宋体" w:hAnsi="宋体" w:eastAsia="宋体" w:cs="宋体"/>
          <w:color w:val="auto"/>
          <w:sz w:val="25"/>
          <w:szCs w:val="25"/>
          <w:lang w:eastAsia="zh-CN"/>
        </w:rPr>
      </w:pPr>
      <w:r>
        <w:rPr>
          <w:rFonts w:ascii="宋体" w:hAnsi="宋体" w:eastAsia="宋体" w:cs="宋体"/>
          <w:color w:val="auto"/>
          <w:sz w:val="25"/>
          <w:szCs w:val="25"/>
          <w:lang w:eastAsia="zh-CN"/>
        </w:rPr>
        <w:br w:type="page"/>
      </w:r>
    </w:p>
    <w:p w14:paraId="29F919C7">
      <w:pPr>
        <w:spacing w:before="91" w:line="220" w:lineRule="auto"/>
        <w:ind w:left="3420"/>
        <w:rPr>
          <w:rFonts w:hint="eastAsia" w:ascii="宋体" w:hAnsi="宋体" w:eastAsia="宋体" w:cs="宋体"/>
          <w:color w:val="auto"/>
          <w:sz w:val="28"/>
          <w:szCs w:val="28"/>
        </w:rPr>
      </w:pPr>
      <w:r>
        <w:rPr>
          <w:rFonts w:ascii="宋体" w:hAnsi="宋体" w:eastAsia="宋体" w:cs="宋体"/>
          <w:b/>
          <w:bCs/>
          <w:color w:val="auto"/>
          <w:spacing w:val="-4"/>
          <w:sz w:val="28"/>
          <w:szCs w:val="28"/>
        </w:rPr>
        <w:t>评审因素索引表</w:t>
      </w:r>
    </w:p>
    <w:p w14:paraId="545EA243">
      <w:pPr>
        <w:spacing w:before="47"/>
        <w:rPr>
          <w:color w:val="auto"/>
        </w:rPr>
      </w:pPr>
    </w:p>
    <w:tbl>
      <w:tblPr>
        <w:tblStyle w:val="20"/>
        <w:tblW w:w="900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4"/>
        <w:gridCol w:w="5410"/>
        <w:gridCol w:w="2664"/>
      </w:tblGrid>
      <w:tr w14:paraId="5BCA0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934" w:type="dxa"/>
            <w:tcBorders>
              <w:top w:val="single" w:color="000000" w:sz="6" w:space="0"/>
              <w:left w:val="single" w:color="000000" w:sz="6" w:space="0"/>
            </w:tcBorders>
            <w:vAlign w:val="center"/>
          </w:tcPr>
          <w:p w14:paraId="4D83BC4E">
            <w:pPr>
              <w:pStyle w:val="21"/>
              <w:jc w:val="center"/>
              <w:rPr>
                <w:rFonts w:hint="eastAsia"/>
                <w:color w:val="auto"/>
                <w:sz w:val="24"/>
                <w:szCs w:val="24"/>
              </w:rPr>
            </w:pPr>
            <w:r>
              <w:rPr>
                <w:color w:val="auto"/>
                <w:spacing w:val="-3"/>
                <w:sz w:val="24"/>
                <w:szCs w:val="24"/>
              </w:rPr>
              <w:t>序号</w:t>
            </w:r>
          </w:p>
        </w:tc>
        <w:tc>
          <w:tcPr>
            <w:tcW w:w="5410" w:type="dxa"/>
            <w:tcBorders>
              <w:top w:val="single" w:color="000000" w:sz="6" w:space="0"/>
            </w:tcBorders>
            <w:vAlign w:val="center"/>
          </w:tcPr>
          <w:p w14:paraId="51DBDF9D">
            <w:pPr>
              <w:pStyle w:val="21"/>
              <w:jc w:val="center"/>
              <w:rPr>
                <w:rFonts w:hint="eastAsia"/>
                <w:color w:val="auto"/>
                <w:sz w:val="24"/>
                <w:szCs w:val="24"/>
              </w:rPr>
            </w:pPr>
            <w:r>
              <w:rPr>
                <w:color w:val="auto"/>
                <w:spacing w:val="-15"/>
                <w:sz w:val="24"/>
                <w:szCs w:val="24"/>
              </w:rPr>
              <w:t>评</w:t>
            </w:r>
            <w:r>
              <w:rPr>
                <w:rFonts w:hint="eastAsia"/>
                <w:color w:val="auto"/>
                <w:spacing w:val="7"/>
                <w:sz w:val="24"/>
                <w:szCs w:val="24"/>
                <w:lang w:eastAsia="zh-CN"/>
              </w:rPr>
              <w:t>　</w:t>
            </w:r>
            <w:r>
              <w:rPr>
                <w:color w:val="auto"/>
                <w:spacing w:val="-15"/>
                <w:sz w:val="24"/>
                <w:szCs w:val="24"/>
              </w:rPr>
              <w:t>审</w:t>
            </w:r>
            <w:r>
              <w:rPr>
                <w:rFonts w:hint="eastAsia"/>
                <w:color w:val="auto"/>
                <w:spacing w:val="9"/>
                <w:sz w:val="24"/>
                <w:szCs w:val="24"/>
                <w:lang w:eastAsia="zh-CN"/>
              </w:rPr>
              <w:t>　</w:t>
            </w:r>
            <w:r>
              <w:rPr>
                <w:color w:val="auto"/>
                <w:spacing w:val="-15"/>
                <w:sz w:val="24"/>
                <w:szCs w:val="24"/>
              </w:rPr>
              <w:t>因</w:t>
            </w:r>
            <w:r>
              <w:rPr>
                <w:rFonts w:hint="eastAsia"/>
                <w:color w:val="auto"/>
                <w:spacing w:val="4"/>
                <w:sz w:val="24"/>
                <w:szCs w:val="24"/>
                <w:lang w:eastAsia="zh-CN"/>
              </w:rPr>
              <w:t>　</w:t>
            </w:r>
            <w:r>
              <w:rPr>
                <w:color w:val="auto"/>
                <w:spacing w:val="-15"/>
                <w:sz w:val="24"/>
                <w:szCs w:val="24"/>
              </w:rPr>
              <w:t>素</w:t>
            </w:r>
          </w:p>
        </w:tc>
        <w:tc>
          <w:tcPr>
            <w:tcW w:w="2664" w:type="dxa"/>
            <w:tcBorders>
              <w:top w:val="single" w:color="000000" w:sz="6" w:space="0"/>
              <w:right w:val="single" w:color="000000" w:sz="6" w:space="0"/>
            </w:tcBorders>
            <w:vAlign w:val="center"/>
          </w:tcPr>
          <w:p w14:paraId="7B1E7DB9">
            <w:pPr>
              <w:pStyle w:val="21"/>
              <w:jc w:val="center"/>
              <w:rPr>
                <w:rFonts w:hint="eastAsia"/>
                <w:color w:val="auto"/>
                <w:sz w:val="24"/>
                <w:szCs w:val="24"/>
              </w:rPr>
            </w:pPr>
            <w:r>
              <w:rPr>
                <w:color w:val="auto"/>
                <w:spacing w:val="-2"/>
                <w:sz w:val="24"/>
                <w:szCs w:val="24"/>
              </w:rPr>
              <w:t>投标文件页码范围</w:t>
            </w:r>
          </w:p>
        </w:tc>
      </w:tr>
      <w:tr w14:paraId="01392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71720C1A">
            <w:pPr>
              <w:jc w:val="center"/>
              <w:rPr>
                <w:color w:val="auto"/>
              </w:rPr>
            </w:pPr>
          </w:p>
        </w:tc>
        <w:tc>
          <w:tcPr>
            <w:tcW w:w="5410" w:type="dxa"/>
            <w:vAlign w:val="center"/>
          </w:tcPr>
          <w:p w14:paraId="3F4724CD">
            <w:pPr>
              <w:jc w:val="center"/>
              <w:rPr>
                <w:color w:val="auto"/>
              </w:rPr>
            </w:pPr>
          </w:p>
        </w:tc>
        <w:tc>
          <w:tcPr>
            <w:tcW w:w="2664" w:type="dxa"/>
            <w:tcBorders>
              <w:right w:val="single" w:color="000000" w:sz="6" w:space="0"/>
            </w:tcBorders>
            <w:vAlign w:val="center"/>
          </w:tcPr>
          <w:p w14:paraId="275BA0EB">
            <w:pPr>
              <w:jc w:val="center"/>
              <w:rPr>
                <w:color w:val="auto"/>
              </w:rPr>
            </w:pPr>
          </w:p>
        </w:tc>
      </w:tr>
      <w:tr w14:paraId="1AAE1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934" w:type="dxa"/>
            <w:tcBorders>
              <w:left w:val="single" w:color="000000" w:sz="6" w:space="0"/>
            </w:tcBorders>
            <w:vAlign w:val="center"/>
          </w:tcPr>
          <w:p w14:paraId="08756990">
            <w:pPr>
              <w:jc w:val="center"/>
              <w:rPr>
                <w:color w:val="auto"/>
              </w:rPr>
            </w:pPr>
          </w:p>
        </w:tc>
        <w:tc>
          <w:tcPr>
            <w:tcW w:w="5410" w:type="dxa"/>
            <w:vAlign w:val="center"/>
          </w:tcPr>
          <w:p w14:paraId="1B5F6C91">
            <w:pPr>
              <w:jc w:val="center"/>
              <w:rPr>
                <w:color w:val="auto"/>
              </w:rPr>
            </w:pPr>
          </w:p>
        </w:tc>
        <w:tc>
          <w:tcPr>
            <w:tcW w:w="2664" w:type="dxa"/>
            <w:tcBorders>
              <w:right w:val="single" w:color="000000" w:sz="6" w:space="0"/>
            </w:tcBorders>
            <w:vAlign w:val="center"/>
          </w:tcPr>
          <w:p w14:paraId="36D4BEF2">
            <w:pPr>
              <w:jc w:val="center"/>
              <w:rPr>
                <w:color w:val="auto"/>
              </w:rPr>
            </w:pPr>
          </w:p>
        </w:tc>
      </w:tr>
      <w:tr w14:paraId="13E77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23D9B91E">
            <w:pPr>
              <w:jc w:val="both"/>
              <w:rPr>
                <w:color w:val="auto"/>
              </w:rPr>
            </w:pPr>
          </w:p>
        </w:tc>
        <w:tc>
          <w:tcPr>
            <w:tcW w:w="5410" w:type="dxa"/>
            <w:vAlign w:val="center"/>
          </w:tcPr>
          <w:p w14:paraId="729F86B1">
            <w:pPr>
              <w:jc w:val="both"/>
              <w:rPr>
                <w:color w:val="auto"/>
              </w:rPr>
            </w:pPr>
          </w:p>
        </w:tc>
        <w:tc>
          <w:tcPr>
            <w:tcW w:w="2664" w:type="dxa"/>
            <w:tcBorders>
              <w:right w:val="single" w:color="000000" w:sz="6" w:space="0"/>
            </w:tcBorders>
            <w:vAlign w:val="center"/>
          </w:tcPr>
          <w:p w14:paraId="6CFF297C">
            <w:pPr>
              <w:jc w:val="both"/>
              <w:rPr>
                <w:color w:val="auto"/>
              </w:rPr>
            </w:pPr>
          </w:p>
        </w:tc>
      </w:tr>
      <w:tr w14:paraId="11703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32C8354F">
            <w:pPr>
              <w:jc w:val="both"/>
              <w:rPr>
                <w:color w:val="auto"/>
              </w:rPr>
            </w:pPr>
          </w:p>
        </w:tc>
        <w:tc>
          <w:tcPr>
            <w:tcW w:w="5410" w:type="dxa"/>
            <w:vAlign w:val="center"/>
          </w:tcPr>
          <w:p w14:paraId="45B1DC2F">
            <w:pPr>
              <w:jc w:val="both"/>
              <w:rPr>
                <w:color w:val="auto"/>
              </w:rPr>
            </w:pPr>
          </w:p>
        </w:tc>
        <w:tc>
          <w:tcPr>
            <w:tcW w:w="2664" w:type="dxa"/>
            <w:tcBorders>
              <w:right w:val="single" w:color="000000" w:sz="6" w:space="0"/>
            </w:tcBorders>
            <w:vAlign w:val="center"/>
          </w:tcPr>
          <w:p w14:paraId="5358D1A9">
            <w:pPr>
              <w:jc w:val="both"/>
              <w:rPr>
                <w:color w:val="auto"/>
              </w:rPr>
            </w:pPr>
          </w:p>
        </w:tc>
      </w:tr>
      <w:tr w14:paraId="7D0BD2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18237983">
            <w:pPr>
              <w:jc w:val="both"/>
              <w:rPr>
                <w:color w:val="auto"/>
              </w:rPr>
            </w:pPr>
          </w:p>
        </w:tc>
        <w:tc>
          <w:tcPr>
            <w:tcW w:w="5410" w:type="dxa"/>
            <w:vAlign w:val="center"/>
          </w:tcPr>
          <w:p w14:paraId="23F94233">
            <w:pPr>
              <w:jc w:val="both"/>
              <w:rPr>
                <w:color w:val="auto"/>
              </w:rPr>
            </w:pPr>
          </w:p>
        </w:tc>
        <w:tc>
          <w:tcPr>
            <w:tcW w:w="2664" w:type="dxa"/>
            <w:tcBorders>
              <w:right w:val="single" w:color="000000" w:sz="6" w:space="0"/>
            </w:tcBorders>
            <w:vAlign w:val="center"/>
          </w:tcPr>
          <w:p w14:paraId="2C6D6D6E">
            <w:pPr>
              <w:jc w:val="both"/>
              <w:rPr>
                <w:color w:val="auto"/>
              </w:rPr>
            </w:pPr>
          </w:p>
        </w:tc>
      </w:tr>
      <w:tr w14:paraId="34F1A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499F10A4">
            <w:pPr>
              <w:jc w:val="both"/>
              <w:rPr>
                <w:color w:val="auto"/>
              </w:rPr>
            </w:pPr>
          </w:p>
        </w:tc>
        <w:tc>
          <w:tcPr>
            <w:tcW w:w="5410" w:type="dxa"/>
            <w:vAlign w:val="center"/>
          </w:tcPr>
          <w:p w14:paraId="764E47E7">
            <w:pPr>
              <w:jc w:val="both"/>
              <w:rPr>
                <w:color w:val="auto"/>
              </w:rPr>
            </w:pPr>
          </w:p>
        </w:tc>
        <w:tc>
          <w:tcPr>
            <w:tcW w:w="2664" w:type="dxa"/>
            <w:tcBorders>
              <w:right w:val="single" w:color="000000" w:sz="6" w:space="0"/>
            </w:tcBorders>
            <w:vAlign w:val="center"/>
          </w:tcPr>
          <w:p w14:paraId="34297170">
            <w:pPr>
              <w:jc w:val="both"/>
              <w:rPr>
                <w:color w:val="auto"/>
              </w:rPr>
            </w:pPr>
          </w:p>
        </w:tc>
      </w:tr>
      <w:tr w14:paraId="548FB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36A2A2D2">
            <w:pPr>
              <w:jc w:val="both"/>
              <w:rPr>
                <w:color w:val="auto"/>
              </w:rPr>
            </w:pPr>
          </w:p>
        </w:tc>
        <w:tc>
          <w:tcPr>
            <w:tcW w:w="5410" w:type="dxa"/>
            <w:vAlign w:val="center"/>
          </w:tcPr>
          <w:p w14:paraId="184D1B7F">
            <w:pPr>
              <w:jc w:val="both"/>
              <w:rPr>
                <w:color w:val="auto"/>
              </w:rPr>
            </w:pPr>
          </w:p>
        </w:tc>
        <w:tc>
          <w:tcPr>
            <w:tcW w:w="2664" w:type="dxa"/>
            <w:tcBorders>
              <w:right w:val="single" w:color="000000" w:sz="6" w:space="0"/>
            </w:tcBorders>
            <w:vAlign w:val="center"/>
          </w:tcPr>
          <w:p w14:paraId="61249C5E">
            <w:pPr>
              <w:jc w:val="both"/>
              <w:rPr>
                <w:color w:val="auto"/>
              </w:rPr>
            </w:pPr>
          </w:p>
        </w:tc>
      </w:tr>
      <w:tr w14:paraId="3C5D8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934" w:type="dxa"/>
            <w:tcBorders>
              <w:left w:val="single" w:color="000000" w:sz="6" w:space="0"/>
            </w:tcBorders>
            <w:vAlign w:val="center"/>
          </w:tcPr>
          <w:p w14:paraId="292E533B">
            <w:pPr>
              <w:jc w:val="both"/>
              <w:rPr>
                <w:color w:val="auto"/>
              </w:rPr>
            </w:pPr>
          </w:p>
        </w:tc>
        <w:tc>
          <w:tcPr>
            <w:tcW w:w="5410" w:type="dxa"/>
            <w:vAlign w:val="center"/>
          </w:tcPr>
          <w:p w14:paraId="713BD8B8">
            <w:pPr>
              <w:jc w:val="both"/>
              <w:rPr>
                <w:color w:val="auto"/>
              </w:rPr>
            </w:pPr>
          </w:p>
        </w:tc>
        <w:tc>
          <w:tcPr>
            <w:tcW w:w="2664" w:type="dxa"/>
            <w:tcBorders>
              <w:right w:val="single" w:color="000000" w:sz="6" w:space="0"/>
            </w:tcBorders>
            <w:vAlign w:val="center"/>
          </w:tcPr>
          <w:p w14:paraId="1FF60654">
            <w:pPr>
              <w:jc w:val="both"/>
              <w:rPr>
                <w:color w:val="auto"/>
              </w:rPr>
            </w:pPr>
          </w:p>
        </w:tc>
      </w:tr>
      <w:tr w14:paraId="61416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6ACB062E">
            <w:pPr>
              <w:jc w:val="both"/>
              <w:rPr>
                <w:color w:val="auto"/>
              </w:rPr>
            </w:pPr>
          </w:p>
        </w:tc>
        <w:tc>
          <w:tcPr>
            <w:tcW w:w="5410" w:type="dxa"/>
            <w:vAlign w:val="center"/>
          </w:tcPr>
          <w:p w14:paraId="09B91610">
            <w:pPr>
              <w:jc w:val="both"/>
              <w:rPr>
                <w:color w:val="auto"/>
              </w:rPr>
            </w:pPr>
          </w:p>
        </w:tc>
        <w:tc>
          <w:tcPr>
            <w:tcW w:w="2664" w:type="dxa"/>
            <w:tcBorders>
              <w:right w:val="single" w:color="000000" w:sz="6" w:space="0"/>
            </w:tcBorders>
            <w:vAlign w:val="center"/>
          </w:tcPr>
          <w:p w14:paraId="1C902753">
            <w:pPr>
              <w:jc w:val="both"/>
              <w:rPr>
                <w:color w:val="auto"/>
              </w:rPr>
            </w:pPr>
          </w:p>
        </w:tc>
      </w:tr>
      <w:tr w14:paraId="43A3C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253AFC94">
            <w:pPr>
              <w:jc w:val="both"/>
              <w:rPr>
                <w:color w:val="auto"/>
              </w:rPr>
            </w:pPr>
          </w:p>
        </w:tc>
        <w:tc>
          <w:tcPr>
            <w:tcW w:w="5410" w:type="dxa"/>
            <w:vAlign w:val="center"/>
          </w:tcPr>
          <w:p w14:paraId="62F88B70">
            <w:pPr>
              <w:jc w:val="both"/>
              <w:rPr>
                <w:color w:val="auto"/>
              </w:rPr>
            </w:pPr>
          </w:p>
        </w:tc>
        <w:tc>
          <w:tcPr>
            <w:tcW w:w="2664" w:type="dxa"/>
            <w:tcBorders>
              <w:right w:val="single" w:color="000000" w:sz="6" w:space="0"/>
            </w:tcBorders>
            <w:vAlign w:val="center"/>
          </w:tcPr>
          <w:p w14:paraId="740A2113">
            <w:pPr>
              <w:jc w:val="both"/>
              <w:rPr>
                <w:color w:val="auto"/>
              </w:rPr>
            </w:pPr>
          </w:p>
        </w:tc>
      </w:tr>
      <w:tr w14:paraId="19BE5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7D9C0F86">
            <w:pPr>
              <w:jc w:val="both"/>
              <w:rPr>
                <w:color w:val="auto"/>
              </w:rPr>
            </w:pPr>
          </w:p>
        </w:tc>
        <w:tc>
          <w:tcPr>
            <w:tcW w:w="5410" w:type="dxa"/>
            <w:vAlign w:val="center"/>
          </w:tcPr>
          <w:p w14:paraId="670C7A05">
            <w:pPr>
              <w:jc w:val="both"/>
              <w:rPr>
                <w:color w:val="auto"/>
              </w:rPr>
            </w:pPr>
          </w:p>
        </w:tc>
        <w:tc>
          <w:tcPr>
            <w:tcW w:w="2664" w:type="dxa"/>
            <w:tcBorders>
              <w:right w:val="single" w:color="000000" w:sz="6" w:space="0"/>
            </w:tcBorders>
            <w:vAlign w:val="center"/>
          </w:tcPr>
          <w:p w14:paraId="64B1F2D9">
            <w:pPr>
              <w:jc w:val="both"/>
              <w:rPr>
                <w:color w:val="auto"/>
              </w:rPr>
            </w:pPr>
          </w:p>
        </w:tc>
      </w:tr>
      <w:tr w14:paraId="39AB9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center"/>
          </w:tcPr>
          <w:p w14:paraId="35415149">
            <w:pPr>
              <w:jc w:val="both"/>
              <w:rPr>
                <w:color w:val="auto"/>
              </w:rPr>
            </w:pPr>
          </w:p>
        </w:tc>
        <w:tc>
          <w:tcPr>
            <w:tcW w:w="5410" w:type="dxa"/>
            <w:vAlign w:val="center"/>
          </w:tcPr>
          <w:p w14:paraId="25D82959">
            <w:pPr>
              <w:jc w:val="both"/>
              <w:rPr>
                <w:color w:val="auto"/>
              </w:rPr>
            </w:pPr>
          </w:p>
        </w:tc>
        <w:tc>
          <w:tcPr>
            <w:tcW w:w="2664" w:type="dxa"/>
            <w:tcBorders>
              <w:right w:val="single" w:color="000000" w:sz="6" w:space="0"/>
            </w:tcBorders>
            <w:vAlign w:val="center"/>
          </w:tcPr>
          <w:p w14:paraId="70B70E46">
            <w:pPr>
              <w:jc w:val="both"/>
              <w:rPr>
                <w:color w:val="auto"/>
              </w:rPr>
            </w:pPr>
          </w:p>
        </w:tc>
      </w:tr>
      <w:tr w14:paraId="3C277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center"/>
          </w:tcPr>
          <w:p w14:paraId="06BB9AA2">
            <w:pPr>
              <w:jc w:val="both"/>
              <w:rPr>
                <w:color w:val="auto"/>
              </w:rPr>
            </w:pPr>
          </w:p>
        </w:tc>
        <w:tc>
          <w:tcPr>
            <w:tcW w:w="5410" w:type="dxa"/>
            <w:vAlign w:val="center"/>
          </w:tcPr>
          <w:p w14:paraId="6627F28B">
            <w:pPr>
              <w:jc w:val="both"/>
              <w:rPr>
                <w:color w:val="auto"/>
              </w:rPr>
            </w:pPr>
          </w:p>
        </w:tc>
        <w:tc>
          <w:tcPr>
            <w:tcW w:w="2664" w:type="dxa"/>
            <w:tcBorders>
              <w:right w:val="single" w:color="000000" w:sz="6" w:space="0"/>
            </w:tcBorders>
            <w:vAlign w:val="center"/>
          </w:tcPr>
          <w:p w14:paraId="2590B975">
            <w:pPr>
              <w:jc w:val="both"/>
              <w:rPr>
                <w:color w:val="auto"/>
              </w:rPr>
            </w:pPr>
          </w:p>
        </w:tc>
      </w:tr>
      <w:tr w14:paraId="351BA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934" w:type="dxa"/>
            <w:tcBorders>
              <w:left w:val="single" w:color="000000" w:sz="6" w:space="0"/>
              <w:bottom w:val="single" w:color="000000" w:sz="6" w:space="0"/>
            </w:tcBorders>
            <w:vAlign w:val="center"/>
          </w:tcPr>
          <w:p w14:paraId="50907A12">
            <w:pPr>
              <w:jc w:val="both"/>
              <w:rPr>
                <w:color w:val="auto"/>
              </w:rPr>
            </w:pPr>
          </w:p>
        </w:tc>
        <w:tc>
          <w:tcPr>
            <w:tcW w:w="5410" w:type="dxa"/>
            <w:tcBorders>
              <w:bottom w:val="single" w:color="000000" w:sz="6" w:space="0"/>
            </w:tcBorders>
            <w:vAlign w:val="center"/>
          </w:tcPr>
          <w:p w14:paraId="51A7DEE7">
            <w:pPr>
              <w:jc w:val="both"/>
              <w:rPr>
                <w:color w:val="auto"/>
              </w:rPr>
            </w:pPr>
          </w:p>
        </w:tc>
        <w:tc>
          <w:tcPr>
            <w:tcW w:w="2664" w:type="dxa"/>
            <w:tcBorders>
              <w:bottom w:val="single" w:color="000000" w:sz="6" w:space="0"/>
              <w:right w:val="single" w:color="000000" w:sz="6" w:space="0"/>
            </w:tcBorders>
            <w:vAlign w:val="center"/>
          </w:tcPr>
          <w:p w14:paraId="301F2002">
            <w:pPr>
              <w:jc w:val="both"/>
              <w:rPr>
                <w:color w:val="auto"/>
              </w:rPr>
            </w:pPr>
          </w:p>
        </w:tc>
      </w:tr>
    </w:tbl>
    <w:p w14:paraId="01398CEB">
      <w:pPr>
        <w:pStyle w:val="8"/>
        <w:rPr>
          <w:color w:val="auto"/>
        </w:rPr>
      </w:pPr>
    </w:p>
    <w:p w14:paraId="17DFC67A">
      <w:pPr>
        <w:rPr>
          <w:color w:val="auto"/>
        </w:rPr>
      </w:pPr>
      <w:r>
        <w:rPr>
          <w:color w:val="auto"/>
        </w:rPr>
        <w:br w:type="page"/>
      </w:r>
    </w:p>
    <w:p w14:paraId="7ECDE526">
      <w:pPr>
        <w:pStyle w:val="8"/>
        <w:spacing w:line="246" w:lineRule="auto"/>
        <w:rPr>
          <w:color w:val="auto"/>
        </w:rPr>
      </w:pPr>
    </w:p>
    <w:p w14:paraId="3BDCDC4D">
      <w:pPr>
        <w:spacing w:before="91" w:line="220" w:lineRule="auto"/>
        <w:ind w:left="3517"/>
        <w:outlineLvl w:val="2"/>
        <w:rPr>
          <w:rFonts w:hint="eastAsia" w:ascii="宋体" w:hAnsi="宋体" w:eastAsia="宋体" w:cs="宋体"/>
          <w:color w:val="auto"/>
          <w:sz w:val="28"/>
          <w:szCs w:val="28"/>
        </w:rPr>
      </w:pPr>
      <w:bookmarkStart w:id="1888" w:name="bookmark654"/>
      <w:bookmarkEnd w:id="1888"/>
      <w:bookmarkStart w:id="1889" w:name="_Toc25316"/>
      <w:bookmarkStart w:id="1890" w:name="_Toc31326"/>
      <w:bookmarkStart w:id="1891" w:name="_Toc32105"/>
      <w:bookmarkStart w:id="1892" w:name="_Toc20861"/>
      <w:r>
        <w:rPr>
          <w:rFonts w:ascii="宋体" w:hAnsi="宋体" w:eastAsia="宋体" w:cs="宋体"/>
          <w:b/>
          <w:bCs/>
          <w:color w:val="auto"/>
          <w:spacing w:val="-7"/>
          <w:sz w:val="28"/>
          <w:szCs w:val="28"/>
        </w:rPr>
        <w:t>资信标目录</w:t>
      </w:r>
      <w:bookmarkEnd w:id="1889"/>
      <w:bookmarkEnd w:id="1890"/>
      <w:bookmarkEnd w:id="1891"/>
      <w:bookmarkEnd w:id="1892"/>
    </w:p>
    <w:p w14:paraId="22FC5103">
      <w:pPr>
        <w:pStyle w:val="8"/>
        <w:spacing w:line="245" w:lineRule="auto"/>
        <w:rPr>
          <w:color w:val="auto"/>
        </w:rPr>
      </w:pPr>
    </w:p>
    <w:p w14:paraId="44BCAE2A">
      <w:pPr>
        <w:spacing w:line="520" w:lineRule="exact"/>
        <w:ind w:firstLine="460" w:firstLineChars="200"/>
        <w:rPr>
          <w:rFonts w:hint="eastAsia" w:ascii="宋体" w:hAnsi="宋体" w:eastAsia="宋体" w:cs="宋体"/>
          <w:color w:val="auto"/>
          <w:sz w:val="24"/>
          <w:szCs w:val="24"/>
        </w:rPr>
      </w:pPr>
      <w:r>
        <w:rPr>
          <w:rFonts w:ascii="宋体" w:hAnsi="宋体" w:eastAsia="宋体" w:cs="宋体"/>
          <w:color w:val="auto"/>
          <w:spacing w:val="-5"/>
          <w:sz w:val="24"/>
          <w:szCs w:val="24"/>
        </w:rPr>
        <w:t>一、企业信用等级</w:t>
      </w:r>
    </w:p>
    <w:p w14:paraId="15726571">
      <w:pPr>
        <w:spacing w:line="520" w:lineRule="exact"/>
        <w:ind w:firstLine="468" w:firstLineChars="200"/>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二、评审打分业绩（若有）</w:t>
      </w:r>
    </w:p>
    <w:p w14:paraId="60AA4DE8">
      <w:pPr>
        <w:spacing w:line="520" w:lineRule="exact"/>
        <w:ind w:firstLine="472" w:firstLineChars="200"/>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三、其他材料</w:t>
      </w:r>
    </w:p>
    <w:p w14:paraId="007B9D6B">
      <w:pPr>
        <w:spacing w:line="520" w:lineRule="exact"/>
        <w:ind w:firstLine="460" w:firstLineChars="200"/>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四、招标人要求提交的其他资料</w:t>
      </w:r>
    </w:p>
    <w:p w14:paraId="2152C713">
      <w:pPr>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7FABD607">
      <w:pPr>
        <w:spacing w:line="520" w:lineRule="exact"/>
        <w:outlineLvl w:val="2"/>
        <w:rPr>
          <w:rFonts w:hint="eastAsia" w:ascii="宋体" w:hAnsi="宋体" w:eastAsia="宋体" w:cs="宋体"/>
          <w:color w:val="auto"/>
          <w:sz w:val="28"/>
          <w:szCs w:val="28"/>
          <w:lang w:eastAsia="zh-CN"/>
        </w:rPr>
      </w:pPr>
      <w:bookmarkStart w:id="1893" w:name="bookmark655"/>
      <w:bookmarkEnd w:id="1893"/>
      <w:bookmarkStart w:id="1894" w:name="_Toc15825"/>
      <w:bookmarkStart w:id="1895" w:name="_Toc18961"/>
      <w:bookmarkStart w:id="1896" w:name="_Toc13271"/>
      <w:bookmarkStart w:id="1897" w:name="_Toc32001"/>
      <w:r>
        <w:rPr>
          <w:rFonts w:ascii="宋体" w:hAnsi="宋体" w:eastAsia="宋体" w:cs="宋体"/>
          <w:b/>
          <w:bCs/>
          <w:color w:val="auto"/>
          <w:spacing w:val="-6"/>
          <w:sz w:val="28"/>
          <w:szCs w:val="28"/>
          <w:lang w:eastAsia="zh-CN"/>
        </w:rPr>
        <w:t>一、企业信用等级</w:t>
      </w:r>
      <w:bookmarkEnd w:id="1894"/>
      <w:bookmarkEnd w:id="1895"/>
      <w:bookmarkEnd w:id="1896"/>
      <w:bookmarkEnd w:id="1897"/>
    </w:p>
    <w:p w14:paraId="7E3EC3BC">
      <w:pPr>
        <w:rPr>
          <w:rFonts w:hint="eastAsia" w:ascii="宋体" w:hAnsi="宋体" w:eastAsia="宋体" w:cs="宋体"/>
          <w:color w:val="auto"/>
          <w:sz w:val="28"/>
          <w:szCs w:val="28"/>
          <w:lang w:eastAsia="zh-CN"/>
        </w:rPr>
      </w:pPr>
      <w:r>
        <w:rPr>
          <w:rFonts w:ascii="宋体" w:hAnsi="宋体" w:eastAsia="宋体" w:cs="宋体"/>
          <w:color w:val="auto"/>
          <w:sz w:val="28"/>
          <w:szCs w:val="28"/>
          <w:lang w:eastAsia="zh-CN"/>
        </w:rPr>
        <w:br w:type="page"/>
      </w:r>
    </w:p>
    <w:p w14:paraId="48E80F30">
      <w:pPr>
        <w:spacing w:before="333" w:line="220" w:lineRule="auto"/>
        <w:ind w:left="2144"/>
        <w:rPr>
          <w:rFonts w:hint="eastAsia" w:ascii="宋体" w:hAnsi="宋体" w:eastAsia="宋体" w:cs="宋体"/>
          <w:color w:val="auto"/>
          <w:sz w:val="30"/>
          <w:szCs w:val="30"/>
          <w:lang w:eastAsia="zh-CN"/>
        </w:rPr>
      </w:pPr>
      <w:bookmarkStart w:id="1898" w:name="bookmark656"/>
      <w:bookmarkEnd w:id="1898"/>
      <w:r>
        <w:rPr>
          <w:rFonts w:ascii="宋体" w:hAnsi="宋体" w:eastAsia="宋体" w:cs="宋体"/>
          <w:b/>
          <w:bCs/>
          <w:color w:val="auto"/>
          <w:spacing w:val="-4"/>
          <w:sz w:val="30"/>
          <w:szCs w:val="30"/>
          <w:lang w:eastAsia="zh-CN"/>
        </w:rPr>
        <w:t>业绩汇总表（评审打分业绩的汇总）</w:t>
      </w:r>
    </w:p>
    <w:p w14:paraId="099B8313">
      <w:pPr>
        <w:spacing w:before="16"/>
        <w:rPr>
          <w:color w:val="auto"/>
          <w:lang w:eastAsia="zh-CN"/>
        </w:rPr>
      </w:pPr>
    </w:p>
    <w:p w14:paraId="2E003330">
      <w:pPr>
        <w:spacing w:before="15"/>
        <w:rPr>
          <w:color w:val="auto"/>
          <w:lang w:eastAsia="zh-CN"/>
        </w:rPr>
      </w:pPr>
    </w:p>
    <w:tbl>
      <w:tblPr>
        <w:tblStyle w:val="20"/>
        <w:tblW w:w="880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2"/>
        <w:gridCol w:w="1321"/>
        <w:gridCol w:w="1146"/>
        <w:gridCol w:w="1376"/>
        <w:gridCol w:w="1685"/>
        <w:gridCol w:w="1153"/>
        <w:gridCol w:w="1384"/>
      </w:tblGrid>
      <w:tr w14:paraId="1A454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3" w:hRule="atLeast"/>
        </w:trPr>
        <w:tc>
          <w:tcPr>
            <w:tcW w:w="742" w:type="dxa"/>
            <w:tcBorders>
              <w:top w:val="single" w:color="000000" w:sz="10" w:space="0"/>
              <w:left w:val="single" w:color="000000" w:sz="10" w:space="0"/>
            </w:tcBorders>
            <w:vAlign w:val="center"/>
          </w:tcPr>
          <w:p w14:paraId="58B8969F">
            <w:pPr>
              <w:pStyle w:val="21"/>
              <w:jc w:val="center"/>
              <w:rPr>
                <w:rFonts w:hint="eastAsia"/>
                <w:color w:val="auto"/>
                <w:sz w:val="24"/>
                <w:szCs w:val="24"/>
              </w:rPr>
            </w:pPr>
            <w:r>
              <w:rPr>
                <w:color w:val="auto"/>
                <w:sz w:val="24"/>
                <w:szCs w:val="24"/>
              </w:rPr>
              <w:t>序号</w:t>
            </w:r>
          </w:p>
        </w:tc>
        <w:tc>
          <w:tcPr>
            <w:tcW w:w="1321" w:type="dxa"/>
            <w:tcBorders>
              <w:top w:val="single" w:color="000000" w:sz="10" w:space="0"/>
            </w:tcBorders>
            <w:vAlign w:val="center"/>
          </w:tcPr>
          <w:p w14:paraId="3C7737F7">
            <w:pPr>
              <w:pStyle w:val="21"/>
              <w:jc w:val="center"/>
              <w:rPr>
                <w:rFonts w:hint="eastAsia"/>
                <w:color w:val="auto"/>
                <w:sz w:val="24"/>
                <w:szCs w:val="24"/>
              </w:rPr>
            </w:pPr>
            <w:r>
              <w:rPr>
                <w:color w:val="auto"/>
                <w:sz w:val="24"/>
                <w:szCs w:val="24"/>
              </w:rPr>
              <w:t>该业绩证明对象</w:t>
            </w:r>
          </w:p>
        </w:tc>
        <w:tc>
          <w:tcPr>
            <w:tcW w:w="1146" w:type="dxa"/>
            <w:tcBorders>
              <w:top w:val="single" w:color="000000" w:sz="10" w:space="0"/>
            </w:tcBorders>
            <w:vAlign w:val="center"/>
          </w:tcPr>
          <w:p w14:paraId="44AACF47">
            <w:pPr>
              <w:pStyle w:val="21"/>
              <w:jc w:val="center"/>
              <w:rPr>
                <w:rFonts w:hint="eastAsia"/>
                <w:color w:val="auto"/>
                <w:sz w:val="24"/>
                <w:szCs w:val="24"/>
              </w:rPr>
            </w:pPr>
            <w:r>
              <w:rPr>
                <w:color w:val="auto"/>
                <w:sz w:val="24"/>
                <w:szCs w:val="24"/>
              </w:rPr>
              <w:t>项目名称</w:t>
            </w:r>
          </w:p>
        </w:tc>
        <w:tc>
          <w:tcPr>
            <w:tcW w:w="1376" w:type="dxa"/>
            <w:tcBorders>
              <w:top w:val="single" w:color="000000" w:sz="10" w:space="0"/>
            </w:tcBorders>
            <w:vAlign w:val="center"/>
          </w:tcPr>
          <w:p w14:paraId="67DEBABF">
            <w:pPr>
              <w:pStyle w:val="21"/>
              <w:jc w:val="center"/>
              <w:rPr>
                <w:rFonts w:hint="eastAsia"/>
                <w:color w:val="auto"/>
                <w:sz w:val="24"/>
                <w:szCs w:val="24"/>
              </w:rPr>
            </w:pPr>
            <w:r>
              <w:rPr>
                <w:color w:val="auto"/>
                <w:sz w:val="24"/>
                <w:szCs w:val="24"/>
              </w:rPr>
              <w:t>建设单位(项目业主）</w:t>
            </w:r>
          </w:p>
        </w:tc>
        <w:tc>
          <w:tcPr>
            <w:tcW w:w="1685" w:type="dxa"/>
            <w:tcBorders>
              <w:top w:val="single" w:color="000000" w:sz="10" w:space="0"/>
            </w:tcBorders>
            <w:vAlign w:val="center"/>
          </w:tcPr>
          <w:p w14:paraId="66AF1710">
            <w:pPr>
              <w:pStyle w:val="21"/>
              <w:jc w:val="center"/>
              <w:rPr>
                <w:rFonts w:hint="eastAsia"/>
                <w:color w:val="auto"/>
                <w:sz w:val="24"/>
                <w:szCs w:val="24"/>
                <w:lang w:eastAsia="zh-CN"/>
              </w:rPr>
            </w:pPr>
            <w:r>
              <w:rPr>
                <w:color w:val="auto"/>
                <w:sz w:val="24"/>
                <w:szCs w:val="24"/>
                <w:lang w:eastAsia="zh-CN"/>
              </w:rPr>
              <w:t>与评审有关的时间、规模、技术指标及其他要求</w:t>
            </w:r>
          </w:p>
        </w:tc>
        <w:tc>
          <w:tcPr>
            <w:tcW w:w="1153" w:type="dxa"/>
            <w:tcBorders>
              <w:top w:val="single" w:color="000000" w:sz="10" w:space="0"/>
            </w:tcBorders>
            <w:vAlign w:val="center"/>
          </w:tcPr>
          <w:p w14:paraId="6614AD4F">
            <w:pPr>
              <w:pStyle w:val="21"/>
              <w:jc w:val="center"/>
              <w:rPr>
                <w:rFonts w:hint="eastAsia"/>
                <w:color w:val="auto"/>
                <w:sz w:val="24"/>
                <w:szCs w:val="24"/>
              </w:rPr>
            </w:pPr>
            <w:r>
              <w:rPr>
                <w:color w:val="auto"/>
                <w:sz w:val="24"/>
                <w:szCs w:val="24"/>
              </w:rPr>
              <w:t>提交证明材料内容</w:t>
            </w:r>
          </w:p>
        </w:tc>
        <w:tc>
          <w:tcPr>
            <w:tcW w:w="1384" w:type="dxa"/>
            <w:tcBorders>
              <w:top w:val="single" w:color="000000" w:sz="10" w:space="0"/>
              <w:right w:val="single" w:color="000000" w:sz="10" w:space="0"/>
            </w:tcBorders>
            <w:vAlign w:val="center"/>
          </w:tcPr>
          <w:p w14:paraId="42498A23">
            <w:pPr>
              <w:pStyle w:val="21"/>
              <w:jc w:val="center"/>
              <w:rPr>
                <w:rFonts w:hint="eastAsia"/>
                <w:color w:val="auto"/>
                <w:sz w:val="24"/>
                <w:szCs w:val="24"/>
              </w:rPr>
            </w:pPr>
            <w:r>
              <w:rPr>
                <w:color w:val="auto"/>
                <w:sz w:val="24"/>
                <w:szCs w:val="24"/>
              </w:rPr>
              <w:t>在投标文件的位置</w:t>
            </w:r>
          </w:p>
        </w:tc>
      </w:tr>
      <w:tr w14:paraId="25957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742" w:type="dxa"/>
            <w:tcBorders>
              <w:left w:val="single" w:color="000000" w:sz="10" w:space="0"/>
            </w:tcBorders>
            <w:vAlign w:val="center"/>
          </w:tcPr>
          <w:p w14:paraId="6E45BB59">
            <w:pPr>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1</w:t>
            </w:r>
          </w:p>
        </w:tc>
        <w:tc>
          <w:tcPr>
            <w:tcW w:w="1321" w:type="dxa"/>
            <w:vAlign w:val="center"/>
          </w:tcPr>
          <w:p w14:paraId="04313CEC">
            <w:pPr>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i/>
                <w:iCs/>
                <w:color w:val="auto"/>
                <w:position w:val="-1"/>
                <w:sz w:val="24"/>
                <w:szCs w:val="24"/>
                <w:lang w:eastAsia="zh-CN"/>
              </w:rPr>
              <w:t>……</w:t>
            </w:r>
          </w:p>
        </w:tc>
        <w:tc>
          <w:tcPr>
            <w:tcW w:w="1146" w:type="dxa"/>
            <w:vAlign w:val="center"/>
          </w:tcPr>
          <w:p w14:paraId="6FFAD950">
            <w:pPr>
              <w:jc w:val="center"/>
              <w:rPr>
                <w:color w:val="auto"/>
              </w:rPr>
            </w:pPr>
          </w:p>
        </w:tc>
        <w:tc>
          <w:tcPr>
            <w:tcW w:w="1376" w:type="dxa"/>
            <w:vAlign w:val="center"/>
          </w:tcPr>
          <w:p w14:paraId="056FB905">
            <w:pPr>
              <w:jc w:val="center"/>
              <w:rPr>
                <w:color w:val="auto"/>
              </w:rPr>
            </w:pPr>
          </w:p>
        </w:tc>
        <w:tc>
          <w:tcPr>
            <w:tcW w:w="1685" w:type="dxa"/>
            <w:vAlign w:val="center"/>
          </w:tcPr>
          <w:p w14:paraId="2A19981C">
            <w:pPr>
              <w:jc w:val="center"/>
              <w:rPr>
                <w:color w:val="auto"/>
              </w:rPr>
            </w:pPr>
          </w:p>
        </w:tc>
        <w:tc>
          <w:tcPr>
            <w:tcW w:w="1153" w:type="dxa"/>
            <w:vAlign w:val="center"/>
          </w:tcPr>
          <w:p w14:paraId="32ED32DA">
            <w:pPr>
              <w:jc w:val="center"/>
              <w:rPr>
                <w:color w:val="auto"/>
              </w:rPr>
            </w:pPr>
          </w:p>
        </w:tc>
        <w:tc>
          <w:tcPr>
            <w:tcW w:w="1384" w:type="dxa"/>
            <w:tcBorders>
              <w:right w:val="single" w:color="000000" w:sz="10" w:space="0"/>
            </w:tcBorders>
            <w:vAlign w:val="center"/>
          </w:tcPr>
          <w:p w14:paraId="50C4B660">
            <w:pPr>
              <w:pStyle w:val="21"/>
              <w:jc w:val="center"/>
              <w:rPr>
                <w:rFonts w:hint="eastAsia"/>
                <w:color w:val="auto"/>
                <w:sz w:val="25"/>
                <w:szCs w:val="25"/>
                <w:lang w:eastAsia="zh-CN"/>
              </w:rPr>
            </w:pPr>
            <w:r>
              <w:rPr>
                <w:i/>
                <w:iCs/>
                <w:color w:val="auto"/>
                <w:sz w:val="25"/>
                <w:szCs w:val="25"/>
                <w:lang w:eastAsia="zh-CN"/>
              </w:rPr>
              <w:t>例如：投</w:t>
            </w:r>
            <w:r>
              <w:rPr>
                <w:i/>
                <w:iCs/>
                <w:color w:val="auto"/>
                <w:w w:val="95"/>
                <w:sz w:val="25"/>
                <w:szCs w:val="25"/>
                <w:lang w:eastAsia="zh-CN"/>
              </w:rPr>
              <w:t>标文件第</w:t>
            </w:r>
            <w:r>
              <w:rPr>
                <w:rFonts w:ascii="Times New Roman" w:hAnsi="Times New Roman" w:eastAsia="Times New Roman" w:cs="Times New Roman"/>
                <w:i/>
                <w:iCs/>
                <w:color w:val="auto"/>
                <w:w w:val="95"/>
                <w:sz w:val="24"/>
                <w:szCs w:val="24"/>
                <w:lang w:eastAsia="zh-CN"/>
              </w:rPr>
              <w:t>X</w:t>
            </w:r>
            <w:r>
              <w:rPr>
                <w:i/>
                <w:iCs/>
                <w:color w:val="auto"/>
                <w:sz w:val="25"/>
                <w:szCs w:val="25"/>
                <w:lang w:eastAsia="zh-CN"/>
              </w:rPr>
              <w:t>页</w:t>
            </w:r>
          </w:p>
        </w:tc>
      </w:tr>
      <w:tr w14:paraId="04C75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9" w:hRule="atLeast"/>
        </w:trPr>
        <w:tc>
          <w:tcPr>
            <w:tcW w:w="742" w:type="dxa"/>
            <w:tcBorders>
              <w:left w:val="single" w:color="000000" w:sz="10" w:space="0"/>
            </w:tcBorders>
            <w:vAlign w:val="center"/>
          </w:tcPr>
          <w:p w14:paraId="71272939">
            <w:pPr>
              <w:jc w:val="center"/>
              <w:rPr>
                <w:color w:val="auto"/>
                <w:lang w:eastAsia="zh-CN"/>
              </w:rPr>
            </w:pPr>
          </w:p>
        </w:tc>
        <w:tc>
          <w:tcPr>
            <w:tcW w:w="1321" w:type="dxa"/>
            <w:vAlign w:val="center"/>
          </w:tcPr>
          <w:p w14:paraId="066562A7">
            <w:pPr>
              <w:jc w:val="center"/>
              <w:rPr>
                <w:color w:val="auto"/>
                <w:lang w:eastAsia="zh-CN"/>
              </w:rPr>
            </w:pPr>
          </w:p>
        </w:tc>
        <w:tc>
          <w:tcPr>
            <w:tcW w:w="1146" w:type="dxa"/>
            <w:vAlign w:val="center"/>
          </w:tcPr>
          <w:p w14:paraId="7A86465B">
            <w:pPr>
              <w:jc w:val="center"/>
              <w:rPr>
                <w:color w:val="auto"/>
                <w:lang w:eastAsia="zh-CN"/>
              </w:rPr>
            </w:pPr>
          </w:p>
        </w:tc>
        <w:tc>
          <w:tcPr>
            <w:tcW w:w="1376" w:type="dxa"/>
            <w:vAlign w:val="center"/>
          </w:tcPr>
          <w:p w14:paraId="0C45F8EA">
            <w:pPr>
              <w:jc w:val="center"/>
              <w:rPr>
                <w:color w:val="auto"/>
                <w:lang w:eastAsia="zh-CN"/>
              </w:rPr>
            </w:pPr>
          </w:p>
        </w:tc>
        <w:tc>
          <w:tcPr>
            <w:tcW w:w="1685" w:type="dxa"/>
            <w:vAlign w:val="center"/>
          </w:tcPr>
          <w:p w14:paraId="736AD331">
            <w:pPr>
              <w:jc w:val="center"/>
              <w:rPr>
                <w:color w:val="auto"/>
                <w:lang w:eastAsia="zh-CN"/>
              </w:rPr>
            </w:pPr>
          </w:p>
        </w:tc>
        <w:tc>
          <w:tcPr>
            <w:tcW w:w="1153" w:type="dxa"/>
            <w:vAlign w:val="center"/>
          </w:tcPr>
          <w:p w14:paraId="6434E2C1">
            <w:pPr>
              <w:jc w:val="center"/>
              <w:rPr>
                <w:color w:val="auto"/>
                <w:lang w:eastAsia="zh-CN"/>
              </w:rPr>
            </w:pPr>
          </w:p>
        </w:tc>
        <w:tc>
          <w:tcPr>
            <w:tcW w:w="1384" w:type="dxa"/>
            <w:tcBorders>
              <w:right w:val="single" w:color="000000" w:sz="10" w:space="0"/>
            </w:tcBorders>
            <w:vAlign w:val="center"/>
          </w:tcPr>
          <w:p w14:paraId="5BEBEBF0">
            <w:pPr>
              <w:jc w:val="center"/>
              <w:rPr>
                <w:color w:val="auto"/>
                <w:lang w:eastAsia="zh-CN"/>
              </w:rPr>
            </w:pPr>
          </w:p>
        </w:tc>
      </w:tr>
      <w:tr w14:paraId="77C04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42" w:type="dxa"/>
            <w:tcBorders>
              <w:left w:val="single" w:color="000000" w:sz="10" w:space="0"/>
              <w:bottom w:val="single" w:color="000000" w:sz="10" w:space="0"/>
            </w:tcBorders>
            <w:vAlign w:val="center"/>
          </w:tcPr>
          <w:p w14:paraId="6D6CB5F5">
            <w:pPr>
              <w:jc w:val="center"/>
              <w:rPr>
                <w:color w:val="auto"/>
                <w:lang w:eastAsia="zh-CN"/>
              </w:rPr>
            </w:pPr>
          </w:p>
        </w:tc>
        <w:tc>
          <w:tcPr>
            <w:tcW w:w="1321" w:type="dxa"/>
            <w:tcBorders>
              <w:bottom w:val="single" w:color="000000" w:sz="10" w:space="0"/>
            </w:tcBorders>
            <w:vAlign w:val="center"/>
          </w:tcPr>
          <w:p w14:paraId="7E8D5BCE">
            <w:pPr>
              <w:jc w:val="center"/>
              <w:rPr>
                <w:color w:val="auto"/>
                <w:lang w:eastAsia="zh-CN"/>
              </w:rPr>
            </w:pPr>
          </w:p>
        </w:tc>
        <w:tc>
          <w:tcPr>
            <w:tcW w:w="1146" w:type="dxa"/>
            <w:tcBorders>
              <w:bottom w:val="single" w:color="000000" w:sz="10" w:space="0"/>
            </w:tcBorders>
            <w:vAlign w:val="center"/>
          </w:tcPr>
          <w:p w14:paraId="1007EBF2">
            <w:pPr>
              <w:jc w:val="center"/>
              <w:rPr>
                <w:color w:val="auto"/>
                <w:lang w:eastAsia="zh-CN"/>
              </w:rPr>
            </w:pPr>
          </w:p>
        </w:tc>
        <w:tc>
          <w:tcPr>
            <w:tcW w:w="1376" w:type="dxa"/>
            <w:tcBorders>
              <w:bottom w:val="single" w:color="000000" w:sz="10" w:space="0"/>
            </w:tcBorders>
            <w:vAlign w:val="center"/>
          </w:tcPr>
          <w:p w14:paraId="1AF34B01">
            <w:pPr>
              <w:jc w:val="center"/>
              <w:rPr>
                <w:color w:val="auto"/>
                <w:lang w:eastAsia="zh-CN"/>
              </w:rPr>
            </w:pPr>
          </w:p>
        </w:tc>
        <w:tc>
          <w:tcPr>
            <w:tcW w:w="1685" w:type="dxa"/>
            <w:tcBorders>
              <w:bottom w:val="single" w:color="000000" w:sz="10" w:space="0"/>
            </w:tcBorders>
            <w:vAlign w:val="center"/>
          </w:tcPr>
          <w:p w14:paraId="02911FA9">
            <w:pPr>
              <w:jc w:val="center"/>
              <w:rPr>
                <w:color w:val="auto"/>
                <w:lang w:eastAsia="zh-CN"/>
              </w:rPr>
            </w:pPr>
          </w:p>
        </w:tc>
        <w:tc>
          <w:tcPr>
            <w:tcW w:w="1153" w:type="dxa"/>
            <w:tcBorders>
              <w:bottom w:val="single" w:color="000000" w:sz="10" w:space="0"/>
            </w:tcBorders>
            <w:vAlign w:val="center"/>
          </w:tcPr>
          <w:p w14:paraId="14785603">
            <w:pPr>
              <w:jc w:val="center"/>
              <w:rPr>
                <w:color w:val="auto"/>
                <w:lang w:eastAsia="zh-CN"/>
              </w:rPr>
            </w:pPr>
          </w:p>
        </w:tc>
        <w:tc>
          <w:tcPr>
            <w:tcW w:w="1384" w:type="dxa"/>
            <w:tcBorders>
              <w:bottom w:val="single" w:color="000000" w:sz="10" w:space="0"/>
              <w:right w:val="single" w:color="000000" w:sz="10" w:space="0"/>
            </w:tcBorders>
            <w:vAlign w:val="center"/>
          </w:tcPr>
          <w:p w14:paraId="67886CBC">
            <w:pPr>
              <w:jc w:val="center"/>
              <w:rPr>
                <w:color w:val="auto"/>
                <w:lang w:eastAsia="zh-CN"/>
              </w:rPr>
            </w:pPr>
          </w:p>
        </w:tc>
      </w:tr>
    </w:tbl>
    <w:p w14:paraId="26C71E1A">
      <w:pPr>
        <w:pStyle w:val="8"/>
        <w:rPr>
          <w:color w:val="auto"/>
          <w:lang w:eastAsia="zh-CN"/>
        </w:rPr>
      </w:pPr>
    </w:p>
    <w:p w14:paraId="3FDA9D0B">
      <w:pPr>
        <w:rPr>
          <w:color w:val="auto"/>
          <w:lang w:eastAsia="zh-CN"/>
        </w:rPr>
      </w:pPr>
      <w:r>
        <w:rPr>
          <w:color w:val="auto"/>
          <w:lang w:eastAsia="zh-CN"/>
        </w:rPr>
        <w:br w:type="page"/>
      </w:r>
    </w:p>
    <w:p w14:paraId="40C7816B">
      <w:pPr>
        <w:spacing w:before="78" w:line="220" w:lineRule="auto"/>
        <w:jc w:val="center"/>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近年完成的类似项目情况表</w:t>
      </w:r>
    </w:p>
    <w:p w14:paraId="40BCB838">
      <w:pPr>
        <w:spacing w:before="182" w:line="220" w:lineRule="auto"/>
        <w:jc w:val="cente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（近年指</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z w:val="24"/>
          <w:szCs w:val="24"/>
          <w:lang w:eastAsia="zh-CN"/>
        </w:rPr>
        <w:t>日至投标截止时间）</w:t>
      </w:r>
    </w:p>
    <w:p w14:paraId="22F407B9">
      <w:pPr>
        <w:spacing w:line="144" w:lineRule="exact"/>
        <w:rPr>
          <w:color w:val="auto"/>
          <w:lang w:eastAsia="zh-CN"/>
        </w:rPr>
      </w:pPr>
    </w:p>
    <w:tbl>
      <w:tblPr>
        <w:tblStyle w:val="20"/>
        <w:tblW w:w="877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7"/>
        <w:gridCol w:w="6569"/>
      </w:tblGrid>
      <w:tr w14:paraId="367AE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2207" w:type="dxa"/>
            <w:tcBorders>
              <w:top w:val="single" w:color="000000" w:sz="6" w:space="0"/>
              <w:left w:val="single" w:color="000000" w:sz="6" w:space="0"/>
            </w:tcBorders>
            <w:vAlign w:val="center"/>
          </w:tcPr>
          <w:p w14:paraId="06D913B6">
            <w:pPr>
              <w:pStyle w:val="21"/>
              <w:widowControl w:val="0"/>
              <w:kinsoku/>
              <w:topLinePunct/>
              <w:autoSpaceDE/>
              <w:autoSpaceDN/>
              <w:jc w:val="center"/>
              <w:rPr>
                <w:rFonts w:hint="eastAsia"/>
                <w:color w:val="auto"/>
                <w:sz w:val="24"/>
                <w:szCs w:val="24"/>
              </w:rPr>
            </w:pPr>
            <w:r>
              <w:rPr>
                <w:color w:val="auto"/>
                <w:spacing w:val="-2"/>
                <w:sz w:val="24"/>
                <w:szCs w:val="24"/>
              </w:rPr>
              <w:t>合同名称</w:t>
            </w:r>
          </w:p>
        </w:tc>
        <w:tc>
          <w:tcPr>
            <w:tcW w:w="6569" w:type="dxa"/>
            <w:tcBorders>
              <w:top w:val="single" w:color="000000" w:sz="6" w:space="0"/>
              <w:right w:val="single" w:color="000000" w:sz="6" w:space="0"/>
            </w:tcBorders>
          </w:tcPr>
          <w:p w14:paraId="50D5D5E1">
            <w:pPr>
              <w:widowControl w:val="0"/>
              <w:kinsoku/>
              <w:topLinePunct/>
              <w:autoSpaceDE/>
              <w:autoSpaceDN/>
              <w:jc w:val="center"/>
              <w:rPr>
                <w:color w:val="auto"/>
              </w:rPr>
            </w:pPr>
          </w:p>
        </w:tc>
      </w:tr>
      <w:tr w14:paraId="17758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24A4F5DB">
            <w:pPr>
              <w:pStyle w:val="21"/>
              <w:widowControl w:val="0"/>
              <w:kinsoku/>
              <w:topLinePunct/>
              <w:autoSpaceDE/>
              <w:autoSpaceDN/>
              <w:jc w:val="center"/>
              <w:rPr>
                <w:rFonts w:hint="eastAsia"/>
                <w:color w:val="auto"/>
                <w:sz w:val="24"/>
                <w:szCs w:val="24"/>
              </w:rPr>
            </w:pPr>
            <w:r>
              <w:rPr>
                <w:color w:val="auto"/>
                <w:spacing w:val="-2"/>
                <w:sz w:val="24"/>
                <w:szCs w:val="24"/>
              </w:rPr>
              <w:t>合同项目所在地</w:t>
            </w:r>
          </w:p>
        </w:tc>
        <w:tc>
          <w:tcPr>
            <w:tcW w:w="6569" w:type="dxa"/>
            <w:tcBorders>
              <w:right w:val="single" w:color="000000" w:sz="6" w:space="0"/>
            </w:tcBorders>
          </w:tcPr>
          <w:p w14:paraId="67789192">
            <w:pPr>
              <w:widowControl w:val="0"/>
              <w:kinsoku/>
              <w:topLinePunct/>
              <w:autoSpaceDE/>
              <w:autoSpaceDN/>
              <w:jc w:val="center"/>
              <w:rPr>
                <w:color w:val="auto"/>
              </w:rPr>
            </w:pPr>
          </w:p>
        </w:tc>
      </w:tr>
      <w:tr w14:paraId="3208E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center"/>
          </w:tcPr>
          <w:p w14:paraId="127D221B">
            <w:pPr>
              <w:pStyle w:val="21"/>
              <w:widowControl w:val="0"/>
              <w:kinsoku/>
              <w:topLinePunct/>
              <w:autoSpaceDE/>
              <w:autoSpaceDN/>
              <w:jc w:val="center"/>
              <w:rPr>
                <w:rFonts w:hint="eastAsia"/>
                <w:color w:val="auto"/>
                <w:sz w:val="24"/>
                <w:szCs w:val="24"/>
              </w:rPr>
            </w:pPr>
            <w:r>
              <w:rPr>
                <w:color w:val="auto"/>
                <w:spacing w:val="-3"/>
                <w:sz w:val="24"/>
                <w:szCs w:val="24"/>
              </w:rPr>
              <w:t>发包人名称</w:t>
            </w:r>
          </w:p>
        </w:tc>
        <w:tc>
          <w:tcPr>
            <w:tcW w:w="6569" w:type="dxa"/>
            <w:tcBorders>
              <w:right w:val="single" w:color="000000" w:sz="6" w:space="0"/>
            </w:tcBorders>
          </w:tcPr>
          <w:p w14:paraId="65922100">
            <w:pPr>
              <w:widowControl w:val="0"/>
              <w:kinsoku/>
              <w:topLinePunct/>
              <w:autoSpaceDE/>
              <w:autoSpaceDN/>
              <w:jc w:val="center"/>
              <w:rPr>
                <w:color w:val="auto"/>
              </w:rPr>
            </w:pPr>
          </w:p>
        </w:tc>
      </w:tr>
      <w:tr w14:paraId="251DF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1B00E6EE">
            <w:pPr>
              <w:pStyle w:val="21"/>
              <w:widowControl w:val="0"/>
              <w:kinsoku/>
              <w:topLinePunct/>
              <w:autoSpaceDE/>
              <w:autoSpaceDN/>
              <w:jc w:val="center"/>
              <w:rPr>
                <w:rFonts w:hint="eastAsia"/>
                <w:color w:val="auto"/>
                <w:sz w:val="24"/>
                <w:szCs w:val="24"/>
              </w:rPr>
            </w:pPr>
            <w:r>
              <w:rPr>
                <w:color w:val="auto"/>
                <w:spacing w:val="-3"/>
                <w:sz w:val="24"/>
                <w:szCs w:val="24"/>
              </w:rPr>
              <w:t>发包人地址</w:t>
            </w:r>
          </w:p>
        </w:tc>
        <w:tc>
          <w:tcPr>
            <w:tcW w:w="6569" w:type="dxa"/>
            <w:tcBorders>
              <w:right w:val="single" w:color="000000" w:sz="6" w:space="0"/>
            </w:tcBorders>
          </w:tcPr>
          <w:p w14:paraId="0CA806EA">
            <w:pPr>
              <w:widowControl w:val="0"/>
              <w:kinsoku/>
              <w:topLinePunct/>
              <w:autoSpaceDE/>
              <w:autoSpaceDN/>
              <w:jc w:val="center"/>
              <w:rPr>
                <w:color w:val="auto"/>
              </w:rPr>
            </w:pPr>
          </w:p>
        </w:tc>
      </w:tr>
      <w:tr w14:paraId="4D885A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09F1E4F4">
            <w:pPr>
              <w:pStyle w:val="21"/>
              <w:widowControl w:val="0"/>
              <w:kinsoku/>
              <w:topLinePunct/>
              <w:autoSpaceDE/>
              <w:autoSpaceDN/>
              <w:jc w:val="center"/>
              <w:rPr>
                <w:rFonts w:hint="eastAsia"/>
                <w:color w:val="auto"/>
                <w:sz w:val="24"/>
                <w:szCs w:val="24"/>
              </w:rPr>
            </w:pPr>
            <w:r>
              <w:rPr>
                <w:color w:val="auto"/>
                <w:spacing w:val="-3"/>
                <w:sz w:val="24"/>
                <w:szCs w:val="24"/>
              </w:rPr>
              <w:t>发包人电话</w:t>
            </w:r>
          </w:p>
        </w:tc>
        <w:tc>
          <w:tcPr>
            <w:tcW w:w="6569" w:type="dxa"/>
            <w:tcBorders>
              <w:right w:val="single" w:color="000000" w:sz="6" w:space="0"/>
            </w:tcBorders>
          </w:tcPr>
          <w:p w14:paraId="1FE92049">
            <w:pPr>
              <w:widowControl w:val="0"/>
              <w:kinsoku/>
              <w:topLinePunct/>
              <w:autoSpaceDE/>
              <w:autoSpaceDN/>
              <w:jc w:val="center"/>
              <w:rPr>
                <w:color w:val="auto"/>
              </w:rPr>
            </w:pPr>
          </w:p>
        </w:tc>
      </w:tr>
      <w:tr w14:paraId="2B90C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207" w:type="dxa"/>
            <w:tcBorders>
              <w:left w:val="single" w:color="000000" w:sz="6" w:space="0"/>
            </w:tcBorders>
            <w:vAlign w:val="center"/>
          </w:tcPr>
          <w:p w14:paraId="0303B884">
            <w:pPr>
              <w:pStyle w:val="21"/>
              <w:widowControl w:val="0"/>
              <w:kinsoku/>
              <w:topLinePunct/>
              <w:autoSpaceDE/>
              <w:autoSpaceDN/>
              <w:jc w:val="center"/>
              <w:rPr>
                <w:rFonts w:hint="eastAsia"/>
                <w:color w:val="auto"/>
                <w:sz w:val="24"/>
                <w:szCs w:val="24"/>
              </w:rPr>
            </w:pPr>
            <w:r>
              <w:rPr>
                <w:color w:val="auto"/>
                <w:spacing w:val="-2"/>
                <w:sz w:val="24"/>
                <w:szCs w:val="24"/>
              </w:rPr>
              <w:t>签约合同价</w:t>
            </w:r>
          </w:p>
        </w:tc>
        <w:tc>
          <w:tcPr>
            <w:tcW w:w="6569" w:type="dxa"/>
            <w:tcBorders>
              <w:right w:val="single" w:color="000000" w:sz="6" w:space="0"/>
            </w:tcBorders>
          </w:tcPr>
          <w:p w14:paraId="40CA4A4A">
            <w:pPr>
              <w:widowControl w:val="0"/>
              <w:kinsoku/>
              <w:topLinePunct/>
              <w:autoSpaceDE/>
              <w:autoSpaceDN/>
              <w:jc w:val="center"/>
              <w:rPr>
                <w:color w:val="auto"/>
              </w:rPr>
            </w:pPr>
          </w:p>
        </w:tc>
      </w:tr>
      <w:tr w14:paraId="779E0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6BCBE495">
            <w:pPr>
              <w:pStyle w:val="21"/>
              <w:widowControl w:val="0"/>
              <w:kinsoku/>
              <w:topLinePunct/>
              <w:autoSpaceDE/>
              <w:autoSpaceDN/>
              <w:jc w:val="center"/>
              <w:rPr>
                <w:rFonts w:hint="eastAsia"/>
                <w:color w:val="auto"/>
                <w:sz w:val="24"/>
                <w:szCs w:val="24"/>
              </w:rPr>
            </w:pPr>
            <w:r>
              <w:rPr>
                <w:color w:val="auto"/>
                <w:spacing w:val="-2"/>
                <w:sz w:val="24"/>
                <w:szCs w:val="24"/>
              </w:rPr>
              <w:t>开工日期</w:t>
            </w:r>
          </w:p>
        </w:tc>
        <w:tc>
          <w:tcPr>
            <w:tcW w:w="6569" w:type="dxa"/>
            <w:tcBorders>
              <w:right w:val="single" w:color="000000" w:sz="6" w:space="0"/>
            </w:tcBorders>
          </w:tcPr>
          <w:p w14:paraId="080D0C50">
            <w:pPr>
              <w:widowControl w:val="0"/>
              <w:kinsoku/>
              <w:topLinePunct/>
              <w:autoSpaceDE/>
              <w:autoSpaceDN/>
              <w:jc w:val="center"/>
              <w:rPr>
                <w:color w:val="auto"/>
              </w:rPr>
            </w:pPr>
          </w:p>
        </w:tc>
      </w:tr>
      <w:tr w14:paraId="7FBE1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047F2561">
            <w:pPr>
              <w:pStyle w:val="21"/>
              <w:widowControl w:val="0"/>
              <w:kinsoku/>
              <w:topLinePunct/>
              <w:autoSpaceDE/>
              <w:autoSpaceDN/>
              <w:jc w:val="center"/>
              <w:rPr>
                <w:rFonts w:hint="eastAsia"/>
                <w:color w:val="auto"/>
                <w:sz w:val="24"/>
                <w:szCs w:val="24"/>
              </w:rPr>
            </w:pPr>
            <w:r>
              <w:rPr>
                <w:color w:val="auto"/>
                <w:spacing w:val="-3"/>
                <w:sz w:val="24"/>
                <w:szCs w:val="24"/>
              </w:rPr>
              <w:t>完工日期</w:t>
            </w:r>
          </w:p>
        </w:tc>
        <w:tc>
          <w:tcPr>
            <w:tcW w:w="6569" w:type="dxa"/>
            <w:tcBorders>
              <w:right w:val="single" w:color="000000" w:sz="6" w:space="0"/>
            </w:tcBorders>
          </w:tcPr>
          <w:p w14:paraId="1CC9AB52">
            <w:pPr>
              <w:widowControl w:val="0"/>
              <w:kinsoku/>
              <w:topLinePunct/>
              <w:autoSpaceDE/>
              <w:autoSpaceDN/>
              <w:jc w:val="center"/>
              <w:rPr>
                <w:color w:val="auto"/>
              </w:rPr>
            </w:pPr>
          </w:p>
        </w:tc>
      </w:tr>
      <w:tr w14:paraId="2C27B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center"/>
          </w:tcPr>
          <w:p w14:paraId="3B29D00F">
            <w:pPr>
              <w:pStyle w:val="21"/>
              <w:widowControl w:val="0"/>
              <w:kinsoku/>
              <w:topLinePunct/>
              <w:autoSpaceDE/>
              <w:autoSpaceDN/>
              <w:jc w:val="center"/>
              <w:rPr>
                <w:rFonts w:hint="eastAsia"/>
                <w:color w:val="auto"/>
                <w:sz w:val="24"/>
                <w:szCs w:val="24"/>
              </w:rPr>
            </w:pPr>
            <w:r>
              <w:rPr>
                <w:color w:val="auto"/>
                <w:spacing w:val="-2"/>
                <w:sz w:val="24"/>
                <w:szCs w:val="24"/>
              </w:rPr>
              <w:t>承担的工作</w:t>
            </w:r>
          </w:p>
        </w:tc>
        <w:tc>
          <w:tcPr>
            <w:tcW w:w="6569" w:type="dxa"/>
            <w:tcBorders>
              <w:right w:val="single" w:color="000000" w:sz="6" w:space="0"/>
            </w:tcBorders>
          </w:tcPr>
          <w:p w14:paraId="4E1F91C3">
            <w:pPr>
              <w:widowControl w:val="0"/>
              <w:kinsoku/>
              <w:topLinePunct/>
              <w:autoSpaceDE/>
              <w:autoSpaceDN/>
              <w:jc w:val="center"/>
              <w:rPr>
                <w:color w:val="auto"/>
              </w:rPr>
            </w:pPr>
          </w:p>
        </w:tc>
      </w:tr>
      <w:tr w14:paraId="42422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0A843850">
            <w:pPr>
              <w:pStyle w:val="21"/>
              <w:widowControl w:val="0"/>
              <w:kinsoku/>
              <w:topLinePunct/>
              <w:autoSpaceDE/>
              <w:autoSpaceDN/>
              <w:jc w:val="center"/>
              <w:rPr>
                <w:rFonts w:hint="eastAsia"/>
                <w:color w:val="auto"/>
                <w:sz w:val="24"/>
                <w:szCs w:val="24"/>
              </w:rPr>
            </w:pPr>
            <w:r>
              <w:rPr>
                <w:color w:val="auto"/>
                <w:spacing w:val="-3"/>
                <w:sz w:val="24"/>
                <w:szCs w:val="24"/>
              </w:rPr>
              <w:t>工程质量</w:t>
            </w:r>
          </w:p>
        </w:tc>
        <w:tc>
          <w:tcPr>
            <w:tcW w:w="6569" w:type="dxa"/>
            <w:tcBorders>
              <w:right w:val="single" w:color="000000" w:sz="6" w:space="0"/>
            </w:tcBorders>
          </w:tcPr>
          <w:p w14:paraId="0D70FA61">
            <w:pPr>
              <w:widowControl w:val="0"/>
              <w:kinsoku/>
              <w:topLinePunct/>
              <w:autoSpaceDE/>
              <w:autoSpaceDN/>
              <w:jc w:val="center"/>
              <w:rPr>
                <w:color w:val="auto"/>
              </w:rPr>
            </w:pPr>
          </w:p>
        </w:tc>
      </w:tr>
      <w:tr w14:paraId="758CC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center"/>
          </w:tcPr>
          <w:p w14:paraId="7DDBF5E3">
            <w:pPr>
              <w:pStyle w:val="21"/>
              <w:widowControl w:val="0"/>
              <w:kinsoku/>
              <w:topLinePunct/>
              <w:autoSpaceDE/>
              <w:autoSpaceDN/>
              <w:jc w:val="center"/>
              <w:rPr>
                <w:rFonts w:hint="eastAsia"/>
                <w:color w:val="auto"/>
                <w:sz w:val="24"/>
                <w:szCs w:val="24"/>
              </w:rPr>
            </w:pPr>
            <w:r>
              <w:rPr>
                <w:color w:val="auto"/>
                <w:spacing w:val="-3"/>
                <w:sz w:val="24"/>
                <w:szCs w:val="24"/>
              </w:rPr>
              <w:t>项目负责人</w:t>
            </w:r>
          </w:p>
        </w:tc>
        <w:tc>
          <w:tcPr>
            <w:tcW w:w="6569" w:type="dxa"/>
            <w:tcBorders>
              <w:right w:val="single" w:color="000000" w:sz="6" w:space="0"/>
            </w:tcBorders>
          </w:tcPr>
          <w:p w14:paraId="7A74FFF8">
            <w:pPr>
              <w:widowControl w:val="0"/>
              <w:kinsoku/>
              <w:topLinePunct/>
              <w:autoSpaceDE/>
              <w:autoSpaceDN/>
              <w:jc w:val="center"/>
              <w:rPr>
                <w:color w:val="auto"/>
              </w:rPr>
            </w:pPr>
          </w:p>
        </w:tc>
      </w:tr>
      <w:tr w14:paraId="3BDB66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center"/>
          </w:tcPr>
          <w:p w14:paraId="3595AF64">
            <w:pPr>
              <w:pStyle w:val="21"/>
              <w:widowControl w:val="0"/>
              <w:kinsoku/>
              <w:topLinePunct/>
              <w:autoSpaceDE/>
              <w:autoSpaceDN/>
              <w:jc w:val="center"/>
              <w:rPr>
                <w:rFonts w:hint="eastAsia"/>
                <w:color w:val="auto"/>
                <w:sz w:val="24"/>
                <w:szCs w:val="24"/>
              </w:rPr>
            </w:pPr>
            <w:r>
              <w:rPr>
                <w:color w:val="auto"/>
                <w:spacing w:val="-2"/>
                <w:sz w:val="24"/>
                <w:szCs w:val="24"/>
              </w:rPr>
              <w:t>项目技术负责人</w:t>
            </w:r>
          </w:p>
        </w:tc>
        <w:tc>
          <w:tcPr>
            <w:tcW w:w="6569" w:type="dxa"/>
            <w:tcBorders>
              <w:right w:val="single" w:color="000000" w:sz="6" w:space="0"/>
            </w:tcBorders>
          </w:tcPr>
          <w:p w14:paraId="4A766A5E">
            <w:pPr>
              <w:widowControl w:val="0"/>
              <w:kinsoku/>
              <w:topLinePunct/>
              <w:autoSpaceDE/>
              <w:autoSpaceDN/>
              <w:jc w:val="center"/>
              <w:rPr>
                <w:color w:val="auto"/>
              </w:rPr>
            </w:pPr>
          </w:p>
        </w:tc>
      </w:tr>
      <w:tr w14:paraId="3C3DE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2207" w:type="dxa"/>
            <w:tcBorders>
              <w:left w:val="single" w:color="000000" w:sz="6" w:space="0"/>
            </w:tcBorders>
            <w:vAlign w:val="center"/>
          </w:tcPr>
          <w:p w14:paraId="6AED7CE2">
            <w:pPr>
              <w:pStyle w:val="21"/>
              <w:widowControl w:val="0"/>
              <w:kinsoku/>
              <w:topLinePunct/>
              <w:autoSpaceDE/>
              <w:autoSpaceDN/>
              <w:jc w:val="center"/>
              <w:rPr>
                <w:rFonts w:hint="eastAsia"/>
                <w:color w:val="auto"/>
                <w:sz w:val="24"/>
                <w:szCs w:val="24"/>
                <w:lang w:eastAsia="zh-CN"/>
              </w:rPr>
            </w:pPr>
            <w:r>
              <w:rPr>
                <w:color w:val="auto"/>
                <w:spacing w:val="-2"/>
                <w:sz w:val="24"/>
                <w:szCs w:val="24"/>
                <w:lang w:eastAsia="zh-CN"/>
              </w:rPr>
              <w:t>监理人和总监理工程师以及电话</w:t>
            </w:r>
          </w:p>
        </w:tc>
        <w:tc>
          <w:tcPr>
            <w:tcW w:w="6569" w:type="dxa"/>
            <w:tcBorders>
              <w:right w:val="single" w:color="000000" w:sz="6" w:space="0"/>
            </w:tcBorders>
          </w:tcPr>
          <w:p w14:paraId="33DCE4AF">
            <w:pPr>
              <w:widowControl w:val="0"/>
              <w:kinsoku/>
              <w:topLinePunct/>
              <w:autoSpaceDE/>
              <w:autoSpaceDN/>
              <w:jc w:val="center"/>
              <w:rPr>
                <w:color w:val="auto"/>
                <w:lang w:eastAsia="zh-CN"/>
              </w:rPr>
            </w:pPr>
          </w:p>
        </w:tc>
      </w:tr>
      <w:tr w14:paraId="2995E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9" w:hRule="atLeast"/>
        </w:trPr>
        <w:tc>
          <w:tcPr>
            <w:tcW w:w="2207" w:type="dxa"/>
            <w:tcBorders>
              <w:left w:val="single" w:color="000000" w:sz="6" w:space="0"/>
            </w:tcBorders>
            <w:vAlign w:val="center"/>
          </w:tcPr>
          <w:p w14:paraId="2ED51451">
            <w:pPr>
              <w:pStyle w:val="21"/>
              <w:widowControl w:val="0"/>
              <w:kinsoku/>
              <w:topLinePunct/>
              <w:autoSpaceDE/>
              <w:autoSpaceDN/>
              <w:jc w:val="center"/>
              <w:rPr>
                <w:rFonts w:hint="eastAsia"/>
                <w:color w:val="auto"/>
                <w:sz w:val="24"/>
                <w:szCs w:val="24"/>
              </w:rPr>
            </w:pPr>
            <w:r>
              <w:rPr>
                <w:color w:val="auto"/>
                <w:spacing w:val="-2"/>
                <w:sz w:val="24"/>
                <w:szCs w:val="24"/>
              </w:rPr>
              <w:t>合同项目描述</w:t>
            </w:r>
          </w:p>
        </w:tc>
        <w:tc>
          <w:tcPr>
            <w:tcW w:w="6569" w:type="dxa"/>
            <w:tcBorders>
              <w:right w:val="single" w:color="000000" w:sz="6" w:space="0"/>
            </w:tcBorders>
            <w:vAlign w:val="center"/>
          </w:tcPr>
          <w:p w14:paraId="3F793FEB">
            <w:pPr>
              <w:widowControl w:val="0"/>
              <w:kinsoku/>
              <w:topLinePunct/>
              <w:autoSpaceDE/>
              <w:autoSpaceDN/>
              <w:jc w:val="center"/>
              <w:rPr>
                <w:color w:val="auto"/>
              </w:rPr>
            </w:pPr>
          </w:p>
        </w:tc>
      </w:tr>
      <w:tr w14:paraId="6EC5CE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0" w:hRule="atLeast"/>
        </w:trPr>
        <w:tc>
          <w:tcPr>
            <w:tcW w:w="2207" w:type="dxa"/>
            <w:tcBorders>
              <w:left w:val="single" w:color="000000" w:sz="6" w:space="0"/>
              <w:bottom w:val="single" w:color="000000" w:sz="6" w:space="0"/>
            </w:tcBorders>
            <w:vAlign w:val="center"/>
          </w:tcPr>
          <w:p w14:paraId="76008D3B">
            <w:pPr>
              <w:pStyle w:val="21"/>
              <w:widowControl w:val="0"/>
              <w:kinsoku/>
              <w:topLinePunct/>
              <w:autoSpaceDE/>
              <w:autoSpaceDN/>
              <w:jc w:val="center"/>
              <w:rPr>
                <w:rFonts w:hint="eastAsia"/>
                <w:color w:val="auto"/>
                <w:sz w:val="24"/>
                <w:szCs w:val="24"/>
              </w:rPr>
            </w:pPr>
            <w:r>
              <w:rPr>
                <w:color w:val="auto"/>
                <w:spacing w:val="-4"/>
                <w:sz w:val="24"/>
                <w:szCs w:val="24"/>
              </w:rPr>
              <w:t>备注</w:t>
            </w:r>
          </w:p>
        </w:tc>
        <w:tc>
          <w:tcPr>
            <w:tcW w:w="6569" w:type="dxa"/>
            <w:tcBorders>
              <w:bottom w:val="single" w:color="000000" w:sz="6" w:space="0"/>
              <w:right w:val="single" w:color="000000" w:sz="6" w:space="0"/>
            </w:tcBorders>
            <w:vAlign w:val="center"/>
          </w:tcPr>
          <w:p w14:paraId="0E36FE48">
            <w:pPr>
              <w:pStyle w:val="21"/>
              <w:widowControl w:val="0"/>
              <w:kinsoku/>
              <w:topLinePunct/>
              <w:autoSpaceDE/>
              <w:autoSpaceDN/>
              <w:rPr>
                <w:rFonts w:hint="eastAsia"/>
                <w:color w:val="auto"/>
                <w:sz w:val="24"/>
                <w:szCs w:val="24"/>
                <w:lang w:eastAsia="zh-CN"/>
              </w:rPr>
            </w:pPr>
            <w:r>
              <w:rPr>
                <w:color w:val="auto"/>
                <w:spacing w:val="4"/>
                <w:sz w:val="24"/>
                <w:szCs w:val="24"/>
                <w:lang w:eastAsia="zh-CN"/>
              </w:rPr>
              <w:t>合同项目描述内容至少包括项目概况、本合同在项目中的地</w:t>
            </w:r>
            <w:r>
              <w:rPr>
                <w:color w:val="auto"/>
                <w:spacing w:val="-5"/>
                <w:sz w:val="24"/>
                <w:szCs w:val="24"/>
                <w:lang w:eastAsia="zh-CN"/>
              </w:rPr>
              <w:t>位（部位、合同价格所占比例）和合同工程完工（竣工）验收</w:t>
            </w:r>
            <w:r>
              <w:rPr>
                <w:color w:val="auto"/>
                <w:spacing w:val="-4"/>
                <w:sz w:val="24"/>
                <w:szCs w:val="24"/>
                <w:lang w:eastAsia="zh-CN"/>
              </w:rPr>
              <w:t>鉴定书有关验收结论。</w:t>
            </w:r>
          </w:p>
        </w:tc>
      </w:tr>
    </w:tbl>
    <w:p w14:paraId="35985C62">
      <w:pPr>
        <w:pStyle w:val="8"/>
        <w:rPr>
          <w:color w:val="auto"/>
          <w:lang w:eastAsia="zh-CN"/>
        </w:rPr>
      </w:pPr>
    </w:p>
    <w:p w14:paraId="311CF90A">
      <w:pPr>
        <w:rPr>
          <w:color w:val="auto"/>
          <w:lang w:eastAsia="zh-CN"/>
        </w:rPr>
      </w:pPr>
      <w:r>
        <w:rPr>
          <w:color w:val="auto"/>
          <w:lang w:eastAsia="zh-CN"/>
        </w:rPr>
        <w:br w:type="page"/>
      </w:r>
    </w:p>
    <w:p w14:paraId="3F8ABB84">
      <w:pPr>
        <w:spacing w:before="91" w:line="219" w:lineRule="auto"/>
        <w:outlineLvl w:val="2"/>
        <w:rPr>
          <w:rFonts w:hint="eastAsia" w:ascii="宋体" w:hAnsi="宋体" w:eastAsia="宋体" w:cs="宋体"/>
          <w:color w:val="auto"/>
          <w:sz w:val="28"/>
          <w:szCs w:val="28"/>
        </w:rPr>
      </w:pPr>
      <w:bookmarkStart w:id="1899" w:name="bookmark657"/>
      <w:bookmarkEnd w:id="1899"/>
      <w:bookmarkStart w:id="1900" w:name="_Toc24141"/>
      <w:bookmarkStart w:id="1901" w:name="_Toc22284"/>
      <w:bookmarkStart w:id="1902" w:name="_Toc13422"/>
      <w:bookmarkStart w:id="1903" w:name="_Toc25478"/>
      <w:r>
        <w:rPr>
          <w:rFonts w:ascii="宋体" w:hAnsi="宋体" w:eastAsia="宋体" w:cs="宋体"/>
          <w:b/>
          <w:bCs/>
          <w:color w:val="auto"/>
          <w:spacing w:val="-4"/>
          <w:sz w:val="28"/>
          <w:szCs w:val="28"/>
        </w:rPr>
        <w:t>三、其他材料</w:t>
      </w:r>
      <w:bookmarkEnd w:id="1900"/>
      <w:bookmarkEnd w:id="1901"/>
      <w:bookmarkEnd w:id="1902"/>
      <w:bookmarkEnd w:id="1903"/>
    </w:p>
    <w:p w14:paraId="48488A59">
      <w:pPr>
        <w:rPr>
          <w:rFonts w:hint="eastAsia" w:ascii="宋体" w:hAnsi="宋体" w:eastAsia="宋体" w:cs="宋体"/>
          <w:color w:val="auto"/>
          <w:sz w:val="28"/>
          <w:szCs w:val="28"/>
        </w:rPr>
      </w:pPr>
      <w:r>
        <w:rPr>
          <w:rFonts w:ascii="宋体" w:hAnsi="宋体" w:eastAsia="宋体" w:cs="宋体"/>
          <w:color w:val="auto"/>
          <w:sz w:val="28"/>
          <w:szCs w:val="28"/>
        </w:rPr>
        <w:br w:type="page"/>
      </w:r>
    </w:p>
    <w:p w14:paraId="21F0588B">
      <w:pPr>
        <w:pStyle w:val="8"/>
        <w:spacing w:line="246" w:lineRule="auto"/>
        <w:rPr>
          <w:color w:val="auto"/>
        </w:rPr>
      </w:pPr>
    </w:p>
    <w:p w14:paraId="1C8188AA">
      <w:pPr>
        <w:spacing w:before="91" w:line="220" w:lineRule="auto"/>
        <w:outlineLvl w:val="2"/>
        <w:rPr>
          <w:rFonts w:hint="eastAsia" w:ascii="宋体" w:hAnsi="宋体" w:eastAsia="宋体" w:cs="宋体"/>
          <w:color w:val="auto"/>
          <w:sz w:val="28"/>
          <w:szCs w:val="28"/>
        </w:rPr>
      </w:pPr>
      <w:bookmarkStart w:id="1904" w:name="bookmark658"/>
      <w:bookmarkEnd w:id="1904"/>
      <w:bookmarkStart w:id="1905" w:name="_Toc31157"/>
      <w:bookmarkStart w:id="1906" w:name="_Toc1662"/>
      <w:bookmarkStart w:id="1907" w:name="_Toc20298"/>
      <w:bookmarkStart w:id="1908" w:name="_Toc25772"/>
      <w:r>
        <w:rPr>
          <w:rFonts w:ascii="宋体" w:hAnsi="宋体" w:eastAsia="宋体" w:cs="宋体"/>
          <w:b/>
          <w:bCs/>
          <w:color w:val="auto"/>
          <w:spacing w:val="-7"/>
          <w:sz w:val="28"/>
          <w:szCs w:val="28"/>
        </w:rPr>
        <w:t>四、原件的复制件</w:t>
      </w:r>
      <w:bookmarkEnd w:id="1905"/>
      <w:bookmarkEnd w:id="1906"/>
      <w:bookmarkEnd w:id="1907"/>
      <w:bookmarkEnd w:id="1908"/>
    </w:p>
    <w:p w14:paraId="3064B621">
      <w:pPr>
        <w:pStyle w:val="8"/>
        <w:spacing w:line="245" w:lineRule="auto"/>
        <w:rPr>
          <w:color w:val="auto"/>
        </w:rPr>
      </w:pPr>
    </w:p>
    <w:p w14:paraId="22ABD7B2">
      <w:pPr>
        <w:spacing w:before="78" w:line="219" w:lineRule="auto"/>
        <w:ind w:left="470"/>
        <w:rPr>
          <w:rFonts w:hint="eastAsia" w:ascii="宋体" w:hAnsi="宋体" w:eastAsia="宋体" w:cs="宋体"/>
          <w:color w:val="auto"/>
          <w:sz w:val="24"/>
          <w:szCs w:val="24"/>
          <w:lang w:eastAsia="zh-CN"/>
        </w:rPr>
      </w:pPr>
      <w:r>
        <w:rPr>
          <w:rFonts w:ascii="Times New Roman" w:hAnsi="Times New Roman" w:eastAsia="Times New Roman" w:cs="Times New Roman"/>
          <w:color w:val="auto"/>
          <w:spacing w:val="-3"/>
          <w:sz w:val="24"/>
          <w:szCs w:val="24"/>
          <w:lang w:eastAsia="zh-CN"/>
        </w:rPr>
        <w:t>1.</w:t>
      </w:r>
      <w:r>
        <w:rPr>
          <w:rFonts w:ascii="宋体" w:hAnsi="宋体" w:eastAsia="宋体" w:cs="宋体"/>
          <w:color w:val="auto"/>
          <w:spacing w:val="-3"/>
          <w:sz w:val="24"/>
          <w:szCs w:val="24"/>
          <w:lang w:eastAsia="zh-CN"/>
        </w:rPr>
        <w:t>详见投标人须知前附表第</w:t>
      </w:r>
      <w:r>
        <w:rPr>
          <w:rFonts w:ascii="Times New Roman" w:hAnsi="Times New Roman" w:eastAsia="Times New Roman" w:cs="Times New Roman"/>
          <w:color w:val="auto"/>
          <w:spacing w:val="-3"/>
          <w:sz w:val="24"/>
          <w:szCs w:val="24"/>
          <w:lang w:eastAsia="zh-CN"/>
        </w:rPr>
        <w:t>10.3</w:t>
      </w:r>
      <w:r>
        <w:rPr>
          <w:rFonts w:ascii="宋体" w:hAnsi="宋体" w:eastAsia="宋体" w:cs="宋体"/>
          <w:color w:val="auto"/>
          <w:spacing w:val="-3"/>
          <w:sz w:val="24"/>
          <w:szCs w:val="24"/>
          <w:lang w:eastAsia="zh-CN"/>
        </w:rPr>
        <w:t>款规定。</w:t>
      </w:r>
    </w:p>
    <w:p w14:paraId="357E9AFC">
      <w:pPr>
        <w:spacing w:before="180" w:line="220" w:lineRule="auto"/>
        <w:ind w:left="447"/>
        <w:rPr>
          <w:rFonts w:hint="eastAsia" w:ascii="宋体" w:hAnsi="宋体" w:eastAsia="宋体" w:cs="宋体"/>
          <w:color w:val="auto"/>
          <w:sz w:val="24"/>
          <w:szCs w:val="24"/>
          <w:lang w:eastAsia="zh-CN"/>
        </w:rPr>
      </w:pPr>
      <w:r>
        <w:rPr>
          <w:rFonts w:ascii="Times New Roman" w:hAnsi="Times New Roman" w:eastAsia="Times New Roman" w:cs="Times New Roman"/>
          <w:color w:val="auto"/>
          <w:spacing w:val="-1"/>
          <w:sz w:val="24"/>
          <w:szCs w:val="24"/>
          <w:lang w:eastAsia="zh-CN"/>
        </w:rPr>
        <w:t>2.</w:t>
      </w:r>
      <w:r>
        <w:rPr>
          <w:rFonts w:ascii="宋体" w:hAnsi="宋体" w:eastAsia="宋体" w:cs="宋体"/>
          <w:color w:val="auto"/>
          <w:spacing w:val="-1"/>
          <w:sz w:val="24"/>
          <w:szCs w:val="24"/>
          <w:lang w:eastAsia="zh-CN"/>
        </w:rPr>
        <w:t>投标人须将上述原件的复制件及其他认为必须的复制件制作在投标文件中</w:t>
      </w:r>
      <w:r>
        <w:rPr>
          <w:rFonts w:ascii="宋体" w:hAnsi="宋体" w:eastAsia="宋体" w:cs="宋体"/>
          <w:color w:val="auto"/>
          <w:spacing w:val="-2"/>
          <w:sz w:val="24"/>
          <w:szCs w:val="24"/>
          <w:lang w:eastAsia="zh-CN"/>
        </w:rPr>
        <w:t>。</w:t>
      </w:r>
    </w:p>
    <w:p w14:paraId="550C8EC9">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5DCE9BAB">
      <w:pPr>
        <w:pStyle w:val="8"/>
        <w:spacing w:line="247" w:lineRule="auto"/>
        <w:rPr>
          <w:color w:val="auto"/>
          <w:lang w:eastAsia="zh-CN"/>
        </w:rPr>
      </w:pPr>
    </w:p>
    <w:p w14:paraId="5A36E97A">
      <w:pPr>
        <w:spacing w:before="78" w:line="220" w:lineRule="auto"/>
        <w:ind w:left="241"/>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4"/>
          <w:sz w:val="24"/>
          <w:szCs w:val="24"/>
          <w:lang w:eastAsia="zh-CN"/>
        </w:rPr>
        <w:t>1.</w:t>
      </w:r>
      <w:r>
        <w:rPr>
          <w:rFonts w:ascii="宋体" w:hAnsi="宋体" w:eastAsia="宋体" w:cs="宋体"/>
          <w:b/>
          <w:bCs/>
          <w:color w:val="auto"/>
          <w:spacing w:val="-4"/>
          <w:sz w:val="24"/>
          <w:szCs w:val="24"/>
          <w:lang w:eastAsia="zh-CN"/>
        </w:rPr>
        <w:t>企业信用等级</w:t>
      </w:r>
    </w:p>
    <w:p w14:paraId="07A7DEEA">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4E1F7892">
      <w:pPr>
        <w:pStyle w:val="8"/>
        <w:spacing w:line="247" w:lineRule="auto"/>
        <w:rPr>
          <w:color w:val="auto"/>
          <w:lang w:eastAsia="zh-CN"/>
        </w:rPr>
      </w:pPr>
    </w:p>
    <w:p w14:paraId="28615068">
      <w:pPr>
        <w:autoSpaceDE/>
        <w:autoSpaceDN/>
        <w:spacing w:line="520" w:lineRule="exact"/>
        <w:ind w:firstLine="420"/>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2"/>
          <w:sz w:val="24"/>
          <w:szCs w:val="24"/>
          <w:lang w:eastAsia="zh-CN"/>
        </w:rPr>
        <w:t>2.</w:t>
      </w:r>
      <w:r>
        <w:rPr>
          <w:rFonts w:ascii="宋体" w:hAnsi="宋体" w:eastAsia="宋体" w:cs="宋体"/>
          <w:b/>
          <w:bCs/>
          <w:color w:val="auto"/>
          <w:spacing w:val="-2"/>
          <w:sz w:val="24"/>
          <w:szCs w:val="24"/>
          <w:lang w:eastAsia="zh-CN"/>
        </w:rPr>
        <w:t>符合评审打分要求的类似项目业绩证明材料</w:t>
      </w:r>
    </w:p>
    <w:p w14:paraId="385677AE">
      <w:pPr>
        <w:autoSpaceDE/>
        <w:autoSpaceDN/>
        <w:spacing w:line="520" w:lineRule="exact"/>
        <w:ind w:firstLine="420"/>
        <w:rPr>
          <w:rFonts w:hint="eastAsia" w:ascii="宋体" w:hAnsi="宋体" w:eastAsia="宋体" w:cs="宋体"/>
          <w:color w:val="auto"/>
          <w:lang w:eastAsia="zh-CN"/>
        </w:rPr>
      </w:pPr>
      <w:r>
        <w:rPr>
          <w:rFonts w:ascii="宋体" w:hAnsi="宋体" w:eastAsia="宋体" w:cs="宋体"/>
          <w:color w:val="auto"/>
          <w:spacing w:val="-1"/>
          <w:lang w:eastAsia="zh-CN"/>
        </w:rPr>
        <w:t>注：如提供的是联合体业绩，还须提供联合体协议书。</w:t>
      </w:r>
    </w:p>
    <w:p w14:paraId="683A1624">
      <w:pPr>
        <w:autoSpaceDE/>
        <w:autoSpaceDN/>
        <w:spacing w:line="520" w:lineRule="exact"/>
        <w:ind w:firstLine="420"/>
        <w:rPr>
          <w:rFonts w:hint="eastAsia" w:ascii="宋体" w:hAnsi="宋体" w:eastAsia="宋体" w:cs="宋体"/>
          <w:color w:val="auto"/>
          <w:lang w:eastAsia="zh-CN"/>
        </w:rPr>
      </w:pPr>
      <w:r>
        <w:rPr>
          <w:rFonts w:ascii="宋体" w:hAnsi="宋体" w:eastAsia="宋体" w:cs="宋体"/>
          <w:color w:val="auto"/>
          <w:lang w:eastAsia="zh-CN"/>
        </w:rPr>
        <w:br w:type="page"/>
      </w:r>
    </w:p>
    <w:p w14:paraId="17704B4E">
      <w:pPr>
        <w:pStyle w:val="8"/>
        <w:spacing w:line="248" w:lineRule="auto"/>
        <w:rPr>
          <w:color w:val="auto"/>
          <w:lang w:eastAsia="zh-CN"/>
        </w:rPr>
      </w:pPr>
    </w:p>
    <w:p w14:paraId="4A05BC36">
      <w:pPr>
        <w:spacing w:before="78" w:line="220" w:lineRule="auto"/>
        <w:ind w:left="229"/>
        <w:rPr>
          <w:rFonts w:hint="eastAsia" w:ascii="宋体" w:hAnsi="宋体" w:eastAsia="宋体" w:cs="宋体"/>
          <w:color w:val="auto"/>
          <w:sz w:val="24"/>
          <w:szCs w:val="24"/>
          <w:lang w:eastAsia="zh-CN"/>
        </w:rPr>
      </w:pPr>
      <w:r>
        <w:rPr>
          <w:rFonts w:ascii="Times New Roman" w:hAnsi="Times New Roman" w:eastAsia="Times New Roman" w:cs="Times New Roman"/>
          <w:b/>
          <w:bCs/>
          <w:color w:val="auto"/>
          <w:spacing w:val="-4"/>
          <w:sz w:val="24"/>
          <w:szCs w:val="24"/>
          <w:lang w:eastAsia="zh-CN"/>
        </w:rPr>
        <w:t>3.</w:t>
      </w:r>
      <w:r>
        <w:rPr>
          <w:rFonts w:hint="eastAsia" w:ascii="Times New Roman" w:hAnsi="Times New Roman" w:eastAsia="宋体" w:cs="Times New Roman"/>
          <w:b/>
          <w:bCs/>
          <w:color w:val="auto"/>
          <w:spacing w:val="6"/>
          <w:sz w:val="24"/>
          <w:szCs w:val="24"/>
          <w:lang w:eastAsia="zh-CN"/>
        </w:rPr>
        <w:t>　</w:t>
      </w:r>
      <w:r>
        <w:rPr>
          <w:rFonts w:ascii="宋体" w:hAnsi="宋体" w:eastAsia="宋体" w:cs="宋体"/>
          <w:b/>
          <w:bCs/>
          <w:color w:val="auto"/>
          <w:spacing w:val="-4"/>
          <w:sz w:val="24"/>
          <w:szCs w:val="24"/>
          <w:lang w:eastAsia="zh-CN"/>
        </w:rPr>
        <w:t>其他</w:t>
      </w:r>
    </w:p>
    <w:p w14:paraId="59124B64">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2DE32B1F">
      <w:pPr>
        <w:pStyle w:val="8"/>
        <w:spacing w:line="248" w:lineRule="auto"/>
        <w:rPr>
          <w:color w:val="auto"/>
          <w:lang w:eastAsia="zh-CN"/>
        </w:rPr>
      </w:pPr>
    </w:p>
    <w:p w14:paraId="7EFA1E66">
      <w:pPr>
        <w:pStyle w:val="8"/>
        <w:spacing w:line="249" w:lineRule="auto"/>
        <w:rPr>
          <w:color w:val="auto"/>
          <w:lang w:eastAsia="zh-CN"/>
        </w:rPr>
      </w:pPr>
    </w:p>
    <w:p w14:paraId="5C6D1C99">
      <w:pPr>
        <w:pStyle w:val="8"/>
        <w:spacing w:line="249" w:lineRule="auto"/>
        <w:rPr>
          <w:color w:val="auto"/>
          <w:lang w:eastAsia="zh-CN"/>
        </w:rPr>
      </w:pPr>
    </w:p>
    <w:p w14:paraId="60EF0900">
      <w:pPr>
        <w:tabs>
          <w:tab w:val="left" w:pos="3486"/>
        </w:tabs>
        <w:spacing w:before="81" w:line="213" w:lineRule="auto"/>
        <w:jc w:val="center"/>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u w:val="single"/>
          <w:lang w:eastAsia="zh-CN"/>
        </w:rPr>
        <w:t>　　　　</w:t>
      </w:r>
      <w:r>
        <w:rPr>
          <w:rFonts w:ascii="宋体" w:hAnsi="宋体" w:eastAsia="宋体" w:cs="宋体"/>
          <w:color w:val="auto"/>
          <w:spacing w:val="-1"/>
          <w:sz w:val="24"/>
          <w:szCs w:val="24"/>
          <w:lang w:eastAsia="zh-CN"/>
        </w:rPr>
        <w:t>（</w:t>
      </w:r>
      <w:r>
        <w:rPr>
          <w:rFonts w:ascii="宋体" w:hAnsi="宋体" w:eastAsia="宋体" w:cs="宋体"/>
          <w:i/>
          <w:iCs/>
          <w:color w:val="auto"/>
          <w:spacing w:val="-1"/>
          <w:sz w:val="25"/>
          <w:szCs w:val="25"/>
          <w:lang w:eastAsia="zh-CN"/>
        </w:rPr>
        <w:t>项目名称</w:t>
      </w:r>
      <w:r>
        <w:rPr>
          <w:rFonts w:ascii="宋体" w:hAnsi="宋体" w:eastAsia="宋体" w:cs="宋体"/>
          <w:color w:val="auto"/>
          <w:spacing w:val="-25"/>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25"/>
          <w:sz w:val="24"/>
          <w:szCs w:val="24"/>
          <w:lang w:eastAsia="zh-CN"/>
        </w:rPr>
        <w:t>（</w:t>
      </w:r>
      <w:r>
        <w:rPr>
          <w:rFonts w:ascii="宋体" w:hAnsi="宋体" w:eastAsia="宋体" w:cs="宋体"/>
          <w:i/>
          <w:iCs/>
          <w:color w:val="auto"/>
          <w:spacing w:val="-1"/>
          <w:sz w:val="25"/>
          <w:szCs w:val="25"/>
          <w:lang w:eastAsia="zh-CN"/>
        </w:rPr>
        <w:t>标段名称</w:t>
      </w:r>
      <w:r>
        <w:rPr>
          <w:rFonts w:ascii="宋体" w:hAnsi="宋体" w:eastAsia="宋体" w:cs="宋体"/>
          <w:color w:val="auto"/>
          <w:spacing w:val="-1"/>
          <w:sz w:val="24"/>
          <w:szCs w:val="24"/>
          <w:lang w:eastAsia="zh-CN"/>
        </w:rPr>
        <w:t>）</w:t>
      </w:r>
    </w:p>
    <w:p w14:paraId="4D3922A9">
      <w:pPr>
        <w:pStyle w:val="8"/>
        <w:spacing w:line="244" w:lineRule="auto"/>
        <w:rPr>
          <w:color w:val="auto"/>
          <w:lang w:eastAsia="zh-CN"/>
        </w:rPr>
      </w:pPr>
    </w:p>
    <w:p w14:paraId="23F3892F">
      <w:pPr>
        <w:pStyle w:val="8"/>
        <w:spacing w:line="245" w:lineRule="auto"/>
        <w:rPr>
          <w:color w:val="auto"/>
          <w:lang w:eastAsia="zh-CN"/>
        </w:rPr>
      </w:pPr>
    </w:p>
    <w:p w14:paraId="50E2971B">
      <w:pPr>
        <w:pStyle w:val="8"/>
        <w:spacing w:line="245" w:lineRule="auto"/>
        <w:rPr>
          <w:color w:val="auto"/>
          <w:lang w:eastAsia="zh-CN"/>
        </w:rPr>
      </w:pPr>
    </w:p>
    <w:p w14:paraId="1FCBC825">
      <w:pPr>
        <w:pStyle w:val="8"/>
        <w:spacing w:line="245" w:lineRule="auto"/>
        <w:rPr>
          <w:color w:val="auto"/>
          <w:lang w:eastAsia="zh-CN"/>
        </w:rPr>
      </w:pPr>
    </w:p>
    <w:p w14:paraId="67C9E50B">
      <w:pPr>
        <w:pStyle w:val="8"/>
        <w:spacing w:line="245" w:lineRule="auto"/>
        <w:rPr>
          <w:color w:val="auto"/>
          <w:lang w:eastAsia="zh-CN"/>
        </w:rPr>
      </w:pPr>
    </w:p>
    <w:p w14:paraId="4764BA47">
      <w:pPr>
        <w:pStyle w:val="8"/>
        <w:spacing w:line="245" w:lineRule="auto"/>
        <w:rPr>
          <w:color w:val="auto"/>
          <w:lang w:eastAsia="zh-CN"/>
        </w:rPr>
      </w:pPr>
    </w:p>
    <w:p w14:paraId="7E4B031E">
      <w:pPr>
        <w:pStyle w:val="8"/>
        <w:spacing w:line="245" w:lineRule="auto"/>
        <w:rPr>
          <w:color w:val="auto"/>
          <w:lang w:eastAsia="zh-CN"/>
        </w:rPr>
      </w:pPr>
    </w:p>
    <w:p w14:paraId="1EC38120">
      <w:pPr>
        <w:spacing w:before="140" w:line="223" w:lineRule="auto"/>
        <w:jc w:val="center"/>
        <w:rPr>
          <w:rFonts w:hint="eastAsia" w:ascii="宋体" w:hAnsi="宋体" w:eastAsia="宋体" w:cs="宋体"/>
          <w:color w:val="auto"/>
          <w:sz w:val="43"/>
          <w:szCs w:val="43"/>
          <w:lang w:eastAsia="zh-CN"/>
        </w:rPr>
      </w:pPr>
      <w:r>
        <w:rPr>
          <w:rFonts w:ascii="宋体" w:hAnsi="宋体" w:eastAsia="宋体" w:cs="宋体"/>
          <w:b/>
          <w:bCs/>
          <w:color w:val="auto"/>
          <w:spacing w:val="-14"/>
          <w:sz w:val="43"/>
          <w:szCs w:val="43"/>
          <w:lang w:eastAsia="zh-CN"/>
        </w:rPr>
        <w:t>投</w:t>
      </w:r>
      <w:r>
        <w:rPr>
          <w:rFonts w:hint="eastAsia" w:ascii="宋体" w:hAnsi="宋体" w:eastAsia="宋体" w:cs="宋体"/>
          <w:b/>
          <w:bCs/>
          <w:color w:val="auto"/>
          <w:spacing w:val="-14"/>
          <w:sz w:val="43"/>
          <w:szCs w:val="43"/>
          <w:lang w:eastAsia="zh-CN"/>
        </w:rPr>
        <w:t xml:space="preserve"> </w:t>
      </w:r>
      <w:r>
        <w:rPr>
          <w:rFonts w:ascii="宋体" w:hAnsi="宋体" w:eastAsia="宋体" w:cs="宋体"/>
          <w:b/>
          <w:bCs/>
          <w:color w:val="auto"/>
          <w:spacing w:val="-14"/>
          <w:sz w:val="43"/>
          <w:szCs w:val="43"/>
          <w:lang w:eastAsia="zh-CN"/>
        </w:rPr>
        <w:t>标</w:t>
      </w:r>
      <w:r>
        <w:rPr>
          <w:rFonts w:hint="eastAsia" w:ascii="宋体" w:hAnsi="宋体" w:eastAsia="宋体" w:cs="宋体"/>
          <w:b/>
          <w:bCs/>
          <w:color w:val="auto"/>
          <w:spacing w:val="-14"/>
          <w:sz w:val="43"/>
          <w:szCs w:val="43"/>
          <w:lang w:eastAsia="zh-CN"/>
        </w:rPr>
        <w:t xml:space="preserve"> </w:t>
      </w:r>
      <w:r>
        <w:rPr>
          <w:rFonts w:ascii="宋体" w:hAnsi="宋体" w:eastAsia="宋体" w:cs="宋体"/>
          <w:b/>
          <w:bCs/>
          <w:color w:val="auto"/>
          <w:spacing w:val="-14"/>
          <w:sz w:val="43"/>
          <w:szCs w:val="43"/>
          <w:lang w:eastAsia="zh-CN"/>
        </w:rPr>
        <w:t>文</w:t>
      </w:r>
      <w:r>
        <w:rPr>
          <w:rFonts w:hint="eastAsia" w:ascii="宋体" w:hAnsi="宋体" w:eastAsia="宋体" w:cs="宋体"/>
          <w:b/>
          <w:bCs/>
          <w:color w:val="auto"/>
          <w:spacing w:val="-14"/>
          <w:sz w:val="43"/>
          <w:szCs w:val="43"/>
          <w:lang w:eastAsia="zh-CN"/>
        </w:rPr>
        <w:t xml:space="preserve"> </w:t>
      </w:r>
      <w:r>
        <w:rPr>
          <w:rFonts w:ascii="宋体" w:hAnsi="宋体" w:eastAsia="宋体" w:cs="宋体"/>
          <w:b/>
          <w:bCs/>
          <w:color w:val="auto"/>
          <w:spacing w:val="-14"/>
          <w:sz w:val="43"/>
          <w:szCs w:val="43"/>
          <w:lang w:eastAsia="zh-CN"/>
        </w:rPr>
        <w:t>件</w:t>
      </w:r>
    </w:p>
    <w:p w14:paraId="4D3D5967">
      <w:pPr>
        <w:autoSpaceDE/>
        <w:autoSpaceDN/>
        <w:spacing w:before="305" w:line="221" w:lineRule="auto"/>
        <w:jc w:val="center"/>
        <w:outlineLvl w:val="1"/>
        <w:rPr>
          <w:rFonts w:hint="eastAsia" w:ascii="宋体" w:hAnsi="宋体" w:eastAsia="宋体" w:cs="宋体"/>
          <w:color w:val="auto"/>
          <w:sz w:val="24"/>
          <w:szCs w:val="24"/>
          <w:lang w:eastAsia="zh-CN"/>
        </w:rPr>
      </w:pPr>
      <w:bookmarkStart w:id="1909" w:name="_Toc16778"/>
      <w:bookmarkStart w:id="1910" w:name="_Toc20489"/>
      <w:r>
        <w:rPr>
          <w:rFonts w:ascii="宋体" w:hAnsi="宋体" w:eastAsia="宋体" w:cs="宋体"/>
          <w:color w:val="auto"/>
          <w:spacing w:val="-4"/>
          <w:sz w:val="24"/>
          <w:szCs w:val="24"/>
          <w:lang w:eastAsia="zh-CN"/>
        </w:rPr>
        <w:t>（商务标）</w:t>
      </w:r>
      <w:bookmarkEnd w:id="1909"/>
      <w:bookmarkEnd w:id="1910"/>
    </w:p>
    <w:p w14:paraId="459BA7C6">
      <w:pPr>
        <w:pStyle w:val="8"/>
        <w:spacing w:line="247" w:lineRule="auto"/>
        <w:jc w:val="center"/>
        <w:rPr>
          <w:color w:val="auto"/>
          <w:lang w:eastAsia="zh-CN"/>
        </w:rPr>
      </w:pPr>
    </w:p>
    <w:p w14:paraId="7F802B38">
      <w:pPr>
        <w:pStyle w:val="8"/>
        <w:spacing w:line="248" w:lineRule="auto"/>
        <w:rPr>
          <w:color w:val="auto"/>
          <w:lang w:eastAsia="zh-CN"/>
        </w:rPr>
      </w:pPr>
    </w:p>
    <w:p w14:paraId="730710CE">
      <w:pPr>
        <w:pStyle w:val="8"/>
        <w:spacing w:line="248" w:lineRule="auto"/>
        <w:rPr>
          <w:color w:val="auto"/>
          <w:lang w:eastAsia="zh-CN"/>
        </w:rPr>
      </w:pPr>
    </w:p>
    <w:p w14:paraId="711CACA3">
      <w:pPr>
        <w:pStyle w:val="8"/>
        <w:spacing w:line="248" w:lineRule="auto"/>
        <w:rPr>
          <w:color w:val="auto"/>
          <w:lang w:eastAsia="zh-CN"/>
        </w:rPr>
      </w:pPr>
    </w:p>
    <w:p w14:paraId="7417E884">
      <w:pPr>
        <w:pStyle w:val="8"/>
        <w:spacing w:line="248" w:lineRule="auto"/>
        <w:rPr>
          <w:color w:val="auto"/>
          <w:lang w:eastAsia="zh-CN"/>
        </w:rPr>
      </w:pPr>
    </w:p>
    <w:p w14:paraId="5440012B">
      <w:pPr>
        <w:pStyle w:val="8"/>
        <w:spacing w:line="248" w:lineRule="auto"/>
        <w:rPr>
          <w:color w:val="auto"/>
          <w:lang w:eastAsia="zh-CN"/>
        </w:rPr>
      </w:pPr>
    </w:p>
    <w:p w14:paraId="3679BA25">
      <w:pPr>
        <w:pStyle w:val="8"/>
        <w:spacing w:line="248" w:lineRule="auto"/>
        <w:rPr>
          <w:color w:val="auto"/>
          <w:lang w:eastAsia="zh-CN"/>
        </w:rPr>
      </w:pPr>
    </w:p>
    <w:p w14:paraId="76E6EA04">
      <w:pPr>
        <w:pStyle w:val="8"/>
        <w:spacing w:line="248" w:lineRule="auto"/>
        <w:rPr>
          <w:color w:val="auto"/>
          <w:lang w:eastAsia="zh-CN"/>
        </w:rPr>
      </w:pPr>
    </w:p>
    <w:p w14:paraId="13AC8DB9">
      <w:pPr>
        <w:pStyle w:val="8"/>
        <w:spacing w:line="248" w:lineRule="auto"/>
        <w:rPr>
          <w:color w:val="auto"/>
          <w:lang w:eastAsia="zh-CN"/>
        </w:rPr>
      </w:pPr>
    </w:p>
    <w:p w14:paraId="5DC5A5D5">
      <w:pPr>
        <w:pStyle w:val="8"/>
        <w:spacing w:line="248" w:lineRule="auto"/>
        <w:rPr>
          <w:color w:val="auto"/>
          <w:lang w:eastAsia="zh-CN"/>
        </w:rPr>
      </w:pPr>
    </w:p>
    <w:p w14:paraId="0277BBFE">
      <w:pPr>
        <w:pStyle w:val="8"/>
        <w:spacing w:line="248" w:lineRule="auto"/>
        <w:rPr>
          <w:color w:val="auto"/>
          <w:lang w:eastAsia="zh-CN"/>
        </w:rPr>
      </w:pPr>
    </w:p>
    <w:p w14:paraId="4673AA0F">
      <w:pPr>
        <w:pStyle w:val="8"/>
        <w:spacing w:line="248" w:lineRule="auto"/>
        <w:rPr>
          <w:color w:val="auto"/>
          <w:lang w:eastAsia="zh-CN"/>
        </w:rPr>
      </w:pPr>
    </w:p>
    <w:p w14:paraId="5E4FD06D">
      <w:pPr>
        <w:pStyle w:val="8"/>
        <w:spacing w:line="248" w:lineRule="auto"/>
        <w:rPr>
          <w:color w:val="auto"/>
          <w:lang w:eastAsia="zh-CN"/>
        </w:rPr>
      </w:pPr>
    </w:p>
    <w:p w14:paraId="36FBC150">
      <w:pPr>
        <w:pStyle w:val="8"/>
        <w:spacing w:line="248" w:lineRule="auto"/>
        <w:rPr>
          <w:color w:val="auto"/>
          <w:lang w:eastAsia="zh-CN"/>
        </w:rPr>
      </w:pPr>
    </w:p>
    <w:p w14:paraId="7333DA20">
      <w:pPr>
        <w:pStyle w:val="8"/>
        <w:spacing w:line="248" w:lineRule="auto"/>
        <w:rPr>
          <w:color w:val="auto"/>
          <w:lang w:eastAsia="zh-CN"/>
        </w:rPr>
      </w:pPr>
    </w:p>
    <w:p w14:paraId="2743E314">
      <w:pPr>
        <w:pStyle w:val="8"/>
        <w:spacing w:line="248" w:lineRule="auto"/>
        <w:rPr>
          <w:color w:val="auto"/>
          <w:lang w:eastAsia="zh-CN"/>
        </w:rPr>
      </w:pPr>
    </w:p>
    <w:p w14:paraId="726B4E01">
      <w:pPr>
        <w:pStyle w:val="8"/>
        <w:spacing w:line="248" w:lineRule="auto"/>
        <w:rPr>
          <w:color w:val="auto"/>
          <w:lang w:eastAsia="zh-CN"/>
        </w:rPr>
      </w:pPr>
    </w:p>
    <w:p w14:paraId="199C711B">
      <w:pPr>
        <w:spacing w:line="520" w:lineRule="exact"/>
        <w:ind w:left="112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投</w:t>
      </w:r>
      <w:r>
        <w:rPr>
          <w:rFonts w:hint="eastAsia" w:ascii="宋体" w:hAnsi="宋体" w:eastAsia="宋体" w:cs="宋体"/>
          <w:color w:val="auto"/>
          <w:spacing w:val="15"/>
          <w:sz w:val="24"/>
          <w:szCs w:val="24"/>
          <w:lang w:eastAsia="zh-CN"/>
        </w:rPr>
        <w:t>　</w:t>
      </w:r>
      <w:r>
        <w:rPr>
          <w:rFonts w:ascii="宋体" w:hAnsi="宋体" w:eastAsia="宋体" w:cs="宋体"/>
          <w:color w:val="auto"/>
          <w:spacing w:val="-1"/>
          <w:sz w:val="24"/>
          <w:szCs w:val="24"/>
          <w:lang w:eastAsia="zh-CN"/>
        </w:rPr>
        <w:t>标</w:t>
      </w:r>
      <w:r>
        <w:rPr>
          <w:rFonts w:hint="eastAsia" w:ascii="宋体" w:hAnsi="宋体" w:eastAsia="宋体" w:cs="宋体"/>
          <w:color w:val="auto"/>
          <w:spacing w:val="15"/>
          <w:sz w:val="24"/>
          <w:szCs w:val="24"/>
          <w:lang w:eastAsia="zh-CN"/>
        </w:rPr>
        <w:t>　</w:t>
      </w:r>
      <w:r>
        <w:rPr>
          <w:rFonts w:ascii="宋体" w:hAnsi="宋体" w:eastAsia="宋体" w:cs="宋体"/>
          <w:color w:val="auto"/>
          <w:spacing w:val="-1"/>
          <w:sz w:val="24"/>
          <w:szCs w:val="24"/>
          <w:lang w:eastAsia="zh-CN"/>
        </w:rPr>
        <w:t>人</w:t>
      </w:r>
      <w:r>
        <w:rPr>
          <w:rFonts w:ascii="宋体" w:hAnsi="宋体" w:eastAsia="宋体" w:cs="宋体"/>
          <w:color w:val="auto"/>
          <w:spacing w:val="-31"/>
          <w:sz w:val="24"/>
          <w:szCs w:val="24"/>
          <w:lang w:eastAsia="zh-CN"/>
        </w:rPr>
        <w:t>：</w:t>
      </w:r>
      <w:r>
        <w:rPr>
          <w:rFonts w:hint="eastAsia" w:ascii="宋体" w:hAnsi="宋体" w:eastAsia="宋体" w:cs="宋体"/>
          <w:color w:val="auto"/>
          <w:spacing w:val="17"/>
          <w:sz w:val="24"/>
          <w:szCs w:val="24"/>
          <w:u w:val="single"/>
          <w:lang w:eastAsia="zh-CN"/>
        </w:rPr>
        <w:t>　　　</w:t>
      </w:r>
      <w:r>
        <w:rPr>
          <w:rFonts w:ascii="宋体" w:hAnsi="宋体" w:eastAsia="宋体" w:cs="宋体"/>
          <w:color w:val="auto"/>
          <w:spacing w:val="-31"/>
          <w:sz w:val="24"/>
          <w:szCs w:val="24"/>
          <w:u w:val="single"/>
          <w:lang w:eastAsia="zh-CN"/>
        </w:rPr>
        <w:t>（</w:t>
      </w:r>
      <w:r>
        <w:rPr>
          <w:rFonts w:ascii="宋体" w:hAnsi="宋体" w:eastAsia="宋体" w:cs="宋体"/>
          <w:color w:val="auto"/>
          <w:spacing w:val="-1"/>
          <w:sz w:val="24"/>
          <w:szCs w:val="24"/>
          <w:u w:val="single"/>
          <w:lang w:eastAsia="zh-CN"/>
        </w:rPr>
        <w:t>盖单位公章）</w:t>
      </w:r>
      <w:r>
        <w:rPr>
          <w:rFonts w:hint="eastAsia" w:ascii="宋体" w:hAnsi="宋体" w:eastAsia="宋体" w:cs="宋体"/>
          <w:color w:val="auto"/>
          <w:sz w:val="24"/>
          <w:szCs w:val="24"/>
          <w:u w:val="single"/>
          <w:lang w:eastAsia="zh-CN"/>
        </w:rPr>
        <w:t>　　　　　　</w:t>
      </w:r>
    </w:p>
    <w:p w14:paraId="21ABCC49">
      <w:pPr>
        <w:pStyle w:val="8"/>
        <w:spacing w:line="520" w:lineRule="exact"/>
        <w:rPr>
          <w:color w:val="auto"/>
          <w:lang w:eastAsia="zh-CN"/>
        </w:rPr>
      </w:pPr>
    </w:p>
    <w:p w14:paraId="56C8DE31">
      <w:pPr>
        <w:pStyle w:val="8"/>
        <w:spacing w:line="520" w:lineRule="exact"/>
        <w:rPr>
          <w:color w:val="auto"/>
          <w:lang w:eastAsia="zh-CN"/>
        </w:rPr>
      </w:pPr>
    </w:p>
    <w:p w14:paraId="7300D730">
      <w:pPr>
        <w:spacing w:line="520" w:lineRule="exact"/>
        <w:ind w:left="1123"/>
        <w:rPr>
          <w:rFonts w:hint="eastAsia"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法定代表人或委托代理人：</w:t>
      </w:r>
      <w:r>
        <w:rPr>
          <w:rFonts w:ascii="宋体" w:hAnsi="宋体" w:eastAsia="宋体" w:cs="宋体"/>
          <w:color w:val="auto"/>
          <w:spacing w:val="-1"/>
          <w:sz w:val="24"/>
          <w:szCs w:val="24"/>
          <w:u w:val="single"/>
          <w:lang w:eastAsia="zh-CN"/>
        </w:rPr>
        <w:t>　　（签字或盖章）　　</w:t>
      </w:r>
    </w:p>
    <w:p w14:paraId="024C4108">
      <w:pPr>
        <w:tabs>
          <w:tab w:val="left" w:pos="4125"/>
        </w:tabs>
        <w:spacing w:line="5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月</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日</w:t>
      </w:r>
    </w:p>
    <w:p w14:paraId="4267754C">
      <w:pPr>
        <w:pStyle w:val="8"/>
        <w:spacing w:line="520" w:lineRule="exact"/>
        <w:rPr>
          <w:color w:val="auto"/>
          <w:lang w:eastAsia="zh-CN"/>
        </w:rPr>
      </w:pPr>
    </w:p>
    <w:p w14:paraId="160BB098">
      <w:pPr>
        <w:pStyle w:val="8"/>
        <w:spacing w:line="287" w:lineRule="auto"/>
        <w:rPr>
          <w:color w:val="auto"/>
          <w:lang w:eastAsia="zh-CN"/>
        </w:rPr>
      </w:pPr>
    </w:p>
    <w:p w14:paraId="59826260">
      <w:pPr>
        <w:pStyle w:val="8"/>
        <w:spacing w:line="287" w:lineRule="auto"/>
        <w:rPr>
          <w:color w:val="auto"/>
          <w:lang w:eastAsia="zh-CN"/>
        </w:rPr>
      </w:pPr>
    </w:p>
    <w:p w14:paraId="7A04EEB0">
      <w:pPr>
        <w:pStyle w:val="8"/>
        <w:spacing w:line="287" w:lineRule="auto"/>
        <w:rPr>
          <w:color w:val="auto"/>
          <w:lang w:eastAsia="zh-CN"/>
        </w:rPr>
      </w:pPr>
    </w:p>
    <w:p w14:paraId="2A45D2C5">
      <w:pPr>
        <w:spacing w:before="82" w:line="211" w:lineRule="auto"/>
        <w:rPr>
          <w:rFonts w:hint="eastAsia" w:ascii="宋体" w:hAnsi="宋体" w:eastAsia="宋体" w:cs="宋体"/>
          <w:color w:val="auto"/>
          <w:sz w:val="25"/>
          <w:szCs w:val="25"/>
          <w:lang w:eastAsia="zh-CN"/>
        </w:rPr>
      </w:pPr>
      <w:r>
        <w:rPr>
          <w:rFonts w:ascii="宋体" w:hAnsi="宋体" w:eastAsia="宋体" w:cs="宋体"/>
          <w:i/>
          <w:iCs/>
          <w:color w:val="auto"/>
          <w:spacing w:val="-19"/>
          <w:sz w:val="25"/>
          <w:szCs w:val="25"/>
          <w:lang w:eastAsia="zh-CN"/>
        </w:rPr>
        <w:t>注：本页同时适用于封面或扉页。</w:t>
      </w:r>
    </w:p>
    <w:p w14:paraId="53B39AB8">
      <w:pPr>
        <w:rPr>
          <w:rFonts w:hint="eastAsia" w:ascii="宋体" w:hAnsi="宋体" w:eastAsia="宋体" w:cs="宋体"/>
          <w:color w:val="auto"/>
          <w:sz w:val="25"/>
          <w:szCs w:val="25"/>
          <w:lang w:eastAsia="zh-CN"/>
        </w:rPr>
      </w:pPr>
      <w:r>
        <w:rPr>
          <w:rFonts w:ascii="宋体" w:hAnsi="宋体" w:eastAsia="宋体" w:cs="宋体"/>
          <w:color w:val="auto"/>
          <w:sz w:val="25"/>
          <w:szCs w:val="25"/>
          <w:lang w:eastAsia="zh-CN"/>
        </w:rPr>
        <w:br w:type="page"/>
      </w:r>
    </w:p>
    <w:p w14:paraId="2C4365CD">
      <w:pPr>
        <w:spacing w:before="91" w:line="220" w:lineRule="auto"/>
        <w:ind w:left="3510"/>
        <w:outlineLvl w:val="2"/>
        <w:rPr>
          <w:rFonts w:hint="eastAsia" w:ascii="宋体" w:hAnsi="宋体" w:eastAsia="宋体" w:cs="宋体"/>
          <w:color w:val="auto"/>
          <w:sz w:val="28"/>
          <w:szCs w:val="28"/>
          <w:lang w:eastAsia="zh-CN"/>
        </w:rPr>
      </w:pPr>
      <w:bookmarkStart w:id="1911" w:name="bookmark659"/>
      <w:bookmarkEnd w:id="1911"/>
      <w:bookmarkStart w:id="1912" w:name="_Toc21518"/>
      <w:bookmarkStart w:id="1913" w:name="_Toc23667"/>
      <w:bookmarkStart w:id="1914" w:name="_Toc12679"/>
      <w:bookmarkStart w:id="1915" w:name="_Toc28891"/>
      <w:r>
        <w:rPr>
          <w:rFonts w:ascii="宋体" w:hAnsi="宋体" w:eastAsia="宋体" w:cs="宋体"/>
          <w:b/>
          <w:bCs/>
          <w:color w:val="auto"/>
          <w:spacing w:val="-5"/>
          <w:sz w:val="28"/>
          <w:szCs w:val="28"/>
          <w:lang w:eastAsia="zh-CN"/>
        </w:rPr>
        <w:t>商务标目录</w:t>
      </w:r>
      <w:bookmarkEnd w:id="1912"/>
      <w:bookmarkEnd w:id="1913"/>
      <w:bookmarkEnd w:id="1914"/>
      <w:bookmarkEnd w:id="1915"/>
    </w:p>
    <w:p w14:paraId="30A544F6">
      <w:pPr>
        <w:pStyle w:val="8"/>
        <w:spacing w:line="245" w:lineRule="auto"/>
        <w:rPr>
          <w:color w:val="auto"/>
          <w:lang w:eastAsia="zh-CN"/>
        </w:rPr>
      </w:pPr>
    </w:p>
    <w:p w14:paraId="4F5362E3">
      <w:pPr>
        <w:spacing w:line="520" w:lineRule="exact"/>
        <w:ind w:firstLine="464" w:firstLineChars="200"/>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一、投标函及投标函附录</w:t>
      </w:r>
    </w:p>
    <w:p w14:paraId="4D059048">
      <w:pPr>
        <w:spacing w:line="520" w:lineRule="exact"/>
        <w:ind w:firstLine="464" w:firstLineChars="200"/>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二、已标价的工程量清单</w:t>
      </w:r>
    </w:p>
    <w:p w14:paraId="697CF09F">
      <w:pPr>
        <w:spacing w:line="520" w:lineRule="exact"/>
        <w:ind w:firstLine="468" w:firstLineChars="200"/>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三、招标人要求提交的其他资料</w:t>
      </w:r>
    </w:p>
    <w:p w14:paraId="7927F520">
      <w:pPr>
        <w:spacing w:line="520" w:lineRule="exact"/>
        <w:ind w:firstLine="480" w:firstLineChars="20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0CF3C603">
      <w:pPr>
        <w:spacing w:before="91" w:line="219" w:lineRule="auto"/>
        <w:ind w:left="2864"/>
        <w:outlineLvl w:val="2"/>
        <w:rPr>
          <w:rFonts w:hint="eastAsia" w:ascii="宋体" w:hAnsi="宋体" w:eastAsia="宋体" w:cs="宋体"/>
          <w:color w:val="auto"/>
          <w:sz w:val="28"/>
          <w:szCs w:val="28"/>
          <w:lang w:eastAsia="zh-CN"/>
        </w:rPr>
      </w:pPr>
      <w:bookmarkStart w:id="1916" w:name="bookmark660"/>
      <w:bookmarkEnd w:id="1916"/>
      <w:bookmarkStart w:id="1917" w:name="_Toc6863"/>
      <w:bookmarkStart w:id="1918" w:name="_Toc14315"/>
      <w:bookmarkStart w:id="1919" w:name="_Toc12846"/>
      <w:bookmarkStart w:id="1920" w:name="_Toc7770"/>
      <w:r>
        <w:rPr>
          <w:rFonts w:ascii="宋体" w:hAnsi="宋体" w:eastAsia="宋体" w:cs="宋体"/>
          <w:b/>
          <w:bCs/>
          <w:color w:val="auto"/>
          <w:spacing w:val="-5"/>
          <w:sz w:val="28"/>
          <w:szCs w:val="28"/>
          <w:lang w:eastAsia="zh-CN"/>
        </w:rPr>
        <w:t>一、投标函及投标函附录</w:t>
      </w:r>
      <w:bookmarkEnd w:id="1917"/>
      <w:bookmarkEnd w:id="1918"/>
      <w:bookmarkEnd w:id="1919"/>
      <w:bookmarkEnd w:id="1920"/>
    </w:p>
    <w:p w14:paraId="7F001E74">
      <w:pPr>
        <w:pStyle w:val="8"/>
        <w:spacing w:line="247" w:lineRule="auto"/>
        <w:rPr>
          <w:color w:val="auto"/>
          <w:lang w:eastAsia="zh-CN"/>
        </w:rPr>
      </w:pPr>
    </w:p>
    <w:p w14:paraId="429D3F47">
      <w:pPr>
        <w:widowControl w:val="0"/>
        <w:kinsoku/>
        <w:topLinePunct/>
        <w:autoSpaceDE/>
        <w:autoSpaceDN/>
        <w:spacing w:line="480" w:lineRule="exact"/>
        <w:ind w:left="15"/>
        <w:jc w:val="both"/>
        <w:rPr>
          <w:rFonts w:hint="eastAsia" w:ascii="宋体" w:hAnsi="宋体" w:eastAsia="宋体" w:cs="宋体"/>
          <w:color w:val="auto"/>
          <w:sz w:val="24"/>
          <w:szCs w:val="24"/>
          <w:lang w:eastAsia="zh-CN"/>
        </w:rPr>
      </w:pPr>
      <w:r>
        <w:rPr>
          <w:rFonts w:ascii="宋体" w:hAnsi="宋体" w:eastAsia="宋体" w:cs="宋体"/>
          <w:b/>
          <w:bCs/>
          <w:color w:val="auto"/>
          <w:spacing w:val="-7"/>
          <w:sz w:val="24"/>
          <w:szCs w:val="24"/>
          <w:lang w:eastAsia="zh-CN"/>
        </w:rPr>
        <w:t>（一）投标函</w:t>
      </w:r>
    </w:p>
    <w:p w14:paraId="25915971">
      <w:pPr>
        <w:widowControl w:val="0"/>
        <w:tabs>
          <w:tab w:val="left" w:pos="2400"/>
        </w:tabs>
        <w:kinsoku/>
        <w:topLinePunct/>
        <w:autoSpaceDE/>
        <w:autoSpaceDN/>
        <w:spacing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pacing w:val="-21"/>
          <w:sz w:val="24"/>
          <w:szCs w:val="24"/>
          <w:lang w:eastAsia="zh-CN"/>
        </w:rPr>
        <w:t>（</w:t>
      </w:r>
      <w:r>
        <w:rPr>
          <w:rFonts w:ascii="宋体" w:hAnsi="宋体" w:eastAsia="宋体" w:cs="宋体"/>
          <w:i/>
          <w:iCs/>
          <w:color w:val="auto"/>
          <w:spacing w:val="-21"/>
          <w:sz w:val="25"/>
          <w:szCs w:val="25"/>
          <w:lang w:eastAsia="zh-CN"/>
        </w:rPr>
        <w:t>招标人名称</w:t>
      </w:r>
      <w:r>
        <w:rPr>
          <w:rFonts w:ascii="宋体" w:hAnsi="宋体" w:eastAsia="宋体" w:cs="宋体"/>
          <w:color w:val="auto"/>
          <w:spacing w:val="-16"/>
          <w:sz w:val="24"/>
          <w:szCs w:val="24"/>
          <w:lang w:eastAsia="zh-CN"/>
        </w:rPr>
        <w:t>）：</w:t>
      </w:r>
    </w:p>
    <w:p w14:paraId="542104F0">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1．我方已仔细研究了</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lang w:eastAsia="zh-CN"/>
        </w:rPr>
        <w:t>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r>
        <w:rPr>
          <w:rFonts w:hint="eastAsia" w:ascii="宋体" w:hAnsi="宋体" w:eastAsia="宋体" w:cs="宋体"/>
          <w:i/>
          <w:iCs/>
          <w:color w:val="auto"/>
          <w:sz w:val="25"/>
          <w:szCs w:val="25"/>
          <w:lang w:eastAsia="zh-CN"/>
        </w:rPr>
        <w:t>标段名称</w:t>
      </w:r>
      <w:r>
        <w:rPr>
          <w:rFonts w:hint="eastAsia" w:ascii="宋体" w:hAnsi="宋体" w:eastAsia="宋体" w:cs="宋体"/>
          <w:color w:val="auto"/>
          <w:sz w:val="24"/>
          <w:szCs w:val="24"/>
          <w:lang w:eastAsia="zh-CN"/>
        </w:rPr>
        <w:t>）招标文件的全部内容，愿意以人民币（大写）</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元(￥　</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元）的投标总报价，工期</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个月（日历天），按合同约定实施和完成承包工程，修补工程中的任何缺陷，工程质量达到</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，项目负责人　</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（身份证号码</w:t>
      </w:r>
      <w:r>
        <w:rPr>
          <w:rFonts w:hint="eastAsia" w:ascii="宋体" w:hAnsi="宋体" w:eastAsia="宋体" w:cs="宋体"/>
          <w:color w:val="auto"/>
          <w:sz w:val="24"/>
          <w:szCs w:val="24"/>
          <w:u w:val="single"/>
          <w:lang w:eastAsia="zh-CN"/>
        </w:rPr>
        <w:t>　　　　，联系电话　　　　</w:t>
      </w:r>
      <w:r>
        <w:rPr>
          <w:rFonts w:hint="eastAsia" w:ascii="宋体" w:hAnsi="宋体" w:eastAsia="宋体" w:cs="宋体"/>
          <w:color w:val="auto"/>
          <w:sz w:val="24"/>
          <w:szCs w:val="24"/>
          <w:lang w:eastAsia="zh-CN"/>
        </w:rPr>
        <w:t>）；技术负责人</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（身份证号码</w:t>
      </w:r>
      <w:r>
        <w:rPr>
          <w:rFonts w:hint="eastAsia" w:ascii="宋体" w:hAnsi="宋体" w:eastAsia="宋体" w:cs="宋体"/>
          <w:color w:val="auto"/>
          <w:sz w:val="24"/>
          <w:szCs w:val="24"/>
          <w:u w:val="single"/>
          <w:lang w:eastAsia="zh-CN"/>
        </w:rPr>
        <w:t>　　　　，联系电话　　　　　</w:t>
      </w:r>
      <w:r>
        <w:rPr>
          <w:rFonts w:hint="eastAsia" w:ascii="宋体" w:hAnsi="宋体" w:eastAsia="宋体" w:cs="宋体"/>
          <w:color w:val="auto"/>
          <w:sz w:val="24"/>
          <w:szCs w:val="24"/>
          <w:lang w:eastAsia="zh-CN"/>
        </w:rPr>
        <w:t>）</w:t>
      </w:r>
      <w:r>
        <w:rPr>
          <w:rFonts w:hint="eastAsia" w:ascii="宋体" w:hAnsi="宋体" w:eastAsia="宋体" w:cs="宋体"/>
          <w:strike/>
          <w:color w:val="auto"/>
          <w:sz w:val="24"/>
          <w:szCs w:val="24"/>
          <w:lang w:eastAsia="zh-CN"/>
        </w:rPr>
        <w:t>；副项目负责人</w:t>
      </w:r>
      <w:r>
        <w:rPr>
          <w:rFonts w:hint="eastAsia" w:ascii="宋体" w:hAnsi="宋体" w:eastAsia="宋体" w:cs="宋体"/>
          <w:strike/>
          <w:color w:val="auto"/>
          <w:sz w:val="24"/>
          <w:szCs w:val="24"/>
          <w:u w:val="single"/>
          <w:lang w:eastAsia="zh-CN"/>
        </w:rPr>
        <w:t>　　　　　</w:t>
      </w:r>
      <w:r>
        <w:rPr>
          <w:rFonts w:hint="eastAsia" w:ascii="宋体" w:hAnsi="宋体" w:eastAsia="宋体" w:cs="宋体"/>
          <w:strike/>
          <w:color w:val="auto"/>
          <w:sz w:val="24"/>
          <w:szCs w:val="24"/>
          <w:lang w:eastAsia="zh-CN"/>
        </w:rPr>
        <w:t>（身份证号</w:t>
      </w:r>
      <w:r>
        <w:rPr>
          <w:rFonts w:hint="eastAsia" w:ascii="宋体" w:hAnsi="宋体" w:eastAsia="宋体" w:cs="宋体"/>
          <w:strike/>
          <w:color w:val="auto"/>
          <w:sz w:val="24"/>
          <w:szCs w:val="24"/>
          <w:u w:val="single"/>
          <w:lang w:eastAsia="zh-CN"/>
        </w:rPr>
        <w:t>　　　　　，联系电话　　　　</w:t>
      </w:r>
      <w:r>
        <w:rPr>
          <w:rFonts w:hint="eastAsia" w:ascii="宋体" w:hAnsi="宋体" w:eastAsia="宋体" w:cs="宋体"/>
          <w:strike/>
          <w:color w:val="auto"/>
          <w:sz w:val="24"/>
          <w:szCs w:val="24"/>
          <w:lang w:eastAsia="zh-CN"/>
        </w:rPr>
        <w:t>）</w:t>
      </w:r>
      <w:r>
        <w:rPr>
          <w:rFonts w:hint="eastAsia" w:ascii="宋体" w:hAnsi="宋体" w:eastAsia="宋体" w:cs="宋体"/>
          <w:color w:val="auto"/>
          <w:sz w:val="24"/>
          <w:szCs w:val="24"/>
          <w:lang w:eastAsia="zh-CN"/>
        </w:rPr>
        <w:t>。</w:t>
      </w:r>
    </w:p>
    <w:p w14:paraId="11C75092">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2．我方承诺在投标有效期内不补充、修改、替代或者撤回本投标文件。</w:t>
      </w:r>
    </w:p>
    <w:p w14:paraId="266A9B4D">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3．随同本投标函递交投标保证金一份，金额为人民币（大写）</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元(￥　</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14:paraId="62D49D88">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4．如我方中标：</w:t>
      </w:r>
    </w:p>
    <w:p w14:paraId="11AC4BF7">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（1）我方承诺在收到中标通知书后，在中标通知书规定的期限内与你方签订合同。</w:t>
      </w:r>
    </w:p>
    <w:p w14:paraId="19EB093E">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（2）随同本投标函递交的投标函附录属于合同文件的组成部分。</w:t>
      </w:r>
    </w:p>
    <w:p w14:paraId="68CE4013">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（3）我方承诺按照招标文件规定向你方递交履约担保。</w:t>
      </w:r>
    </w:p>
    <w:p w14:paraId="4B7D0DB7">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（4）我方承诺在合同约定的期限内完成并移交全部合同工程。</w:t>
      </w:r>
    </w:p>
    <w:p w14:paraId="17840624">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5．我方在此声明，所递交的投标文件及有关资料内容完整、真实和准确，且不存在第2章投标人须知第1.4.3项规定的任何一种情形。</w:t>
      </w:r>
    </w:p>
    <w:p w14:paraId="3EEC52B1">
      <w:pPr>
        <w:widowControl w:val="0"/>
        <w:kinsoku/>
        <w:topLinePunct/>
        <w:autoSpaceDE/>
        <w:autoSpaceDN/>
        <w:spacing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　</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（其他补充说明）。</w:t>
      </w:r>
    </w:p>
    <w:p w14:paraId="0B2D324F">
      <w:pPr>
        <w:spacing w:before="180" w:line="219" w:lineRule="auto"/>
        <w:ind w:left="3036"/>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投标人</w:t>
      </w:r>
      <w:r>
        <w:rPr>
          <w:rFonts w:ascii="宋体" w:hAnsi="宋体" w:eastAsia="宋体" w:cs="宋体"/>
          <w:color w:val="auto"/>
          <w:spacing w:val="-4"/>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4"/>
          <w:sz w:val="24"/>
          <w:szCs w:val="24"/>
          <w:lang w:eastAsia="zh-CN"/>
        </w:rPr>
        <w:t>（</w:t>
      </w:r>
      <w:r>
        <w:rPr>
          <w:rFonts w:ascii="宋体" w:hAnsi="宋体" w:eastAsia="宋体" w:cs="宋体"/>
          <w:color w:val="auto"/>
          <w:spacing w:val="-3"/>
          <w:sz w:val="24"/>
          <w:szCs w:val="24"/>
          <w:lang w:eastAsia="zh-CN"/>
        </w:rPr>
        <w:t>盖单位公章）</w:t>
      </w:r>
    </w:p>
    <w:p w14:paraId="5FEFCAA7">
      <w:pPr>
        <w:spacing w:before="184" w:line="219" w:lineRule="auto"/>
        <w:ind w:left="3058"/>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法定代表人或委托代理人</w:t>
      </w:r>
      <w:r>
        <w:rPr>
          <w:rFonts w:ascii="宋体" w:hAnsi="宋体" w:eastAsia="宋体" w:cs="宋体"/>
          <w:color w:val="auto"/>
          <w:spacing w:val="-14"/>
          <w:sz w:val="24"/>
          <w:szCs w:val="24"/>
          <w:lang w:eastAsia="zh-CN"/>
        </w:rPr>
        <w:t>：</w:t>
      </w:r>
      <w:r>
        <w:rPr>
          <w:rFonts w:hint="eastAsia" w:ascii="宋体" w:hAnsi="宋体" w:eastAsia="宋体" w:cs="宋体"/>
          <w:color w:val="auto"/>
          <w:spacing w:val="40"/>
          <w:sz w:val="24"/>
          <w:szCs w:val="24"/>
          <w:u w:val="single"/>
          <w:lang w:eastAsia="zh-CN"/>
        </w:rPr>
        <w:t>　</w:t>
      </w:r>
      <w:r>
        <w:rPr>
          <w:rFonts w:ascii="宋体" w:hAnsi="宋体" w:eastAsia="宋体" w:cs="宋体"/>
          <w:color w:val="auto"/>
          <w:spacing w:val="-14"/>
          <w:sz w:val="24"/>
          <w:szCs w:val="24"/>
          <w:u w:val="single"/>
          <w:lang w:eastAsia="zh-CN"/>
        </w:rPr>
        <w:t>（</w:t>
      </w:r>
      <w:r>
        <w:rPr>
          <w:rFonts w:ascii="宋体" w:hAnsi="宋体" w:eastAsia="宋体" w:cs="宋体"/>
          <w:color w:val="auto"/>
          <w:spacing w:val="1"/>
          <w:sz w:val="24"/>
          <w:szCs w:val="24"/>
          <w:u w:val="single"/>
          <w:lang w:eastAsia="zh-CN"/>
        </w:rPr>
        <w:t>签字或盖章）</w:t>
      </w:r>
      <w:r>
        <w:rPr>
          <w:rFonts w:hint="eastAsia" w:ascii="宋体" w:hAnsi="宋体" w:eastAsia="宋体" w:cs="宋体"/>
          <w:color w:val="auto"/>
          <w:sz w:val="24"/>
          <w:szCs w:val="24"/>
          <w:u w:val="single"/>
          <w:lang w:eastAsia="zh-CN"/>
        </w:rPr>
        <w:t>　　</w:t>
      </w:r>
    </w:p>
    <w:p w14:paraId="0D3E4D3A">
      <w:pPr>
        <w:spacing w:before="181" w:line="229" w:lineRule="auto"/>
        <w:ind w:left="3033"/>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地</w:t>
      </w:r>
      <w:r>
        <w:rPr>
          <w:rFonts w:hint="eastAsia" w:ascii="宋体" w:hAnsi="宋体" w:eastAsia="宋体" w:cs="宋体"/>
          <w:color w:val="auto"/>
          <w:spacing w:val="2"/>
          <w:sz w:val="24"/>
          <w:szCs w:val="24"/>
          <w:lang w:eastAsia="zh-CN"/>
        </w:rPr>
        <w:t>　　</w:t>
      </w:r>
      <w:r>
        <w:rPr>
          <w:rFonts w:ascii="宋体" w:hAnsi="宋体" w:eastAsia="宋体" w:cs="宋体"/>
          <w:color w:val="auto"/>
          <w:spacing w:val="-4"/>
          <w:sz w:val="24"/>
          <w:szCs w:val="24"/>
          <w:lang w:eastAsia="zh-CN"/>
        </w:rPr>
        <w:t>址：</w:t>
      </w:r>
      <w:r>
        <w:rPr>
          <w:rFonts w:hint="eastAsia" w:ascii="宋体" w:hAnsi="宋体" w:eastAsia="宋体" w:cs="宋体"/>
          <w:color w:val="auto"/>
          <w:spacing w:val="-4"/>
          <w:sz w:val="24"/>
          <w:szCs w:val="24"/>
          <w:u w:val="single"/>
          <w:lang w:eastAsia="zh-CN"/>
        </w:rPr>
        <w:t>　　　　　　　　　　　</w:t>
      </w:r>
      <w:r>
        <w:rPr>
          <w:rFonts w:hint="eastAsia" w:ascii="宋体" w:hAnsi="宋体" w:eastAsia="宋体" w:cs="宋体"/>
          <w:color w:val="auto"/>
          <w:spacing w:val="-5"/>
          <w:sz w:val="24"/>
          <w:szCs w:val="24"/>
          <w:u w:val="single"/>
          <w:lang w:eastAsia="zh-CN"/>
        </w:rPr>
        <w:t>　　　　</w:t>
      </w:r>
    </w:p>
    <w:p w14:paraId="2A255468">
      <w:pPr>
        <w:spacing w:before="169" w:line="220" w:lineRule="auto"/>
        <w:ind w:left="3061"/>
        <w:rPr>
          <w:rFonts w:hint="eastAsia" w:ascii="宋体" w:hAnsi="宋体" w:eastAsia="宋体" w:cs="宋体"/>
          <w:color w:val="auto"/>
          <w:sz w:val="24"/>
          <w:szCs w:val="24"/>
          <w:lang w:eastAsia="zh-CN"/>
        </w:rPr>
      </w:pPr>
      <w:r>
        <w:rPr>
          <w:rFonts w:ascii="宋体" w:hAnsi="宋体" w:eastAsia="宋体" w:cs="宋体"/>
          <w:color w:val="auto"/>
          <w:spacing w:val="-8"/>
          <w:sz w:val="24"/>
          <w:szCs w:val="24"/>
          <w:lang w:eastAsia="zh-CN"/>
        </w:rPr>
        <w:t>电子信箱：</w:t>
      </w:r>
      <w:r>
        <w:rPr>
          <w:rFonts w:hint="eastAsia" w:ascii="宋体" w:hAnsi="宋体" w:eastAsia="宋体" w:cs="宋体"/>
          <w:color w:val="auto"/>
          <w:sz w:val="24"/>
          <w:szCs w:val="24"/>
          <w:u w:val="single"/>
          <w:lang w:eastAsia="zh-CN"/>
        </w:rPr>
        <w:t>　　　　　　　　</w:t>
      </w:r>
    </w:p>
    <w:p w14:paraId="7523E54E">
      <w:pPr>
        <w:spacing w:before="180" w:line="222" w:lineRule="auto"/>
        <w:ind w:left="3061"/>
        <w:rPr>
          <w:rFonts w:hint="eastAsia" w:ascii="宋体" w:hAnsi="宋体" w:eastAsia="宋体" w:cs="宋体"/>
          <w:color w:val="auto"/>
          <w:sz w:val="24"/>
          <w:szCs w:val="24"/>
          <w:lang w:eastAsia="zh-CN"/>
        </w:rPr>
      </w:pPr>
      <w:r>
        <w:rPr>
          <w:rFonts w:ascii="宋体" w:hAnsi="宋体" w:eastAsia="宋体" w:cs="宋体"/>
          <w:color w:val="auto"/>
          <w:spacing w:val="-16"/>
          <w:sz w:val="24"/>
          <w:szCs w:val="24"/>
          <w:lang w:eastAsia="zh-CN"/>
        </w:rPr>
        <w:t>电</w:t>
      </w:r>
      <w:r>
        <w:rPr>
          <w:rFonts w:hint="eastAsia" w:ascii="宋体" w:hAnsi="宋体" w:eastAsia="宋体" w:cs="宋体"/>
          <w:color w:val="auto"/>
          <w:spacing w:val="2"/>
          <w:sz w:val="24"/>
          <w:szCs w:val="24"/>
          <w:lang w:eastAsia="zh-CN"/>
        </w:rPr>
        <w:t>　　</w:t>
      </w:r>
      <w:r>
        <w:rPr>
          <w:rFonts w:ascii="宋体" w:hAnsi="宋体" w:eastAsia="宋体" w:cs="宋体"/>
          <w:color w:val="auto"/>
          <w:spacing w:val="-16"/>
          <w:sz w:val="24"/>
          <w:szCs w:val="24"/>
          <w:lang w:eastAsia="zh-CN"/>
        </w:rPr>
        <w:t>话：</w:t>
      </w:r>
      <w:r>
        <w:rPr>
          <w:rFonts w:hint="eastAsia" w:ascii="宋体" w:hAnsi="宋体" w:eastAsia="宋体" w:cs="宋体"/>
          <w:color w:val="auto"/>
          <w:sz w:val="24"/>
          <w:szCs w:val="24"/>
          <w:u w:val="single"/>
          <w:lang w:eastAsia="zh-CN"/>
        </w:rPr>
        <w:t>　　　　　　　　</w:t>
      </w:r>
    </w:p>
    <w:p w14:paraId="7D20E522">
      <w:pPr>
        <w:spacing w:before="179" w:line="220" w:lineRule="auto"/>
        <w:ind w:left="3051"/>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邮政编码：</w:t>
      </w:r>
      <w:r>
        <w:rPr>
          <w:rFonts w:hint="eastAsia" w:ascii="宋体" w:hAnsi="宋体" w:eastAsia="宋体" w:cs="宋体"/>
          <w:color w:val="auto"/>
          <w:sz w:val="24"/>
          <w:szCs w:val="24"/>
          <w:u w:val="single"/>
          <w:lang w:eastAsia="zh-CN"/>
        </w:rPr>
        <w:t>　　　　　　　　</w:t>
      </w:r>
    </w:p>
    <w:p w14:paraId="720336AB">
      <w:pPr>
        <w:tabs>
          <w:tab w:val="left" w:pos="4200"/>
        </w:tabs>
        <w:spacing w:before="180" w:line="220" w:lineRule="auto"/>
        <w:ind w:left="3479"/>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年</w:t>
      </w:r>
      <w:r>
        <w:rPr>
          <w:rFonts w:hint="eastAsia" w:ascii="宋体" w:hAnsi="宋体" w:eastAsia="宋体" w:cs="宋体"/>
          <w:color w:val="auto"/>
          <w:sz w:val="24"/>
          <w:szCs w:val="24"/>
          <w:u w:val="single"/>
          <w:lang w:eastAsia="zh-CN"/>
        </w:rPr>
        <w:t>　　</w:t>
      </w:r>
      <w:r>
        <w:rPr>
          <w:rFonts w:ascii="宋体" w:hAnsi="宋体" w:eastAsia="宋体" w:cs="宋体"/>
          <w:color w:val="auto"/>
          <w:spacing w:val="-9"/>
          <w:sz w:val="24"/>
          <w:szCs w:val="24"/>
          <w:lang w:eastAsia="zh-CN"/>
        </w:rPr>
        <w:t>月</w:t>
      </w:r>
      <w:r>
        <w:rPr>
          <w:rFonts w:hint="eastAsia" w:ascii="宋体" w:hAnsi="宋体" w:eastAsia="宋体" w:cs="宋体"/>
          <w:color w:val="auto"/>
          <w:spacing w:val="40"/>
          <w:sz w:val="24"/>
          <w:szCs w:val="24"/>
          <w:u w:val="single"/>
          <w:lang w:eastAsia="zh-CN"/>
        </w:rPr>
        <w:t>　　</w:t>
      </w:r>
      <w:r>
        <w:rPr>
          <w:rFonts w:ascii="宋体" w:hAnsi="宋体" w:eastAsia="宋体" w:cs="宋体"/>
          <w:color w:val="auto"/>
          <w:spacing w:val="-9"/>
          <w:sz w:val="24"/>
          <w:szCs w:val="24"/>
          <w:lang w:eastAsia="zh-CN"/>
        </w:rPr>
        <w:t>日</w:t>
      </w:r>
    </w:p>
    <w:p w14:paraId="00553EED">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615BC6DD">
      <w:pPr>
        <w:spacing w:before="78" w:line="219" w:lineRule="auto"/>
        <w:ind w:left="15"/>
        <w:rPr>
          <w:rFonts w:hint="eastAsia" w:ascii="宋体" w:hAnsi="宋体" w:eastAsia="宋体" w:cs="宋体"/>
          <w:color w:val="auto"/>
          <w:sz w:val="24"/>
          <w:szCs w:val="24"/>
          <w:lang w:eastAsia="zh-CN"/>
        </w:rPr>
      </w:pPr>
      <w:r>
        <w:rPr>
          <w:rFonts w:ascii="宋体" w:hAnsi="宋体" w:eastAsia="宋体" w:cs="宋体"/>
          <w:b/>
          <w:bCs/>
          <w:color w:val="auto"/>
          <w:spacing w:val="-11"/>
          <w:sz w:val="24"/>
          <w:szCs w:val="24"/>
          <w:lang w:eastAsia="zh-CN"/>
        </w:rPr>
        <w:t>（二）投标函附录</w:t>
      </w:r>
    </w:p>
    <w:p w14:paraId="18E8F20B">
      <w:pPr>
        <w:spacing w:line="147" w:lineRule="exact"/>
        <w:rPr>
          <w:color w:val="auto"/>
          <w:lang w:eastAsia="zh-CN"/>
        </w:rPr>
      </w:pPr>
    </w:p>
    <w:tbl>
      <w:tblPr>
        <w:tblStyle w:val="20"/>
        <w:tblW w:w="9009"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7"/>
        <w:gridCol w:w="2437"/>
        <w:gridCol w:w="1699"/>
        <w:gridCol w:w="2688"/>
        <w:gridCol w:w="1248"/>
      </w:tblGrid>
      <w:tr w14:paraId="22C10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37" w:type="dxa"/>
            <w:tcBorders>
              <w:top w:val="single" w:color="000000" w:sz="6" w:space="0"/>
              <w:left w:val="single" w:color="000000" w:sz="6" w:space="0"/>
            </w:tcBorders>
            <w:vAlign w:val="center"/>
          </w:tcPr>
          <w:p w14:paraId="3B9A451F">
            <w:pPr>
              <w:pStyle w:val="21"/>
              <w:jc w:val="center"/>
              <w:rPr>
                <w:rFonts w:hint="eastAsia"/>
                <w:color w:val="auto"/>
                <w:sz w:val="24"/>
                <w:szCs w:val="24"/>
              </w:rPr>
            </w:pPr>
            <w:r>
              <w:rPr>
                <w:color w:val="auto"/>
                <w:spacing w:val="-3"/>
                <w:sz w:val="24"/>
                <w:szCs w:val="24"/>
              </w:rPr>
              <w:t>序号</w:t>
            </w:r>
          </w:p>
        </w:tc>
        <w:tc>
          <w:tcPr>
            <w:tcW w:w="2437" w:type="dxa"/>
            <w:tcBorders>
              <w:top w:val="single" w:color="000000" w:sz="6" w:space="0"/>
            </w:tcBorders>
            <w:vAlign w:val="center"/>
          </w:tcPr>
          <w:p w14:paraId="285A87C9">
            <w:pPr>
              <w:pStyle w:val="21"/>
              <w:jc w:val="center"/>
              <w:rPr>
                <w:rFonts w:hint="eastAsia"/>
                <w:color w:val="auto"/>
                <w:sz w:val="24"/>
                <w:szCs w:val="24"/>
              </w:rPr>
            </w:pPr>
            <w:r>
              <w:rPr>
                <w:color w:val="auto"/>
                <w:spacing w:val="-3"/>
                <w:sz w:val="24"/>
                <w:szCs w:val="24"/>
              </w:rPr>
              <w:t>条款名称</w:t>
            </w:r>
          </w:p>
        </w:tc>
        <w:tc>
          <w:tcPr>
            <w:tcW w:w="1699" w:type="dxa"/>
            <w:tcBorders>
              <w:top w:val="single" w:color="000000" w:sz="6" w:space="0"/>
            </w:tcBorders>
            <w:vAlign w:val="center"/>
          </w:tcPr>
          <w:p w14:paraId="3417F579">
            <w:pPr>
              <w:pStyle w:val="21"/>
              <w:jc w:val="center"/>
              <w:rPr>
                <w:rFonts w:hint="eastAsia"/>
                <w:color w:val="auto"/>
                <w:sz w:val="24"/>
                <w:szCs w:val="24"/>
              </w:rPr>
            </w:pPr>
            <w:r>
              <w:rPr>
                <w:color w:val="auto"/>
                <w:spacing w:val="-2"/>
                <w:sz w:val="24"/>
                <w:szCs w:val="24"/>
              </w:rPr>
              <w:t>合同条款号</w:t>
            </w:r>
          </w:p>
        </w:tc>
        <w:tc>
          <w:tcPr>
            <w:tcW w:w="2688" w:type="dxa"/>
            <w:tcBorders>
              <w:top w:val="single" w:color="000000" w:sz="6" w:space="0"/>
            </w:tcBorders>
            <w:vAlign w:val="center"/>
          </w:tcPr>
          <w:p w14:paraId="1630F96D">
            <w:pPr>
              <w:pStyle w:val="21"/>
              <w:jc w:val="center"/>
              <w:rPr>
                <w:rFonts w:hint="eastAsia"/>
                <w:color w:val="auto"/>
                <w:sz w:val="24"/>
                <w:szCs w:val="24"/>
              </w:rPr>
            </w:pPr>
            <w:r>
              <w:rPr>
                <w:color w:val="auto"/>
                <w:spacing w:val="-3"/>
                <w:sz w:val="24"/>
                <w:szCs w:val="24"/>
              </w:rPr>
              <w:t>约定内容</w:t>
            </w:r>
          </w:p>
        </w:tc>
        <w:tc>
          <w:tcPr>
            <w:tcW w:w="1248" w:type="dxa"/>
            <w:tcBorders>
              <w:top w:val="single" w:color="000000" w:sz="6" w:space="0"/>
              <w:right w:val="single" w:color="000000" w:sz="6" w:space="0"/>
            </w:tcBorders>
            <w:vAlign w:val="center"/>
          </w:tcPr>
          <w:p w14:paraId="6FDD9599">
            <w:pPr>
              <w:pStyle w:val="21"/>
              <w:jc w:val="center"/>
              <w:rPr>
                <w:rFonts w:hint="eastAsia"/>
                <w:color w:val="auto"/>
                <w:sz w:val="24"/>
                <w:szCs w:val="24"/>
              </w:rPr>
            </w:pPr>
            <w:r>
              <w:rPr>
                <w:color w:val="auto"/>
                <w:spacing w:val="-4"/>
                <w:sz w:val="24"/>
                <w:szCs w:val="24"/>
              </w:rPr>
              <w:t>备注</w:t>
            </w:r>
          </w:p>
        </w:tc>
      </w:tr>
      <w:tr w14:paraId="2E43F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37" w:type="dxa"/>
            <w:tcBorders>
              <w:left w:val="single" w:color="000000" w:sz="6" w:space="0"/>
            </w:tcBorders>
            <w:vAlign w:val="center"/>
          </w:tcPr>
          <w:p w14:paraId="625B7275">
            <w:pPr>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1</w:t>
            </w:r>
          </w:p>
        </w:tc>
        <w:tc>
          <w:tcPr>
            <w:tcW w:w="2437" w:type="dxa"/>
            <w:vAlign w:val="center"/>
          </w:tcPr>
          <w:p w14:paraId="6942E9A3">
            <w:pPr>
              <w:pStyle w:val="21"/>
              <w:jc w:val="center"/>
              <w:rPr>
                <w:rFonts w:hint="eastAsia"/>
                <w:color w:val="auto"/>
                <w:sz w:val="24"/>
                <w:szCs w:val="24"/>
                <w:lang w:eastAsia="zh-CN"/>
              </w:rPr>
            </w:pPr>
            <w:r>
              <w:rPr>
                <w:color w:val="auto"/>
                <w:spacing w:val="-2"/>
                <w:sz w:val="24"/>
                <w:szCs w:val="24"/>
                <w:lang w:eastAsia="zh-CN"/>
              </w:rPr>
              <w:t>缺陷责任期</w:t>
            </w:r>
          </w:p>
          <w:p w14:paraId="470A0B13">
            <w:pPr>
              <w:pStyle w:val="21"/>
              <w:jc w:val="center"/>
              <w:rPr>
                <w:rFonts w:hint="eastAsia"/>
                <w:color w:val="auto"/>
                <w:sz w:val="24"/>
                <w:szCs w:val="24"/>
                <w:lang w:eastAsia="zh-CN"/>
              </w:rPr>
            </w:pPr>
            <w:r>
              <w:rPr>
                <w:color w:val="auto"/>
                <w:spacing w:val="-4"/>
                <w:sz w:val="24"/>
                <w:szCs w:val="24"/>
                <w:lang w:eastAsia="zh-CN"/>
              </w:rPr>
              <w:t>（工程质量保修期）</w:t>
            </w:r>
          </w:p>
        </w:tc>
        <w:tc>
          <w:tcPr>
            <w:tcW w:w="1699" w:type="dxa"/>
            <w:vAlign w:val="center"/>
          </w:tcPr>
          <w:p w14:paraId="6757B137">
            <w:pPr>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4"/>
                <w:sz w:val="24"/>
                <w:szCs w:val="24"/>
              </w:rPr>
              <w:t>1.1.4.5</w:t>
            </w:r>
          </w:p>
        </w:tc>
        <w:tc>
          <w:tcPr>
            <w:tcW w:w="2688" w:type="dxa"/>
            <w:vAlign w:val="center"/>
          </w:tcPr>
          <w:p w14:paraId="2A36789A">
            <w:pPr>
              <w:jc w:val="center"/>
              <w:rPr>
                <w:color w:val="auto"/>
              </w:rPr>
            </w:pPr>
          </w:p>
        </w:tc>
        <w:tc>
          <w:tcPr>
            <w:tcW w:w="1248" w:type="dxa"/>
            <w:tcBorders>
              <w:right w:val="single" w:color="000000" w:sz="6" w:space="0"/>
            </w:tcBorders>
            <w:vAlign w:val="center"/>
          </w:tcPr>
          <w:p w14:paraId="06BD7BD3">
            <w:pPr>
              <w:jc w:val="center"/>
              <w:rPr>
                <w:color w:val="auto"/>
              </w:rPr>
            </w:pPr>
          </w:p>
        </w:tc>
      </w:tr>
      <w:tr w14:paraId="00DF1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37" w:type="dxa"/>
            <w:tcBorders>
              <w:left w:val="single" w:color="000000" w:sz="6" w:space="0"/>
            </w:tcBorders>
            <w:vAlign w:val="center"/>
          </w:tcPr>
          <w:p w14:paraId="7FC9F93A">
            <w:pPr>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2</w:t>
            </w:r>
          </w:p>
        </w:tc>
        <w:tc>
          <w:tcPr>
            <w:tcW w:w="2437" w:type="dxa"/>
            <w:vAlign w:val="center"/>
          </w:tcPr>
          <w:p w14:paraId="026B3590">
            <w:pPr>
              <w:pStyle w:val="21"/>
              <w:jc w:val="center"/>
              <w:rPr>
                <w:rFonts w:hint="eastAsia"/>
                <w:color w:val="auto"/>
                <w:sz w:val="24"/>
                <w:szCs w:val="24"/>
              </w:rPr>
            </w:pPr>
            <w:r>
              <w:rPr>
                <w:color w:val="auto"/>
                <w:spacing w:val="-4"/>
                <w:sz w:val="24"/>
                <w:szCs w:val="24"/>
              </w:rPr>
              <w:t>分包</w:t>
            </w:r>
          </w:p>
        </w:tc>
        <w:tc>
          <w:tcPr>
            <w:tcW w:w="1699" w:type="dxa"/>
            <w:vAlign w:val="center"/>
          </w:tcPr>
          <w:p w14:paraId="65F282CB">
            <w:pPr>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1"/>
                <w:sz w:val="24"/>
                <w:szCs w:val="24"/>
              </w:rPr>
              <w:t>4.3</w:t>
            </w:r>
          </w:p>
        </w:tc>
        <w:tc>
          <w:tcPr>
            <w:tcW w:w="2688" w:type="dxa"/>
            <w:vAlign w:val="center"/>
          </w:tcPr>
          <w:p w14:paraId="23908968">
            <w:pPr>
              <w:jc w:val="center"/>
              <w:rPr>
                <w:color w:val="auto"/>
              </w:rPr>
            </w:pPr>
          </w:p>
        </w:tc>
        <w:tc>
          <w:tcPr>
            <w:tcW w:w="1248" w:type="dxa"/>
            <w:tcBorders>
              <w:right w:val="single" w:color="000000" w:sz="6" w:space="0"/>
            </w:tcBorders>
            <w:vAlign w:val="center"/>
          </w:tcPr>
          <w:p w14:paraId="7AF41539">
            <w:pPr>
              <w:jc w:val="center"/>
              <w:rPr>
                <w:color w:val="auto"/>
              </w:rPr>
            </w:pPr>
          </w:p>
        </w:tc>
      </w:tr>
      <w:tr w14:paraId="601F8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37" w:type="dxa"/>
            <w:tcBorders>
              <w:left w:val="single" w:color="000000" w:sz="6" w:space="0"/>
            </w:tcBorders>
            <w:vAlign w:val="center"/>
          </w:tcPr>
          <w:p w14:paraId="0ACCF09B">
            <w:pPr>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3</w:t>
            </w:r>
          </w:p>
        </w:tc>
        <w:tc>
          <w:tcPr>
            <w:tcW w:w="2437" w:type="dxa"/>
            <w:vAlign w:val="center"/>
          </w:tcPr>
          <w:p w14:paraId="7337159E">
            <w:pPr>
              <w:pStyle w:val="21"/>
              <w:jc w:val="center"/>
              <w:rPr>
                <w:rFonts w:hint="eastAsia"/>
                <w:color w:val="auto"/>
                <w:sz w:val="24"/>
                <w:szCs w:val="24"/>
              </w:rPr>
            </w:pPr>
            <w:r>
              <w:rPr>
                <w:color w:val="auto"/>
                <w:spacing w:val="-2"/>
                <w:sz w:val="24"/>
                <w:szCs w:val="24"/>
              </w:rPr>
              <w:t>投标有效期</w:t>
            </w:r>
          </w:p>
        </w:tc>
        <w:tc>
          <w:tcPr>
            <w:tcW w:w="1699" w:type="dxa"/>
            <w:vAlign w:val="center"/>
          </w:tcPr>
          <w:p w14:paraId="2345334B">
            <w:pPr>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w:t>
            </w:r>
          </w:p>
        </w:tc>
        <w:tc>
          <w:tcPr>
            <w:tcW w:w="2688" w:type="dxa"/>
            <w:vAlign w:val="center"/>
          </w:tcPr>
          <w:p w14:paraId="30CD7ADF">
            <w:pPr>
              <w:jc w:val="center"/>
              <w:rPr>
                <w:color w:val="auto"/>
              </w:rPr>
            </w:pPr>
          </w:p>
        </w:tc>
        <w:tc>
          <w:tcPr>
            <w:tcW w:w="1248" w:type="dxa"/>
            <w:tcBorders>
              <w:right w:val="single" w:color="000000" w:sz="6" w:space="0"/>
            </w:tcBorders>
            <w:vAlign w:val="center"/>
          </w:tcPr>
          <w:p w14:paraId="55EF8072">
            <w:pPr>
              <w:jc w:val="center"/>
              <w:rPr>
                <w:color w:val="auto"/>
              </w:rPr>
            </w:pPr>
          </w:p>
        </w:tc>
      </w:tr>
      <w:tr w14:paraId="01D5D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37" w:type="dxa"/>
            <w:tcBorders>
              <w:left w:val="single" w:color="000000" w:sz="6" w:space="0"/>
            </w:tcBorders>
            <w:vAlign w:val="center"/>
          </w:tcPr>
          <w:p w14:paraId="33B942BB">
            <w:pPr>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4</w:t>
            </w:r>
          </w:p>
        </w:tc>
        <w:tc>
          <w:tcPr>
            <w:tcW w:w="2437" w:type="dxa"/>
            <w:vAlign w:val="center"/>
          </w:tcPr>
          <w:p w14:paraId="6541D13B">
            <w:pPr>
              <w:pStyle w:val="21"/>
              <w:jc w:val="center"/>
              <w:rPr>
                <w:rFonts w:hint="eastAsia"/>
                <w:color w:val="auto"/>
                <w:sz w:val="24"/>
                <w:szCs w:val="24"/>
              </w:rPr>
            </w:pPr>
            <w:r>
              <w:rPr>
                <w:color w:val="auto"/>
                <w:spacing w:val="-2"/>
                <w:sz w:val="24"/>
                <w:szCs w:val="24"/>
              </w:rPr>
              <w:t>企业信用等级</w:t>
            </w:r>
          </w:p>
        </w:tc>
        <w:tc>
          <w:tcPr>
            <w:tcW w:w="1699" w:type="dxa"/>
            <w:vAlign w:val="center"/>
          </w:tcPr>
          <w:p w14:paraId="2904A159">
            <w:pPr>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w:t>
            </w:r>
          </w:p>
        </w:tc>
        <w:tc>
          <w:tcPr>
            <w:tcW w:w="2688" w:type="dxa"/>
            <w:vAlign w:val="center"/>
          </w:tcPr>
          <w:p w14:paraId="31AE8FCD">
            <w:pPr>
              <w:pStyle w:val="21"/>
              <w:tabs>
                <w:tab w:val="left" w:pos="1643"/>
              </w:tabs>
              <w:jc w:val="center"/>
              <w:rPr>
                <w:rFonts w:hint="eastAsia"/>
                <w:color w:val="auto"/>
                <w:sz w:val="24"/>
                <w:szCs w:val="24"/>
              </w:rPr>
            </w:pPr>
            <w:r>
              <w:rPr>
                <w:rFonts w:hint="eastAsia"/>
                <w:color w:val="auto"/>
                <w:sz w:val="24"/>
                <w:szCs w:val="24"/>
                <w:u w:val="single"/>
                <w:lang w:eastAsia="zh-CN"/>
              </w:rPr>
              <w:t xml:space="preserve">    </w:t>
            </w:r>
            <w:r>
              <w:rPr>
                <w:color w:val="auto"/>
                <w:sz w:val="24"/>
                <w:szCs w:val="24"/>
              </w:rPr>
              <w:t>级</w:t>
            </w:r>
          </w:p>
        </w:tc>
        <w:tc>
          <w:tcPr>
            <w:tcW w:w="1248" w:type="dxa"/>
            <w:tcBorders>
              <w:right w:val="single" w:color="000000" w:sz="6" w:space="0"/>
            </w:tcBorders>
            <w:vAlign w:val="center"/>
          </w:tcPr>
          <w:p w14:paraId="10CF755B">
            <w:pPr>
              <w:jc w:val="center"/>
              <w:rPr>
                <w:color w:val="auto"/>
              </w:rPr>
            </w:pPr>
          </w:p>
        </w:tc>
      </w:tr>
      <w:tr w14:paraId="7AF25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37" w:type="dxa"/>
            <w:tcBorders>
              <w:left w:val="single" w:color="000000" w:sz="6" w:space="0"/>
            </w:tcBorders>
            <w:vAlign w:val="center"/>
          </w:tcPr>
          <w:p w14:paraId="044A2DFB">
            <w:pPr>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2437" w:type="dxa"/>
            <w:vAlign w:val="center"/>
          </w:tcPr>
          <w:p w14:paraId="2CD29AFA">
            <w:pPr>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1699" w:type="dxa"/>
            <w:vAlign w:val="center"/>
          </w:tcPr>
          <w:p w14:paraId="26903A69">
            <w:pPr>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2688" w:type="dxa"/>
            <w:vAlign w:val="center"/>
          </w:tcPr>
          <w:p w14:paraId="061D9152">
            <w:pPr>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1248" w:type="dxa"/>
            <w:tcBorders>
              <w:right w:val="single" w:color="000000" w:sz="6" w:space="0"/>
            </w:tcBorders>
            <w:vAlign w:val="center"/>
          </w:tcPr>
          <w:p w14:paraId="375CB757">
            <w:pPr>
              <w:jc w:val="center"/>
              <w:rPr>
                <w:color w:val="auto"/>
              </w:rPr>
            </w:pPr>
          </w:p>
        </w:tc>
      </w:tr>
      <w:tr w14:paraId="1177A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37" w:type="dxa"/>
            <w:tcBorders>
              <w:left w:val="single" w:color="000000" w:sz="6" w:space="0"/>
              <w:bottom w:val="single" w:color="000000" w:sz="6" w:space="0"/>
            </w:tcBorders>
            <w:vAlign w:val="center"/>
          </w:tcPr>
          <w:p w14:paraId="3F059E39">
            <w:pPr>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2437" w:type="dxa"/>
            <w:tcBorders>
              <w:bottom w:val="single" w:color="000000" w:sz="6" w:space="0"/>
            </w:tcBorders>
            <w:vAlign w:val="center"/>
          </w:tcPr>
          <w:p w14:paraId="5593CA3F">
            <w:pPr>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1699" w:type="dxa"/>
            <w:tcBorders>
              <w:bottom w:val="single" w:color="000000" w:sz="6" w:space="0"/>
            </w:tcBorders>
            <w:vAlign w:val="center"/>
          </w:tcPr>
          <w:p w14:paraId="21C2AF0D">
            <w:pPr>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2688" w:type="dxa"/>
            <w:tcBorders>
              <w:bottom w:val="single" w:color="000000" w:sz="6" w:space="0"/>
            </w:tcBorders>
            <w:vAlign w:val="center"/>
          </w:tcPr>
          <w:p w14:paraId="44C2493C">
            <w:pPr>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1248" w:type="dxa"/>
            <w:tcBorders>
              <w:bottom w:val="single" w:color="000000" w:sz="6" w:space="0"/>
              <w:right w:val="single" w:color="000000" w:sz="6" w:space="0"/>
            </w:tcBorders>
            <w:vAlign w:val="center"/>
          </w:tcPr>
          <w:p w14:paraId="6C804F85">
            <w:pPr>
              <w:jc w:val="center"/>
              <w:rPr>
                <w:color w:val="auto"/>
              </w:rPr>
            </w:pPr>
          </w:p>
        </w:tc>
      </w:tr>
    </w:tbl>
    <w:p w14:paraId="357C3D10">
      <w:pPr>
        <w:pStyle w:val="8"/>
        <w:rPr>
          <w:color w:val="auto"/>
        </w:rPr>
      </w:pPr>
    </w:p>
    <w:p w14:paraId="7A3F6F2B">
      <w:pPr>
        <w:rPr>
          <w:color w:val="auto"/>
        </w:rPr>
      </w:pPr>
      <w:r>
        <w:rPr>
          <w:color w:val="auto"/>
        </w:rPr>
        <w:br w:type="page"/>
      </w:r>
    </w:p>
    <w:p w14:paraId="6E98B516">
      <w:pPr>
        <w:spacing w:before="91" w:line="219" w:lineRule="auto"/>
        <w:ind w:left="2806"/>
        <w:outlineLvl w:val="2"/>
        <w:rPr>
          <w:rFonts w:hint="eastAsia" w:ascii="宋体" w:hAnsi="宋体" w:eastAsia="宋体" w:cs="宋体"/>
          <w:color w:val="auto"/>
          <w:sz w:val="28"/>
          <w:szCs w:val="28"/>
        </w:rPr>
      </w:pPr>
      <w:bookmarkStart w:id="1921" w:name="bookmark661"/>
      <w:bookmarkEnd w:id="1921"/>
      <w:bookmarkStart w:id="1922" w:name="_Toc7096"/>
      <w:bookmarkStart w:id="1923" w:name="_Toc19165"/>
      <w:bookmarkStart w:id="1924" w:name="_Toc32686"/>
      <w:bookmarkStart w:id="1925" w:name="_Toc20450"/>
      <w:r>
        <w:rPr>
          <w:rFonts w:ascii="宋体" w:hAnsi="宋体" w:eastAsia="宋体" w:cs="宋体"/>
          <w:b/>
          <w:bCs/>
          <w:color w:val="auto"/>
          <w:spacing w:val="-5"/>
          <w:sz w:val="28"/>
          <w:szCs w:val="28"/>
        </w:rPr>
        <w:t>二、已标价工程量清单</w:t>
      </w:r>
      <w:bookmarkEnd w:id="1922"/>
      <w:bookmarkEnd w:id="1923"/>
      <w:bookmarkEnd w:id="1924"/>
      <w:bookmarkEnd w:id="1925"/>
    </w:p>
    <w:p w14:paraId="7367FF8E">
      <w:pPr>
        <w:rPr>
          <w:rFonts w:hint="eastAsia" w:ascii="宋体" w:hAnsi="宋体" w:eastAsia="宋体" w:cs="宋体"/>
          <w:color w:val="auto"/>
          <w:sz w:val="28"/>
          <w:szCs w:val="28"/>
        </w:rPr>
      </w:pPr>
      <w:r>
        <w:rPr>
          <w:rFonts w:ascii="宋体" w:hAnsi="宋体" w:eastAsia="宋体" w:cs="宋体"/>
          <w:color w:val="auto"/>
          <w:sz w:val="28"/>
          <w:szCs w:val="28"/>
        </w:rPr>
        <w:br w:type="page"/>
      </w:r>
    </w:p>
    <w:p w14:paraId="77C3E072">
      <w:pPr>
        <w:pStyle w:val="8"/>
        <w:spacing w:line="260" w:lineRule="auto"/>
        <w:rPr>
          <w:color w:val="auto"/>
        </w:rPr>
      </w:pPr>
    </w:p>
    <w:p w14:paraId="30866AFA">
      <w:pPr>
        <w:pStyle w:val="8"/>
        <w:spacing w:line="260" w:lineRule="auto"/>
        <w:rPr>
          <w:rFonts w:hint="eastAsia" w:asciiTheme="minorEastAsia" w:hAnsiTheme="minorEastAsia" w:eastAsiaTheme="minorEastAsia" w:cstheme="minorEastAsia"/>
          <w:color w:val="auto"/>
        </w:rPr>
      </w:pPr>
    </w:p>
    <w:p w14:paraId="2FC2D283">
      <w:pPr>
        <w:tabs>
          <w:tab w:val="left" w:pos="3717"/>
        </w:tabs>
        <w:spacing w:before="78" w:line="220" w:lineRule="auto"/>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3"/>
          <w:sz w:val="24"/>
          <w:szCs w:val="24"/>
          <w:u w:val="single"/>
          <w:lang w:eastAsia="zh-CN"/>
        </w:rPr>
        <w:t>　　（项目名称及标段名称）　　</w:t>
      </w:r>
    </w:p>
    <w:p w14:paraId="6012AF53">
      <w:pPr>
        <w:pStyle w:val="8"/>
        <w:spacing w:line="260" w:lineRule="auto"/>
        <w:rPr>
          <w:rFonts w:hint="eastAsia" w:asciiTheme="minorEastAsia" w:hAnsiTheme="minorEastAsia" w:eastAsiaTheme="minorEastAsia" w:cstheme="minorEastAsia"/>
          <w:color w:val="auto"/>
          <w:lang w:eastAsia="zh-CN"/>
        </w:rPr>
      </w:pPr>
    </w:p>
    <w:p w14:paraId="47DCE4C9">
      <w:pPr>
        <w:pStyle w:val="8"/>
        <w:spacing w:line="261" w:lineRule="auto"/>
        <w:rPr>
          <w:rFonts w:hint="eastAsia" w:asciiTheme="minorEastAsia" w:hAnsiTheme="minorEastAsia" w:eastAsiaTheme="minorEastAsia" w:cstheme="minorEastAsia"/>
          <w:color w:val="auto"/>
          <w:lang w:eastAsia="zh-CN"/>
        </w:rPr>
      </w:pPr>
    </w:p>
    <w:p w14:paraId="0041C080">
      <w:pPr>
        <w:pStyle w:val="8"/>
        <w:spacing w:line="261" w:lineRule="auto"/>
        <w:rPr>
          <w:rFonts w:hint="eastAsia" w:asciiTheme="minorEastAsia" w:hAnsiTheme="minorEastAsia" w:eastAsiaTheme="minorEastAsia" w:cstheme="minorEastAsia"/>
          <w:color w:val="auto"/>
          <w:lang w:eastAsia="zh-CN"/>
        </w:rPr>
      </w:pPr>
    </w:p>
    <w:p w14:paraId="75829AEE">
      <w:pPr>
        <w:pStyle w:val="8"/>
        <w:spacing w:line="261" w:lineRule="auto"/>
        <w:rPr>
          <w:rFonts w:hint="eastAsia" w:asciiTheme="minorEastAsia" w:hAnsiTheme="minorEastAsia" w:eastAsiaTheme="minorEastAsia" w:cstheme="minorEastAsia"/>
          <w:color w:val="auto"/>
          <w:lang w:eastAsia="zh-CN"/>
        </w:rPr>
      </w:pPr>
    </w:p>
    <w:p w14:paraId="2E7E91A7">
      <w:pPr>
        <w:pStyle w:val="8"/>
        <w:spacing w:line="261" w:lineRule="auto"/>
        <w:rPr>
          <w:rFonts w:hint="eastAsia" w:asciiTheme="minorEastAsia" w:hAnsiTheme="minorEastAsia" w:eastAsiaTheme="minorEastAsia" w:cstheme="minorEastAsia"/>
          <w:color w:val="auto"/>
          <w:lang w:eastAsia="zh-CN"/>
        </w:rPr>
      </w:pPr>
    </w:p>
    <w:p w14:paraId="48A678D4">
      <w:pPr>
        <w:spacing w:before="139" w:line="226" w:lineRule="auto"/>
        <w:ind w:left="2918"/>
        <w:rPr>
          <w:rFonts w:hint="eastAsia" w:asciiTheme="minorEastAsia" w:hAnsiTheme="minorEastAsia" w:eastAsiaTheme="minorEastAsia" w:cstheme="minorEastAsia"/>
          <w:color w:val="auto"/>
          <w:sz w:val="43"/>
          <w:szCs w:val="43"/>
          <w:lang w:eastAsia="zh-CN"/>
        </w:rPr>
      </w:pPr>
      <w:r>
        <w:rPr>
          <w:rFonts w:hint="eastAsia" w:asciiTheme="minorEastAsia" w:hAnsiTheme="minorEastAsia" w:eastAsiaTheme="minorEastAsia" w:cstheme="minorEastAsia"/>
          <w:color w:val="auto"/>
          <w:spacing w:val="7"/>
          <w:sz w:val="43"/>
          <w:szCs w:val="43"/>
          <w:lang w:eastAsia="zh-CN"/>
        </w:rPr>
        <w:t>工程量清单报价表</w:t>
      </w:r>
    </w:p>
    <w:p w14:paraId="35762998">
      <w:pPr>
        <w:pStyle w:val="8"/>
        <w:spacing w:line="249" w:lineRule="auto"/>
        <w:rPr>
          <w:color w:val="auto"/>
          <w:lang w:eastAsia="zh-CN"/>
        </w:rPr>
      </w:pPr>
    </w:p>
    <w:p w14:paraId="11267820">
      <w:pPr>
        <w:pStyle w:val="8"/>
        <w:spacing w:line="249" w:lineRule="auto"/>
        <w:rPr>
          <w:color w:val="auto"/>
          <w:lang w:eastAsia="zh-CN"/>
        </w:rPr>
      </w:pPr>
    </w:p>
    <w:p w14:paraId="0BDB172E">
      <w:pPr>
        <w:pStyle w:val="8"/>
        <w:spacing w:line="249" w:lineRule="auto"/>
        <w:rPr>
          <w:color w:val="auto"/>
          <w:lang w:eastAsia="zh-CN"/>
        </w:rPr>
      </w:pPr>
    </w:p>
    <w:p w14:paraId="6F14F1FC">
      <w:pPr>
        <w:pStyle w:val="8"/>
        <w:spacing w:line="249" w:lineRule="auto"/>
        <w:rPr>
          <w:color w:val="auto"/>
          <w:lang w:eastAsia="zh-CN"/>
        </w:rPr>
      </w:pPr>
    </w:p>
    <w:p w14:paraId="11944C2F">
      <w:pPr>
        <w:pStyle w:val="8"/>
        <w:spacing w:line="249" w:lineRule="auto"/>
        <w:rPr>
          <w:color w:val="auto"/>
          <w:lang w:eastAsia="zh-CN"/>
        </w:rPr>
      </w:pPr>
    </w:p>
    <w:p w14:paraId="013B4F77">
      <w:pPr>
        <w:pStyle w:val="8"/>
        <w:spacing w:line="249" w:lineRule="auto"/>
        <w:rPr>
          <w:color w:val="auto"/>
          <w:lang w:eastAsia="zh-CN"/>
        </w:rPr>
      </w:pPr>
    </w:p>
    <w:p w14:paraId="5B643809">
      <w:pPr>
        <w:pStyle w:val="8"/>
        <w:spacing w:line="249" w:lineRule="auto"/>
        <w:rPr>
          <w:color w:val="auto"/>
          <w:lang w:eastAsia="zh-CN"/>
        </w:rPr>
      </w:pPr>
    </w:p>
    <w:p w14:paraId="2EC686C4">
      <w:pPr>
        <w:pStyle w:val="8"/>
        <w:spacing w:line="249" w:lineRule="auto"/>
        <w:rPr>
          <w:color w:val="auto"/>
          <w:lang w:eastAsia="zh-CN"/>
        </w:rPr>
      </w:pPr>
    </w:p>
    <w:p w14:paraId="112CD5D0">
      <w:pPr>
        <w:pStyle w:val="8"/>
        <w:spacing w:line="250" w:lineRule="auto"/>
        <w:rPr>
          <w:color w:val="auto"/>
          <w:lang w:eastAsia="zh-CN"/>
        </w:rPr>
      </w:pPr>
    </w:p>
    <w:p w14:paraId="0013406B">
      <w:pPr>
        <w:pStyle w:val="8"/>
        <w:spacing w:line="250" w:lineRule="auto"/>
        <w:rPr>
          <w:color w:val="auto"/>
          <w:lang w:eastAsia="zh-CN"/>
        </w:rPr>
      </w:pPr>
    </w:p>
    <w:p w14:paraId="7D9AF0A8">
      <w:pPr>
        <w:pStyle w:val="8"/>
        <w:spacing w:line="250" w:lineRule="auto"/>
        <w:rPr>
          <w:color w:val="auto"/>
          <w:lang w:eastAsia="zh-CN"/>
        </w:rPr>
      </w:pPr>
    </w:p>
    <w:p w14:paraId="3C0F482E">
      <w:pPr>
        <w:pStyle w:val="8"/>
        <w:spacing w:line="250" w:lineRule="auto"/>
        <w:rPr>
          <w:color w:val="auto"/>
          <w:lang w:eastAsia="zh-CN"/>
        </w:rPr>
      </w:pPr>
    </w:p>
    <w:p w14:paraId="3150EA99">
      <w:pPr>
        <w:pStyle w:val="8"/>
        <w:spacing w:line="250" w:lineRule="auto"/>
        <w:rPr>
          <w:color w:val="auto"/>
          <w:lang w:eastAsia="zh-CN"/>
        </w:rPr>
      </w:pPr>
    </w:p>
    <w:p w14:paraId="0844B9EA">
      <w:pPr>
        <w:pStyle w:val="8"/>
        <w:spacing w:line="250" w:lineRule="auto"/>
        <w:rPr>
          <w:color w:val="auto"/>
          <w:lang w:eastAsia="zh-CN"/>
        </w:rPr>
      </w:pPr>
    </w:p>
    <w:p w14:paraId="4F9D00AD">
      <w:pPr>
        <w:pStyle w:val="8"/>
        <w:spacing w:line="250" w:lineRule="auto"/>
        <w:rPr>
          <w:color w:val="auto"/>
          <w:lang w:eastAsia="zh-CN"/>
        </w:rPr>
      </w:pPr>
    </w:p>
    <w:p w14:paraId="552FCF4D">
      <w:pPr>
        <w:pStyle w:val="8"/>
        <w:spacing w:line="250" w:lineRule="auto"/>
        <w:rPr>
          <w:color w:val="auto"/>
          <w:lang w:eastAsia="zh-CN"/>
        </w:rPr>
      </w:pPr>
    </w:p>
    <w:p w14:paraId="2630B0BD">
      <w:pPr>
        <w:pStyle w:val="8"/>
        <w:spacing w:line="250" w:lineRule="auto"/>
        <w:rPr>
          <w:color w:val="auto"/>
          <w:lang w:eastAsia="zh-CN"/>
        </w:rPr>
      </w:pPr>
    </w:p>
    <w:p w14:paraId="34F90E7D">
      <w:pPr>
        <w:spacing w:before="78" w:line="389" w:lineRule="auto"/>
        <w:ind w:left="6" w:right="1049" w:firstLine="1"/>
        <w:rPr>
          <w:rFonts w:hint="eastAsia" w:ascii="宋体" w:hAnsi="宋体" w:eastAsia="宋体" w:cs="宋体"/>
          <w:color w:val="auto"/>
          <w:spacing w:val="-6"/>
          <w:sz w:val="24"/>
          <w:szCs w:val="24"/>
          <w:lang w:eastAsia="zh-CN"/>
        </w:rPr>
      </w:pPr>
      <w:r>
        <w:rPr>
          <w:rFonts w:ascii="宋体" w:hAnsi="宋体" w:eastAsia="宋体" w:cs="宋体"/>
          <w:color w:val="auto"/>
          <w:spacing w:val="-6"/>
          <w:sz w:val="24"/>
          <w:szCs w:val="24"/>
          <w:lang w:eastAsia="zh-CN"/>
        </w:rPr>
        <w:t>投</w:t>
      </w:r>
      <w:r>
        <w:rPr>
          <w:rFonts w:hint="eastAsia" w:ascii="宋体" w:hAnsi="宋体" w:eastAsia="宋体" w:cs="宋体"/>
          <w:color w:val="auto"/>
          <w:spacing w:val="20"/>
          <w:sz w:val="24"/>
          <w:szCs w:val="24"/>
          <w:lang w:eastAsia="zh-CN"/>
        </w:rPr>
        <w:t>　　</w:t>
      </w:r>
      <w:r>
        <w:rPr>
          <w:rFonts w:ascii="宋体" w:hAnsi="宋体" w:eastAsia="宋体" w:cs="宋体"/>
          <w:color w:val="auto"/>
          <w:spacing w:val="-6"/>
          <w:sz w:val="24"/>
          <w:szCs w:val="24"/>
          <w:lang w:eastAsia="zh-CN"/>
        </w:rPr>
        <w:t>标</w:t>
      </w:r>
      <w:r>
        <w:rPr>
          <w:rFonts w:hint="eastAsia" w:ascii="宋体" w:hAnsi="宋体" w:eastAsia="宋体" w:cs="宋体"/>
          <w:color w:val="auto"/>
          <w:spacing w:val="20"/>
          <w:sz w:val="24"/>
          <w:szCs w:val="24"/>
          <w:lang w:eastAsia="zh-CN"/>
        </w:rPr>
        <w:t>　　</w:t>
      </w:r>
      <w:r>
        <w:rPr>
          <w:rFonts w:ascii="宋体" w:hAnsi="宋体" w:eastAsia="宋体" w:cs="宋体"/>
          <w:color w:val="auto"/>
          <w:spacing w:val="-6"/>
          <w:sz w:val="24"/>
          <w:szCs w:val="24"/>
          <w:lang w:eastAsia="zh-CN"/>
        </w:rPr>
        <w:t>人</w:t>
      </w:r>
      <w:r>
        <w:rPr>
          <w:rFonts w:ascii="宋体" w:hAnsi="宋体" w:eastAsia="宋体" w:cs="宋体"/>
          <w:color w:val="auto"/>
          <w:spacing w:val="-5"/>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b/>
          <w:bCs/>
          <w:color w:val="auto"/>
          <w:spacing w:val="-5"/>
          <w:sz w:val="24"/>
          <w:szCs w:val="24"/>
          <w:u w:val="single"/>
          <w:lang w:eastAsia="zh-CN"/>
        </w:rPr>
        <w:t>（</w:t>
      </w:r>
      <w:r>
        <w:rPr>
          <w:rFonts w:ascii="宋体" w:hAnsi="宋体" w:eastAsia="宋体" w:cs="宋体"/>
          <w:b/>
          <w:bCs/>
          <w:color w:val="auto"/>
          <w:spacing w:val="-6"/>
          <w:sz w:val="24"/>
          <w:szCs w:val="24"/>
          <w:u w:val="single"/>
          <w:lang w:eastAsia="zh-CN"/>
        </w:rPr>
        <w:t>全称</w:t>
      </w:r>
      <w:r>
        <w:rPr>
          <w:rFonts w:ascii="宋体" w:hAnsi="宋体" w:eastAsia="宋体" w:cs="宋体"/>
          <w:b/>
          <w:bCs/>
          <w:color w:val="auto"/>
          <w:spacing w:val="-5"/>
          <w:sz w:val="24"/>
          <w:szCs w:val="24"/>
          <w:u w:val="single"/>
          <w:lang w:eastAsia="zh-CN"/>
        </w:rPr>
        <w:t>）</w:t>
      </w:r>
      <w:r>
        <w:rPr>
          <w:rFonts w:hint="eastAsia" w:ascii="宋体" w:hAnsi="宋体" w:eastAsia="宋体" w:cs="宋体"/>
          <w:color w:val="auto"/>
          <w:spacing w:val="3"/>
          <w:sz w:val="24"/>
          <w:szCs w:val="24"/>
          <w:u w:val="single"/>
          <w:lang w:eastAsia="zh-CN"/>
        </w:rPr>
        <w:t>　　　　　　　</w:t>
      </w:r>
      <w:r>
        <w:rPr>
          <w:rFonts w:ascii="宋体" w:hAnsi="宋体" w:eastAsia="宋体" w:cs="宋体"/>
          <w:color w:val="auto"/>
          <w:spacing w:val="-5"/>
          <w:sz w:val="24"/>
          <w:szCs w:val="24"/>
          <w:lang w:eastAsia="zh-CN"/>
        </w:rPr>
        <w:t>（</w:t>
      </w:r>
      <w:r>
        <w:rPr>
          <w:rFonts w:ascii="宋体" w:hAnsi="宋体" w:eastAsia="宋体" w:cs="宋体"/>
          <w:color w:val="auto"/>
          <w:spacing w:val="-6"/>
          <w:sz w:val="24"/>
          <w:szCs w:val="24"/>
          <w:lang w:eastAsia="zh-CN"/>
        </w:rPr>
        <w:t>盖单位公章）</w:t>
      </w:r>
    </w:p>
    <w:p w14:paraId="51ADA45B">
      <w:pPr>
        <w:spacing w:before="78" w:line="389" w:lineRule="auto"/>
        <w:ind w:left="6" w:right="1049" w:firstLine="1"/>
        <w:rPr>
          <w:rFonts w:hint="eastAsia" w:ascii="宋体" w:hAnsi="宋体" w:eastAsia="宋体" w:cs="宋体"/>
          <w:color w:val="auto"/>
          <w:spacing w:val="-6"/>
          <w:sz w:val="24"/>
          <w:szCs w:val="24"/>
          <w:lang w:eastAsia="zh-CN"/>
        </w:rPr>
      </w:pPr>
    </w:p>
    <w:p w14:paraId="0D8713D3">
      <w:pPr>
        <w:spacing w:before="78" w:line="389" w:lineRule="auto"/>
        <w:ind w:left="6" w:right="1049" w:firstLine="1"/>
        <w:rPr>
          <w:rFonts w:hint="eastAsia" w:ascii="宋体" w:hAnsi="宋体" w:eastAsia="宋体" w:cs="宋体"/>
          <w:color w:val="auto"/>
          <w:spacing w:val="-6"/>
          <w:sz w:val="24"/>
          <w:szCs w:val="24"/>
          <w:lang w:eastAsia="zh-CN"/>
        </w:rPr>
      </w:pPr>
    </w:p>
    <w:p w14:paraId="12103430">
      <w:pPr>
        <w:spacing w:before="78" w:line="389" w:lineRule="auto"/>
        <w:ind w:left="6" w:right="1049" w:firstLine="1"/>
        <w:rPr>
          <w:rFonts w:hint="eastAsia" w:ascii="宋体" w:hAnsi="宋体" w:eastAsia="宋体" w:cs="宋体"/>
          <w:color w:val="auto"/>
          <w:sz w:val="24"/>
          <w:szCs w:val="24"/>
          <w:lang w:eastAsia="zh-CN"/>
        </w:rPr>
      </w:pPr>
      <w:r>
        <w:rPr>
          <w:rFonts w:ascii="宋体" w:hAnsi="宋体" w:eastAsia="宋体" w:cs="宋体"/>
          <w:color w:val="auto"/>
          <w:spacing w:val="-9"/>
          <w:sz w:val="24"/>
          <w:szCs w:val="24"/>
          <w:lang w:eastAsia="zh-CN"/>
        </w:rPr>
        <w:t>法定代表人或</w:t>
      </w:r>
    </w:p>
    <w:p w14:paraId="12AEC133">
      <w:pPr>
        <w:spacing w:before="1" w:line="218" w:lineRule="auto"/>
        <w:ind w:left="4"/>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委托代理人</w:t>
      </w:r>
      <w:r>
        <w:rPr>
          <w:rFonts w:ascii="宋体" w:hAnsi="宋体" w:eastAsia="宋体" w:cs="宋体"/>
          <w:color w:val="auto"/>
          <w:spacing w:val="-7"/>
          <w:sz w:val="24"/>
          <w:szCs w:val="24"/>
          <w:lang w:eastAsia="zh-CN"/>
        </w:rPr>
        <w:t>：</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pacing w:val="-7"/>
          <w:sz w:val="24"/>
          <w:szCs w:val="24"/>
          <w:lang w:eastAsia="zh-CN"/>
        </w:rPr>
        <w:t>（</w:t>
      </w:r>
      <w:r>
        <w:rPr>
          <w:rFonts w:ascii="宋体" w:hAnsi="宋体" w:eastAsia="宋体" w:cs="宋体"/>
          <w:color w:val="auto"/>
          <w:spacing w:val="-6"/>
          <w:sz w:val="24"/>
          <w:szCs w:val="24"/>
          <w:lang w:eastAsia="zh-CN"/>
        </w:rPr>
        <w:t>签字或盖章）</w:t>
      </w:r>
    </w:p>
    <w:p w14:paraId="55367800">
      <w:pPr>
        <w:pStyle w:val="8"/>
        <w:spacing w:line="329" w:lineRule="auto"/>
        <w:rPr>
          <w:color w:val="auto"/>
          <w:lang w:eastAsia="zh-CN"/>
        </w:rPr>
      </w:pPr>
    </w:p>
    <w:p w14:paraId="25A673DD">
      <w:pPr>
        <w:pStyle w:val="8"/>
        <w:spacing w:line="329" w:lineRule="auto"/>
        <w:rPr>
          <w:color w:val="auto"/>
          <w:lang w:eastAsia="zh-CN"/>
        </w:rPr>
      </w:pPr>
    </w:p>
    <w:p w14:paraId="7DB7B348">
      <w:pPr>
        <w:spacing w:before="78" w:line="218" w:lineRule="auto"/>
        <w:ind w:left="4"/>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造价工程师：</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z w:val="24"/>
          <w:szCs w:val="24"/>
          <w:u w:val="single"/>
          <w:lang w:eastAsia="zh-CN"/>
        </w:rPr>
        <w:t>　　</w:t>
      </w:r>
      <w:r>
        <w:rPr>
          <w:rFonts w:ascii="宋体" w:hAnsi="宋体" w:eastAsia="宋体" w:cs="宋体"/>
          <w:color w:val="auto"/>
          <w:spacing w:val="-5"/>
          <w:sz w:val="24"/>
          <w:szCs w:val="24"/>
          <w:lang w:eastAsia="zh-CN"/>
        </w:rPr>
        <w:t>（签字并盖执业专用章）</w:t>
      </w:r>
    </w:p>
    <w:p w14:paraId="0B65D4BC">
      <w:pPr>
        <w:pStyle w:val="8"/>
        <w:spacing w:line="329" w:lineRule="auto"/>
        <w:rPr>
          <w:color w:val="auto"/>
          <w:lang w:eastAsia="zh-CN"/>
        </w:rPr>
      </w:pPr>
    </w:p>
    <w:p w14:paraId="5C9EE246">
      <w:pPr>
        <w:pStyle w:val="8"/>
        <w:spacing w:line="329" w:lineRule="auto"/>
        <w:rPr>
          <w:color w:val="auto"/>
          <w:lang w:eastAsia="zh-CN"/>
        </w:rPr>
      </w:pPr>
    </w:p>
    <w:p w14:paraId="565B7730">
      <w:pPr>
        <w:spacing w:before="78" w:line="220" w:lineRule="auto"/>
        <w:rPr>
          <w:rFonts w:hint="eastAsia" w:ascii="宋体" w:hAnsi="宋体" w:eastAsia="宋体" w:cs="宋体"/>
          <w:color w:val="auto"/>
          <w:sz w:val="24"/>
          <w:szCs w:val="24"/>
          <w:lang w:eastAsia="zh-CN"/>
        </w:rPr>
      </w:pPr>
      <w:r>
        <w:rPr>
          <w:rFonts w:ascii="宋体" w:hAnsi="宋体" w:eastAsia="宋体" w:cs="宋体"/>
          <w:color w:val="auto"/>
          <w:spacing w:val="-21"/>
          <w:sz w:val="24"/>
          <w:szCs w:val="24"/>
          <w:lang w:eastAsia="zh-CN"/>
        </w:rPr>
        <w:t>编</w:t>
      </w:r>
      <w:r>
        <w:rPr>
          <w:rFonts w:hint="eastAsia" w:ascii="宋体" w:hAnsi="宋体" w:eastAsia="宋体" w:cs="宋体"/>
          <w:color w:val="auto"/>
          <w:spacing w:val="4"/>
          <w:sz w:val="24"/>
          <w:szCs w:val="24"/>
          <w:lang w:eastAsia="zh-CN"/>
        </w:rPr>
        <w:t>　</w:t>
      </w:r>
      <w:r>
        <w:rPr>
          <w:rFonts w:ascii="宋体" w:hAnsi="宋体" w:eastAsia="宋体" w:cs="宋体"/>
          <w:color w:val="auto"/>
          <w:spacing w:val="-21"/>
          <w:sz w:val="24"/>
          <w:szCs w:val="24"/>
          <w:lang w:eastAsia="zh-CN"/>
        </w:rPr>
        <w:t>制</w:t>
      </w:r>
      <w:r>
        <w:rPr>
          <w:rFonts w:hint="eastAsia" w:ascii="宋体" w:hAnsi="宋体" w:eastAsia="宋体" w:cs="宋体"/>
          <w:color w:val="auto"/>
          <w:spacing w:val="11"/>
          <w:sz w:val="24"/>
          <w:szCs w:val="24"/>
          <w:lang w:eastAsia="zh-CN"/>
        </w:rPr>
        <w:t>　</w:t>
      </w:r>
      <w:r>
        <w:rPr>
          <w:rFonts w:ascii="宋体" w:hAnsi="宋体" w:eastAsia="宋体" w:cs="宋体"/>
          <w:color w:val="auto"/>
          <w:spacing w:val="-21"/>
          <w:sz w:val="24"/>
          <w:szCs w:val="24"/>
          <w:lang w:eastAsia="zh-CN"/>
        </w:rPr>
        <w:t>时</w:t>
      </w:r>
      <w:r>
        <w:rPr>
          <w:rFonts w:hint="eastAsia" w:ascii="宋体" w:hAnsi="宋体" w:eastAsia="宋体" w:cs="宋体"/>
          <w:color w:val="auto"/>
          <w:spacing w:val="14"/>
          <w:sz w:val="24"/>
          <w:szCs w:val="24"/>
          <w:lang w:eastAsia="zh-CN"/>
        </w:rPr>
        <w:t>　</w:t>
      </w:r>
      <w:r>
        <w:rPr>
          <w:rFonts w:ascii="宋体" w:hAnsi="宋体" w:eastAsia="宋体" w:cs="宋体"/>
          <w:color w:val="auto"/>
          <w:spacing w:val="-21"/>
          <w:sz w:val="24"/>
          <w:szCs w:val="24"/>
          <w:lang w:eastAsia="zh-CN"/>
        </w:rPr>
        <w:t>间：</w:t>
      </w:r>
      <w:r>
        <w:rPr>
          <w:rFonts w:hint="eastAsia" w:ascii="宋体" w:hAnsi="宋体" w:eastAsia="宋体" w:cs="宋体"/>
          <w:color w:val="auto"/>
          <w:sz w:val="24"/>
          <w:szCs w:val="24"/>
          <w:u w:val="single"/>
          <w:lang w:eastAsia="zh-CN"/>
        </w:rPr>
        <w:t>　　　　　　　　　　　 　　　　　</w:t>
      </w:r>
    </w:p>
    <w:p w14:paraId="0DF84B86">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09761A6A">
      <w:pPr>
        <w:pStyle w:val="8"/>
        <w:spacing w:line="270" w:lineRule="auto"/>
        <w:rPr>
          <w:color w:val="auto"/>
          <w:lang w:eastAsia="zh-CN"/>
        </w:rPr>
      </w:pPr>
    </w:p>
    <w:p w14:paraId="12E019F8">
      <w:pPr>
        <w:spacing w:before="169" w:line="218" w:lineRule="auto"/>
        <w:ind w:left="2973"/>
        <w:rPr>
          <w:rFonts w:hint="eastAsia" w:asciiTheme="minorEastAsia" w:hAnsiTheme="minorEastAsia" w:eastAsiaTheme="minorEastAsia" w:cstheme="minorEastAsia"/>
          <w:color w:val="auto"/>
          <w:sz w:val="52"/>
          <w:szCs w:val="52"/>
          <w:lang w:eastAsia="zh-CN"/>
        </w:rPr>
      </w:pPr>
      <w:r>
        <w:rPr>
          <w:rFonts w:hint="eastAsia" w:asciiTheme="minorEastAsia" w:hAnsiTheme="minorEastAsia" w:eastAsiaTheme="minorEastAsia" w:cstheme="minorEastAsia"/>
          <w:b/>
          <w:bCs/>
          <w:color w:val="auto"/>
          <w:spacing w:val="-26"/>
          <w:sz w:val="52"/>
          <w:szCs w:val="52"/>
          <w:lang w:eastAsia="zh-CN"/>
        </w:rPr>
        <w:t>投标总价</w:t>
      </w:r>
    </w:p>
    <w:p w14:paraId="3A51012E">
      <w:pPr>
        <w:pStyle w:val="8"/>
        <w:spacing w:line="344" w:lineRule="auto"/>
        <w:rPr>
          <w:rFonts w:hint="eastAsia" w:asciiTheme="minorEastAsia" w:hAnsiTheme="minorEastAsia" w:eastAsiaTheme="minorEastAsia" w:cstheme="minorEastAsia"/>
          <w:color w:val="auto"/>
          <w:lang w:eastAsia="zh-CN"/>
        </w:rPr>
      </w:pPr>
    </w:p>
    <w:p w14:paraId="50A7237E">
      <w:pPr>
        <w:pStyle w:val="8"/>
        <w:spacing w:line="345" w:lineRule="auto"/>
        <w:rPr>
          <w:color w:val="auto"/>
          <w:lang w:eastAsia="zh-CN"/>
        </w:rPr>
      </w:pPr>
    </w:p>
    <w:p w14:paraId="37097430">
      <w:pPr>
        <w:spacing w:before="78" w:line="220" w:lineRule="auto"/>
        <w:ind w:left="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工</w:t>
      </w:r>
      <w:r>
        <w:rPr>
          <w:rFonts w:hint="eastAsia" w:ascii="宋体" w:hAnsi="宋体" w:eastAsia="宋体" w:cs="宋体"/>
          <w:color w:val="auto"/>
          <w:spacing w:val="-1"/>
          <w:sz w:val="24"/>
          <w:szCs w:val="24"/>
          <w:lang w:eastAsia="zh-CN"/>
        </w:rPr>
        <w:t>　</w:t>
      </w:r>
      <w:r>
        <w:rPr>
          <w:rFonts w:ascii="宋体" w:hAnsi="宋体" w:eastAsia="宋体" w:cs="宋体"/>
          <w:color w:val="auto"/>
          <w:spacing w:val="-1"/>
          <w:sz w:val="24"/>
          <w:szCs w:val="24"/>
          <w:lang w:eastAsia="zh-CN"/>
        </w:rPr>
        <w:t>程</w:t>
      </w:r>
      <w:r>
        <w:rPr>
          <w:rFonts w:hint="eastAsia" w:ascii="宋体" w:hAnsi="宋体" w:eastAsia="宋体" w:cs="宋体"/>
          <w:color w:val="auto"/>
          <w:spacing w:val="-1"/>
          <w:sz w:val="24"/>
          <w:szCs w:val="24"/>
          <w:lang w:eastAsia="zh-CN"/>
        </w:rPr>
        <w:t>　</w:t>
      </w:r>
      <w:r>
        <w:rPr>
          <w:rFonts w:ascii="宋体" w:hAnsi="宋体" w:eastAsia="宋体" w:cs="宋体"/>
          <w:color w:val="auto"/>
          <w:spacing w:val="-1"/>
          <w:sz w:val="24"/>
          <w:szCs w:val="24"/>
          <w:lang w:eastAsia="zh-CN"/>
        </w:rPr>
        <w:t>名</w:t>
      </w:r>
      <w:r>
        <w:rPr>
          <w:rFonts w:hint="eastAsia" w:ascii="宋体" w:hAnsi="宋体" w:eastAsia="宋体" w:cs="宋体"/>
          <w:color w:val="auto"/>
          <w:spacing w:val="4"/>
          <w:sz w:val="24"/>
          <w:szCs w:val="24"/>
          <w:lang w:eastAsia="zh-CN"/>
        </w:rPr>
        <w:t>　</w:t>
      </w:r>
      <w:r>
        <w:rPr>
          <w:rFonts w:ascii="宋体" w:hAnsi="宋体" w:eastAsia="宋体" w:cs="宋体"/>
          <w:color w:val="auto"/>
          <w:spacing w:val="-1"/>
          <w:sz w:val="24"/>
          <w:szCs w:val="24"/>
          <w:lang w:eastAsia="zh-CN"/>
        </w:rPr>
        <w:t>称</w:t>
      </w:r>
      <w:r>
        <w:rPr>
          <w:rFonts w:ascii="宋体" w:hAnsi="宋体" w:eastAsia="宋体" w:cs="宋体"/>
          <w:color w:val="auto"/>
          <w:spacing w:val="-2"/>
          <w:sz w:val="24"/>
          <w:szCs w:val="24"/>
          <w:lang w:eastAsia="zh-CN"/>
        </w:rPr>
        <w:t>：</w:t>
      </w:r>
      <w:r>
        <w:rPr>
          <w:rFonts w:hint="eastAsia" w:ascii="宋体" w:hAnsi="宋体" w:eastAsia="宋体" w:cs="宋体"/>
          <w:color w:val="auto"/>
          <w:spacing w:val="13"/>
          <w:sz w:val="24"/>
          <w:szCs w:val="24"/>
          <w:u w:val="single"/>
          <w:lang w:eastAsia="zh-CN"/>
        </w:rPr>
        <w:t>　　　　</w:t>
      </w:r>
      <w:r>
        <w:rPr>
          <w:rFonts w:ascii="宋体" w:hAnsi="宋体" w:eastAsia="宋体" w:cs="宋体"/>
          <w:color w:val="auto"/>
          <w:spacing w:val="-2"/>
          <w:sz w:val="24"/>
          <w:szCs w:val="24"/>
          <w:u w:val="single"/>
          <w:lang w:eastAsia="zh-CN"/>
        </w:rPr>
        <w:t>（</w:t>
      </w:r>
      <w:r>
        <w:rPr>
          <w:rFonts w:ascii="宋体" w:hAnsi="宋体" w:eastAsia="宋体" w:cs="宋体"/>
          <w:color w:val="auto"/>
          <w:spacing w:val="-1"/>
          <w:sz w:val="24"/>
          <w:szCs w:val="24"/>
          <w:u w:val="single"/>
          <w:lang w:eastAsia="zh-CN"/>
        </w:rPr>
        <w:t>项目名称及标段名称）</w:t>
      </w:r>
      <w:r>
        <w:rPr>
          <w:rFonts w:hint="eastAsia" w:ascii="宋体" w:hAnsi="宋体" w:eastAsia="宋体" w:cs="宋体"/>
          <w:color w:val="auto"/>
          <w:sz w:val="24"/>
          <w:szCs w:val="24"/>
          <w:u w:val="single"/>
          <w:lang w:eastAsia="zh-CN"/>
        </w:rPr>
        <w:t>　　　</w:t>
      </w:r>
    </w:p>
    <w:p w14:paraId="00BB1FFF">
      <w:pPr>
        <w:pStyle w:val="8"/>
        <w:spacing w:line="256" w:lineRule="auto"/>
        <w:rPr>
          <w:color w:val="auto"/>
          <w:lang w:eastAsia="zh-CN"/>
        </w:rPr>
      </w:pPr>
    </w:p>
    <w:p w14:paraId="25C722D9">
      <w:pPr>
        <w:pStyle w:val="8"/>
        <w:spacing w:line="257" w:lineRule="auto"/>
        <w:rPr>
          <w:color w:val="auto"/>
          <w:lang w:eastAsia="zh-CN"/>
        </w:rPr>
      </w:pPr>
    </w:p>
    <w:p w14:paraId="6390B4ED">
      <w:pPr>
        <w:spacing w:before="78" w:line="218" w:lineRule="auto"/>
        <w:ind w:left="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投标总价（小写</w:t>
      </w:r>
      <w:r>
        <w:rPr>
          <w:rFonts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w:t>
      </w:r>
    </w:p>
    <w:p w14:paraId="4179C220">
      <w:pPr>
        <w:pStyle w:val="8"/>
        <w:spacing w:line="258" w:lineRule="auto"/>
        <w:rPr>
          <w:color w:val="auto"/>
          <w:lang w:eastAsia="zh-CN"/>
        </w:rPr>
      </w:pPr>
    </w:p>
    <w:p w14:paraId="7719157F">
      <w:pPr>
        <w:pStyle w:val="8"/>
        <w:spacing w:line="258" w:lineRule="auto"/>
        <w:rPr>
          <w:color w:val="auto"/>
          <w:lang w:eastAsia="zh-CN"/>
        </w:rPr>
      </w:pPr>
    </w:p>
    <w:p w14:paraId="185A9B1B">
      <w:pPr>
        <w:spacing w:before="78" w:line="220" w:lineRule="auto"/>
        <w:ind w:left="965"/>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（大写</w:t>
      </w:r>
      <w:r>
        <w:rPr>
          <w:rFonts w:ascii="宋体" w:hAnsi="宋体" w:eastAsia="宋体" w:cs="宋体"/>
          <w:color w:val="auto"/>
          <w:spacing w:val="-3"/>
          <w:sz w:val="24"/>
          <w:szCs w:val="24"/>
          <w:lang w:eastAsia="zh-CN"/>
        </w:rPr>
        <w:t>）：</w:t>
      </w:r>
      <w:r>
        <w:rPr>
          <w:rFonts w:hint="eastAsia" w:ascii="宋体" w:hAnsi="宋体" w:eastAsia="宋体" w:cs="宋体"/>
          <w:color w:val="auto"/>
          <w:sz w:val="24"/>
          <w:szCs w:val="24"/>
          <w:u w:val="single"/>
          <w:lang w:eastAsia="zh-CN"/>
        </w:rPr>
        <w:t>　　　　　　　　　　　　　　　　</w:t>
      </w:r>
    </w:p>
    <w:p w14:paraId="66FD18EC">
      <w:pPr>
        <w:pStyle w:val="8"/>
        <w:spacing w:line="257" w:lineRule="auto"/>
        <w:rPr>
          <w:color w:val="auto"/>
          <w:lang w:eastAsia="zh-CN"/>
        </w:rPr>
      </w:pPr>
    </w:p>
    <w:p w14:paraId="16B205D4">
      <w:pPr>
        <w:pStyle w:val="8"/>
        <w:spacing w:line="258" w:lineRule="auto"/>
        <w:rPr>
          <w:color w:val="auto"/>
          <w:lang w:eastAsia="zh-CN"/>
        </w:rPr>
      </w:pPr>
    </w:p>
    <w:p w14:paraId="469665AA">
      <w:pPr>
        <w:spacing w:before="78" w:line="219" w:lineRule="auto"/>
        <w:ind w:left="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投</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标</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人：</w:t>
      </w:r>
      <w:r>
        <w:rPr>
          <w:rFonts w:hint="eastAsia" w:ascii="宋体" w:hAnsi="宋体" w:eastAsia="宋体" w:cs="宋体"/>
          <w:color w:val="auto"/>
          <w:spacing w:val="12"/>
          <w:sz w:val="24"/>
          <w:szCs w:val="24"/>
          <w:u w:val="single"/>
          <w:lang w:eastAsia="zh-CN"/>
        </w:rPr>
        <w:t>　　　　　</w:t>
      </w:r>
      <w:r>
        <w:rPr>
          <w:rFonts w:ascii="宋体" w:hAnsi="宋体" w:eastAsia="宋体" w:cs="宋体"/>
          <w:color w:val="auto"/>
          <w:spacing w:val="-2"/>
          <w:sz w:val="24"/>
          <w:szCs w:val="24"/>
          <w:u w:val="single"/>
          <w:lang w:eastAsia="zh-CN"/>
        </w:rPr>
        <w:t>（全称）</w:t>
      </w:r>
      <w:r>
        <w:rPr>
          <w:rFonts w:hint="eastAsia" w:ascii="宋体" w:hAnsi="宋体" w:eastAsia="宋体" w:cs="宋体"/>
          <w:color w:val="auto"/>
          <w:sz w:val="24"/>
          <w:szCs w:val="24"/>
          <w:u w:val="single"/>
          <w:lang w:eastAsia="zh-CN"/>
        </w:rPr>
        <w:t>　　　　　　</w:t>
      </w:r>
      <w:r>
        <w:rPr>
          <w:rFonts w:ascii="宋体" w:hAnsi="宋体" w:eastAsia="宋体" w:cs="宋体"/>
          <w:color w:val="auto"/>
          <w:spacing w:val="-2"/>
          <w:sz w:val="24"/>
          <w:szCs w:val="24"/>
          <w:lang w:eastAsia="zh-CN"/>
        </w:rPr>
        <w:t>（盖单位公章）</w:t>
      </w:r>
    </w:p>
    <w:p w14:paraId="12C707D2">
      <w:pPr>
        <w:pStyle w:val="8"/>
        <w:spacing w:line="257" w:lineRule="auto"/>
        <w:rPr>
          <w:color w:val="auto"/>
          <w:lang w:eastAsia="zh-CN"/>
        </w:rPr>
      </w:pPr>
    </w:p>
    <w:p w14:paraId="7883CDB1">
      <w:pPr>
        <w:pStyle w:val="8"/>
        <w:spacing w:line="257" w:lineRule="auto"/>
        <w:rPr>
          <w:color w:val="auto"/>
          <w:lang w:eastAsia="zh-CN"/>
        </w:rPr>
      </w:pPr>
    </w:p>
    <w:p w14:paraId="7376E74C">
      <w:pPr>
        <w:spacing w:before="78" w:line="219" w:lineRule="auto"/>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法定代表人或委托代理人</w:t>
      </w:r>
      <w:r>
        <w:rPr>
          <w:rFonts w:ascii="宋体" w:hAnsi="宋体" w:eastAsia="宋体" w:cs="宋体"/>
          <w:color w:val="auto"/>
          <w:spacing w:val="4"/>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4"/>
          <w:sz w:val="24"/>
          <w:szCs w:val="24"/>
          <w:lang w:eastAsia="zh-CN"/>
        </w:rPr>
        <w:t>（</w:t>
      </w:r>
      <w:r>
        <w:rPr>
          <w:rFonts w:ascii="宋体" w:hAnsi="宋体" w:eastAsia="宋体" w:cs="宋体"/>
          <w:color w:val="auto"/>
          <w:spacing w:val="-2"/>
          <w:sz w:val="24"/>
          <w:szCs w:val="24"/>
          <w:lang w:eastAsia="zh-CN"/>
        </w:rPr>
        <w:t>签字或盖章）</w:t>
      </w:r>
    </w:p>
    <w:p w14:paraId="3394534F">
      <w:pPr>
        <w:pStyle w:val="8"/>
        <w:spacing w:line="257" w:lineRule="auto"/>
        <w:rPr>
          <w:color w:val="auto"/>
          <w:lang w:eastAsia="zh-CN"/>
        </w:rPr>
      </w:pPr>
    </w:p>
    <w:p w14:paraId="5C4CCB8C">
      <w:pPr>
        <w:pStyle w:val="8"/>
        <w:spacing w:line="257" w:lineRule="auto"/>
        <w:rPr>
          <w:color w:val="auto"/>
          <w:lang w:eastAsia="zh-CN"/>
        </w:rPr>
      </w:pPr>
    </w:p>
    <w:p w14:paraId="0929AF80">
      <w:pPr>
        <w:spacing w:before="79" w:line="220" w:lineRule="auto"/>
        <w:rPr>
          <w:rFonts w:hint="eastAsia" w:ascii="宋体" w:hAnsi="宋体" w:eastAsia="宋体" w:cs="宋体"/>
          <w:color w:val="auto"/>
          <w:sz w:val="24"/>
          <w:szCs w:val="24"/>
          <w:lang w:eastAsia="zh-CN"/>
        </w:rPr>
      </w:pPr>
      <w:r>
        <w:rPr>
          <w:rFonts w:ascii="宋体" w:hAnsi="宋体" w:eastAsia="宋体" w:cs="宋体"/>
          <w:color w:val="auto"/>
          <w:spacing w:val="-8"/>
          <w:sz w:val="24"/>
          <w:szCs w:val="24"/>
          <w:lang w:eastAsia="zh-CN"/>
        </w:rPr>
        <w:t>编</w:t>
      </w:r>
      <w:r>
        <w:rPr>
          <w:rFonts w:hint="eastAsia" w:ascii="宋体" w:hAnsi="宋体" w:eastAsia="宋体" w:cs="宋体"/>
          <w:color w:val="auto"/>
          <w:spacing w:val="5"/>
          <w:sz w:val="24"/>
          <w:szCs w:val="24"/>
          <w:lang w:eastAsia="zh-CN"/>
        </w:rPr>
        <w:t>　</w:t>
      </w:r>
      <w:r>
        <w:rPr>
          <w:rFonts w:ascii="宋体" w:hAnsi="宋体" w:eastAsia="宋体" w:cs="宋体"/>
          <w:color w:val="auto"/>
          <w:spacing w:val="-8"/>
          <w:sz w:val="24"/>
          <w:szCs w:val="24"/>
          <w:lang w:eastAsia="zh-CN"/>
        </w:rPr>
        <w:t>制</w:t>
      </w:r>
      <w:r>
        <w:rPr>
          <w:rFonts w:hint="eastAsia" w:ascii="宋体" w:hAnsi="宋体" w:eastAsia="宋体" w:cs="宋体"/>
          <w:color w:val="auto"/>
          <w:spacing w:val="10"/>
          <w:sz w:val="24"/>
          <w:szCs w:val="24"/>
          <w:lang w:eastAsia="zh-CN"/>
        </w:rPr>
        <w:t>　</w:t>
      </w:r>
      <w:r>
        <w:rPr>
          <w:rFonts w:ascii="宋体" w:hAnsi="宋体" w:eastAsia="宋体" w:cs="宋体"/>
          <w:color w:val="auto"/>
          <w:spacing w:val="-8"/>
          <w:sz w:val="24"/>
          <w:szCs w:val="24"/>
          <w:lang w:eastAsia="zh-CN"/>
        </w:rPr>
        <w:t>时</w:t>
      </w:r>
      <w:r>
        <w:rPr>
          <w:rFonts w:hint="eastAsia" w:ascii="宋体" w:hAnsi="宋体" w:eastAsia="宋体" w:cs="宋体"/>
          <w:color w:val="auto"/>
          <w:spacing w:val="14"/>
          <w:sz w:val="24"/>
          <w:szCs w:val="24"/>
          <w:lang w:eastAsia="zh-CN"/>
        </w:rPr>
        <w:t>　</w:t>
      </w:r>
      <w:r>
        <w:rPr>
          <w:rFonts w:ascii="宋体" w:hAnsi="宋体" w:eastAsia="宋体" w:cs="宋体"/>
          <w:color w:val="auto"/>
          <w:spacing w:val="-8"/>
          <w:sz w:val="24"/>
          <w:szCs w:val="24"/>
          <w:lang w:eastAsia="zh-CN"/>
        </w:rPr>
        <w:t>间：</w:t>
      </w:r>
      <w:r>
        <w:rPr>
          <w:rFonts w:hint="eastAsia" w:ascii="宋体" w:hAnsi="宋体" w:eastAsia="宋体" w:cs="宋体"/>
          <w:color w:val="auto"/>
          <w:spacing w:val="-8"/>
          <w:sz w:val="24"/>
          <w:szCs w:val="24"/>
          <w:u w:val="single"/>
          <w:lang w:eastAsia="zh-CN"/>
        </w:rPr>
        <w:t>　　　　　　　　　　　　　　　　　</w:t>
      </w:r>
    </w:p>
    <w:p w14:paraId="1F3E7BB9">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3B1D20DA">
      <w:pPr>
        <w:pStyle w:val="8"/>
        <w:spacing w:line="248" w:lineRule="auto"/>
        <w:rPr>
          <w:color w:val="auto"/>
          <w:lang w:eastAsia="zh-CN"/>
        </w:rPr>
      </w:pPr>
    </w:p>
    <w:p w14:paraId="67823152">
      <w:pPr>
        <w:spacing w:before="78" w:line="218" w:lineRule="auto"/>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造价工程师注册证书</w:t>
      </w:r>
    </w:p>
    <w:p w14:paraId="08AB06BC">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242E1C03">
      <w:pPr>
        <w:pStyle w:val="8"/>
        <w:spacing w:line="246" w:lineRule="auto"/>
        <w:rPr>
          <w:color w:val="auto"/>
          <w:lang w:eastAsia="zh-CN"/>
        </w:rPr>
      </w:pPr>
    </w:p>
    <w:p w14:paraId="17F55E08">
      <w:pPr>
        <w:spacing w:before="91" w:line="219" w:lineRule="auto"/>
        <w:ind w:left="3023"/>
        <w:rPr>
          <w:rFonts w:hint="eastAsia"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工程量清单计价汇总表</w:t>
      </w:r>
    </w:p>
    <w:p w14:paraId="3B252290">
      <w:pPr>
        <w:pStyle w:val="8"/>
        <w:spacing w:line="269" w:lineRule="auto"/>
        <w:rPr>
          <w:color w:val="auto"/>
          <w:lang w:eastAsia="zh-CN"/>
        </w:rPr>
      </w:pPr>
    </w:p>
    <w:p w14:paraId="1AABB6FF">
      <w:pPr>
        <w:pStyle w:val="8"/>
        <w:spacing w:line="269" w:lineRule="auto"/>
        <w:rPr>
          <w:color w:val="auto"/>
          <w:lang w:eastAsia="zh-CN"/>
        </w:rPr>
      </w:pPr>
    </w:p>
    <w:p w14:paraId="48980F75">
      <w:pPr>
        <w:spacing w:before="78" w:line="220" w:lineRule="auto"/>
        <w:ind w:left="3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z w:val="24"/>
          <w:szCs w:val="24"/>
          <w:lang w:eastAsia="zh-CN"/>
        </w:rPr>
        <w:t>　　　　　　　　　　</w:t>
      </w:r>
      <w:r>
        <w:rPr>
          <w:rFonts w:ascii="宋体" w:hAnsi="宋体" w:eastAsia="宋体" w:cs="宋体"/>
          <w:color w:val="auto"/>
          <w:spacing w:val="-1"/>
          <w:sz w:val="24"/>
          <w:szCs w:val="24"/>
          <w:lang w:eastAsia="zh-CN"/>
        </w:rPr>
        <w:t>第</w:t>
      </w:r>
      <w:r>
        <w:rPr>
          <w:rFonts w:hint="eastAsia" w:ascii="宋体" w:hAnsi="宋体" w:eastAsia="宋体" w:cs="宋体"/>
          <w:color w:val="auto"/>
          <w:spacing w:val="1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7"/>
          <w:sz w:val="24"/>
          <w:szCs w:val="24"/>
          <w:lang w:eastAsia="zh-CN"/>
        </w:rPr>
        <w:t>　</w:t>
      </w:r>
      <w:r>
        <w:rPr>
          <w:rFonts w:ascii="宋体" w:hAnsi="宋体" w:eastAsia="宋体" w:cs="宋体"/>
          <w:color w:val="auto"/>
          <w:spacing w:val="-2"/>
          <w:sz w:val="24"/>
          <w:szCs w:val="24"/>
          <w:lang w:eastAsia="zh-CN"/>
        </w:rPr>
        <w:t>页</w:t>
      </w:r>
    </w:p>
    <w:p w14:paraId="0C95C589">
      <w:pPr>
        <w:spacing w:line="146" w:lineRule="exact"/>
        <w:rPr>
          <w:color w:val="auto"/>
          <w:lang w:eastAsia="zh-CN"/>
        </w:rPr>
      </w:pPr>
    </w:p>
    <w:tbl>
      <w:tblPr>
        <w:tblStyle w:val="20"/>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4"/>
        <w:gridCol w:w="4710"/>
        <w:gridCol w:w="2528"/>
      </w:tblGrid>
      <w:tr w14:paraId="4FEC6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1574" w:type="dxa"/>
            <w:tcBorders>
              <w:top w:val="single" w:color="000000" w:sz="6" w:space="0"/>
              <w:left w:val="single" w:color="000000" w:sz="6" w:space="0"/>
            </w:tcBorders>
            <w:vAlign w:val="center"/>
          </w:tcPr>
          <w:p w14:paraId="68C7DDED">
            <w:pPr>
              <w:pStyle w:val="21"/>
              <w:jc w:val="center"/>
              <w:rPr>
                <w:rFonts w:hint="eastAsia"/>
                <w:color w:val="auto"/>
                <w:sz w:val="24"/>
                <w:szCs w:val="24"/>
              </w:rPr>
            </w:pPr>
            <w:r>
              <w:rPr>
                <w:color w:val="auto"/>
                <w:spacing w:val="-3"/>
                <w:sz w:val="24"/>
                <w:szCs w:val="24"/>
              </w:rPr>
              <w:t>序号</w:t>
            </w:r>
          </w:p>
        </w:tc>
        <w:tc>
          <w:tcPr>
            <w:tcW w:w="4710" w:type="dxa"/>
            <w:tcBorders>
              <w:top w:val="single" w:color="000000" w:sz="6" w:space="0"/>
            </w:tcBorders>
            <w:vAlign w:val="center"/>
          </w:tcPr>
          <w:p w14:paraId="5699C009">
            <w:pPr>
              <w:pStyle w:val="21"/>
              <w:jc w:val="center"/>
              <w:rPr>
                <w:rFonts w:hint="eastAsia"/>
                <w:color w:val="auto"/>
                <w:sz w:val="24"/>
                <w:szCs w:val="24"/>
              </w:rPr>
            </w:pPr>
            <w:r>
              <w:rPr>
                <w:color w:val="auto"/>
                <w:spacing w:val="-2"/>
                <w:sz w:val="24"/>
                <w:szCs w:val="24"/>
              </w:rPr>
              <w:t>工程项目名称</w:t>
            </w:r>
          </w:p>
        </w:tc>
        <w:tc>
          <w:tcPr>
            <w:tcW w:w="2528" w:type="dxa"/>
            <w:tcBorders>
              <w:top w:val="single" w:color="000000" w:sz="6" w:space="0"/>
              <w:right w:val="single" w:color="000000" w:sz="6" w:space="0"/>
            </w:tcBorders>
            <w:vAlign w:val="center"/>
          </w:tcPr>
          <w:p w14:paraId="63690B89">
            <w:pPr>
              <w:pStyle w:val="21"/>
              <w:jc w:val="center"/>
              <w:rPr>
                <w:rFonts w:hint="eastAsia"/>
                <w:color w:val="auto"/>
                <w:sz w:val="24"/>
                <w:szCs w:val="24"/>
              </w:rPr>
            </w:pPr>
            <w:r>
              <w:rPr>
                <w:color w:val="auto"/>
                <w:spacing w:val="-5"/>
                <w:sz w:val="24"/>
                <w:szCs w:val="24"/>
              </w:rPr>
              <w:t>金额（元）</w:t>
            </w:r>
          </w:p>
        </w:tc>
      </w:tr>
      <w:tr w14:paraId="034EC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tcPr>
          <w:p w14:paraId="3A45F237">
            <w:pPr>
              <w:rPr>
                <w:color w:val="auto"/>
              </w:rPr>
            </w:pPr>
          </w:p>
        </w:tc>
        <w:tc>
          <w:tcPr>
            <w:tcW w:w="4710" w:type="dxa"/>
          </w:tcPr>
          <w:p w14:paraId="2869FD40">
            <w:pPr>
              <w:rPr>
                <w:color w:val="auto"/>
              </w:rPr>
            </w:pPr>
          </w:p>
        </w:tc>
        <w:tc>
          <w:tcPr>
            <w:tcW w:w="2528" w:type="dxa"/>
            <w:tcBorders>
              <w:right w:val="single" w:color="000000" w:sz="6" w:space="0"/>
            </w:tcBorders>
          </w:tcPr>
          <w:p w14:paraId="05254EDB">
            <w:pPr>
              <w:rPr>
                <w:color w:val="auto"/>
              </w:rPr>
            </w:pPr>
          </w:p>
        </w:tc>
      </w:tr>
      <w:tr w14:paraId="39424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tcPr>
          <w:p w14:paraId="00923856">
            <w:pPr>
              <w:rPr>
                <w:color w:val="auto"/>
              </w:rPr>
            </w:pPr>
          </w:p>
        </w:tc>
        <w:tc>
          <w:tcPr>
            <w:tcW w:w="4710" w:type="dxa"/>
          </w:tcPr>
          <w:p w14:paraId="0487F7A4">
            <w:pPr>
              <w:rPr>
                <w:color w:val="auto"/>
              </w:rPr>
            </w:pPr>
          </w:p>
        </w:tc>
        <w:tc>
          <w:tcPr>
            <w:tcW w:w="2528" w:type="dxa"/>
            <w:tcBorders>
              <w:right w:val="single" w:color="000000" w:sz="6" w:space="0"/>
            </w:tcBorders>
          </w:tcPr>
          <w:p w14:paraId="6F34021F">
            <w:pPr>
              <w:rPr>
                <w:color w:val="auto"/>
              </w:rPr>
            </w:pPr>
          </w:p>
        </w:tc>
      </w:tr>
      <w:tr w14:paraId="44805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574" w:type="dxa"/>
            <w:tcBorders>
              <w:left w:val="single" w:color="000000" w:sz="6" w:space="0"/>
            </w:tcBorders>
          </w:tcPr>
          <w:p w14:paraId="3F497513">
            <w:pPr>
              <w:rPr>
                <w:color w:val="auto"/>
              </w:rPr>
            </w:pPr>
          </w:p>
        </w:tc>
        <w:tc>
          <w:tcPr>
            <w:tcW w:w="4710" w:type="dxa"/>
          </w:tcPr>
          <w:p w14:paraId="001D414F">
            <w:pPr>
              <w:rPr>
                <w:color w:val="auto"/>
              </w:rPr>
            </w:pPr>
          </w:p>
        </w:tc>
        <w:tc>
          <w:tcPr>
            <w:tcW w:w="2528" w:type="dxa"/>
            <w:tcBorders>
              <w:right w:val="single" w:color="000000" w:sz="6" w:space="0"/>
            </w:tcBorders>
          </w:tcPr>
          <w:p w14:paraId="7D5F1A49">
            <w:pPr>
              <w:rPr>
                <w:color w:val="auto"/>
              </w:rPr>
            </w:pPr>
          </w:p>
        </w:tc>
      </w:tr>
      <w:tr w14:paraId="31557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tcPr>
          <w:p w14:paraId="09BA7167">
            <w:pPr>
              <w:rPr>
                <w:color w:val="auto"/>
              </w:rPr>
            </w:pPr>
          </w:p>
        </w:tc>
        <w:tc>
          <w:tcPr>
            <w:tcW w:w="4710" w:type="dxa"/>
          </w:tcPr>
          <w:p w14:paraId="509D2BC6">
            <w:pPr>
              <w:rPr>
                <w:color w:val="auto"/>
              </w:rPr>
            </w:pPr>
          </w:p>
        </w:tc>
        <w:tc>
          <w:tcPr>
            <w:tcW w:w="2528" w:type="dxa"/>
            <w:tcBorders>
              <w:right w:val="single" w:color="000000" w:sz="6" w:space="0"/>
            </w:tcBorders>
          </w:tcPr>
          <w:p w14:paraId="38A51CFA">
            <w:pPr>
              <w:rPr>
                <w:color w:val="auto"/>
              </w:rPr>
            </w:pPr>
          </w:p>
        </w:tc>
      </w:tr>
      <w:tr w14:paraId="2E9A7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574" w:type="dxa"/>
            <w:tcBorders>
              <w:left w:val="single" w:color="000000" w:sz="6" w:space="0"/>
            </w:tcBorders>
          </w:tcPr>
          <w:p w14:paraId="3703D7EC">
            <w:pPr>
              <w:rPr>
                <w:color w:val="auto"/>
              </w:rPr>
            </w:pPr>
          </w:p>
        </w:tc>
        <w:tc>
          <w:tcPr>
            <w:tcW w:w="4710" w:type="dxa"/>
          </w:tcPr>
          <w:p w14:paraId="297F465D">
            <w:pPr>
              <w:rPr>
                <w:color w:val="auto"/>
              </w:rPr>
            </w:pPr>
          </w:p>
        </w:tc>
        <w:tc>
          <w:tcPr>
            <w:tcW w:w="2528" w:type="dxa"/>
            <w:tcBorders>
              <w:right w:val="single" w:color="000000" w:sz="6" w:space="0"/>
            </w:tcBorders>
          </w:tcPr>
          <w:p w14:paraId="12BB1828">
            <w:pPr>
              <w:rPr>
                <w:color w:val="auto"/>
              </w:rPr>
            </w:pPr>
          </w:p>
        </w:tc>
      </w:tr>
      <w:tr w14:paraId="58822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tcPr>
          <w:p w14:paraId="77BE9F6B">
            <w:pPr>
              <w:rPr>
                <w:color w:val="auto"/>
              </w:rPr>
            </w:pPr>
          </w:p>
        </w:tc>
        <w:tc>
          <w:tcPr>
            <w:tcW w:w="4710" w:type="dxa"/>
          </w:tcPr>
          <w:p w14:paraId="66F6BC90">
            <w:pPr>
              <w:rPr>
                <w:color w:val="auto"/>
              </w:rPr>
            </w:pPr>
          </w:p>
        </w:tc>
        <w:tc>
          <w:tcPr>
            <w:tcW w:w="2528" w:type="dxa"/>
            <w:tcBorders>
              <w:right w:val="single" w:color="000000" w:sz="6" w:space="0"/>
            </w:tcBorders>
          </w:tcPr>
          <w:p w14:paraId="22ACC159">
            <w:pPr>
              <w:rPr>
                <w:color w:val="auto"/>
              </w:rPr>
            </w:pPr>
          </w:p>
        </w:tc>
      </w:tr>
      <w:tr w14:paraId="63D40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tcPr>
          <w:p w14:paraId="15623600">
            <w:pPr>
              <w:rPr>
                <w:color w:val="auto"/>
              </w:rPr>
            </w:pPr>
          </w:p>
        </w:tc>
        <w:tc>
          <w:tcPr>
            <w:tcW w:w="4710" w:type="dxa"/>
          </w:tcPr>
          <w:p w14:paraId="73BE69D3">
            <w:pPr>
              <w:rPr>
                <w:color w:val="auto"/>
              </w:rPr>
            </w:pPr>
          </w:p>
        </w:tc>
        <w:tc>
          <w:tcPr>
            <w:tcW w:w="2528" w:type="dxa"/>
            <w:tcBorders>
              <w:right w:val="single" w:color="000000" w:sz="6" w:space="0"/>
            </w:tcBorders>
          </w:tcPr>
          <w:p w14:paraId="6AEEBCF5">
            <w:pPr>
              <w:rPr>
                <w:color w:val="auto"/>
              </w:rPr>
            </w:pPr>
          </w:p>
        </w:tc>
      </w:tr>
      <w:tr w14:paraId="73433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574" w:type="dxa"/>
            <w:tcBorders>
              <w:left w:val="single" w:color="000000" w:sz="6" w:space="0"/>
            </w:tcBorders>
          </w:tcPr>
          <w:p w14:paraId="57FED4D4">
            <w:pPr>
              <w:rPr>
                <w:color w:val="auto"/>
              </w:rPr>
            </w:pPr>
          </w:p>
        </w:tc>
        <w:tc>
          <w:tcPr>
            <w:tcW w:w="4710" w:type="dxa"/>
          </w:tcPr>
          <w:p w14:paraId="66379DFB">
            <w:pPr>
              <w:rPr>
                <w:color w:val="auto"/>
              </w:rPr>
            </w:pPr>
          </w:p>
        </w:tc>
        <w:tc>
          <w:tcPr>
            <w:tcW w:w="2528" w:type="dxa"/>
            <w:tcBorders>
              <w:right w:val="single" w:color="000000" w:sz="6" w:space="0"/>
            </w:tcBorders>
          </w:tcPr>
          <w:p w14:paraId="7EB4A5A2">
            <w:pPr>
              <w:rPr>
                <w:color w:val="auto"/>
              </w:rPr>
            </w:pPr>
          </w:p>
        </w:tc>
      </w:tr>
      <w:tr w14:paraId="295F5F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tcPr>
          <w:p w14:paraId="749F24B2">
            <w:pPr>
              <w:rPr>
                <w:color w:val="auto"/>
              </w:rPr>
            </w:pPr>
          </w:p>
        </w:tc>
        <w:tc>
          <w:tcPr>
            <w:tcW w:w="4710" w:type="dxa"/>
          </w:tcPr>
          <w:p w14:paraId="184FB195">
            <w:pPr>
              <w:rPr>
                <w:color w:val="auto"/>
              </w:rPr>
            </w:pPr>
          </w:p>
        </w:tc>
        <w:tc>
          <w:tcPr>
            <w:tcW w:w="2528" w:type="dxa"/>
            <w:tcBorders>
              <w:right w:val="single" w:color="000000" w:sz="6" w:space="0"/>
            </w:tcBorders>
          </w:tcPr>
          <w:p w14:paraId="445C70C7">
            <w:pPr>
              <w:rPr>
                <w:color w:val="auto"/>
              </w:rPr>
            </w:pPr>
          </w:p>
        </w:tc>
      </w:tr>
      <w:tr w14:paraId="27846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574" w:type="dxa"/>
            <w:tcBorders>
              <w:left w:val="single" w:color="000000" w:sz="6" w:space="0"/>
            </w:tcBorders>
          </w:tcPr>
          <w:p w14:paraId="4AD9F076">
            <w:pPr>
              <w:rPr>
                <w:color w:val="auto"/>
              </w:rPr>
            </w:pPr>
          </w:p>
        </w:tc>
        <w:tc>
          <w:tcPr>
            <w:tcW w:w="4710" w:type="dxa"/>
          </w:tcPr>
          <w:p w14:paraId="25EAC6DF">
            <w:pPr>
              <w:rPr>
                <w:color w:val="auto"/>
              </w:rPr>
            </w:pPr>
          </w:p>
        </w:tc>
        <w:tc>
          <w:tcPr>
            <w:tcW w:w="2528" w:type="dxa"/>
            <w:tcBorders>
              <w:right w:val="single" w:color="000000" w:sz="6" w:space="0"/>
            </w:tcBorders>
          </w:tcPr>
          <w:p w14:paraId="3ADC10FC">
            <w:pPr>
              <w:rPr>
                <w:color w:val="auto"/>
              </w:rPr>
            </w:pPr>
          </w:p>
        </w:tc>
      </w:tr>
      <w:tr w14:paraId="262CFF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1574" w:type="dxa"/>
            <w:tcBorders>
              <w:left w:val="single" w:color="000000" w:sz="6" w:space="0"/>
              <w:bottom w:val="single" w:color="000000" w:sz="6" w:space="0"/>
            </w:tcBorders>
          </w:tcPr>
          <w:p w14:paraId="1C967576">
            <w:pPr>
              <w:rPr>
                <w:color w:val="auto"/>
              </w:rPr>
            </w:pPr>
          </w:p>
        </w:tc>
        <w:tc>
          <w:tcPr>
            <w:tcW w:w="4710" w:type="dxa"/>
            <w:tcBorders>
              <w:bottom w:val="single" w:color="000000" w:sz="6" w:space="0"/>
            </w:tcBorders>
          </w:tcPr>
          <w:p w14:paraId="5324EE35">
            <w:pPr>
              <w:pStyle w:val="21"/>
              <w:spacing w:before="152" w:line="221" w:lineRule="auto"/>
              <w:ind w:left="7"/>
              <w:rPr>
                <w:rFonts w:hint="eastAsia"/>
                <w:color w:val="auto"/>
                <w:sz w:val="24"/>
                <w:szCs w:val="24"/>
              </w:rPr>
            </w:pPr>
            <w:r>
              <w:rPr>
                <w:color w:val="auto"/>
                <w:spacing w:val="-3"/>
                <w:sz w:val="24"/>
                <w:szCs w:val="24"/>
              </w:rPr>
              <w:t>合计</w:t>
            </w:r>
          </w:p>
        </w:tc>
        <w:tc>
          <w:tcPr>
            <w:tcW w:w="2528" w:type="dxa"/>
            <w:tcBorders>
              <w:bottom w:val="single" w:color="000000" w:sz="6" w:space="0"/>
              <w:right w:val="single" w:color="000000" w:sz="6" w:space="0"/>
            </w:tcBorders>
          </w:tcPr>
          <w:p w14:paraId="4AD345E3">
            <w:pPr>
              <w:rPr>
                <w:color w:val="auto"/>
              </w:rPr>
            </w:pPr>
          </w:p>
        </w:tc>
      </w:tr>
    </w:tbl>
    <w:p w14:paraId="2743D9B9">
      <w:pPr>
        <w:spacing w:before="36" w:line="218" w:lineRule="auto"/>
        <w:ind w:left="3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注：不允许在工程量清单计价汇总表中增加优惠一</w:t>
      </w:r>
      <w:r>
        <w:rPr>
          <w:rFonts w:ascii="宋体" w:hAnsi="宋体" w:eastAsia="宋体" w:cs="宋体"/>
          <w:color w:val="auto"/>
          <w:spacing w:val="-2"/>
          <w:sz w:val="24"/>
          <w:szCs w:val="24"/>
          <w:lang w:eastAsia="zh-CN"/>
        </w:rPr>
        <w:t>栏，应在单价中优惠。</w:t>
      </w:r>
    </w:p>
    <w:p w14:paraId="71044E0B">
      <w:pPr>
        <w:pStyle w:val="8"/>
        <w:spacing w:line="249" w:lineRule="auto"/>
        <w:rPr>
          <w:color w:val="auto"/>
          <w:lang w:eastAsia="zh-CN"/>
        </w:rPr>
      </w:pPr>
    </w:p>
    <w:p w14:paraId="4D32F2E8">
      <w:pPr>
        <w:pStyle w:val="8"/>
        <w:spacing w:line="250" w:lineRule="auto"/>
        <w:rPr>
          <w:color w:val="auto"/>
          <w:lang w:eastAsia="zh-CN"/>
        </w:rPr>
      </w:pPr>
    </w:p>
    <w:p w14:paraId="369D9250">
      <w:pPr>
        <w:pStyle w:val="8"/>
        <w:spacing w:line="250" w:lineRule="auto"/>
        <w:rPr>
          <w:color w:val="auto"/>
          <w:lang w:eastAsia="zh-CN"/>
        </w:rPr>
      </w:pPr>
    </w:p>
    <w:p w14:paraId="5602CD58">
      <w:pPr>
        <w:pStyle w:val="8"/>
        <w:spacing w:line="250" w:lineRule="auto"/>
        <w:rPr>
          <w:color w:val="auto"/>
          <w:lang w:eastAsia="zh-CN"/>
        </w:rPr>
      </w:pPr>
    </w:p>
    <w:p w14:paraId="448C9158">
      <w:pPr>
        <w:pStyle w:val="8"/>
        <w:spacing w:line="250" w:lineRule="auto"/>
        <w:rPr>
          <w:color w:val="auto"/>
          <w:lang w:eastAsia="zh-CN"/>
        </w:rPr>
      </w:pPr>
    </w:p>
    <w:p w14:paraId="5FB0B7C8">
      <w:pPr>
        <w:pStyle w:val="8"/>
        <w:spacing w:line="250" w:lineRule="auto"/>
        <w:rPr>
          <w:color w:val="auto"/>
          <w:lang w:eastAsia="zh-CN"/>
        </w:rPr>
      </w:pPr>
    </w:p>
    <w:p w14:paraId="19875331">
      <w:pPr>
        <w:pStyle w:val="8"/>
        <w:spacing w:line="250" w:lineRule="auto"/>
        <w:rPr>
          <w:color w:val="auto"/>
          <w:lang w:eastAsia="zh-CN"/>
        </w:rPr>
      </w:pPr>
    </w:p>
    <w:p w14:paraId="778F48FA">
      <w:pPr>
        <w:spacing w:before="78" w:line="219" w:lineRule="auto"/>
        <w:ind w:left="195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法定代表人或委托代理人</w:t>
      </w:r>
      <w:r>
        <w:rPr>
          <w:rFonts w:ascii="宋体" w:hAnsi="宋体" w:eastAsia="宋体" w:cs="宋体"/>
          <w:color w:val="auto"/>
          <w:spacing w:val="-14"/>
          <w:sz w:val="24"/>
          <w:szCs w:val="24"/>
          <w:lang w:eastAsia="zh-CN"/>
        </w:rPr>
        <w:t>：</w:t>
      </w:r>
      <w:r>
        <w:rPr>
          <w:rFonts w:hint="eastAsia" w:ascii="宋体" w:hAnsi="宋体" w:eastAsia="宋体" w:cs="宋体"/>
          <w:color w:val="auto"/>
          <w:sz w:val="24"/>
          <w:szCs w:val="24"/>
          <w:u w:val="single"/>
          <w:lang w:eastAsia="zh-CN"/>
        </w:rPr>
        <w:t>　　　</w:t>
      </w:r>
      <w:r>
        <w:rPr>
          <w:rFonts w:ascii="宋体" w:hAnsi="宋体" w:eastAsia="宋体" w:cs="宋体"/>
          <w:color w:val="auto"/>
          <w:spacing w:val="-14"/>
          <w:sz w:val="24"/>
          <w:szCs w:val="24"/>
          <w:u w:val="single"/>
          <w:lang w:eastAsia="zh-CN"/>
        </w:rPr>
        <w:t>（</w:t>
      </w:r>
      <w:r>
        <w:rPr>
          <w:rFonts w:ascii="宋体" w:hAnsi="宋体" w:eastAsia="宋体" w:cs="宋体"/>
          <w:color w:val="auto"/>
          <w:spacing w:val="2"/>
          <w:sz w:val="24"/>
          <w:szCs w:val="24"/>
          <w:u w:val="single"/>
          <w:lang w:eastAsia="zh-CN"/>
        </w:rPr>
        <w:t>签字或盖章）</w:t>
      </w:r>
      <w:r>
        <w:rPr>
          <w:rFonts w:hint="eastAsia" w:ascii="宋体" w:hAnsi="宋体" w:eastAsia="宋体" w:cs="宋体"/>
          <w:color w:val="auto"/>
          <w:sz w:val="24"/>
          <w:szCs w:val="24"/>
          <w:u w:val="single"/>
          <w:lang w:eastAsia="zh-CN"/>
        </w:rPr>
        <w:t>　　　</w:t>
      </w:r>
    </w:p>
    <w:p w14:paraId="4EEF9847">
      <w:pPr>
        <w:spacing w:line="219" w:lineRule="auto"/>
        <w:rPr>
          <w:rFonts w:hint="eastAsia" w:ascii="宋体" w:hAnsi="宋体" w:eastAsia="宋体" w:cs="宋体"/>
          <w:color w:val="auto"/>
          <w:sz w:val="24"/>
          <w:szCs w:val="24"/>
          <w:lang w:eastAsia="zh-CN"/>
        </w:rPr>
      </w:pPr>
    </w:p>
    <w:p w14:paraId="58B1C691">
      <w:pPr>
        <w:spacing w:line="219" w:lineRule="auto"/>
        <w:rPr>
          <w:rFonts w:hint="eastAsia" w:ascii="宋体" w:hAnsi="宋体" w:eastAsia="宋体" w:cs="宋体"/>
          <w:color w:val="auto"/>
          <w:sz w:val="24"/>
          <w:szCs w:val="24"/>
          <w:lang w:eastAsia="zh-CN"/>
        </w:rPr>
        <w:sectPr>
          <w:footerReference r:id="rId20" w:type="default"/>
          <w:pgSz w:w="11907" w:h="16841"/>
          <w:pgMar w:top="1417" w:right="1511" w:bottom="1254" w:left="1567" w:header="0" w:footer="1093" w:gutter="0"/>
          <w:pgNumType w:fmt="numberInDash"/>
          <w:cols w:space="720" w:num="1"/>
        </w:sectPr>
      </w:pPr>
    </w:p>
    <w:p w14:paraId="371B7C4C">
      <w:pPr>
        <w:pStyle w:val="8"/>
        <w:spacing w:line="283" w:lineRule="auto"/>
        <w:rPr>
          <w:color w:val="auto"/>
          <w:lang w:eastAsia="zh-CN"/>
        </w:rPr>
      </w:pPr>
    </w:p>
    <w:p w14:paraId="347C3E5C">
      <w:pPr>
        <w:spacing w:before="91" w:line="219" w:lineRule="auto"/>
        <w:ind w:left="4797"/>
        <w:rPr>
          <w:rFonts w:hint="eastAsia" w:ascii="宋体" w:hAnsi="宋体" w:eastAsia="宋体" w:cs="宋体"/>
          <w:color w:val="auto"/>
          <w:sz w:val="28"/>
          <w:szCs w:val="28"/>
          <w:lang w:eastAsia="zh-CN"/>
        </w:rPr>
      </w:pPr>
      <w:r>
        <w:rPr>
          <w:rFonts w:ascii="宋体" w:hAnsi="宋体" w:eastAsia="宋体" w:cs="宋体"/>
          <w:b/>
          <w:bCs/>
          <w:color w:val="auto"/>
          <w:spacing w:val="-3"/>
          <w:sz w:val="28"/>
          <w:szCs w:val="28"/>
          <w:lang w:eastAsia="zh-CN"/>
        </w:rPr>
        <w:t>建筑工程分类分项工程量清单计价表</w:t>
      </w:r>
    </w:p>
    <w:p w14:paraId="1D712598">
      <w:pPr>
        <w:spacing w:before="205" w:line="212" w:lineRule="auto"/>
        <w:ind w:left="6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pacing w:val="-1"/>
          <w:sz w:val="24"/>
          <w:szCs w:val="24"/>
          <w:lang w:eastAsia="zh-CN"/>
        </w:rPr>
        <w:t>　　　　　　　　　　　　　　　　　　　　　　　　　　　　</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第</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w:t>
      </w:r>
    </w:p>
    <w:tbl>
      <w:tblPr>
        <w:tblStyle w:val="20"/>
        <w:tblW w:w="140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841"/>
        <w:gridCol w:w="2407"/>
        <w:gridCol w:w="2831"/>
        <w:gridCol w:w="851"/>
        <w:gridCol w:w="990"/>
        <w:gridCol w:w="993"/>
        <w:gridCol w:w="1132"/>
        <w:gridCol w:w="1273"/>
        <w:gridCol w:w="971"/>
      </w:tblGrid>
      <w:tr w14:paraId="04D0E7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jc w:val="center"/>
        </w:trPr>
        <w:tc>
          <w:tcPr>
            <w:tcW w:w="760" w:type="dxa"/>
            <w:tcBorders>
              <w:top w:val="single" w:color="000000" w:sz="6" w:space="0"/>
              <w:left w:val="single" w:color="000000" w:sz="6" w:space="0"/>
            </w:tcBorders>
            <w:vAlign w:val="center"/>
          </w:tcPr>
          <w:p w14:paraId="18BBE75A">
            <w:pPr>
              <w:pStyle w:val="21"/>
              <w:jc w:val="center"/>
              <w:rPr>
                <w:rFonts w:hint="eastAsia"/>
                <w:color w:val="auto"/>
                <w:sz w:val="24"/>
                <w:szCs w:val="24"/>
              </w:rPr>
            </w:pPr>
            <w:r>
              <w:rPr>
                <w:color w:val="auto"/>
                <w:spacing w:val="-3"/>
                <w:sz w:val="24"/>
                <w:szCs w:val="24"/>
              </w:rPr>
              <w:t>序号</w:t>
            </w:r>
          </w:p>
        </w:tc>
        <w:tc>
          <w:tcPr>
            <w:tcW w:w="1841" w:type="dxa"/>
            <w:tcBorders>
              <w:top w:val="single" w:color="000000" w:sz="6" w:space="0"/>
            </w:tcBorders>
            <w:vAlign w:val="center"/>
          </w:tcPr>
          <w:p w14:paraId="7BA724D5">
            <w:pPr>
              <w:pStyle w:val="21"/>
              <w:jc w:val="center"/>
              <w:rPr>
                <w:rFonts w:hint="eastAsia"/>
                <w:color w:val="auto"/>
                <w:sz w:val="24"/>
                <w:szCs w:val="24"/>
              </w:rPr>
            </w:pPr>
            <w:r>
              <w:rPr>
                <w:color w:val="auto"/>
                <w:spacing w:val="-3"/>
                <w:sz w:val="24"/>
                <w:szCs w:val="24"/>
              </w:rPr>
              <w:t>项目编码</w:t>
            </w:r>
          </w:p>
        </w:tc>
        <w:tc>
          <w:tcPr>
            <w:tcW w:w="2407" w:type="dxa"/>
            <w:tcBorders>
              <w:top w:val="single" w:color="000000" w:sz="6" w:space="0"/>
            </w:tcBorders>
            <w:vAlign w:val="center"/>
          </w:tcPr>
          <w:p w14:paraId="563D07F9">
            <w:pPr>
              <w:pStyle w:val="21"/>
              <w:jc w:val="center"/>
              <w:rPr>
                <w:rFonts w:hint="eastAsia"/>
                <w:color w:val="auto"/>
                <w:sz w:val="24"/>
                <w:szCs w:val="24"/>
              </w:rPr>
            </w:pPr>
            <w:r>
              <w:rPr>
                <w:color w:val="auto"/>
                <w:spacing w:val="-3"/>
                <w:sz w:val="24"/>
                <w:szCs w:val="24"/>
              </w:rPr>
              <w:t>项目名称</w:t>
            </w:r>
          </w:p>
        </w:tc>
        <w:tc>
          <w:tcPr>
            <w:tcW w:w="2831" w:type="dxa"/>
            <w:tcBorders>
              <w:top w:val="single" w:color="000000" w:sz="6" w:space="0"/>
            </w:tcBorders>
            <w:vAlign w:val="center"/>
          </w:tcPr>
          <w:p w14:paraId="7E67BA63">
            <w:pPr>
              <w:pStyle w:val="21"/>
              <w:jc w:val="center"/>
              <w:rPr>
                <w:rFonts w:hint="eastAsia"/>
                <w:color w:val="auto"/>
                <w:sz w:val="24"/>
                <w:szCs w:val="24"/>
              </w:rPr>
            </w:pPr>
            <w:r>
              <w:rPr>
                <w:color w:val="auto"/>
                <w:spacing w:val="-4"/>
                <w:sz w:val="24"/>
                <w:szCs w:val="24"/>
              </w:rPr>
              <w:t>项目主要</w:t>
            </w:r>
            <w:r>
              <w:rPr>
                <w:color w:val="auto"/>
                <w:spacing w:val="-11"/>
                <w:sz w:val="24"/>
                <w:szCs w:val="24"/>
              </w:rPr>
              <w:t>特征</w:t>
            </w:r>
          </w:p>
        </w:tc>
        <w:tc>
          <w:tcPr>
            <w:tcW w:w="851" w:type="dxa"/>
            <w:tcBorders>
              <w:top w:val="single" w:color="000000" w:sz="6" w:space="0"/>
            </w:tcBorders>
            <w:vAlign w:val="center"/>
          </w:tcPr>
          <w:p w14:paraId="6C666D7C">
            <w:pPr>
              <w:pStyle w:val="21"/>
              <w:jc w:val="center"/>
              <w:rPr>
                <w:rFonts w:hint="eastAsia"/>
                <w:color w:val="auto"/>
                <w:spacing w:val="-3"/>
                <w:sz w:val="24"/>
                <w:szCs w:val="24"/>
              </w:rPr>
            </w:pPr>
            <w:r>
              <w:rPr>
                <w:color w:val="auto"/>
                <w:spacing w:val="-3"/>
                <w:sz w:val="24"/>
                <w:szCs w:val="24"/>
              </w:rPr>
              <w:t>计量</w:t>
            </w:r>
          </w:p>
          <w:p w14:paraId="30832243">
            <w:pPr>
              <w:pStyle w:val="21"/>
              <w:jc w:val="center"/>
              <w:rPr>
                <w:rFonts w:hint="eastAsia"/>
                <w:color w:val="auto"/>
                <w:sz w:val="24"/>
                <w:szCs w:val="24"/>
              </w:rPr>
            </w:pPr>
            <w:r>
              <w:rPr>
                <w:color w:val="auto"/>
                <w:spacing w:val="-3"/>
                <w:sz w:val="24"/>
                <w:szCs w:val="24"/>
              </w:rPr>
              <w:t>单位</w:t>
            </w:r>
          </w:p>
        </w:tc>
        <w:tc>
          <w:tcPr>
            <w:tcW w:w="990" w:type="dxa"/>
            <w:tcBorders>
              <w:top w:val="single" w:color="000000" w:sz="6" w:space="0"/>
            </w:tcBorders>
            <w:vAlign w:val="center"/>
          </w:tcPr>
          <w:p w14:paraId="31C633B1">
            <w:pPr>
              <w:pStyle w:val="21"/>
              <w:jc w:val="center"/>
              <w:rPr>
                <w:rFonts w:hint="eastAsia"/>
                <w:color w:val="auto"/>
                <w:spacing w:val="-3"/>
                <w:sz w:val="24"/>
                <w:szCs w:val="24"/>
              </w:rPr>
            </w:pPr>
            <w:r>
              <w:rPr>
                <w:color w:val="auto"/>
                <w:spacing w:val="-3"/>
                <w:sz w:val="24"/>
                <w:szCs w:val="24"/>
              </w:rPr>
              <w:t>工程数量</w:t>
            </w:r>
          </w:p>
        </w:tc>
        <w:tc>
          <w:tcPr>
            <w:tcW w:w="993" w:type="dxa"/>
            <w:tcBorders>
              <w:top w:val="single" w:color="000000" w:sz="6" w:space="0"/>
            </w:tcBorders>
            <w:vAlign w:val="center"/>
          </w:tcPr>
          <w:p w14:paraId="1BB9CE7E">
            <w:pPr>
              <w:pStyle w:val="21"/>
              <w:jc w:val="center"/>
              <w:rPr>
                <w:rFonts w:hint="eastAsia"/>
                <w:color w:val="auto"/>
                <w:spacing w:val="-3"/>
                <w:sz w:val="24"/>
                <w:szCs w:val="24"/>
              </w:rPr>
            </w:pPr>
            <w:r>
              <w:rPr>
                <w:color w:val="auto"/>
                <w:spacing w:val="-3"/>
                <w:sz w:val="24"/>
                <w:szCs w:val="24"/>
              </w:rPr>
              <w:t>单价</w:t>
            </w:r>
          </w:p>
          <w:p w14:paraId="42336C4C">
            <w:pPr>
              <w:pStyle w:val="21"/>
              <w:jc w:val="center"/>
              <w:rPr>
                <w:rFonts w:hint="eastAsia"/>
                <w:color w:val="auto"/>
                <w:spacing w:val="-3"/>
                <w:sz w:val="24"/>
                <w:szCs w:val="24"/>
              </w:rPr>
            </w:pPr>
            <w:r>
              <w:rPr>
                <w:color w:val="auto"/>
                <w:spacing w:val="-3"/>
                <w:sz w:val="24"/>
                <w:szCs w:val="24"/>
              </w:rPr>
              <w:t>（元）</w:t>
            </w:r>
          </w:p>
        </w:tc>
        <w:tc>
          <w:tcPr>
            <w:tcW w:w="1132" w:type="dxa"/>
            <w:tcBorders>
              <w:top w:val="single" w:color="000000" w:sz="6" w:space="0"/>
            </w:tcBorders>
            <w:vAlign w:val="center"/>
          </w:tcPr>
          <w:p w14:paraId="49CE861C">
            <w:pPr>
              <w:pStyle w:val="21"/>
              <w:jc w:val="center"/>
              <w:rPr>
                <w:rFonts w:hint="eastAsia"/>
                <w:color w:val="auto"/>
                <w:spacing w:val="-3"/>
                <w:sz w:val="24"/>
                <w:szCs w:val="24"/>
              </w:rPr>
            </w:pPr>
            <w:r>
              <w:rPr>
                <w:color w:val="auto"/>
                <w:spacing w:val="-3"/>
                <w:sz w:val="24"/>
                <w:szCs w:val="24"/>
              </w:rPr>
              <w:t>合价</w:t>
            </w:r>
          </w:p>
          <w:p w14:paraId="12FBCC99">
            <w:pPr>
              <w:pStyle w:val="21"/>
              <w:jc w:val="center"/>
              <w:rPr>
                <w:rFonts w:hint="eastAsia"/>
                <w:color w:val="auto"/>
                <w:spacing w:val="-3"/>
                <w:sz w:val="24"/>
                <w:szCs w:val="24"/>
              </w:rPr>
            </w:pPr>
            <w:r>
              <w:rPr>
                <w:color w:val="auto"/>
                <w:spacing w:val="-3"/>
                <w:sz w:val="24"/>
                <w:szCs w:val="24"/>
              </w:rPr>
              <w:t>（元）</w:t>
            </w:r>
          </w:p>
        </w:tc>
        <w:tc>
          <w:tcPr>
            <w:tcW w:w="1273" w:type="dxa"/>
            <w:tcBorders>
              <w:top w:val="single" w:color="000000" w:sz="6" w:space="0"/>
            </w:tcBorders>
            <w:vAlign w:val="center"/>
          </w:tcPr>
          <w:p w14:paraId="60E4B6B0">
            <w:pPr>
              <w:pStyle w:val="21"/>
              <w:jc w:val="center"/>
              <w:rPr>
                <w:rFonts w:hint="eastAsia"/>
                <w:color w:val="auto"/>
                <w:spacing w:val="-3"/>
                <w:sz w:val="24"/>
                <w:szCs w:val="24"/>
              </w:rPr>
            </w:pPr>
            <w:r>
              <w:rPr>
                <w:color w:val="auto"/>
                <w:spacing w:val="-3"/>
                <w:sz w:val="24"/>
                <w:szCs w:val="24"/>
              </w:rPr>
              <w:t>主要技术条款编码</w:t>
            </w:r>
          </w:p>
        </w:tc>
        <w:tc>
          <w:tcPr>
            <w:tcW w:w="971" w:type="dxa"/>
            <w:tcBorders>
              <w:top w:val="single" w:color="000000" w:sz="6" w:space="0"/>
              <w:right w:val="single" w:color="000000" w:sz="6" w:space="0"/>
            </w:tcBorders>
            <w:vAlign w:val="center"/>
          </w:tcPr>
          <w:p w14:paraId="4141651D">
            <w:pPr>
              <w:pStyle w:val="21"/>
              <w:jc w:val="center"/>
              <w:rPr>
                <w:rFonts w:hint="eastAsia"/>
                <w:color w:val="auto"/>
                <w:spacing w:val="-3"/>
                <w:sz w:val="24"/>
                <w:szCs w:val="24"/>
              </w:rPr>
            </w:pPr>
            <w:r>
              <w:rPr>
                <w:color w:val="auto"/>
                <w:spacing w:val="-3"/>
                <w:sz w:val="24"/>
                <w:szCs w:val="24"/>
              </w:rPr>
              <w:t>备注</w:t>
            </w:r>
          </w:p>
        </w:tc>
      </w:tr>
      <w:tr w14:paraId="1DE17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5D5F03A8">
            <w:pPr>
              <w:rPr>
                <w:color w:val="auto"/>
              </w:rPr>
            </w:pPr>
          </w:p>
        </w:tc>
        <w:tc>
          <w:tcPr>
            <w:tcW w:w="1841" w:type="dxa"/>
          </w:tcPr>
          <w:p w14:paraId="211C2E95">
            <w:pPr>
              <w:rPr>
                <w:color w:val="auto"/>
              </w:rPr>
            </w:pPr>
          </w:p>
        </w:tc>
        <w:tc>
          <w:tcPr>
            <w:tcW w:w="2407" w:type="dxa"/>
          </w:tcPr>
          <w:p w14:paraId="5133C8D8">
            <w:pPr>
              <w:rPr>
                <w:color w:val="auto"/>
              </w:rPr>
            </w:pPr>
          </w:p>
        </w:tc>
        <w:tc>
          <w:tcPr>
            <w:tcW w:w="2831" w:type="dxa"/>
          </w:tcPr>
          <w:p w14:paraId="4AACE195">
            <w:pPr>
              <w:rPr>
                <w:color w:val="auto"/>
              </w:rPr>
            </w:pPr>
          </w:p>
        </w:tc>
        <w:tc>
          <w:tcPr>
            <w:tcW w:w="851" w:type="dxa"/>
          </w:tcPr>
          <w:p w14:paraId="6556E62C">
            <w:pPr>
              <w:rPr>
                <w:color w:val="auto"/>
              </w:rPr>
            </w:pPr>
          </w:p>
        </w:tc>
        <w:tc>
          <w:tcPr>
            <w:tcW w:w="990" w:type="dxa"/>
          </w:tcPr>
          <w:p w14:paraId="51C9060B">
            <w:pPr>
              <w:rPr>
                <w:color w:val="auto"/>
              </w:rPr>
            </w:pPr>
          </w:p>
        </w:tc>
        <w:tc>
          <w:tcPr>
            <w:tcW w:w="993" w:type="dxa"/>
          </w:tcPr>
          <w:p w14:paraId="27F9A898">
            <w:pPr>
              <w:rPr>
                <w:color w:val="auto"/>
              </w:rPr>
            </w:pPr>
          </w:p>
        </w:tc>
        <w:tc>
          <w:tcPr>
            <w:tcW w:w="1132" w:type="dxa"/>
          </w:tcPr>
          <w:p w14:paraId="2FC58578">
            <w:pPr>
              <w:rPr>
                <w:color w:val="auto"/>
              </w:rPr>
            </w:pPr>
          </w:p>
        </w:tc>
        <w:tc>
          <w:tcPr>
            <w:tcW w:w="1273" w:type="dxa"/>
          </w:tcPr>
          <w:p w14:paraId="479E138D">
            <w:pPr>
              <w:rPr>
                <w:color w:val="auto"/>
              </w:rPr>
            </w:pPr>
          </w:p>
        </w:tc>
        <w:tc>
          <w:tcPr>
            <w:tcW w:w="971" w:type="dxa"/>
            <w:tcBorders>
              <w:right w:val="single" w:color="000000" w:sz="6" w:space="0"/>
            </w:tcBorders>
          </w:tcPr>
          <w:p w14:paraId="1660E297">
            <w:pPr>
              <w:rPr>
                <w:color w:val="auto"/>
              </w:rPr>
            </w:pPr>
          </w:p>
        </w:tc>
      </w:tr>
      <w:tr w14:paraId="3B755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760" w:type="dxa"/>
            <w:tcBorders>
              <w:left w:val="single" w:color="000000" w:sz="6" w:space="0"/>
            </w:tcBorders>
          </w:tcPr>
          <w:p w14:paraId="6CA8C0AB">
            <w:pPr>
              <w:rPr>
                <w:color w:val="auto"/>
              </w:rPr>
            </w:pPr>
          </w:p>
        </w:tc>
        <w:tc>
          <w:tcPr>
            <w:tcW w:w="1841" w:type="dxa"/>
          </w:tcPr>
          <w:p w14:paraId="20F45756">
            <w:pPr>
              <w:rPr>
                <w:color w:val="auto"/>
              </w:rPr>
            </w:pPr>
          </w:p>
        </w:tc>
        <w:tc>
          <w:tcPr>
            <w:tcW w:w="2407" w:type="dxa"/>
          </w:tcPr>
          <w:p w14:paraId="58C7316B">
            <w:pPr>
              <w:rPr>
                <w:color w:val="auto"/>
              </w:rPr>
            </w:pPr>
          </w:p>
        </w:tc>
        <w:tc>
          <w:tcPr>
            <w:tcW w:w="2831" w:type="dxa"/>
          </w:tcPr>
          <w:p w14:paraId="6CBFB208">
            <w:pPr>
              <w:rPr>
                <w:color w:val="auto"/>
              </w:rPr>
            </w:pPr>
          </w:p>
        </w:tc>
        <w:tc>
          <w:tcPr>
            <w:tcW w:w="851" w:type="dxa"/>
          </w:tcPr>
          <w:p w14:paraId="111DC6C8">
            <w:pPr>
              <w:rPr>
                <w:color w:val="auto"/>
              </w:rPr>
            </w:pPr>
          </w:p>
        </w:tc>
        <w:tc>
          <w:tcPr>
            <w:tcW w:w="990" w:type="dxa"/>
          </w:tcPr>
          <w:p w14:paraId="3E5FB375">
            <w:pPr>
              <w:rPr>
                <w:color w:val="auto"/>
              </w:rPr>
            </w:pPr>
          </w:p>
        </w:tc>
        <w:tc>
          <w:tcPr>
            <w:tcW w:w="993" w:type="dxa"/>
          </w:tcPr>
          <w:p w14:paraId="7874704F">
            <w:pPr>
              <w:rPr>
                <w:color w:val="auto"/>
              </w:rPr>
            </w:pPr>
          </w:p>
        </w:tc>
        <w:tc>
          <w:tcPr>
            <w:tcW w:w="1132" w:type="dxa"/>
          </w:tcPr>
          <w:p w14:paraId="26057A9D">
            <w:pPr>
              <w:rPr>
                <w:color w:val="auto"/>
              </w:rPr>
            </w:pPr>
          </w:p>
        </w:tc>
        <w:tc>
          <w:tcPr>
            <w:tcW w:w="1273" w:type="dxa"/>
          </w:tcPr>
          <w:p w14:paraId="3B3DB2E0">
            <w:pPr>
              <w:rPr>
                <w:color w:val="auto"/>
              </w:rPr>
            </w:pPr>
          </w:p>
        </w:tc>
        <w:tc>
          <w:tcPr>
            <w:tcW w:w="971" w:type="dxa"/>
            <w:tcBorders>
              <w:right w:val="single" w:color="000000" w:sz="6" w:space="0"/>
            </w:tcBorders>
          </w:tcPr>
          <w:p w14:paraId="49040D0C">
            <w:pPr>
              <w:rPr>
                <w:color w:val="auto"/>
              </w:rPr>
            </w:pPr>
          </w:p>
        </w:tc>
      </w:tr>
      <w:tr w14:paraId="48E88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20C0B9FA">
            <w:pPr>
              <w:rPr>
                <w:color w:val="auto"/>
              </w:rPr>
            </w:pPr>
          </w:p>
        </w:tc>
        <w:tc>
          <w:tcPr>
            <w:tcW w:w="1841" w:type="dxa"/>
          </w:tcPr>
          <w:p w14:paraId="1CAB7793">
            <w:pPr>
              <w:rPr>
                <w:color w:val="auto"/>
              </w:rPr>
            </w:pPr>
          </w:p>
        </w:tc>
        <w:tc>
          <w:tcPr>
            <w:tcW w:w="2407" w:type="dxa"/>
          </w:tcPr>
          <w:p w14:paraId="79170E60">
            <w:pPr>
              <w:rPr>
                <w:color w:val="auto"/>
              </w:rPr>
            </w:pPr>
          </w:p>
        </w:tc>
        <w:tc>
          <w:tcPr>
            <w:tcW w:w="2831" w:type="dxa"/>
          </w:tcPr>
          <w:p w14:paraId="048F8020">
            <w:pPr>
              <w:rPr>
                <w:color w:val="auto"/>
              </w:rPr>
            </w:pPr>
          </w:p>
        </w:tc>
        <w:tc>
          <w:tcPr>
            <w:tcW w:w="851" w:type="dxa"/>
          </w:tcPr>
          <w:p w14:paraId="1032F9DC">
            <w:pPr>
              <w:rPr>
                <w:color w:val="auto"/>
              </w:rPr>
            </w:pPr>
          </w:p>
        </w:tc>
        <w:tc>
          <w:tcPr>
            <w:tcW w:w="990" w:type="dxa"/>
          </w:tcPr>
          <w:p w14:paraId="0EA8232C">
            <w:pPr>
              <w:rPr>
                <w:color w:val="auto"/>
              </w:rPr>
            </w:pPr>
          </w:p>
        </w:tc>
        <w:tc>
          <w:tcPr>
            <w:tcW w:w="993" w:type="dxa"/>
          </w:tcPr>
          <w:p w14:paraId="635A15F1">
            <w:pPr>
              <w:rPr>
                <w:color w:val="auto"/>
              </w:rPr>
            </w:pPr>
          </w:p>
        </w:tc>
        <w:tc>
          <w:tcPr>
            <w:tcW w:w="1132" w:type="dxa"/>
          </w:tcPr>
          <w:p w14:paraId="120898EB">
            <w:pPr>
              <w:rPr>
                <w:color w:val="auto"/>
              </w:rPr>
            </w:pPr>
          </w:p>
        </w:tc>
        <w:tc>
          <w:tcPr>
            <w:tcW w:w="1273" w:type="dxa"/>
          </w:tcPr>
          <w:p w14:paraId="6EDF2518">
            <w:pPr>
              <w:rPr>
                <w:color w:val="auto"/>
              </w:rPr>
            </w:pPr>
          </w:p>
        </w:tc>
        <w:tc>
          <w:tcPr>
            <w:tcW w:w="971" w:type="dxa"/>
            <w:tcBorders>
              <w:right w:val="single" w:color="000000" w:sz="6" w:space="0"/>
            </w:tcBorders>
          </w:tcPr>
          <w:p w14:paraId="019EECA1">
            <w:pPr>
              <w:rPr>
                <w:color w:val="auto"/>
              </w:rPr>
            </w:pPr>
          </w:p>
        </w:tc>
      </w:tr>
      <w:tr w14:paraId="2D069D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1B8ED7ED">
            <w:pPr>
              <w:rPr>
                <w:color w:val="auto"/>
              </w:rPr>
            </w:pPr>
          </w:p>
        </w:tc>
        <w:tc>
          <w:tcPr>
            <w:tcW w:w="1841" w:type="dxa"/>
          </w:tcPr>
          <w:p w14:paraId="51FE5964">
            <w:pPr>
              <w:rPr>
                <w:color w:val="auto"/>
              </w:rPr>
            </w:pPr>
          </w:p>
        </w:tc>
        <w:tc>
          <w:tcPr>
            <w:tcW w:w="2407" w:type="dxa"/>
          </w:tcPr>
          <w:p w14:paraId="25B8374F">
            <w:pPr>
              <w:rPr>
                <w:color w:val="auto"/>
              </w:rPr>
            </w:pPr>
          </w:p>
        </w:tc>
        <w:tc>
          <w:tcPr>
            <w:tcW w:w="2831" w:type="dxa"/>
          </w:tcPr>
          <w:p w14:paraId="272E8D58">
            <w:pPr>
              <w:rPr>
                <w:color w:val="auto"/>
              </w:rPr>
            </w:pPr>
          </w:p>
        </w:tc>
        <w:tc>
          <w:tcPr>
            <w:tcW w:w="851" w:type="dxa"/>
          </w:tcPr>
          <w:p w14:paraId="3FF132EC">
            <w:pPr>
              <w:rPr>
                <w:color w:val="auto"/>
              </w:rPr>
            </w:pPr>
          </w:p>
        </w:tc>
        <w:tc>
          <w:tcPr>
            <w:tcW w:w="990" w:type="dxa"/>
          </w:tcPr>
          <w:p w14:paraId="233B6C4A">
            <w:pPr>
              <w:rPr>
                <w:color w:val="auto"/>
              </w:rPr>
            </w:pPr>
          </w:p>
        </w:tc>
        <w:tc>
          <w:tcPr>
            <w:tcW w:w="993" w:type="dxa"/>
          </w:tcPr>
          <w:p w14:paraId="39B62395">
            <w:pPr>
              <w:rPr>
                <w:color w:val="auto"/>
              </w:rPr>
            </w:pPr>
          </w:p>
        </w:tc>
        <w:tc>
          <w:tcPr>
            <w:tcW w:w="1132" w:type="dxa"/>
          </w:tcPr>
          <w:p w14:paraId="1B7FD6A9">
            <w:pPr>
              <w:rPr>
                <w:color w:val="auto"/>
              </w:rPr>
            </w:pPr>
          </w:p>
        </w:tc>
        <w:tc>
          <w:tcPr>
            <w:tcW w:w="1273" w:type="dxa"/>
          </w:tcPr>
          <w:p w14:paraId="125AC878">
            <w:pPr>
              <w:rPr>
                <w:color w:val="auto"/>
              </w:rPr>
            </w:pPr>
          </w:p>
        </w:tc>
        <w:tc>
          <w:tcPr>
            <w:tcW w:w="971" w:type="dxa"/>
            <w:tcBorders>
              <w:right w:val="single" w:color="000000" w:sz="6" w:space="0"/>
            </w:tcBorders>
          </w:tcPr>
          <w:p w14:paraId="3FC96A7A">
            <w:pPr>
              <w:rPr>
                <w:color w:val="auto"/>
              </w:rPr>
            </w:pPr>
          </w:p>
        </w:tc>
      </w:tr>
      <w:tr w14:paraId="75CFF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71DD55B0">
            <w:pPr>
              <w:rPr>
                <w:color w:val="auto"/>
              </w:rPr>
            </w:pPr>
          </w:p>
        </w:tc>
        <w:tc>
          <w:tcPr>
            <w:tcW w:w="1841" w:type="dxa"/>
          </w:tcPr>
          <w:p w14:paraId="532D2378">
            <w:pPr>
              <w:rPr>
                <w:color w:val="auto"/>
              </w:rPr>
            </w:pPr>
          </w:p>
        </w:tc>
        <w:tc>
          <w:tcPr>
            <w:tcW w:w="2407" w:type="dxa"/>
          </w:tcPr>
          <w:p w14:paraId="05B6870B">
            <w:pPr>
              <w:rPr>
                <w:color w:val="auto"/>
              </w:rPr>
            </w:pPr>
          </w:p>
        </w:tc>
        <w:tc>
          <w:tcPr>
            <w:tcW w:w="2831" w:type="dxa"/>
          </w:tcPr>
          <w:p w14:paraId="4667594F">
            <w:pPr>
              <w:rPr>
                <w:color w:val="auto"/>
              </w:rPr>
            </w:pPr>
          </w:p>
        </w:tc>
        <w:tc>
          <w:tcPr>
            <w:tcW w:w="851" w:type="dxa"/>
          </w:tcPr>
          <w:p w14:paraId="05D9FAE7">
            <w:pPr>
              <w:rPr>
                <w:color w:val="auto"/>
              </w:rPr>
            </w:pPr>
          </w:p>
        </w:tc>
        <w:tc>
          <w:tcPr>
            <w:tcW w:w="990" w:type="dxa"/>
          </w:tcPr>
          <w:p w14:paraId="167B232C">
            <w:pPr>
              <w:rPr>
                <w:color w:val="auto"/>
              </w:rPr>
            </w:pPr>
          </w:p>
        </w:tc>
        <w:tc>
          <w:tcPr>
            <w:tcW w:w="993" w:type="dxa"/>
          </w:tcPr>
          <w:p w14:paraId="0D010BC1">
            <w:pPr>
              <w:rPr>
                <w:color w:val="auto"/>
              </w:rPr>
            </w:pPr>
          </w:p>
        </w:tc>
        <w:tc>
          <w:tcPr>
            <w:tcW w:w="1132" w:type="dxa"/>
          </w:tcPr>
          <w:p w14:paraId="7C2CAA80">
            <w:pPr>
              <w:rPr>
                <w:color w:val="auto"/>
              </w:rPr>
            </w:pPr>
          </w:p>
        </w:tc>
        <w:tc>
          <w:tcPr>
            <w:tcW w:w="1273" w:type="dxa"/>
          </w:tcPr>
          <w:p w14:paraId="5895E3F7">
            <w:pPr>
              <w:rPr>
                <w:color w:val="auto"/>
              </w:rPr>
            </w:pPr>
          </w:p>
        </w:tc>
        <w:tc>
          <w:tcPr>
            <w:tcW w:w="971" w:type="dxa"/>
            <w:tcBorders>
              <w:right w:val="single" w:color="000000" w:sz="6" w:space="0"/>
            </w:tcBorders>
          </w:tcPr>
          <w:p w14:paraId="09575120">
            <w:pPr>
              <w:rPr>
                <w:color w:val="auto"/>
              </w:rPr>
            </w:pPr>
          </w:p>
        </w:tc>
      </w:tr>
      <w:tr w14:paraId="39C8E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471CB689">
            <w:pPr>
              <w:rPr>
                <w:color w:val="auto"/>
              </w:rPr>
            </w:pPr>
          </w:p>
        </w:tc>
        <w:tc>
          <w:tcPr>
            <w:tcW w:w="1841" w:type="dxa"/>
          </w:tcPr>
          <w:p w14:paraId="33938933">
            <w:pPr>
              <w:rPr>
                <w:color w:val="auto"/>
              </w:rPr>
            </w:pPr>
          </w:p>
        </w:tc>
        <w:tc>
          <w:tcPr>
            <w:tcW w:w="2407" w:type="dxa"/>
          </w:tcPr>
          <w:p w14:paraId="3E0344CA">
            <w:pPr>
              <w:rPr>
                <w:color w:val="auto"/>
              </w:rPr>
            </w:pPr>
          </w:p>
        </w:tc>
        <w:tc>
          <w:tcPr>
            <w:tcW w:w="2831" w:type="dxa"/>
          </w:tcPr>
          <w:p w14:paraId="1E72DC5E">
            <w:pPr>
              <w:rPr>
                <w:color w:val="auto"/>
              </w:rPr>
            </w:pPr>
          </w:p>
        </w:tc>
        <w:tc>
          <w:tcPr>
            <w:tcW w:w="851" w:type="dxa"/>
          </w:tcPr>
          <w:p w14:paraId="377CB39A">
            <w:pPr>
              <w:rPr>
                <w:color w:val="auto"/>
              </w:rPr>
            </w:pPr>
          </w:p>
        </w:tc>
        <w:tc>
          <w:tcPr>
            <w:tcW w:w="990" w:type="dxa"/>
          </w:tcPr>
          <w:p w14:paraId="4602F04A">
            <w:pPr>
              <w:rPr>
                <w:color w:val="auto"/>
              </w:rPr>
            </w:pPr>
          </w:p>
        </w:tc>
        <w:tc>
          <w:tcPr>
            <w:tcW w:w="993" w:type="dxa"/>
          </w:tcPr>
          <w:p w14:paraId="79C91C73">
            <w:pPr>
              <w:rPr>
                <w:color w:val="auto"/>
              </w:rPr>
            </w:pPr>
          </w:p>
        </w:tc>
        <w:tc>
          <w:tcPr>
            <w:tcW w:w="1132" w:type="dxa"/>
          </w:tcPr>
          <w:p w14:paraId="33555240">
            <w:pPr>
              <w:rPr>
                <w:color w:val="auto"/>
              </w:rPr>
            </w:pPr>
          </w:p>
        </w:tc>
        <w:tc>
          <w:tcPr>
            <w:tcW w:w="1273" w:type="dxa"/>
          </w:tcPr>
          <w:p w14:paraId="6B413F6F">
            <w:pPr>
              <w:rPr>
                <w:color w:val="auto"/>
              </w:rPr>
            </w:pPr>
          </w:p>
        </w:tc>
        <w:tc>
          <w:tcPr>
            <w:tcW w:w="971" w:type="dxa"/>
            <w:tcBorders>
              <w:right w:val="single" w:color="000000" w:sz="6" w:space="0"/>
            </w:tcBorders>
          </w:tcPr>
          <w:p w14:paraId="412B6B87">
            <w:pPr>
              <w:rPr>
                <w:color w:val="auto"/>
              </w:rPr>
            </w:pPr>
          </w:p>
        </w:tc>
      </w:tr>
      <w:tr w14:paraId="7DD4C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6BDC86CF">
            <w:pPr>
              <w:rPr>
                <w:color w:val="auto"/>
              </w:rPr>
            </w:pPr>
          </w:p>
        </w:tc>
        <w:tc>
          <w:tcPr>
            <w:tcW w:w="1841" w:type="dxa"/>
          </w:tcPr>
          <w:p w14:paraId="062C98E1">
            <w:pPr>
              <w:rPr>
                <w:color w:val="auto"/>
              </w:rPr>
            </w:pPr>
          </w:p>
        </w:tc>
        <w:tc>
          <w:tcPr>
            <w:tcW w:w="2407" w:type="dxa"/>
          </w:tcPr>
          <w:p w14:paraId="77F1B5F1">
            <w:pPr>
              <w:rPr>
                <w:color w:val="auto"/>
              </w:rPr>
            </w:pPr>
          </w:p>
        </w:tc>
        <w:tc>
          <w:tcPr>
            <w:tcW w:w="2831" w:type="dxa"/>
          </w:tcPr>
          <w:p w14:paraId="0EDDE653">
            <w:pPr>
              <w:rPr>
                <w:color w:val="auto"/>
              </w:rPr>
            </w:pPr>
          </w:p>
        </w:tc>
        <w:tc>
          <w:tcPr>
            <w:tcW w:w="851" w:type="dxa"/>
          </w:tcPr>
          <w:p w14:paraId="71D9B6B8">
            <w:pPr>
              <w:rPr>
                <w:color w:val="auto"/>
              </w:rPr>
            </w:pPr>
          </w:p>
        </w:tc>
        <w:tc>
          <w:tcPr>
            <w:tcW w:w="990" w:type="dxa"/>
          </w:tcPr>
          <w:p w14:paraId="4843B65E">
            <w:pPr>
              <w:rPr>
                <w:color w:val="auto"/>
              </w:rPr>
            </w:pPr>
          </w:p>
        </w:tc>
        <w:tc>
          <w:tcPr>
            <w:tcW w:w="993" w:type="dxa"/>
          </w:tcPr>
          <w:p w14:paraId="68B801FF">
            <w:pPr>
              <w:rPr>
                <w:color w:val="auto"/>
              </w:rPr>
            </w:pPr>
          </w:p>
        </w:tc>
        <w:tc>
          <w:tcPr>
            <w:tcW w:w="1132" w:type="dxa"/>
          </w:tcPr>
          <w:p w14:paraId="76318945">
            <w:pPr>
              <w:rPr>
                <w:color w:val="auto"/>
              </w:rPr>
            </w:pPr>
          </w:p>
        </w:tc>
        <w:tc>
          <w:tcPr>
            <w:tcW w:w="1273" w:type="dxa"/>
          </w:tcPr>
          <w:p w14:paraId="656C2303">
            <w:pPr>
              <w:rPr>
                <w:color w:val="auto"/>
              </w:rPr>
            </w:pPr>
          </w:p>
        </w:tc>
        <w:tc>
          <w:tcPr>
            <w:tcW w:w="971" w:type="dxa"/>
            <w:tcBorders>
              <w:right w:val="single" w:color="000000" w:sz="6" w:space="0"/>
            </w:tcBorders>
          </w:tcPr>
          <w:p w14:paraId="0088092E">
            <w:pPr>
              <w:rPr>
                <w:color w:val="auto"/>
              </w:rPr>
            </w:pPr>
          </w:p>
        </w:tc>
      </w:tr>
      <w:tr w14:paraId="4E9769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67594D16">
            <w:pPr>
              <w:rPr>
                <w:color w:val="auto"/>
              </w:rPr>
            </w:pPr>
          </w:p>
        </w:tc>
        <w:tc>
          <w:tcPr>
            <w:tcW w:w="1841" w:type="dxa"/>
          </w:tcPr>
          <w:p w14:paraId="67EF390E">
            <w:pPr>
              <w:rPr>
                <w:color w:val="auto"/>
              </w:rPr>
            </w:pPr>
          </w:p>
        </w:tc>
        <w:tc>
          <w:tcPr>
            <w:tcW w:w="2407" w:type="dxa"/>
          </w:tcPr>
          <w:p w14:paraId="5F6CB5C9">
            <w:pPr>
              <w:rPr>
                <w:color w:val="auto"/>
              </w:rPr>
            </w:pPr>
          </w:p>
        </w:tc>
        <w:tc>
          <w:tcPr>
            <w:tcW w:w="2831" w:type="dxa"/>
          </w:tcPr>
          <w:p w14:paraId="6886C8D8">
            <w:pPr>
              <w:rPr>
                <w:color w:val="auto"/>
              </w:rPr>
            </w:pPr>
          </w:p>
        </w:tc>
        <w:tc>
          <w:tcPr>
            <w:tcW w:w="851" w:type="dxa"/>
          </w:tcPr>
          <w:p w14:paraId="15D3E4BB">
            <w:pPr>
              <w:rPr>
                <w:color w:val="auto"/>
              </w:rPr>
            </w:pPr>
          </w:p>
        </w:tc>
        <w:tc>
          <w:tcPr>
            <w:tcW w:w="990" w:type="dxa"/>
          </w:tcPr>
          <w:p w14:paraId="7CFAA0BD">
            <w:pPr>
              <w:rPr>
                <w:color w:val="auto"/>
              </w:rPr>
            </w:pPr>
          </w:p>
        </w:tc>
        <w:tc>
          <w:tcPr>
            <w:tcW w:w="993" w:type="dxa"/>
          </w:tcPr>
          <w:p w14:paraId="35F56574">
            <w:pPr>
              <w:rPr>
                <w:color w:val="auto"/>
              </w:rPr>
            </w:pPr>
          </w:p>
        </w:tc>
        <w:tc>
          <w:tcPr>
            <w:tcW w:w="1132" w:type="dxa"/>
          </w:tcPr>
          <w:p w14:paraId="2241D11C">
            <w:pPr>
              <w:rPr>
                <w:color w:val="auto"/>
              </w:rPr>
            </w:pPr>
          </w:p>
        </w:tc>
        <w:tc>
          <w:tcPr>
            <w:tcW w:w="1273" w:type="dxa"/>
          </w:tcPr>
          <w:p w14:paraId="51FFDAF7">
            <w:pPr>
              <w:rPr>
                <w:color w:val="auto"/>
              </w:rPr>
            </w:pPr>
          </w:p>
        </w:tc>
        <w:tc>
          <w:tcPr>
            <w:tcW w:w="971" w:type="dxa"/>
            <w:tcBorders>
              <w:right w:val="single" w:color="000000" w:sz="6" w:space="0"/>
            </w:tcBorders>
          </w:tcPr>
          <w:p w14:paraId="5F800D9F">
            <w:pPr>
              <w:rPr>
                <w:color w:val="auto"/>
              </w:rPr>
            </w:pPr>
          </w:p>
        </w:tc>
      </w:tr>
      <w:tr w14:paraId="5A75DF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21A6CF5A">
            <w:pPr>
              <w:rPr>
                <w:color w:val="auto"/>
              </w:rPr>
            </w:pPr>
          </w:p>
        </w:tc>
        <w:tc>
          <w:tcPr>
            <w:tcW w:w="1841" w:type="dxa"/>
          </w:tcPr>
          <w:p w14:paraId="176D742F">
            <w:pPr>
              <w:rPr>
                <w:color w:val="auto"/>
              </w:rPr>
            </w:pPr>
          </w:p>
        </w:tc>
        <w:tc>
          <w:tcPr>
            <w:tcW w:w="2407" w:type="dxa"/>
          </w:tcPr>
          <w:p w14:paraId="5D0EE34C">
            <w:pPr>
              <w:rPr>
                <w:color w:val="auto"/>
              </w:rPr>
            </w:pPr>
          </w:p>
        </w:tc>
        <w:tc>
          <w:tcPr>
            <w:tcW w:w="2831" w:type="dxa"/>
          </w:tcPr>
          <w:p w14:paraId="1F32CB9B">
            <w:pPr>
              <w:rPr>
                <w:color w:val="auto"/>
              </w:rPr>
            </w:pPr>
          </w:p>
        </w:tc>
        <w:tc>
          <w:tcPr>
            <w:tcW w:w="851" w:type="dxa"/>
          </w:tcPr>
          <w:p w14:paraId="7AB9A97C">
            <w:pPr>
              <w:rPr>
                <w:color w:val="auto"/>
              </w:rPr>
            </w:pPr>
          </w:p>
        </w:tc>
        <w:tc>
          <w:tcPr>
            <w:tcW w:w="990" w:type="dxa"/>
          </w:tcPr>
          <w:p w14:paraId="3FA7F262">
            <w:pPr>
              <w:rPr>
                <w:color w:val="auto"/>
              </w:rPr>
            </w:pPr>
          </w:p>
        </w:tc>
        <w:tc>
          <w:tcPr>
            <w:tcW w:w="993" w:type="dxa"/>
          </w:tcPr>
          <w:p w14:paraId="290A68A7">
            <w:pPr>
              <w:rPr>
                <w:color w:val="auto"/>
              </w:rPr>
            </w:pPr>
          </w:p>
        </w:tc>
        <w:tc>
          <w:tcPr>
            <w:tcW w:w="1132" w:type="dxa"/>
          </w:tcPr>
          <w:p w14:paraId="0F5D9A59">
            <w:pPr>
              <w:rPr>
                <w:color w:val="auto"/>
              </w:rPr>
            </w:pPr>
          </w:p>
        </w:tc>
        <w:tc>
          <w:tcPr>
            <w:tcW w:w="1273" w:type="dxa"/>
          </w:tcPr>
          <w:p w14:paraId="14F70D58">
            <w:pPr>
              <w:rPr>
                <w:color w:val="auto"/>
              </w:rPr>
            </w:pPr>
          </w:p>
        </w:tc>
        <w:tc>
          <w:tcPr>
            <w:tcW w:w="971" w:type="dxa"/>
            <w:tcBorders>
              <w:right w:val="single" w:color="000000" w:sz="6" w:space="0"/>
            </w:tcBorders>
          </w:tcPr>
          <w:p w14:paraId="64C7A79B">
            <w:pPr>
              <w:rPr>
                <w:color w:val="auto"/>
              </w:rPr>
            </w:pPr>
          </w:p>
        </w:tc>
      </w:tr>
      <w:tr w14:paraId="0CF0F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77182E16">
            <w:pPr>
              <w:rPr>
                <w:color w:val="auto"/>
              </w:rPr>
            </w:pPr>
          </w:p>
        </w:tc>
        <w:tc>
          <w:tcPr>
            <w:tcW w:w="1841" w:type="dxa"/>
          </w:tcPr>
          <w:p w14:paraId="75AD0809">
            <w:pPr>
              <w:rPr>
                <w:color w:val="auto"/>
              </w:rPr>
            </w:pPr>
          </w:p>
        </w:tc>
        <w:tc>
          <w:tcPr>
            <w:tcW w:w="2407" w:type="dxa"/>
          </w:tcPr>
          <w:p w14:paraId="0A1A3FD4">
            <w:pPr>
              <w:rPr>
                <w:color w:val="auto"/>
              </w:rPr>
            </w:pPr>
          </w:p>
        </w:tc>
        <w:tc>
          <w:tcPr>
            <w:tcW w:w="2831" w:type="dxa"/>
          </w:tcPr>
          <w:p w14:paraId="2C0F538D">
            <w:pPr>
              <w:rPr>
                <w:color w:val="auto"/>
              </w:rPr>
            </w:pPr>
          </w:p>
        </w:tc>
        <w:tc>
          <w:tcPr>
            <w:tcW w:w="851" w:type="dxa"/>
          </w:tcPr>
          <w:p w14:paraId="63051027">
            <w:pPr>
              <w:rPr>
                <w:color w:val="auto"/>
              </w:rPr>
            </w:pPr>
          </w:p>
        </w:tc>
        <w:tc>
          <w:tcPr>
            <w:tcW w:w="990" w:type="dxa"/>
          </w:tcPr>
          <w:p w14:paraId="54499064">
            <w:pPr>
              <w:rPr>
                <w:color w:val="auto"/>
              </w:rPr>
            </w:pPr>
          </w:p>
        </w:tc>
        <w:tc>
          <w:tcPr>
            <w:tcW w:w="993" w:type="dxa"/>
          </w:tcPr>
          <w:p w14:paraId="25353F92">
            <w:pPr>
              <w:rPr>
                <w:color w:val="auto"/>
              </w:rPr>
            </w:pPr>
          </w:p>
        </w:tc>
        <w:tc>
          <w:tcPr>
            <w:tcW w:w="1132" w:type="dxa"/>
          </w:tcPr>
          <w:p w14:paraId="06D48575">
            <w:pPr>
              <w:rPr>
                <w:color w:val="auto"/>
              </w:rPr>
            </w:pPr>
          </w:p>
        </w:tc>
        <w:tc>
          <w:tcPr>
            <w:tcW w:w="1273" w:type="dxa"/>
          </w:tcPr>
          <w:p w14:paraId="22107C93">
            <w:pPr>
              <w:rPr>
                <w:color w:val="auto"/>
              </w:rPr>
            </w:pPr>
          </w:p>
        </w:tc>
        <w:tc>
          <w:tcPr>
            <w:tcW w:w="971" w:type="dxa"/>
            <w:tcBorders>
              <w:right w:val="single" w:color="000000" w:sz="6" w:space="0"/>
            </w:tcBorders>
          </w:tcPr>
          <w:p w14:paraId="6D87C72D">
            <w:pPr>
              <w:rPr>
                <w:color w:val="auto"/>
              </w:rPr>
            </w:pPr>
          </w:p>
        </w:tc>
      </w:tr>
      <w:tr w14:paraId="4D5B1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760" w:type="dxa"/>
            <w:tcBorders>
              <w:left w:val="single" w:color="000000" w:sz="6" w:space="0"/>
              <w:bottom w:val="single" w:color="000000" w:sz="6" w:space="0"/>
            </w:tcBorders>
          </w:tcPr>
          <w:p w14:paraId="133C7840">
            <w:pPr>
              <w:rPr>
                <w:color w:val="auto"/>
              </w:rPr>
            </w:pPr>
          </w:p>
        </w:tc>
        <w:tc>
          <w:tcPr>
            <w:tcW w:w="1841" w:type="dxa"/>
            <w:tcBorders>
              <w:bottom w:val="single" w:color="000000" w:sz="6" w:space="0"/>
            </w:tcBorders>
          </w:tcPr>
          <w:p w14:paraId="11DDE68D">
            <w:pPr>
              <w:rPr>
                <w:color w:val="auto"/>
              </w:rPr>
            </w:pPr>
          </w:p>
        </w:tc>
        <w:tc>
          <w:tcPr>
            <w:tcW w:w="2407" w:type="dxa"/>
            <w:tcBorders>
              <w:bottom w:val="single" w:color="000000" w:sz="6" w:space="0"/>
            </w:tcBorders>
          </w:tcPr>
          <w:p w14:paraId="08E264A6">
            <w:pPr>
              <w:pStyle w:val="21"/>
              <w:spacing w:before="174" w:line="221" w:lineRule="auto"/>
              <w:ind w:left="848"/>
              <w:rPr>
                <w:rFonts w:hint="eastAsia"/>
                <w:color w:val="auto"/>
                <w:sz w:val="24"/>
                <w:szCs w:val="24"/>
              </w:rPr>
            </w:pPr>
            <w:r>
              <w:rPr>
                <w:color w:val="auto"/>
                <w:spacing w:val="-6"/>
                <w:sz w:val="24"/>
                <w:szCs w:val="24"/>
              </w:rPr>
              <w:t>合</w:t>
            </w:r>
            <w:r>
              <w:rPr>
                <w:rFonts w:hint="eastAsia"/>
                <w:color w:val="auto"/>
                <w:spacing w:val="5"/>
                <w:sz w:val="24"/>
                <w:szCs w:val="24"/>
                <w:lang w:eastAsia="zh-CN"/>
              </w:rPr>
              <w:t>　</w:t>
            </w:r>
            <w:r>
              <w:rPr>
                <w:color w:val="auto"/>
                <w:spacing w:val="-6"/>
                <w:sz w:val="24"/>
                <w:szCs w:val="24"/>
              </w:rPr>
              <w:t>计</w:t>
            </w:r>
          </w:p>
        </w:tc>
        <w:tc>
          <w:tcPr>
            <w:tcW w:w="2831" w:type="dxa"/>
            <w:tcBorders>
              <w:bottom w:val="single" w:color="000000" w:sz="6" w:space="0"/>
            </w:tcBorders>
          </w:tcPr>
          <w:p w14:paraId="703BFB56">
            <w:pPr>
              <w:rPr>
                <w:color w:val="auto"/>
              </w:rPr>
            </w:pPr>
          </w:p>
        </w:tc>
        <w:tc>
          <w:tcPr>
            <w:tcW w:w="851" w:type="dxa"/>
            <w:tcBorders>
              <w:bottom w:val="single" w:color="000000" w:sz="6" w:space="0"/>
            </w:tcBorders>
          </w:tcPr>
          <w:p w14:paraId="4825F393">
            <w:pPr>
              <w:rPr>
                <w:color w:val="auto"/>
              </w:rPr>
            </w:pPr>
          </w:p>
        </w:tc>
        <w:tc>
          <w:tcPr>
            <w:tcW w:w="990" w:type="dxa"/>
            <w:tcBorders>
              <w:bottom w:val="single" w:color="000000" w:sz="6" w:space="0"/>
            </w:tcBorders>
          </w:tcPr>
          <w:p w14:paraId="72FE2671">
            <w:pPr>
              <w:rPr>
                <w:color w:val="auto"/>
              </w:rPr>
            </w:pPr>
          </w:p>
        </w:tc>
        <w:tc>
          <w:tcPr>
            <w:tcW w:w="993" w:type="dxa"/>
            <w:tcBorders>
              <w:bottom w:val="single" w:color="000000" w:sz="6" w:space="0"/>
            </w:tcBorders>
          </w:tcPr>
          <w:p w14:paraId="1B15A74D">
            <w:pPr>
              <w:rPr>
                <w:color w:val="auto"/>
              </w:rPr>
            </w:pPr>
          </w:p>
        </w:tc>
        <w:tc>
          <w:tcPr>
            <w:tcW w:w="1132" w:type="dxa"/>
            <w:tcBorders>
              <w:bottom w:val="single" w:color="000000" w:sz="6" w:space="0"/>
            </w:tcBorders>
          </w:tcPr>
          <w:p w14:paraId="28BFFE54">
            <w:pPr>
              <w:rPr>
                <w:color w:val="auto"/>
              </w:rPr>
            </w:pPr>
          </w:p>
        </w:tc>
        <w:tc>
          <w:tcPr>
            <w:tcW w:w="1273" w:type="dxa"/>
            <w:tcBorders>
              <w:bottom w:val="single" w:color="000000" w:sz="6" w:space="0"/>
            </w:tcBorders>
          </w:tcPr>
          <w:p w14:paraId="688CAFAF">
            <w:pPr>
              <w:rPr>
                <w:color w:val="auto"/>
              </w:rPr>
            </w:pPr>
          </w:p>
        </w:tc>
        <w:tc>
          <w:tcPr>
            <w:tcW w:w="971" w:type="dxa"/>
            <w:tcBorders>
              <w:bottom w:val="single" w:color="000000" w:sz="6" w:space="0"/>
              <w:right w:val="single" w:color="000000" w:sz="6" w:space="0"/>
            </w:tcBorders>
          </w:tcPr>
          <w:p w14:paraId="783CBE3D">
            <w:pPr>
              <w:rPr>
                <w:color w:val="auto"/>
              </w:rPr>
            </w:pPr>
          </w:p>
        </w:tc>
      </w:tr>
    </w:tbl>
    <w:p w14:paraId="3ADD0155">
      <w:pPr>
        <w:spacing w:before="311" w:line="219" w:lineRule="auto"/>
        <w:ind w:left="6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法定代表人或委托代理人</w:t>
      </w:r>
      <w:r>
        <w:rPr>
          <w:rFonts w:ascii="宋体" w:hAnsi="宋体" w:eastAsia="宋体" w:cs="宋体"/>
          <w:color w:val="auto"/>
          <w:spacing w:val="-11"/>
          <w:sz w:val="24"/>
          <w:szCs w:val="24"/>
          <w:lang w:eastAsia="zh-CN"/>
        </w:rPr>
        <w:t>：</w:t>
      </w:r>
      <w:r>
        <w:rPr>
          <w:rFonts w:hint="eastAsia" w:ascii="宋体" w:hAnsi="宋体" w:eastAsia="宋体" w:cs="宋体"/>
          <w:color w:val="auto"/>
          <w:spacing w:val="30"/>
          <w:sz w:val="24"/>
          <w:szCs w:val="24"/>
          <w:u w:val="single"/>
          <w:lang w:eastAsia="zh-CN"/>
        </w:rPr>
        <w:t>　　</w:t>
      </w:r>
      <w:r>
        <w:rPr>
          <w:rFonts w:ascii="宋体" w:hAnsi="宋体" w:eastAsia="宋体" w:cs="宋体"/>
          <w:color w:val="auto"/>
          <w:spacing w:val="-11"/>
          <w:sz w:val="24"/>
          <w:szCs w:val="24"/>
          <w:u w:val="single"/>
          <w:lang w:eastAsia="zh-CN"/>
        </w:rPr>
        <w:t>（</w:t>
      </w:r>
      <w:r>
        <w:rPr>
          <w:rFonts w:ascii="宋体" w:hAnsi="宋体" w:eastAsia="宋体" w:cs="宋体"/>
          <w:color w:val="auto"/>
          <w:spacing w:val="1"/>
          <w:sz w:val="24"/>
          <w:szCs w:val="24"/>
          <w:u w:val="single"/>
          <w:lang w:eastAsia="zh-CN"/>
        </w:rPr>
        <w:t>签字或盖章）</w:t>
      </w:r>
      <w:r>
        <w:rPr>
          <w:rFonts w:hint="eastAsia" w:ascii="宋体" w:hAnsi="宋体" w:eastAsia="宋体" w:cs="宋体"/>
          <w:color w:val="auto"/>
          <w:sz w:val="24"/>
          <w:szCs w:val="24"/>
          <w:u w:val="single"/>
          <w:lang w:eastAsia="zh-CN"/>
        </w:rPr>
        <w:t>　　　</w:t>
      </w:r>
    </w:p>
    <w:p w14:paraId="4B88EC26">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5ED85893">
      <w:pPr>
        <w:pStyle w:val="8"/>
        <w:spacing w:line="283" w:lineRule="auto"/>
        <w:rPr>
          <w:color w:val="auto"/>
          <w:lang w:eastAsia="zh-CN"/>
        </w:rPr>
      </w:pPr>
    </w:p>
    <w:p w14:paraId="2CCAF963">
      <w:pPr>
        <w:spacing w:before="91" w:line="219" w:lineRule="auto"/>
        <w:ind w:left="4049"/>
        <w:rPr>
          <w:rFonts w:hint="eastAsia" w:ascii="宋体" w:hAnsi="宋体" w:eastAsia="宋体" w:cs="宋体"/>
          <w:color w:val="auto"/>
          <w:sz w:val="28"/>
          <w:szCs w:val="28"/>
          <w:lang w:eastAsia="zh-CN"/>
        </w:rPr>
      </w:pPr>
      <w:r>
        <w:rPr>
          <w:rFonts w:ascii="宋体" w:hAnsi="宋体" w:eastAsia="宋体" w:cs="宋体"/>
          <w:b/>
          <w:bCs/>
          <w:color w:val="auto"/>
          <w:spacing w:val="-3"/>
          <w:sz w:val="28"/>
          <w:szCs w:val="28"/>
          <w:lang w:eastAsia="zh-CN"/>
        </w:rPr>
        <w:t>机电设备及安装工程分类分项工程量清单计价表</w:t>
      </w:r>
    </w:p>
    <w:p w14:paraId="01CE19B8">
      <w:pPr>
        <w:spacing w:before="205" w:line="212" w:lineRule="auto"/>
        <w:ind w:left="25"/>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pacing w:val="-1"/>
          <w:sz w:val="24"/>
          <w:szCs w:val="24"/>
          <w:lang w:eastAsia="zh-CN"/>
        </w:rPr>
        <w:t>　　　　　　　　　　　　　　　　　　　　　　　　　　　　</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第</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w:t>
      </w:r>
    </w:p>
    <w:tbl>
      <w:tblPr>
        <w:tblStyle w:val="20"/>
        <w:tblW w:w="139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2"/>
        <w:gridCol w:w="1556"/>
        <w:gridCol w:w="2126"/>
        <w:gridCol w:w="1980"/>
        <w:gridCol w:w="851"/>
        <w:gridCol w:w="849"/>
        <w:gridCol w:w="1134"/>
        <w:gridCol w:w="990"/>
        <w:gridCol w:w="992"/>
        <w:gridCol w:w="849"/>
        <w:gridCol w:w="1131"/>
        <w:gridCol w:w="789"/>
      </w:tblGrid>
      <w:tr w14:paraId="53F592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jc w:val="center"/>
        </w:trPr>
        <w:tc>
          <w:tcPr>
            <w:tcW w:w="722" w:type="dxa"/>
            <w:vMerge w:val="restart"/>
            <w:tcBorders>
              <w:top w:val="single" w:color="000000" w:sz="6" w:space="0"/>
              <w:left w:val="single" w:color="000000" w:sz="6" w:space="0"/>
              <w:bottom w:val="nil"/>
            </w:tcBorders>
            <w:vAlign w:val="center"/>
          </w:tcPr>
          <w:p w14:paraId="5ABD57A6">
            <w:pPr>
              <w:pStyle w:val="21"/>
              <w:jc w:val="center"/>
              <w:rPr>
                <w:rFonts w:hint="eastAsia"/>
                <w:color w:val="auto"/>
                <w:sz w:val="24"/>
                <w:szCs w:val="24"/>
              </w:rPr>
            </w:pPr>
            <w:r>
              <w:rPr>
                <w:color w:val="auto"/>
                <w:spacing w:val="-3"/>
                <w:sz w:val="24"/>
                <w:szCs w:val="24"/>
              </w:rPr>
              <w:t>序号</w:t>
            </w:r>
          </w:p>
        </w:tc>
        <w:tc>
          <w:tcPr>
            <w:tcW w:w="1556" w:type="dxa"/>
            <w:vMerge w:val="restart"/>
            <w:tcBorders>
              <w:top w:val="single" w:color="000000" w:sz="6" w:space="0"/>
              <w:bottom w:val="nil"/>
            </w:tcBorders>
            <w:vAlign w:val="center"/>
          </w:tcPr>
          <w:p w14:paraId="2CD850CD">
            <w:pPr>
              <w:pStyle w:val="21"/>
              <w:jc w:val="center"/>
              <w:rPr>
                <w:rFonts w:hint="eastAsia"/>
                <w:color w:val="auto"/>
                <w:sz w:val="24"/>
                <w:szCs w:val="24"/>
              </w:rPr>
            </w:pPr>
            <w:r>
              <w:rPr>
                <w:color w:val="auto"/>
                <w:spacing w:val="-3"/>
                <w:sz w:val="24"/>
                <w:szCs w:val="24"/>
              </w:rPr>
              <w:t>项目编码</w:t>
            </w:r>
          </w:p>
        </w:tc>
        <w:tc>
          <w:tcPr>
            <w:tcW w:w="2126" w:type="dxa"/>
            <w:vMerge w:val="restart"/>
            <w:tcBorders>
              <w:top w:val="single" w:color="000000" w:sz="6" w:space="0"/>
              <w:bottom w:val="nil"/>
            </w:tcBorders>
            <w:vAlign w:val="center"/>
          </w:tcPr>
          <w:p w14:paraId="01A09C9F">
            <w:pPr>
              <w:pStyle w:val="21"/>
              <w:jc w:val="center"/>
              <w:rPr>
                <w:rFonts w:hint="eastAsia"/>
                <w:color w:val="auto"/>
                <w:sz w:val="24"/>
                <w:szCs w:val="24"/>
              </w:rPr>
            </w:pPr>
            <w:r>
              <w:rPr>
                <w:color w:val="auto"/>
                <w:spacing w:val="-3"/>
                <w:sz w:val="24"/>
                <w:szCs w:val="24"/>
              </w:rPr>
              <w:t>项目名称</w:t>
            </w:r>
          </w:p>
        </w:tc>
        <w:tc>
          <w:tcPr>
            <w:tcW w:w="1980" w:type="dxa"/>
            <w:vMerge w:val="restart"/>
            <w:tcBorders>
              <w:top w:val="single" w:color="000000" w:sz="6" w:space="0"/>
              <w:bottom w:val="nil"/>
            </w:tcBorders>
            <w:vAlign w:val="center"/>
          </w:tcPr>
          <w:p w14:paraId="09A53291">
            <w:pPr>
              <w:pStyle w:val="21"/>
              <w:jc w:val="center"/>
              <w:rPr>
                <w:rFonts w:hint="eastAsia"/>
                <w:color w:val="auto"/>
                <w:sz w:val="24"/>
                <w:szCs w:val="24"/>
              </w:rPr>
            </w:pPr>
            <w:r>
              <w:rPr>
                <w:color w:val="auto"/>
                <w:spacing w:val="-4"/>
                <w:sz w:val="24"/>
                <w:szCs w:val="24"/>
              </w:rPr>
              <w:t>项目主要</w:t>
            </w:r>
            <w:r>
              <w:rPr>
                <w:color w:val="auto"/>
                <w:spacing w:val="-11"/>
                <w:sz w:val="24"/>
                <w:szCs w:val="24"/>
              </w:rPr>
              <w:t>特征</w:t>
            </w:r>
          </w:p>
        </w:tc>
        <w:tc>
          <w:tcPr>
            <w:tcW w:w="851" w:type="dxa"/>
            <w:vMerge w:val="restart"/>
            <w:tcBorders>
              <w:top w:val="single" w:color="000000" w:sz="6" w:space="0"/>
              <w:bottom w:val="nil"/>
            </w:tcBorders>
            <w:vAlign w:val="center"/>
          </w:tcPr>
          <w:p w14:paraId="21919E00">
            <w:pPr>
              <w:pStyle w:val="21"/>
              <w:jc w:val="center"/>
              <w:rPr>
                <w:rFonts w:hint="eastAsia"/>
                <w:color w:val="auto"/>
                <w:spacing w:val="-5"/>
                <w:sz w:val="24"/>
                <w:szCs w:val="24"/>
              </w:rPr>
            </w:pPr>
            <w:r>
              <w:rPr>
                <w:color w:val="auto"/>
                <w:spacing w:val="-5"/>
                <w:sz w:val="24"/>
                <w:szCs w:val="24"/>
              </w:rPr>
              <w:t>计量</w:t>
            </w:r>
          </w:p>
          <w:p w14:paraId="6A672340">
            <w:pPr>
              <w:pStyle w:val="21"/>
              <w:jc w:val="center"/>
              <w:rPr>
                <w:rFonts w:hint="eastAsia"/>
                <w:color w:val="auto"/>
                <w:sz w:val="24"/>
                <w:szCs w:val="24"/>
              </w:rPr>
            </w:pPr>
            <w:r>
              <w:rPr>
                <w:color w:val="auto"/>
                <w:spacing w:val="-6"/>
                <w:sz w:val="24"/>
                <w:szCs w:val="24"/>
              </w:rPr>
              <w:t>单位</w:t>
            </w:r>
          </w:p>
        </w:tc>
        <w:tc>
          <w:tcPr>
            <w:tcW w:w="849" w:type="dxa"/>
            <w:vMerge w:val="restart"/>
            <w:tcBorders>
              <w:top w:val="single" w:color="000000" w:sz="6" w:space="0"/>
              <w:bottom w:val="nil"/>
            </w:tcBorders>
            <w:vAlign w:val="center"/>
          </w:tcPr>
          <w:p w14:paraId="11C04E1E">
            <w:pPr>
              <w:pStyle w:val="21"/>
              <w:jc w:val="center"/>
              <w:rPr>
                <w:rFonts w:hint="eastAsia"/>
                <w:color w:val="auto"/>
                <w:spacing w:val="-7"/>
                <w:sz w:val="24"/>
                <w:szCs w:val="24"/>
              </w:rPr>
            </w:pPr>
            <w:r>
              <w:rPr>
                <w:color w:val="auto"/>
                <w:spacing w:val="-7"/>
                <w:sz w:val="24"/>
                <w:szCs w:val="24"/>
              </w:rPr>
              <w:t>工程</w:t>
            </w:r>
          </w:p>
          <w:p w14:paraId="19819A6F">
            <w:pPr>
              <w:pStyle w:val="21"/>
              <w:jc w:val="center"/>
              <w:rPr>
                <w:rFonts w:hint="eastAsia"/>
                <w:color w:val="auto"/>
                <w:sz w:val="24"/>
                <w:szCs w:val="24"/>
              </w:rPr>
            </w:pPr>
            <w:r>
              <w:rPr>
                <w:color w:val="auto"/>
                <w:spacing w:val="-6"/>
                <w:sz w:val="24"/>
                <w:szCs w:val="24"/>
              </w:rPr>
              <w:t>数量</w:t>
            </w:r>
          </w:p>
        </w:tc>
        <w:tc>
          <w:tcPr>
            <w:tcW w:w="2124" w:type="dxa"/>
            <w:gridSpan w:val="2"/>
            <w:tcBorders>
              <w:top w:val="single" w:color="000000" w:sz="6" w:space="0"/>
            </w:tcBorders>
            <w:vAlign w:val="center"/>
          </w:tcPr>
          <w:p w14:paraId="1C0E5D62">
            <w:pPr>
              <w:pStyle w:val="21"/>
              <w:jc w:val="center"/>
              <w:rPr>
                <w:rFonts w:hint="eastAsia"/>
                <w:color w:val="auto"/>
                <w:sz w:val="24"/>
                <w:szCs w:val="24"/>
              </w:rPr>
            </w:pPr>
            <w:r>
              <w:rPr>
                <w:color w:val="auto"/>
                <w:spacing w:val="-5"/>
                <w:sz w:val="24"/>
                <w:szCs w:val="24"/>
              </w:rPr>
              <w:t>单价（元）</w:t>
            </w:r>
          </w:p>
        </w:tc>
        <w:tc>
          <w:tcPr>
            <w:tcW w:w="1841" w:type="dxa"/>
            <w:gridSpan w:val="2"/>
            <w:tcBorders>
              <w:top w:val="single" w:color="000000" w:sz="6" w:space="0"/>
            </w:tcBorders>
            <w:vAlign w:val="center"/>
          </w:tcPr>
          <w:p w14:paraId="6E212FE5">
            <w:pPr>
              <w:pStyle w:val="21"/>
              <w:jc w:val="center"/>
              <w:rPr>
                <w:rFonts w:hint="eastAsia"/>
                <w:color w:val="auto"/>
                <w:sz w:val="24"/>
                <w:szCs w:val="24"/>
              </w:rPr>
            </w:pPr>
            <w:r>
              <w:rPr>
                <w:color w:val="auto"/>
                <w:spacing w:val="-5"/>
                <w:sz w:val="24"/>
                <w:szCs w:val="24"/>
              </w:rPr>
              <w:t>合价（元）</w:t>
            </w:r>
          </w:p>
        </w:tc>
        <w:tc>
          <w:tcPr>
            <w:tcW w:w="1131" w:type="dxa"/>
            <w:vMerge w:val="restart"/>
            <w:tcBorders>
              <w:top w:val="single" w:color="000000" w:sz="6" w:space="0"/>
              <w:bottom w:val="nil"/>
            </w:tcBorders>
            <w:vAlign w:val="center"/>
          </w:tcPr>
          <w:p w14:paraId="0A376658">
            <w:pPr>
              <w:pStyle w:val="21"/>
              <w:jc w:val="center"/>
              <w:rPr>
                <w:rFonts w:hint="eastAsia"/>
                <w:color w:val="auto"/>
                <w:sz w:val="24"/>
                <w:szCs w:val="24"/>
              </w:rPr>
            </w:pPr>
            <w:r>
              <w:rPr>
                <w:color w:val="auto"/>
                <w:spacing w:val="-3"/>
                <w:sz w:val="24"/>
                <w:szCs w:val="24"/>
              </w:rPr>
              <w:t>主要技术条款编码</w:t>
            </w:r>
          </w:p>
        </w:tc>
        <w:tc>
          <w:tcPr>
            <w:tcW w:w="789" w:type="dxa"/>
            <w:vMerge w:val="restart"/>
            <w:tcBorders>
              <w:top w:val="single" w:color="000000" w:sz="6" w:space="0"/>
              <w:bottom w:val="nil"/>
              <w:right w:val="single" w:color="000000" w:sz="6" w:space="0"/>
            </w:tcBorders>
            <w:vAlign w:val="center"/>
          </w:tcPr>
          <w:p w14:paraId="0A5E0514">
            <w:pPr>
              <w:pStyle w:val="21"/>
              <w:jc w:val="center"/>
              <w:rPr>
                <w:rFonts w:hint="eastAsia"/>
                <w:color w:val="auto"/>
                <w:sz w:val="24"/>
                <w:szCs w:val="24"/>
              </w:rPr>
            </w:pPr>
            <w:r>
              <w:rPr>
                <w:color w:val="auto"/>
                <w:spacing w:val="-4"/>
                <w:sz w:val="24"/>
                <w:szCs w:val="24"/>
              </w:rPr>
              <w:t>备注</w:t>
            </w:r>
          </w:p>
        </w:tc>
      </w:tr>
      <w:tr w14:paraId="6CC8E6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jc w:val="center"/>
        </w:trPr>
        <w:tc>
          <w:tcPr>
            <w:tcW w:w="722" w:type="dxa"/>
            <w:vMerge w:val="continue"/>
            <w:tcBorders>
              <w:top w:val="nil"/>
              <w:left w:val="single" w:color="000000" w:sz="6" w:space="0"/>
            </w:tcBorders>
            <w:vAlign w:val="center"/>
          </w:tcPr>
          <w:p w14:paraId="0EF6A8BD">
            <w:pPr>
              <w:jc w:val="center"/>
              <w:rPr>
                <w:color w:val="auto"/>
              </w:rPr>
            </w:pPr>
          </w:p>
        </w:tc>
        <w:tc>
          <w:tcPr>
            <w:tcW w:w="1556" w:type="dxa"/>
            <w:vMerge w:val="continue"/>
            <w:tcBorders>
              <w:top w:val="nil"/>
            </w:tcBorders>
            <w:vAlign w:val="center"/>
          </w:tcPr>
          <w:p w14:paraId="27B417F4">
            <w:pPr>
              <w:jc w:val="center"/>
              <w:rPr>
                <w:color w:val="auto"/>
              </w:rPr>
            </w:pPr>
          </w:p>
        </w:tc>
        <w:tc>
          <w:tcPr>
            <w:tcW w:w="2126" w:type="dxa"/>
            <w:vMerge w:val="continue"/>
            <w:tcBorders>
              <w:top w:val="nil"/>
            </w:tcBorders>
            <w:vAlign w:val="center"/>
          </w:tcPr>
          <w:p w14:paraId="4307B572">
            <w:pPr>
              <w:jc w:val="center"/>
              <w:rPr>
                <w:color w:val="auto"/>
              </w:rPr>
            </w:pPr>
          </w:p>
        </w:tc>
        <w:tc>
          <w:tcPr>
            <w:tcW w:w="1980" w:type="dxa"/>
            <w:vMerge w:val="continue"/>
            <w:tcBorders>
              <w:top w:val="nil"/>
            </w:tcBorders>
            <w:vAlign w:val="center"/>
          </w:tcPr>
          <w:p w14:paraId="19C8AD09">
            <w:pPr>
              <w:jc w:val="center"/>
              <w:rPr>
                <w:color w:val="auto"/>
              </w:rPr>
            </w:pPr>
          </w:p>
        </w:tc>
        <w:tc>
          <w:tcPr>
            <w:tcW w:w="851" w:type="dxa"/>
            <w:vMerge w:val="continue"/>
            <w:tcBorders>
              <w:top w:val="nil"/>
            </w:tcBorders>
            <w:vAlign w:val="center"/>
          </w:tcPr>
          <w:p w14:paraId="42A2E4D9">
            <w:pPr>
              <w:jc w:val="center"/>
              <w:rPr>
                <w:color w:val="auto"/>
              </w:rPr>
            </w:pPr>
          </w:p>
        </w:tc>
        <w:tc>
          <w:tcPr>
            <w:tcW w:w="849" w:type="dxa"/>
            <w:vMerge w:val="continue"/>
            <w:tcBorders>
              <w:top w:val="nil"/>
            </w:tcBorders>
            <w:vAlign w:val="center"/>
          </w:tcPr>
          <w:p w14:paraId="7E32239B">
            <w:pPr>
              <w:jc w:val="center"/>
              <w:rPr>
                <w:color w:val="auto"/>
              </w:rPr>
            </w:pPr>
          </w:p>
        </w:tc>
        <w:tc>
          <w:tcPr>
            <w:tcW w:w="1134" w:type="dxa"/>
            <w:vAlign w:val="center"/>
          </w:tcPr>
          <w:p w14:paraId="648CFC26">
            <w:pPr>
              <w:pStyle w:val="21"/>
              <w:jc w:val="center"/>
              <w:rPr>
                <w:rFonts w:hint="eastAsia"/>
                <w:color w:val="auto"/>
                <w:sz w:val="24"/>
                <w:szCs w:val="24"/>
              </w:rPr>
            </w:pPr>
            <w:r>
              <w:rPr>
                <w:color w:val="auto"/>
                <w:spacing w:val="-3"/>
                <w:sz w:val="24"/>
                <w:szCs w:val="24"/>
              </w:rPr>
              <w:t>设备费</w:t>
            </w:r>
          </w:p>
        </w:tc>
        <w:tc>
          <w:tcPr>
            <w:tcW w:w="990" w:type="dxa"/>
            <w:vAlign w:val="center"/>
          </w:tcPr>
          <w:p w14:paraId="0FB22DFA">
            <w:pPr>
              <w:pStyle w:val="21"/>
              <w:jc w:val="center"/>
              <w:rPr>
                <w:rFonts w:hint="eastAsia"/>
                <w:color w:val="auto"/>
                <w:sz w:val="24"/>
                <w:szCs w:val="24"/>
              </w:rPr>
            </w:pPr>
            <w:r>
              <w:rPr>
                <w:color w:val="auto"/>
                <w:spacing w:val="-4"/>
                <w:sz w:val="24"/>
                <w:szCs w:val="24"/>
              </w:rPr>
              <w:t>安装费</w:t>
            </w:r>
          </w:p>
        </w:tc>
        <w:tc>
          <w:tcPr>
            <w:tcW w:w="992" w:type="dxa"/>
            <w:vAlign w:val="center"/>
          </w:tcPr>
          <w:p w14:paraId="419A8013">
            <w:pPr>
              <w:pStyle w:val="21"/>
              <w:jc w:val="center"/>
              <w:rPr>
                <w:rFonts w:hint="eastAsia"/>
                <w:color w:val="auto"/>
                <w:sz w:val="24"/>
                <w:szCs w:val="24"/>
              </w:rPr>
            </w:pPr>
            <w:r>
              <w:rPr>
                <w:color w:val="auto"/>
                <w:spacing w:val="-3"/>
                <w:sz w:val="24"/>
                <w:szCs w:val="24"/>
              </w:rPr>
              <w:t>设备费</w:t>
            </w:r>
          </w:p>
        </w:tc>
        <w:tc>
          <w:tcPr>
            <w:tcW w:w="849" w:type="dxa"/>
            <w:vAlign w:val="center"/>
          </w:tcPr>
          <w:p w14:paraId="5F3031D7">
            <w:pPr>
              <w:pStyle w:val="21"/>
              <w:jc w:val="center"/>
              <w:rPr>
                <w:rFonts w:hint="eastAsia"/>
                <w:color w:val="auto"/>
                <w:sz w:val="24"/>
                <w:szCs w:val="24"/>
              </w:rPr>
            </w:pPr>
            <w:r>
              <w:rPr>
                <w:color w:val="auto"/>
                <w:spacing w:val="-4"/>
                <w:sz w:val="24"/>
                <w:szCs w:val="24"/>
              </w:rPr>
              <w:t>安装费</w:t>
            </w:r>
          </w:p>
        </w:tc>
        <w:tc>
          <w:tcPr>
            <w:tcW w:w="1131" w:type="dxa"/>
            <w:vMerge w:val="continue"/>
            <w:tcBorders>
              <w:top w:val="nil"/>
            </w:tcBorders>
            <w:vAlign w:val="center"/>
          </w:tcPr>
          <w:p w14:paraId="56F4F63F">
            <w:pPr>
              <w:jc w:val="center"/>
              <w:rPr>
                <w:color w:val="auto"/>
              </w:rPr>
            </w:pPr>
          </w:p>
        </w:tc>
        <w:tc>
          <w:tcPr>
            <w:tcW w:w="789" w:type="dxa"/>
            <w:vMerge w:val="continue"/>
            <w:tcBorders>
              <w:top w:val="nil"/>
              <w:right w:val="single" w:color="000000" w:sz="6" w:space="0"/>
            </w:tcBorders>
            <w:vAlign w:val="center"/>
          </w:tcPr>
          <w:p w14:paraId="0E97B35E">
            <w:pPr>
              <w:jc w:val="center"/>
              <w:rPr>
                <w:color w:val="auto"/>
              </w:rPr>
            </w:pPr>
          </w:p>
        </w:tc>
      </w:tr>
      <w:tr w14:paraId="53D03E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jc w:val="center"/>
        </w:trPr>
        <w:tc>
          <w:tcPr>
            <w:tcW w:w="722" w:type="dxa"/>
            <w:tcBorders>
              <w:left w:val="single" w:color="000000" w:sz="6" w:space="0"/>
            </w:tcBorders>
            <w:vAlign w:val="center"/>
          </w:tcPr>
          <w:p w14:paraId="724E1562">
            <w:pPr>
              <w:jc w:val="center"/>
              <w:rPr>
                <w:color w:val="auto"/>
              </w:rPr>
            </w:pPr>
          </w:p>
        </w:tc>
        <w:tc>
          <w:tcPr>
            <w:tcW w:w="1556" w:type="dxa"/>
            <w:vAlign w:val="center"/>
          </w:tcPr>
          <w:p w14:paraId="3897541A">
            <w:pPr>
              <w:jc w:val="center"/>
              <w:rPr>
                <w:color w:val="auto"/>
              </w:rPr>
            </w:pPr>
          </w:p>
        </w:tc>
        <w:tc>
          <w:tcPr>
            <w:tcW w:w="2126" w:type="dxa"/>
            <w:vAlign w:val="center"/>
          </w:tcPr>
          <w:p w14:paraId="20823AE5">
            <w:pPr>
              <w:jc w:val="center"/>
              <w:rPr>
                <w:color w:val="auto"/>
              </w:rPr>
            </w:pPr>
          </w:p>
        </w:tc>
        <w:tc>
          <w:tcPr>
            <w:tcW w:w="1980" w:type="dxa"/>
            <w:vAlign w:val="center"/>
          </w:tcPr>
          <w:p w14:paraId="3F1A27AD">
            <w:pPr>
              <w:jc w:val="center"/>
              <w:rPr>
                <w:color w:val="auto"/>
              </w:rPr>
            </w:pPr>
          </w:p>
        </w:tc>
        <w:tc>
          <w:tcPr>
            <w:tcW w:w="851" w:type="dxa"/>
            <w:vAlign w:val="center"/>
          </w:tcPr>
          <w:p w14:paraId="6970F26F">
            <w:pPr>
              <w:jc w:val="center"/>
              <w:rPr>
                <w:color w:val="auto"/>
              </w:rPr>
            </w:pPr>
          </w:p>
        </w:tc>
        <w:tc>
          <w:tcPr>
            <w:tcW w:w="849" w:type="dxa"/>
            <w:vAlign w:val="center"/>
          </w:tcPr>
          <w:p w14:paraId="2D117D51">
            <w:pPr>
              <w:jc w:val="center"/>
              <w:rPr>
                <w:color w:val="auto"/>
              </w:rPr>
            </w:pPr>
          </w:p>
        </w:tc>
        <w:tc>
          <w:tcPr>
            <w:tcW w:w="1134" w:type="dxa"/>
            <w:vAlign w:val="center"/>
          </w:tcPr>
          <w:p w14:paraId="130162F9">
            <w:pPr>
              <w:jc w:val="center"/>
              <w:rPr>
                <w:color w:val="auto"/>
              </w:rPr>
            </w:pPr>
          </w:p>
        </w:tc>
        <w:tc>
          <w:tcPr>
            <w:tcW w:w="990" w:type="dxa"/>
            <w:vAlign w:val="center"/>
          </w:tcPr>
          <w:p w14:paraId="373E9611">
            <w:pPr>
              <w:jc w:val="center"/>
              <w:rPr>
                <w:color w:val="auto"/>
              </w:rPr>
            </w:pPr>
          </w:p>
        </w:tc>
        <w:tc>
          <w:tcPr>
            <w:tcW w:w="992" w:type="dxa"/>
            <w:vAlign w:val="center"/>
          </w:tcPr>
          <w:p w14:paraId="770FD912">
            <w:pPr>
              <w:jc w:val="center"/>
              <w:rPr>
                <w:color w:val="auto"/>
              </w:rPr>
            </w:pPr>
          </w:p>
        </w:tc>
        <w:tc>
          <w:tcPr>
            <w:tcW w:w="849" w:type="dxa"/>
            <w:vAlign w:val="center"/>
          </w:tcPr>
          <w:p w14:paraId="36079202">
            <w:pPr>
              <w:jc w:val="center"/>
              <w:rPr>
                <w:color w:val="auto"/>
              </w:rPr>
            </w:pPr>
          </w:p>
        </w:tc>
        <w:tc>
          <w:tcPr>
            <w:tcW w:w="1131" w:type="dxa"/>
            <w:vAlign w:val="center"/>
          </w:tcPr>
          <w:p w14:paraId="5B7923FA">
            <w:pPr>
              <w:jc w:val="center"/>
              <w:rPr>
                <w:color w:val="auto"/>
              </w:rPr>
            </w:pPr>
          </w:p>
        </w:tc>
        <w:tc>
          <w:tcPr>
            <w:tcW w:w="789" w:type="dxa"/>
            <w:tcBorders>
              <w:right w:val="single" w:color="000000" w:sz="6" w:space="0"/>
            </w:tcBorders>
            <w:vAlign w:val="center"/>
          </w:tcPr>
          <w:p w14:paraId="51661213">
            <w:pPr>
              <w:jc w:val="center"/>
              <w:rPr>
                <w:color w:val="auto"/>
              </w:rPr>
            </w:pPr>
          </w:p>
        </w:tc>
      </w:tr>
      <w:tr w14:paraId="79A49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722" w:type="dxa"/>
            <w:tcBorders>
              <w:left w:val="single" w:color="000000" w:sz="6" w:space="0"/>
            </w:tcBorders>
          </w:tcPr>
          <w:p w14:paraId="76EAD45D">
            <w:pPr>
              <w:rPr>
                <w:color w:val="auto"/>
              </w:rPr>
            </w:pPr>
          </w:p>
        </w:tc>
        <w:tc>
          <w:tcPr>
            <w:tcW w:w="1556" w:type="dxa"/>
          </w:tcPr>
          <w:p w14:paraId="29E1F616">
            <w:pPr>
              <w:rPr>
                <w:color w:val="auto"/>
              </w:rPr>
            </w:pPr>
          </w:p>
        </w:tc>
        <w:tc>
          <w:tcPr>
            <w:tcW w:w="2126" w:type="dxa"/>
          </w:tcPr>
          <w:p w14:paraId="5CAA7F09">
            <w:pPr>
              <w:rPr>
                <w:color w:val="auto"/>
              </w:rPr>
            </w:pPr>
          </w:p>
        </w:tc>
        <w:tc>
          <w:tcPr>
            <w:tcW w:w="1980" w:type="dxa"/>
          </w:tcPr>
          <w:p w14:paraId="13D85C55">
            <w:pPr>
              <w:rPr>
                <w:color w:val="auto"/>
              </w:rPr>
            </w:pPr>
          </w:p>
        </w:tc>
        <w:tc>
          <w:tcPr>
            <w:tcW w:w="851" w:type="dxa"/>
          </w:tcPr>
          <w:p w14:paraId="6E5AD71B">
            <w:pPr>
              <w:rPr>
                <w:color w:val="auto"/>
              </w:rPr>
            </w:pPr>
          </w:p>
        </w:tc>
        <w:tc>
          <w:tcPr>
            <w:tcW w:w="849" w:type="dxa"/>
          </w:tcPr>
          <w:p w14:paraId="2DFB29C9">
            <w:pPr>
              <w:rPr>
                <w:color w:val="auto"/>
              </w:rPr>
            </w:pPr>
          </w:p>
        </w:tc>
        <w:tc>
          <w:tcPr>
            <w:tcW w:w="1134" w:type="dxa"/>
          </w:tcPr>
          <w:p w14:paraId="177ECAFB">
            <w:pPr>
              <w:rPr>
                <w:color w:val="auto"/>
              </w:rPr>
            </w:pPr>
          </w:p>
        </w:tc>
        <w:tc>
          <w:tcPr>
            <w:tcW w:w="990" w:type="dxa"/>
          </w:tcPr>
          <w:p w14:paraId="763DB32E">
            <w:pPr>
              <w:rPr>
                <w:color w:val="auto"/>
              </w:rPr>
            </w:pPr>
          </w:p>
        </w:tc>
        <w:tc>
          <w:tcPr>
            <w:tcW w:w="992" w:type="dxa"/>
          </w:tcPr>
          <w:p w14:paraId="380FEE29">
            <w:pPr>
              <w:rPr>
                <w:color w:val="auto"/>
              </w:rPr>
            </w:pPr>
          </w:p>
        </w:tc>
        <w:tc>
          <w:tcPr>
            <w:tcW w:w="849" w:type="dxa"/>
          </w:tcPr>
          <w:p w14:paraId="56307DE0">
            <w:pPr>
              <w:rPr>
                <w:color w:val="auto"/>
              </w:rPr>
            </w:pPr>
          </w:p>
        </w:tc>
        <w:tc>
          <w:tcPr>
            <w:tcW w:w="1131" w:type="dxa"/>
          </w:tcPr>
          <w:p w14:paraId="1D59D232">
            <w:pPr>
              <w:rPr>
                <w:color w:val="auto"/>
              </w:rPr>
            </w:pPr>
          </w:p>
        </w:tc>
        <w:tc>
          <w:tcPr>
            <w:tcW w:w="789" w:type="dxa"/>
            <w:tcBorders>
              <w:right w:val="single" w:color="000000" w:sz="6" w:space="0"/>
            </w:tcBorders>
          </w:tcPr>
          <w:p w14:paraId="19E17726">
            <w:pPr>
              <w:rPr>
                <w:color w:val="auto"/>
              </w:rPr>
            </w:pPr>
          </w:p>
        </w:tc>
      </w:tr>
      <w:tr w14:paraId="610B1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722" w:type="dxa"/>
            <w:tcBorders>
              <w:left w:val="single" w:color="000000" w:sz="6" w:space="0"/>
            </w:tcBorders>
          </w:tcPr>
          <w:p w14:paraId="3B01E333">
            <w:pPr>
              <w:rPr>
                <w:color w:val="auto"/>
              </w:rPr>
            </w:pPr>
          </w:p>
        </w:tc>
        <w:tc>
          <w:tcPr>
            <w:tcW w:w="1556" w:type="dxa"/>
          </w:tcPr>
          <w:p w14:paraId="5275F9B6">
            <w:pPr>
              <w:rPr>
                <w:color w:val="auto"/>
              </w:rPr>
            </w:pPr>
          </w:p>
        </w:tc>
        <w:tc>
          <w:tcPr>
            <w:tcW w:w="2126" w:type="dxa"/>
          </w:tcPr>
          <w:p w14:paraId="12F9A153">
            <w:pPr>
              <w:rPr>
                <w:color w:val="auto"/>
              </w:rPr>
            </w:pPr>
          </w:p>
        </w:tc>
        <w:tc>
          <w:tcPr>
            <w:tcW w:w="1980" w:type="dxa"/>
          </w:tcPr>
          <w:p w14:paraId="0DAE9757">
            <w:pPr>
              <w:rPr>
                <w:color w:val="auto"/>
              </w:rPr>
            </w:pPr>
          </w:p>
        </w:tc>
        <w:tc>
          <w:tcPr>
            <w:tcW w:w="851" w:type="dxa"/>
          </w:tcPr>
          <w:p w14:paraId="7DF0A231">
            <w:pPr>
              <w:rPr>
                <w:color w:val="auto"/>
              </w:rPr>
            </w:pPr>
          </w:p>
        </w:tc>
        <w:tc>
          <w:tcPr>
            <w:tcW w:w="849" w:type="dxa"/>
          </w:tcPr>
          <w:p w14:paraId="138B3DD8">
            <w:pPr>
              <w:rPr>
                <w:color w:val="auto"/>
              </w:rPr>
            </w:pPr>
          </w:p>
        </w:tc>
        <w:tc>
          <w:tcPr>
            <w:tcW w:w="1134" w:type="dxa"/>
          </w:tcPr>
          <w:p w14:paraId="5FD04DAD">
            <w:pPr>
              <w:rPr>
                <w:color w:val="auto"/>
              </w:rPr>
            </w:pPr>
          </w:p>
        </w:tc>
        <w:tc>
          <w:tcPr>
            <w:tcW w:w="990" w:type="dxa"/>
          </w:tcPr>
          <w:p w14:paraId="5540C741">
            <w:pPr>
              <w:rPr>
                <w:color w:val="auto"/>
              </w:rPr>
            </w:pPr>
          </w:p>
        </w:tc>
        <w:tc>
          <w:tcPr>
            <w:tcW w:w="992" w:type="dxa"/>
          </w:tcPr>
          <w:p w14:paraId="3128E78C">
            <w:pPr>
              <w:rPr>
                <w:color w:val="auto"/>
              </w:rPr>
            </w:pPr>
          </w:p>
        </w:tc>
        <w:tc>
          <w:tcPr>
            <w:tcW w:w="849" w:type="dxa"/>
          </w:tcPr>
          <w:p w14:paraId="0947C506">
            <w:pPr>
              <w:rPr>
                <w:color w:val="auto"/>
              </w:rPr>
            </w:pPr>
          </w:p>
        </w:tc>
        <w:tc>
          <w:tcPr>
            <w:tcW w:w="1131" w:type="dxa"/>
          </w:tcPr>
          <w:p w14:paraId="215E1E85">
            <w:pPr>
              <w:rPr>
                <w:color w:val="auto"/>
              </w:rPr>
            </w:pPr>
          </w:p>
        </w:tc>
        <w:tc>
          <w:tcPr>
            <w:tcW w:w="789" w:type="dxa"/>
            <w:tcBorders>
              <w:right w:val="single" w:color="000000" w:sz="6" w:space="0"/>
            </w:tcBorders>
          </w:tcPr>
          <w:p w14:paraId="32C595A8">
            <w:pPr>
              <w:rPr>
                <w:color w:val="auto"/>
              </w:rPr>
            </w:pPr>
          </w:p>
        </w:tc>
      </w:tr>
      <w:tr w14:paraId="016C7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722" w:type="dxa"/>
            <w:tcBorders>
              <w:left w:val="single" w:color="000000" w:sz="6" w:space="0"/>
            </w:tcBorders>
          </w:tcPr>
          <w:p w14:paraId="0084900A">
            <w:pPr>
              <w:rPr>
                <w:color w:val="auto"/>
              </w:rPr>
            </w:pPr>
          </w:p>
        </w:tc>
        <w:tc>
          <w:tcPr>
            <w:tcW w:w="1556" w:type="dxa"/>
          </w:tcPr>
          <w:p w14:paraId="78967013">
            <w:pPr>
              <w:rPr>
                <w:color w:val="auto"/>
              </w:rPr>
            </w:pPr>
          </w:p>
        </w:tc>
        <w:tc>
          <w:tcPr>
            <w:tcW w:w="2126" w:type="dxa"/>
          </w:tcPr>
          <w:p w14:paraId="3E567BB2">
            <w:pPr>
              <w:rPr>
                <w:color w:val="auto"/>
              </w:rPr>
            </w:pPr>
          </w:p>
        </w:tc>
        <w:tc>
          <w:tcPr>
            <w:tcW w:w="1980" w:type="dxa"/>
          </w:tcPr>
          <w:p w14:paraId="16D4252C">
            <w:pPr>
              <w:rPr>
                <w:color w:val="auto"/>
              </w:rPr>
            </w:pPr>
          </w:p>
        </w:tc>
        <w:tc>
          <w:tcPr>
            <w:tcW w:w="851" w:type="dxa"/>
          </w:tcPr>
          <w:p w14:paraId="63A2C3BA">
            <w:pPr>
              <w:rPr>
                <w:color w:val="auto"/>
              </w:rPr>
            </w:pPr>
          </w:p>
        </w:tc>
        <w:tc>
          <w:tcPr>
            <w:tcW w:w="849" w:type="dxa"/>
          </w:tcPr>
          <w:p w14:paraId="763B9FFE">
            <w:pPr>
              <w:rPr>
                <w:color w:val="auto"/>
              </w:rPr>
            </w:pPr>
          </w:p>
        </w:tc>
        <w:tc>
          <w:tcPr>
            <w:tcW w:w="1134" w:type="dxa"/>
          </w:tcPr>
          <w:p w14:paraId="6875C2EA">
            <w:pPr>
              <w:rPr>
                <w:color w:val="auto"/>
              </w:rPr>
            </w:pPr>
          </w:p>
        </w:tc>
        <w:tc>
          <w:tcPr>
            <w:tcW w:w="990" w:type="dxa"/>
          </w:tcPr>
          <w:p w14:paraId="08C37DBA">
            <w:pPr>
              <w:rPr>
                <w:color w:val="auto"/>
              </w:rPr>
            </w:pPr>
          </w:p>
        </w:tc>
        <w:tc>
          <w:tcPr>
            <w:tcW w:w="992" w:type="dxa"/>
          </w:tcPr>
          <w:p w14:paraId="4EBAFF91">
            <w:pPr>
              <w:rPr>
                <w:color w:val="auto"/>
              </w:rPr>
            </w:pPr>
          </w:p>
        </w:tc>
        <w:tc>
          <w:tcPr>
            <w:tcW w:w="849" w:type="dxa"/>
          </w:tcPr>
          <w:p w14:paraId="76EB43F3">
            <w:pPr>
              <w:rPr>
                <w:color w:val="auto"/>
              </w:rPr>
            </w:pPr>
          </w:p>
        </w:tc>
        <w:tc>
          <w:tcPr>
            <w:tcW w:w="1131" w:type="dxa"/>
          </w:tcPr>
          <w:p w14:paraId="3A9ABF28">
            <w:pPr>
              <w:rPr>
                <w:color w:val="auto"/>
              </w:rPr>
            </w:pPr>
          </w:p>
        </w:tc>
        <w:tc>
          <w:tcPr>
            <w:tcW w:w="789" w:type="dxa"/>
            <w:tcBorders>
              <w:right w:val="single" w:color="000000" w:sz="6" w:space="0"/>
            </w:tcBorders>
          </w:tcPr>
          <w:p w14:paraId="5DA4415D">
            <w:pPr>
              <w:rPr>
                <w:color w:val="auto"/>
              </w:rPr>
            </w:pPr>
          </w:p>
        </w:tc>
      </w:tr>
      <w:tr w14:paraId="76F25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jc w:val="center"/>
        </w:trPr>
        <w:tc>
          <w:tcPr>
            <w:tcW w:w="722" w:type="dxa"/>
            <w:tcBorders>
              <w:left w:val="single" w:color="000000" w:sz="6" w:space="0"/>
            </w:tcBorders>
          </w:tcPr>
          <w:p w14:paraId="387E64B8">
            <w:pPr>
              <w:rPr>
                <w:color w:val="auto"/>
              </w:rPr>
            </w:pPr>
          </w:p>
        </w:tc>
        <w:tc>
          <w:tcPr>
            <w:tcW w:w="1556" w:type="dxa"/>
          </w:tcPr>
          <w:p w14:paraId="63EAACAD">
            <w:pPr>
              <w:rPr>
                <w:color w:val="auto"/>
              </w:rPr>
            </w:pPr>
          </w:p>
        </w:tc>
        <w:tc>
          <w:tcPr>
            <w:tcW w:w="2126" w:type="dxa"/>
          </w:tcPr>
          <w:p w14:paraId="3CEF593E">
            <w:pPr>
              <w:rPr>
                <w:color w:val="auto"/>
              </w:rPr>
            </w:pPr>
          </w:p>
        </w:tc>
        <w:tc>
          <w:tcPr>
            <w:tcW w:w="1980" w:type="dxa"/>
          </w:tcPr>
          <w:p w14:paraId="453F64AF">
            <w:pPr>
              <w:rPr>
                <w:color w:val="auto"/>
              </w:rPr>
            </w:pPr>
          </w:p>
        </w:tc>
        <w:tc>
          <w:tcPr>
            <w:tcW w:w="851" w:type="dxa"/>
          </w:tcPr>
          <w:p w14:paraId="2C065A27">
            <w:pPr>
              <w:rPr>
                <w:color w:val="auto"/>
              </w:rPr>
            </w:pPr>
          </w:p>
        </w:tc>
        <w:tc>
          <w:tcPr>
            <w:tcW w:w="849" w:type="dxa"/>
          </w:tcPr>
          <w:p w14:paraId="0ABD5613">
            <w:pPr>
              <w:rPr>
                <w:color w:val="auto"/>
              </w:rPr>
            </w:pPr>
          </w:p>
        </w:tc>
        <w:tc>
          <w:tcPr>
            <w:tcW w:w="1134" w:type="dxa"/>
          </w:tcPr>
          <w:p w14:paraId="1C9BCA75">
            <w:pPr>
              <w:rPr>
                <w:color w:val="auto"/>
              </w:rPr>
            </w:pPr>
          </w:p>
        </w:tc>
        <w:tc>
          <w:tcPr>
            <w:tcW w:w="990" w:type="dxa"/>
          </w:tcPr>
          <w:p w14:paraId="1FB29CC8">
            <w:pPr>
              <w:rPr>
                <w:color w:val="auto"/>
              </w:rPr>
            </w:pPr>
          </w:p>
        </w:tc>
        <w:tc>
          <w:tcPr>
            <w:tcW w:w="992" w:type="dxa"/>
          </w:tcPr>
          <w:p w14:paraId="223579ED">
            <w:pPr>
              <w:rPr>
                <w:color w:val="auto"/>
              </w:rPr>
            </w:pPr>
          </w:p>
        </w:tc>
        <w:tc>
          <w:tcPr>
            <w:tcW w:w="849" w:type="dxa"/>
          </w:tcPr>
          <w:p w14:paraId="789347B2">
            <w:pPr>
              <w:rPr>
                <w:color w:val="auto"/>
              </w:rPr>
            </w:pPr>
          </w:p>
        </w:tc>
        <w:tc>
          <w:tcPr>
            <w:tcW w:w="1131" w:type="dxa"/>
          </w:tcPr>
          <w:p w14:paraId="45326642">
            <w:pPr>
              <w:rPr>
                <w:color w:val="auto"/>
              </w:rPr>
            </w:pPr>
          </w:p>
        </w:tc>
        <w:tc>
          <w:tcPr>
            <w:tcW w:w="789" w:type="dxa"/>
            <w:tcBorders>
              <w:right w:val="single" w:color="000000" w:sz="6" w:space="0"/>
            </w:tcBorders>
          </w:tcPr>
          <w:p w14:paraId="3989CFB6">
            <w:pPr>
              <w:rPr>
                <w:color w:val="auto"/>
              </w:rPr>
            </w:pPr>
          </w:p>
        </w:tc>
      </w:tr>
      <w:tr w14:paraId="76CE0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722" w:type="dxa"/>
            <w:tcBorders>
              <w:left w:val="single" w:color="000000" w:sz="6" w:space="0"/>
            </w:tcBorders>
          </w:tcPr>
          <w:p w14:paraId="4ABB6349">
            <w:pPr>
              <w:rPr>
                <w:color w:val="auto"/>
              </w:rPr>
            </w:pPr>
          </w:p>
        </w:tc>
        <w:tc>
          <w:tcPr>
            <w:tcW w:w="1556" w:type="dxa"/>
          </w:tcPr>
          <w:p w14:paraId="11DCC94E">
            <w:pPr>
              <w:rPr>
                <w:color w:val="auto"/>
              </w:rPr>
            </w:pPr>
          </w:p>
        </w:tc>
        <w:tc>
          <w:tcPr>
            <w:tcW w:w="2126" w:type="dxa"/>
          </w:tcPr>
          <w:p w14:paraId="5E236A62">
            <w:pPr>
              <w:rPr>
                <w:color w:val="auto"/>
              </w:rPr>
            </w:pPr>
          </w:p>
        </w:tc>
        <w:tc>
          <w:tcPr>
            <w:tcW w:w="1980" w:type="dxa"/>
          </w:tcPr>
          <w:p w14:paraId="0FB52286">
            <w:pPr>
              <w:rPr>
                <w:color w:val="auto"/>
              </w:rPr>
            </w:pPr>
          </w:p>
        </w:tc>
        <w:tc>
          <w:tcPr>
            <w:tcW w:w="851" w:type="dxa"/>
          </w:tcPr>
          <w:p w14:paraId="32FA17E4">
            <w:pPr>
              <w:rPr>
                <w:color w:val="auto"/>
              </w:rPr>
            </w:pPr>
          </w:p>
        </w:tc>
        <w:tc>
          <w:tcPr>
            <w:tcW w:w="849" w:type="dxa"/>
          </w:tcPr>
          <w:p w14:paraId="3F735BEC">
            <w:pPr>
              <w:rPr>
                <w:color w:val="auto"/>
              </w:rPr>
            </w:pPr>
          </w:p>
        </w:tc>
        <w:tc>
          <w:tcPr>
            <w:tcW w:w="1134" w:type="dxa"/>
          </w:tcPr>
          <w:p w14:paraId="479A3B42">
            <w:pPr>
              <w:rPr>
                <w:color w:val="auto"/>
              </w:rPr>
            </w:pPr>
          </w:p>
        </w:tc>
        <w:tc>
          <w:tcPr>
            <w:tcW w:w="990" w:type="dxa"/>
          </w:tcPr>
          <w:p w14:paraId="02E03A9B">
            <w:pPr>
              <w:rPr>
                <w:color w:val="auto"/>
              </w:rPr>
            </w:pPr>
          </w:p>
        </w:tc>
        <w:tc>
          <w:tcPr>
            <w:tcW w:w="992" w:type="dxa"/>
          </w:tcPr>
          <w:p w14:paraId="6F3507CD">
            <w:pPr>
              <w:rPr>
                <w:color w:val="auto"/>
              </w:rPr>
            </w:pPr>
          </w:p>
        </w:tc>
        <w:tc>
          <w:tcPr>
            <w:tcW w:w="849" w:type="dxa"/>
          </w:tcPr>
          <w:p w14:paraId="607925DB">
            <w:pPr>
              <w:rPr>
                <w:color w:val="auto"/>
              </w:rPr>
            </w:pPr>
          </w:p>
        </w:tc>
        <w:tc>
          <w:tcPr>
            <w:tcW w:w="1131" w:type="dxa"/>
          </w:tcPr>
          <w:p w14:paraId="22AE1FFF">
            <w:pPr>
              <w:rPr>
                <w:color w:val="auto"/>
              </w:rPr>
            </w:pPr>
          </w:p>
        </w:tc>
        <w:tc>
          <w:tcPr>
            <w:tcW w:w="789" w:type="dxa"/>
            <w:tcBorders>
              <w:right w:val="single" w:color="000000" w:sz="6" w:space="0"/>
            </w:tcBorders>
          </w:tcPr>
          <w:p w14:paraId="0D0E4086">
            <w:pPr>
              <w:rPr>
                <w:color w:val="auto"/>
              </w:rPr>
            </w:pPr>
          </w:p>
        </w:tc>
      </w:tr>
      <w:tr w14:paraId="74BFD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722" w:type="dxa"/>
            <w:tcBorders>
              <w:left w:val="single" w:color="000000" w:sz="6" w:space="0"/>
            </w:tcBorders>
          </w:tcPr>
          <w:p w14:paraId="58248353">
            <w:pPr>
              <w:rPr>
                <w:color w:val="auto"/>
              </w:rPr>
            </w:pPr>
          </w:p>
        </w:tc>
        <w:tc>
          <w:tcPr>
            <w:tcW w:w="1556" w:type="dxa"/>
          </w:tcPr>
          <w:p w14:paraId="0BCEE9B0">
            <w:pPr>
              <w:rPr>
                <w:color w:val="auto"/>
              </w:rPr>
            </w:pPr>
          </w:p>
        </w:tc>
        <w:tc>
          <w:tcPr>
            <w:tcW w:w="2126" w:type="dxa"/>
          </w:tcPr>
          <w:p w14:paraId="1BE7B2F2">
            <w:pPr>
              <w:rPr>
                <w:color w:val="auto"/>
              </w:rPr>
            </w:pPr>
          </w:p>
        </w:tc>
        <w:tc>
          <w:tcPr>
            <w:tcW w:w="1980" w:type="dxa"/>
          </w:tcPr>
          <w:p w14:paraId="22C8B59F">
            <w:pPr>
              <w:rPr>
                <w:color w:val="auto"/>
              </w:rPr>
            </w:pPr>
          </w:p>
        </w:tc>
        <w:tc>
          <w:tcPr>
            <w:tcW w:w="851" w:type="dxa"/>
          </w:tcPr>
          <w:p w14:paraId="08EC6816">
            <w:pPr>
              <w:rPr>
                <w:color w:val="auto"/>
              </w:rPr>
            </w:pPr>
          </w:p>
        </w:tc>
        <w:tc>
          <w:tcPr>
            <w:tcW w:w="849" w:type="dxa"/>
          </w:tcPr>
          <w:p w14:paraId="7061C6DE">
            <w:pPr>
              <w:rPr>
                <w:color w:val="auto"/>
              </w:rPr>
            </w:pPr>
          </w:p>
        </w:tc>
        <w:tc>
          <w:tcPr>
            <w:tcW w:w="1134" w:type="dxa"/>
          </w:tcPr>
          <w:p w14:paraId="7217194C">
            <w:pPr>
              <w:rPr>
                <w:color w:val="auto"/>
              </w:rPr>
            </w:pPr>
          </w:p>
        </w:tc>
        <w:tc>
          <w:tcPr>
            <w:tcW w:w="990" w:type="dxa"/>
          </w:tcPr>
          <w:p w14:paraId="7B32731D">
            <w:pPr>
              <w:rPr>
                <w:color w:val="auto"/>
              </w:rPr>
            </w:pPr>
          </w:p>
        </w:tc>
        <w:tc>
          <w:tcPr>
            <w:tcW w:w="992" w:type="dxa"/>
          </w:tcPr>
          <w:p w14:paraId="59771F23">
            <w:pPr>
              <w:rPr>
                <w:color w:val="auto"/>
              </w:rPr>
            </w:pPr>
          </w:p>
        </w:tc>
        <w:tc>
          <w:tcPr>
            <w:tcW w:w="849" w:type="dxa"/>
          </w:tcPr>
          <w:p w14:paraId="49F26871">
            <w:pPr>
              <w:rPr>
                <w:color w:val="auto"/>
              </w:rPr>
            </w:pPr>
          </w:p>
        </w:tc>
        <w:tc>
          <w:tcPr>
            <w:tcW w:w="1131" w:type="dxa"/>
          </w:tcPr>
          <w:p w14:paraId="739D9203">
            <w:pPr>
              <w:rPr>
                <w:color w:val="auto"/>
              </w:rPr>
            </w:pPr>
          </w:p>
        </w:tc>
        <w:tc>
          <w:tcPr>
            <w:tcW w:w="789" w:type="dxa"/>
            <w:tcBorders>
              <w:right w:val="single" w:color="000000" w:sz="6" w:space="0"/>
            </w:tcBorders>
          </w:tcPr>
          <w:p w14:paraId="7EF76A8E">
            <w:pPr>
              <w:rPr>
                <w:color w:val="auto"/>
              </w:rPr>
            </w:pPr>
          </w:p>
        </w:tc>
      </w:tr>
      <w:tr w14:paraId="26081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722" w:type="dxa"/>
            <w:tcBorders>
              <w:left w:val="single" w:color="000000" w:sz="6" w:space="0"/>
            </w:tcBorders>
          </w:tcPr>
          <w:p w14:paraId="7EDAC309">
            <w:pPr>
              <w:rPr>
                <w:color w:val="auto"/>
              </w:rPr>
            </w:pPr>
          </w:p>
        </w:tc>
        <w:tc>
          <w:tcPr>
            <w:tcW w:w="1556" w:type="dxa"/>
          </w:tcPr>
          <w:p w14:paraId="29793D36">
            <w:pPr>
              <w:rPr>
                <w:color w:val="auto"/>
              </w:rPr>
            </w:pPr>
          </w:p>
        </w:tc>
        <w:tc>
          <w:tcPr>
            <w:tcW w:w="2126" w:type="dxa"/>
          </w:tcPr>
          <w:p w14:paraId="2B2E0DB8">
            <w:pPr>
              <w:rPr>
                <w:color w:val="auto"/>
              </w:rPr>
            </w:pPr>
          </w:p>
        </w:tc>
        <w:tc>
          <w:tcPr>
            <w:tcW w:w="1980" w:type="dxa"/>
          </w:tcPr>
          <w:p w14:paraId="20D1222A">
            <w:pPr>
              <w:rPr>
                <w:color w:val="auto"/>
              </w:rPr>
            </w:pPr>
          </w:p>
        </w:tc>
        <w:tc>
          <w:tcPr>
            <w:tcW w:w="851" w:type="dxa"/>
          </w:tcPr>
          <w:p w14:paraId="12186254">
            <w:pPr>
              <w:rPr>
                <w:color w:val="auto"/>
              </w:rPr>
            </w:pPr>
          </w:p>
        </w:tc>
        <w:tc>
          <w:tcPr>
            <w:tcW w:w="849" w:type="dxa"/>
          </w:tcPr>
          <w:p w14:paraId="4C80E56A">
            <w:pPr>
              <w:rPr>
                <w:color w:val="auto"/>
              </w:rPr>
            </w:pPr>
          </w:p>
        </w:tc>
        <w:tc>
          <w:tcPr>
            <w:tcW w:w="1134" w:type="dxa"/>
          </w:tcPr>
          <w:p w14:paraId="07EDF67E">
            <w:pPr>
              <w:rPr>
                <w:color w:val="auto"/>
              </w:rPr>
            </w:pPr>
          </w:p>
        </w:tc>
        <w:tc>
          <w:tcPr>
            <w:tcW w:w="990" w:type="dxa"/>
          </w:tcPr>
          <w:p w14:paraId="4F15F13A">
            <w:pPr>
              <w:rPr>
                <w:color w:val="auto"/>
              </w:rPr>
            </w:pPr>
          </w:p>
        </w:tc>
        <w:tc>
          <w:tcPr>
            <w:tcW w:w="992" w:type="dxa"/>
          </w:tcPr>
          <w:p w14:paraId="17D4136B">
            <w:pPr>
              <w:rPr>
                <w:color w:val="auto"/>
              </w:rPr>
            </w:pPr>
          </w:p>
        </w:tc>
        <w:tc>
          <w:tcPr>
            <w:tcW w:w="849" w:type="dxa"/>
          </w:tcPr>
          <w:p w14:paraId="3DF99F14">
            <w:pPr>
              <w:rPr>
                <w:color w:val="auto"/>
              </w:rPr>
            </w:pPr>
          </w:p>
        </w:tc>
        <w:tc>
          <w:tcPr>
            <w:tcW w:w="1131" w:type="dxa"/>
          </w:tcPr>
          <w:p w14:paraId="2C588661">
            <w:pPr>
              <w:rPr>
                <w:color w:val="auto"/>
              </w:rPr>
            </w:pPr>
          </w:p>
        </w:tc>
        <w:tc>
          <w:tcPr>
            <w:tcW w:w="789" w:type="dxa"/>
            <w:tcBorders>
              <w:right w:val="single" w:color="000000" w:sz="6" w:space="0"/>
            </w:tcBorders>
          </w:tcPr>
          <w:p w14:paraId="5B27EEFC">
            <w:pPr>
              <w:rPr>
                <w:color w:val="auto"/>
              </w:rPr>
            </w:pPr>
          </w:p>
        </w:tc>
      </w:tr>
      <w:tr w14:paraId="4C5CE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jc w:val="center"/>
        </w:trPr>
        <w:tc>
          <w:tcPr>
            <w:tcW w:w="722" w:type="dxa"/>
            <w:tcBorders>
              <w:left w:val="single" w:color="000000" w:sz="6" w:space="0"/>
            </w:tcBorders>
          </w:tcPr>
          <w:p w14:paraId="1FAB8554">
            <w:pPr>
              <w:rPr>
                <w:color w:val="auto"/>
              </w:rPr>
            </w:pPr>
          </w:p>
        </w:tc>
        <w:tc>
          <w:tcPr>
            <w:tcW w:w="1556" w:type="dxa"/>
          </w:tcPr>
          <w:p w14:paraId="1226A4BC">
            <w:pPr>
              <w:rPr>
                <w:color w:val="auto"/>
              </w:rPr>
            </w:pPr>
          </w:p>
        </w:tc>
        <w:tc>
          <w:tcPr>
            <w:tcW w:w="2126" w:type="dxa"/>
          </w:tcPr>
          <w:p w14:paraId="6F8A8321">
            <w:pPr>
              <w:rPr>
                <w:color w:val="auto"/>
              </w:rPr>
            </w:pPr>
          </w:p>
        </w:tc>
        <w:tc>
          <w:tcPr>
            <w:tcW w:w="1980" w:type="dxa"/>
          </w:tcPr>
          <w:p w14:paraId="2FD58A17">
            <w:pPr>
              <w:rPr>
                <w:color w:val="auto"/>
              </w:rPr>
            </w:pPr>
          </w:p>
        </w:tc>
        <w:tc>
          <w:tcPr>
            <w:tcW w:w="851" w:type="dxa"/>
          </w:tcPr>
          <w:p w14:paraId="2E1F6CFF">
            <w:pPr>
              <w:rPr>
                <w:color w:val="auto"/>
              </w:rPr>
            </w:pPr>
          </w:p>
        </w:tc>
        <w:tc>
          <w:tcPr>
            <w:tcW w:w="849" w:type="dxa"/>
          </w:tcPr>
          <w:p w14:paraId="06A547E9">
            <w:pPr>
              <w:rPr>
                <w:color w:val="auto"/>
              </w:rPr>
            </w:pPr>
          </w:p>
        </w:tc>
        <w:tc>
          <w:tcPr>
            <w:tcW w:w="1134" w:type="dxa"/>
          </w:tcPr>
          <w:p w14:paraId="0DC45DE2">
            <w:pPr>
              <w:rPr>
                <w:color w:val="auto"/>
              </w:rPr>
            </w:pPr>
          </w:p>
        </w:tc>
        <w:tc>
          <w:tcPr>
            <w:tcW w:w="990" w:type="dxa"/>
          </w:tcPr>
          <w:p w14:paraId="41526F55">
            <w:pPr>
              <w:rPr>
                <w:color w:val="auto"/>
              </w:rPr>
            </w:pPr>
          </w:p>
        </w:tc>
        <w:tc>
          <w:tcPr>
            <w:tcW w:w="992" w:type="dxa"/>
          </w:tcPr>
          <w:p w14:paraId="1285ED9E">
            <w:pPr>
              <w:rPr>
                <w:color w:val="auto"/>
              </w:rPr>
            </w:pPr>
          </w:p>
        </w:tc>
        <w:tc>
          <w:tcPr>
            <w:tcW w:w="849" w:type="dxa"/>
          </w:tcPr>
          <w:p w14:paraId="36F982CB">
            <w:pPr>
              <w:rPr>
                <w:color w:val="auto"/>
              </w:rPr>
            </w:pPr>
          </w:p>
        </w:tc>
        <w:tc>
          <w:tcPr>
            <w:tcW w:w="1131" w:type="dxa"/>
          </w:tcPr>
          <w:p w14:paraId="1D1B68A9">
            <w:pPr>
              <w:rPr>
                <w:color w:val="auto"/>
              </w:rPr>
            </w:pPr>
          </w:p>
        </w:tc>
        <w:tc>
          <w:tcPr>
            <w:tcW w:w="789" w:type="dxa"/>
            <w:tcBorders>
              <w:right w:val="single" w:color="000000" w:sz="6" w:space="0"/>
            </w:tcBorders>
          </w:tcPr>
          <w:p w14:paraId="3F8AD6BD">
            <w:pPr>
              <w:rPr>
                <w:color w:val="auto"/>
              </w:rPr>
            </w:pPr>
          </w:p>
        </w:tc>
      </w:tr>
      <w:tr w14:paraId="10F2C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722" w:type="dxa"/>
            <w:tcBorders>
              <w:left w:val="single" w:color="000000" w:sz="6" w:space="0"/>
            </w:tcBorders>
          </w:tcPr>
          <w:p w14:paraId="22CE0B7C">
            <w:pPr>
              <w:rPr>
                <w:color w:val="auto"/>
              </w:rPr>
            </w:pPr>
          </w:p>
        </w:tc>
        <w:tc>
          <w:tcPr>
            <w:tcW w:w="1556" w:type="dxa"/>
          </w:tcPr>
          <w:p w14:paraId="559B633F">
            <w:pPr>
              <w:rPr>
                <w:color w:val="auto"/>
              </w:rPr>
            </w:pPr>
          </w:p>
        </w:tc>
        <w:tc>
          <w:tcPr>
            <w:tcW w:w="2126" w:type="dxa"/>
          </w:tcPr>
          <w:p w14:paraId="453B4180">
            <w:pPr>
              <w:rPr>
                <w:color w:val="auto"/>
              </w:rPr>
            </w:pPr>
          </w:p>
        </w:tc>
        <w:tc>
          <w:tcPr>
            <w:tcW w:w="1980" w:type="dxa"/>
          </w:tcPr>
          <w:p w14:paraId="0D4CAEA2">
            <w:pPr>
              <w:rPr>
                <w:color w:val="auto"/>
              </w:rPr>
            </w:pPr>
          </w:p>
        </w:tc>
        <w:tc>
          <w:tcPr>
            <w:tcW w:w="851" w:type="dxa"/>
          </w:tcPr>
          <w:p w14:paraId="51D43C3D">
            <w:pPr>
              <w:rPr>
                <w:color w:val="auto"/>
              </w:rPr>
            </w:pPr>
          </w:p>
        </w:tc>
        <w:tc>
          <w:tcPr>
            <w:tcW w:w="849" w:type="dxa"/>
          </w:tcPr>
          <w:p w14:paraId="5617E3A0">
            <w:pPr>
              <w:rPr>
                <w:color w:val="auto"/>
              </w:rPr>
            </w:pPr>
          </w:p>
        </w:tc>
        <w:tc>
          <w:tcPr>
            <w:tcW w:w="1134" w:type="dxa"/>
          </w:tcPr>
          <w:p w14:paraId="6D844771">
            <w:pPr>
              <w:rPr>
                <w:color w:val="auto"/>
              </w:rPr>
            </w:pPr>
          </w:p>
        </w:tc>
        <w:tc>
          <w:tcPr>
            <w:tcW w:w="990" w:type="dxa"/>
          </w:tcPr>
          <w:p w14:paraId="06B59D7C">
            <w:pPr>
              <w:rPr>
                <w:color w:val="auto"/>
              </w:rPr>
            </w:pPr>
          </w:p>
        </w:tc>
        <w:tc>
          <w:tcPr>
            <w:tcW w:w="992" w:type="dxa"/>
          </w:tcPr>
          <w:p w14:paraId="00675306">
            <w:pPr>
              <w:rPr>
                <w:color w:val="auto"/>
              </w:rPr>
            </w:pPr>
          </w:p>
        </w:tc>
        <w:tc>
          <w:tcPr>
            <w:tcW w:w="849" w:type="dxa"/>
          </w:tcPr>
          <w:p w14:paraId="16E8D0C5">
            <w:pPr>
              <w:rPr>
                <w:color w:val="auto"/>
              </w:rPr>
            </w:pPr>
          </w:p>
        </w:tc>
        <w:tc>
          <w:tcPr>
            <w:tcW w:w="1131" w:type="dxa"/>
          </w:tcPr>
          <w:p w14:paraId="7C9DC2E5">
            <w:pPr>
              <w:rPr>
                <w:color w:val="auto"/>
              </w:rPr>
            </w:pPr>
          </w:p>
        </w:tc>
        <w:tc>
          <w:tcPr>
            <w:tcW w:w="789" w:type="dxa"/>
            <w:tcBorders>
              <w:right w:val="single" w:color="000000" w:sz="6" w:space="0"/>
            </w:tcBorders>
          </w:tcPr>
          <w:p w14:paraId="4B4AD5A4">
            <w:pPr>
              <w:rPr>
                <w:color w:val="auto"/>
              </w:rPr>
            </w:pPr>
          </w:p>
        </w:tc>
      </w:tr>
      <w:tr w14:paraId="2C0168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jc w:val="center"/>
        </w:trPr>
        <w:tc>
          <w:tcPr>
            <w:tcW w:w="722" w:type="dxa"/>
            <w:tcBorders>
              <w:left w:val="single" w:color="000000" w:sz="6" w:space="0"/>
              <w:bottom w:val="single" w:color="000000" w:sz="6" w:space="0"/>
            </w:tcBorders>
          </w:tcPr>
          <w:p w14:paraId="4D337890">
            <w:pPr>
              <w:rPr>
                <w:color w:val="auto"/>
              </w:rPr>
            </w:pPr>
          </w:p>
        </w:tc>
        <w:tc>
          <w:tcPr>
            <w:tcW w:w="1556" w:type="dxa"/>
            <w:tcBorders>
              <w:bottom w:val="single" w:color="000000" w:sz="6" w:space="0"/>
            </w:tcBorders>
          </w:tcPr>
          <w:p w14:paraId="4AA4F8AA">
            <w:pPr>
              <w:rPr>
                <w:color w:val="auto"/>
              </w:rPr>
            </w:pPr>
          </w:p>
        </w:tc>
        <w:tc>
          <w:tcPr>
            <w:tcW w:w="2126" w:type="dxa"/>
            <w:tcBorders>
              <w:bottom w:val="single" w:color="000000" w:sz="6" w:space="0"/>
            </w:tcBorders>
          </w:tcPr>
          <w:p w14:paraId="35E46F1F">
            <w:pPr>
              <w:pStyle w:val="21"/>
              <w:spacing w:before="162" w:line="221" w:lineRule="auto"/>
              <w:ind w:left="705"/>
              <w:rPr>
                <w:rFonts w:hint="eastAsia"/>
                <w:color w:val="auto"/>
                <w:sz w:val="24"/>
                <w:szCs w:val="24"/>
              </w:rPr>
            </w:pPr>
            <w:r>
              <w:rPr>
                <w:color w:val="auto"/>
                <w:spacing w:val="-6"/>
                <w:sz w:val="24"/>
                <w:szCs w:val="24"/>
              </w:rPr>
              <w:t>合</w:t>
            </w:r>
            <w:r>
              <w:rPr>
                <w:rFonts w:hint="eastAsia"/>
                <w:color w:val="auto"/>
                <w:spacing w:val="5"/>
                <w:sz w:val="24"/>
                <w:szCs w:val="24"/>
                <w:lang w:eastAsia="zh-CN"/>
              </w:rPr>
              <w:t>　</w:t>
            </w:r>
            <w:r>
              <w:rPr>
                <w:color w:val="auto"/>
                <w:spacing w:val="-6"/>
                <w:sz w:val="24"/>
                <w:szCs w:val="24"/>
              </w:rPr>
              <w:t>计</w:t>
            </w:r>
          </w:p>
        </w:tc>
        <w:tc>
          <w:tcPr>
            <w:tcW w:w="1980" w:type="dxa"/>
            <w:tcBorders>
              <w:bottom w:val="single" w:color="000000" w:sz="6" w:space="0"/>
            </w:tcBorders>
          </w:tcPr>
          <w:p w14:paraId="1787B82E">
            <w:pPr>
              <w:rPr>
                <w:color w:val="auto"/>
              </w:rPr>
            </w:pPr>
          </w:p>
        </w:tc>
        <w:tc>
          <w:tcPr>
            <w:tcW w:w="851" w:type="dxa"/>
            <w:tcBorders>
              <w:bottom w:val="single" w:color="000000" w:sz="6" w:space="0"/>
            </w:tcBorders>
          </w:tcPr>
          <w:p w14:paraId="4CB16DDD">
            <w:pPr>
              <w:rPr>
                <w:color w:val="auto"/>
              </w:rPr>
            </w:pPr>
          </w:p>
        </w:tc>
        <w:tc>
          <w:tcPr>
            <w:tcW w:w="849" w:type="dxa"/>
            <w:tcBorders>
              <w:bottom w:val="single" w:color="000000" w:sz="6" w:space="0"/>
            </w:tcBorders>
          </w:tcPr>
          <w:p w14:paraId="4DD0971E">
            <w:pPr>
              <w:rPr>
                <w:color w:val="auto"/>
              </w:rPr>
            </w:pPr>
          </w:p>
        </w:tc>
        <w:tc>
          <w:tcPr>
            <w:tcW w:w="1134" w:type="dxa"/>
            <w:tcBorders>
              <w:bottom w:val="single" w:color="000000" w:sz="6" w:space="0"/>
            </w:tcBorders>
          </w:tcPr>
          <w:p w14:paraId="56423FF3">
            <w:pPr>
              <w:rPr>
                <w:color w:val="auto"/>
              </w:rPr>
            </w:pPr>
          </w:p>
        </w:tc>
        <w:tc>
          <w:tcPr>
            <w:tcW w:w="990" w:type="dxa"/>
            <w:tcBorders>
              <w:bottom w:val="single" w:color="000000" w:sz="6" w:space="0"/>
            </w:tcBorders>
          </w:tcPr>
          <w:p w14:paraId="469C3640">
            <w:pPr>
              <w:rPr>
                <w:color w:val="auto"/>
              </w:rPr>
            </w:pPr>
          </w:p>
        </w:tc>
        <w:tc>
          <w:tcPr>
            <w:tcW w:w="992" w:type="dxa"/>
            <w:tcBorders>
              <w:bottom w:val="single" w:color="000000" w:sz="6" w:space="0"/>
            </w:tcBorders>
          </w:tcPr>
          <w:p w14:paraId="71DA2172">
            <w:pPr>
              <w:rPr>
                <w:color w:val="auto"/>
              </w:rPr>
            </w:pPr>
          </w:p>
        </w:tc>
        <w:tc>
          <w:tcPr>
            <w:tcW w:w="849" w:type="dxa"/>
            <w:tcBorders>
              <w:bottom w:val="single" w:color="000000" w:sz="6" w:space="0"/>
            </w:tcBorders>
          </w:tcPr>
          <w:p w14:paraId="5841F757">
            <w:pPr>
              <w:rPr>
                <w:color w:val="auto"/>
              </w:rPr>
            </w:pPr>
          </w:p>
        </w:tc>
        <w:tc>
          <w:tcPr>
            <w:tcW w:w="1131" w:type="dxa"/>
            <w:tcBorders>
              <w:bottom w:val="single" w:color="000000" w:sz="6" w:space="0"/>
            </w:tcBorders>
          </w:tcPr>
          <w:p w14:paraId="75BAB838">
            <w:pPr>
              <w:rPr>
                <w:color w:val="auto"/>
              </w:rPr>
            </w:pPr>
          </w:p>
        </w:tc>
        <w:tc>
          <w:tcPr>
            <w:tcW w:w="789" w:type="dxa"/>
            <w:tcBorders>
              <w:bottom w:val="single" w:color="000000" w:sz="6" w:space="0"/>
              <w:right w:val="single" w:color="000000" w:sz="6" w:space="0"/>
            </w:tcBorders>
          </w:tcPr>
          <w:p w14:paraId="173A209A">
            <w:pPr>
              <w:rPr>
                <w:color w:val="auto"/>
              </w:rPr>
            </w:pPr>
          </w:p>
        </w:tc>
      </w:tr>
    </w:tbl>
    <w:p w14:paraId="4D22E952">
      <w:pPr>
        <w:spacing w:before="311" w:line="219" w:lineRule="auto"/>
        <w:ind w:left="2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法定代表人或委托代理人</w:t>
      </w:r>
      <w:r>
        <w:rPr>
          <w:rFonts w:ascii="宋体" w:hAnsi="宋体" w:eastAsia="宋体" w:cs="宋体"/>
          <w:color w:val="auto"/>
          <w:spacing w:val="-11"/>
          <w:sz w:val="24"/>
          <w:szCs w:val="24"/>
          <w:lang w:eastAsia="zh-CN"/>
        </w:rPr>
        <w:t>：</w:t>
      </w:r>
      <w:r>
        <w:rPr>
          <w:rFonts w:hint="eastAsia" w:ascii="宋体" w:hAnsi="宋体" w:eastAsia="宋体" w:cs="宋体"/>
          <w:color w:val="auto"/>
          <w:spacing w:val="30"/>
          <w:sz w:val="24"/>
          <w:szCs w:val="24"/>
          <w:u w:val="single"/>
          <w:lang w:eastAsia="zh-CN"/>
        </w:rPr>
        <w:t>　　</w:t>
      </w:r>
      <w:r>
        <w:rPr>
          <w:rFonts w:ascii="宋体" w:hAnsi="宋体" w:eastAsia="宋体" w:cs="宋体"/>
          <w:color w:val="auto"/>
          <w:spacing w:val="-11"/>
          <w:sz w:val="24"/>
          <w:szCs w:val="24"/>
          <w:u w:val="single"/>
          <w:lang w:eastAsia="zh-CN"/>
        </w:rPr>
        <w:t>（</w:t>
      </w:r>
      <w:r>
        <w:rPr>
          <w:rFonts w:ascii="宋体" w:hAnsi="宋体" w:eastAsia="宋体" w:cs="宋体"/>
          <w:color w:val="auto"/>
          <w:spacing w:val="1"/>
          <w:sz w:val="24"/>
          <w:szCs w:val="24"/>
          <w:u w:val="single"/>
          <w:lang w:eastAsia="zh-CN"/>
        </w:rPr>
        <w:t>签字或盖章）</w:t>
      </w:r>
      <w:r>
        <w:rPr>
          <w:rFonts w:hint="eastAsia" w:ascii="宋体" w:hAnsi="宋体" w:eastAsia="宋体" w:cs="宋体"/>
          <w:color w:val="auto"/>
          <w:sz w:val="24"/>
          <w:szCs w:val="24"/>
          <w:u w:val="single"/>
          <w:lang w:eastAsia="zh-CN"/>
        </w:rPr>
        <w:t>　　　</w:t>
      </w:r>
    </w:p>
    <w:p w14:paraId="4F5DC27C">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5AFAE4C3">
      <w:pPr>
        <w:pStyle w:val="8"/>
        <w:spacing w:line="283" w:lineRule="auto"/>
        <w:rPr>
          <w:color w:val="auto"/>
          <w:lang w:eastAsia="zh-CN"/>
        </w:rPr>
      </w:pPr>
    </w:p>
    <w:p w14:paraId="6627053F">
      <w:pPr>
        <w:spacing w:before="91" w:line="219" w:lineRule="auto"/>
        <w:ind w:left="3771"/>
        <w:rPr>
          <w:rFonts w:hint="eastAsia" w:ascii="宋体" w:hAnsi="宋体" w:eastAsia="宋体" w:cs="宋体"/>
          <w:color w:val="auto"/>
          <w:sz w:val="28"/>
          <w:szCs w:val="28"/>
          <w:lang w:eastAsia="zh-CN"/>
        </w:rPr>
      </w:pPr>
      <w:r>
        <w:rPr>
          <w:rFonts w:ascii="宋体" w:hAnsi="宋体" w:eastAsia="宋体" w:cs="宋体"/>
          <w:b/>
          <w:bCs/>
          <w:color w:val="auto"/>
          <w:spacing w:val="-3"/>
          <w:sz w:val="28"/>
          <w:szCs w:val="28"/>
          <w:lang w:eastAsia="zh-CN"/>
        </w:rPr>
        <w:t>金属结构设备及安装工程分类分项工程量清单计价表</w:t>
      </w:r>
    </w:p>
    <w:p w14:paraId="02013E1F">
      <w:pPr>
        <w:spacing w:before="205" w:line="212" w:lineRule="auto"/>
        <w:ind w:left="25"/>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pacing w:val="-1"/>
          <w:sz w:val="24"/>
          <w:szCs w:val="24"/>
          <w:lang w:eastAsia="zh-CN"/>
        </w:rPr>
        <w:t>　　　　　　　　　　　　　　　　　　　　　　　　　　　　</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第</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w:t>
      </w:r>
    </w:p>
    <w:tbl>
      <w:tblPr>
        <w:tblStyle w:val="20"/>
        <w:tblW w:w="139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2"/>
        <w:gridCol w:w="1556"/>
        <w:gridCol w:w="2126"/>
        <w:gridCol w:w="1980"/>
        <w:gridCol w:w="851"/>
        <w:gridCol w:w="849"/>
        <w:gridCol w:w="1134"/>
        <w:gridCol w:w="990"/>
        <w:gridCol w:w="992"/>
        <w:gridCol w:w="849"/>
        <w:gridCol w:w="1131"/>
        <w:gridCol w:w="789"/>
      </w:tblGrid>
      <w:tr w14:paraId="22013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jc w:val="center"/>
        </w:trPr>
        <w:tc>
          <w:tcPr>
            <w:tcW w:w="722" w:type="dxa"/>
            <w:vMerge w:val="restart"/>
            <w:tcBorders>
              <w:top w:val="single" w:color="000000" w:sz="6" w:space="0"/>
              <w:left w:val="single" w:color="000000" w:sz="6" w:space="0"/>
              <w:bottom w:val="nil"/>
            </w:tcBorders>
            <w:vAlign w:val="center"/>
          </w:tcPr>
          <w:p w14:paraId="04B8E4E3">
            <w:pPr>
              <w:pStyle w:val="21"/>
              <w:jc w:val="center"/>
              <w:rPr>
                <w:rFonts w:hint="eastAsia"/>
                <w:color w:val="auto"/>
                <w:sz w:val="24"/>
                <w:szCs w:val="24"/>
              </w:rPr>
            </w:pPr>
            <w:r>
              <w:rPr>
                <w:rFonts w:hint="eastAsia"/>
                <w:color w:val="auto"/>
                <w:spacing w:val="-3"/>
                <w:sz w:val="24"/>
                <w:szCs w:val="24"/>
              </w:rPr>
              <w:t>序号</w:t>
            </w:r>
          </w:p>
        </w:tc>
        <w:tc>
          <w:tcPr>
            <w:tcW w:w="1556" w:type="dxa"/>
            <w:vMerge w:val="restart"/>
            <w:tcBorders>
              <w:top w:val="single" w:color="000000" w:sz="6" w:space="0"/>
              <w:bottom w:val="nil"/>
            </w:tcBorders>
            <w:vAlign w:val="center"/>
          </w:tcPr>
          <w:p w14:paraId="44317FBB">
            <w:pPr>
              <w:pStyle w:val="21"/>
              <w:jc w:val="center"/>
              <w:rPr>
                <w:rFonts w:hint="eastAsia"/>
                <w:color w:val="auto"/>
                <w:sz w:val="24"/>
                <w:szCs w:val="24"/>
              </w:rPr>
            </w:pPr>
            <w:r>
              <w:rPr>
                <w:rFonts w:hint="eastAsia"/>
                <w:color w:val="auto"/>
                <w:spacing w:val="-3"/>
                <w:sz w:val="24"/>
                <w:szCs w:val="24"/>
              </w:rPr>
              <w:t>项目编码</w:t>
            </w:r>
          </w:p>
        </w:tc>
        <w:tc>
          <w:tcPr>
            <w:tcW w:w="2126" w:type="dxa"/>
            <w:vMerge w:val="restart"/>
            <w:tcBorders>
              <w:top w:val="single" w:color="000000" w:sz="6" w:space="0"/>
              <w:bottom w:val="nil"/>
            </w:tcBorders>
            <w:vAlign w:val="center"/>
          </w:tcPr>
          <w:p w14:paraId="39FDFA4C">
            <w:pPr>
              <w:pStyle w:val="21"/>
              <w:jc w:val="center"/>
              <w:rPr>
                <w:rFonts w:hint="eastAsia"/>
                <w:color w:val="auto"/>
                <w:sz w:val="24"/>
                <w:szCs w:val="24"/>
              </w:rPr>
            </w:pPr>
            <w:r>
              <w:rPr>
                <w:rFonts w:hint="eastAsia"/>
                <w:color w:val="auto"/>
                <w:spacing w:val="-3"/>
                <w:sz w:val="24"/>
                <w:szCs w:val="24"/>
              </w:rPr>
              <w:t>项目名称</w:t>
            </w:r>
          </w:p>
        </w:tc>
        <w:tc>
          <w:tcPr>
            <w:tcW w:w="1980" w:type="dxa"/>
            <w:vMerge w:val="restart"/>
            <w:tcBorders>
              <w:top w:val="single" w:color="000000" w:sz="6" w:space="0"/>
              <w:bottom w:val="nil"/>
            </w:tcBorders>
            <w:vAlign w:val="center"/>
          </w:tcPr>
          <w:p w14:paraId="5F780A34">
            <w:pPr>
              <w:pStyle w:val="21"/>
              <w:jc w:val="center"/>
              <w:rPr>
                <w:rFonts w:hint="eastAsia"/>
                <w:color w:val="auto"/>
                <w:sz w:val="24"/>
                <w:szCs w:val="24"/>
              </w:rPr>
            </w:pPr>
            <w:r>
              <w:rPr>
                <w:rFonts w:hint="eastAsia"/>
                <w:color w:val="auto"/>
                <w:spacing w:val="-4"/>
                <w:sz w:val="24"/>
                <w:szCs w:val="24"/>
              </w:rPr>
              <w:t>项目主要</w:t>
            </w:r>
            <w:r>
              <w:rPr>
                <w:rFonts w:hint="eastAsia"/>
                <w:color w:val="auto"/>
                <w:spacing w:val="-11"/>
                <w:sz w:val="24"/>
                <w:szCs w:val="24"/>
              </w:rPr>
              <w:t>特征</w:t>
            </w:r>
          </w:p>
        </w:tc>
        <w:tc>
          <w:tcPr>
            <w:tcW w:w="851" w:type="dxa"/>
            <w:vMerge w:val="restart"/>
            <w:tcBorders>
              <w:top w:val="single" w:color="000000" w:sz="6" w:space="0"/>
              <w:bottom w:val="nil"/>
            </w:tcBorders>
            <w:vAlign w:val="center"/>
          </w:tcPr>
          <w:p w14:paraId="1B2C4981">
            <w:pPr>
              <w:pStyle w:val="21"/>
              <w:jc w:val="center"/>
              <w:rPr>
                <w:rFonts w:hint="eastAsia"/>
                <w:color w:val="auto"/>
                <w:spacing w:val="-5"/>
                <w:sz w:val="24"/>
                <w:szCs w:val="24"/>
              </w:rPr>
            </w:pPr>
            <w:r>
              <w:rPr>
                <w:rFonts w:hint="eastAsia"/>
                <w:color w:val="auto"/>
                <w:spacing w:val="-5"/>
                <w:sz w:val="24"/>
                <w:szCs w:val="24"/>
              </w:rPr>
              <w:t>计量</w:t>
            </w:r>
          </w:p>
          <w:p w14:paraId="0D0CA0D3">
            <w:pPr>
              <w:pStyle w:val="21"/>
              <w:jc w:val="center"/>
              <w:rPr>
                <w:rFonts w:hint="eastAsia"/>
                <w:color w:val="auto"/>
                <w:sz w:val="24"/>
                <w:szCs w:val="24"/>
              </w:rPr>
            </w:pPr>
            <w:r>
              <w:rPr>
                <w:rFonts w:hint="eastAsia"/>
                <w:color w:val="auto"/>
                <w:spacing w:val="-6"/>
                <w:sz w:val="24"/>
                <w:szCs w:val="24"/>
              </w:rPr>
              <w:t>单位</w:t>
            </w:r>
          </w:p>
        </w:tc>
        <w:tc>
          <w:tcPr>
            <w:tcW w:w="849" w:type="dxa"/>
            <w:vMerge w:val="restart"/>
            <w:tcBorders>
              <w:top w:val="single" w:color="000000" w:sz="6" w:space="0"/>
              <w:bottom w:val="nil"/>
            </w:tcBorders>
            <w:vAlign w:val="center"/>
          </w:tcPr>
          <w:p w14:paraId="388272A7">
            <w:pPr>
              <w:pStyle w:val="21"/>
              <w:jc w:val="center"/>
              <w:rPr>
                <w:rFonts w:hint="eastAsia"/>
                <w:color w:val="auto"/>
                <w:spacing w:val="-7"/>
                <w:sz w:val="24"/>
                <w:szCs w:val="24"/>
              </w:rPr>
            </w:pPr>
            <w:r>
              <w:rPr>
                <w:rFonts w:hint="eastAsia"/>
                <w:color w:val="auto"/>
                <w:spacing w:val="-7"/>
                <w:sz w:val="24"/>
                <w:szCs w:val="24"/>
              </w:rPr>
              <w:t>工程</w:t>
            </w:r>
          </w:p>
          <w:p w14:paraId="7F754CC0">
            <w:pPr>
              <w:pStyle w:val="21"/>
              <w:jc w:val="center"/>
              <w:rPr>
                <w:rFonts w:hint="eastAsia"/>
                <w:color w:val="auto"/>
                <w:sz w:val="24"/>
                <w:szCs w:val="24"/>
              </w:rPr>
            </w:pPr>
            <w:r>
              <w:rPr>
                <w:rFonts w:hint="eastAsia"/>
                <w:color w:val="auto"/>
                <w:spacing w:val="-6"/>
                <w:sz w:val="24"/>
                <w:szCs w:val="24"/>
              </w:rPr>
              <w:t>数量</w:t>
            </w:r>
          </w:p>
        </w:tc>
        <w:tc>
          <w:tcPr>
            <w:tcW w:w="2124" w:type="dxa"/>
            <w:gridSpan w:val="2"/>
            <w:tcBorders>
              <w:top w:val="single" w:color="000000" w:sz="6" w:space="0"/>
            </w:tcBorders>
            <w:vAlign w:val="center"/>
          </w:tcPr>
          <w:p w14:paraId="520E6B05">
            <w:pPr>
              <w:pStyle w:val="21"/>
              <w:jc w:val="center"/>
              <w:rPr>
                <w:rFonts w:hint="eastAsia"/>
                <w:color w:val="auto"/>
                <w:sz w:val="24"/>
                <w:szCs w:val="24"/>
              </w:rPr>
            </w:pPr>
            <w:r>
              <w:rPr>
                <w:rFonts w:hint="eastAsia"/>
                <w:color w:val="auto"/>
                <w:spacing w:val="-5"/>
                <w:sz w:val="24"/>
                <w:szCs w:val="24"/>
              </w:rPr>
              <w:t>单价（元）</w:t>
            </w:r>
          </w:p>
        </w:tc>
        <w:tc>
          <w:tcPr>
            <w:tcW w:w="1841" w:type="dxa"/>
            <w:gridSpan w:val="2"/>
            <w:tcBorders>
              <w:top w:val="single" w:color="000000" w:sz="6" w:space="0"/>
            </w:tcBorders>
            <w:vAlign w:val="center"/>
          </w:tcPr>
          <w:p w14:paraId="0E2C6FAB">
            <w:pPr>
              <w:pStyle w:val="21"/>
              <w:jc w:val="center"/>
              <w:rPr>
                <w:rFonts w:hint="eastAsia"/>
                <w:color w:val="auto"/>
                <w:sz w:val="24"/>
                <w:szCs w:val="24"/>
              </w:rPr>
            </w:pPr>
            <w:r>
              <w:rPr>
                <w:rFonts w:hint="eastAsia"/>
                <w:color w:val="auto"/>
                <w:spacing w:val="-5"/>
                <w:sz w:val="24"/>
                <w:szCs w:val="24"/>
              </w:rPr>
              <w:t>合价（元）</w:t>
            </w:r>
          </w:p>
        </w:tc>
        <w:tc>
          <w:tcPr>
            <w:tcW w:w="1131" w:type="dxa"/>
            <w:vMerge w:val="restart"/>
            <w:tcBorders>
              <w:top w:val="single" w:color="000000" w:sz="6" w:space="0"/>
              <w:bottom w:val="nil"/>
            </w:tcBorders>
            <w:vAlign w:val="center"/>
          </w:tcPr>
          <w:p w14:paraId="59C4A639">
            <w:pPr>
              <w:pStyle w:val="21"/>
              <w:jc w:val="center"/>
              <w:rPr>
                <w:rFonts w:hint="eastAsia"/>
                <w:color w:val="auto"/>
                <w:sz w:val="24"/>
                <w:szCs w:val="24"/>
              </w:rPr>
            </w:pPr>
            <w:r>
              <w:rPr>
                <w:rFonts w:hint="eastAsia"/>
                <w:color w:val="auto"/>
                <w:spacing w:val="-3"/>
                <w:sz w:val="24"/>
                <w:szCs w:val="24"/>
              </w:rPr>
              <w:t>主要技术条款编码</w:t>
            </w:r>
          </w:p>
        </w:tc>
        <w:tc>
          <w:tcPr>
            <w:tcW w:w="789" w:type="dxa"/>
            <w:vMerge w:val="restart"/>
            <w:tcBorders>
              <w:top w:val="single" w:color="000000" w:sz="6" w:space="0"/>
              <w:bottom w:val="nil"/>
              <w:right w:val="single" w:color="000000" w:sz="6" w:space="0"/>
            </w:tcBorders>
            <w:vAlign w:val="center"/>
          </w:tcPr>
          <w:p w14:paraId="6829ADE6">
            <w:pPr>
              <w:pStyle w:val="21"/>
              <w:jc w:val="center"/>
              <w:rPr>
                <w:rFonts w:hint="eastAsia"/>
                <w:color w:val="auto"/>
                <w:sz w:val="24"/>
                <w:szCs w:val="24"/>
              </w:rPr>
            </w:pPr>
            <w:r>
              <w:rPr>
                <w:rFonts w:hint="eastAsia"/>
                <w:color w:val="auto"/>
                <w:spacing w:val="-4"/>
                <w:sz w:val="24"/>
                <w:szCs w:val="24"/>
              </w:rPr>
              <w:t>备注</w:t>
            </w:r>
          </w:p>
        </w:tc>
      </w:tr>
      <w:tr w14:paraId="2FA76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jc w:val="center"/>
        </w:trPr>
        <w:tc>
          <w:tcPr>
            <w:tcW w:w="722" w:type="dxa"/>
            <w:vMerge w:val="continue"/>
            <w:tcBorders>
              <w:top w:val="nil"/>
              <w:left w:val="single" w:color="000000" w:sz="6" w:space="0"/>
            </w:tcBorders>
            <w:vAlign w:val="center"/>
          </w:tcPr>
          <w:p w14:paraId="24C97394">
            <w:pPr>
              <w:jc w:val="center"/>
              <w:rPr>
                <w:rFonts w:hint="eastAsia" w:ascii="宋体" w:hAnsi="宋体" w:eastAsia="宋体" w:cs="宋体"/>
                <w:color w:val="auto"/>
              </w:rPr>
            </w:pPr>
          </w:p>
        </w:tc>
        <w:tc>
          <w:tcPr>
            <w:tcW w:w="1556" w:type="dxa"/>
            <w:vMerge w:val="continue"/>
            <w:tcBorders>
              <w:top w:val="nil"/>
            </w:tcBorders>
            <w:vAlign w:val="center"/>
          </w:tcPr>
          <w:p w14:paraId="5F63ABC3">
            <w:pPr>
              <w:jc w:val="center"/>
              <w:rPr>
                <w:rFonts w:hint="eastAsia" w:ascii="宋体" w:hAnsi="宋体" w:eastAsia="宋体" w:cs="宋体"/>
                <w:color w:val="auto"/>
              </w:rPr>
            </w:pPr>
          </w:p>
        </w:tc>
        <w:tc>
          <w:tcPr>
            <w:tcW w:w="2126" w:type="dxa"/>
            <w:vMerge w:val="continue"/>
            <w:tcBorders>
              <w:top w:val="nil"/>
            </w:tcBorders>
            <w:vAlign w:val="center"/>
          </w:tcPr>
          <w:p w14:paraId="0DC13E1F">
            <w:pPr>
              <w:jc w:val="center"/>
              <w:rPr>
                <w:rFonts w:hint="eastAsia" w:ascii="宋体" w:hAnsi="宋体" w:eastAsia="宋体" w:cs="宋体"/>
                <w:color w:val="auto"/>
              </w:rPr>
            </w:pPr>
          </w:p>
        </w:tc>
        <w:tc>
          <w:tcPr>
            <w:tcW w:w="1980" w:type="dxa"/>
            <w:vMerge w:val="continue"/>
            <w:tcBorders>
              <w:top w:val="nil"/>
            </w:tcBorders>
            <w:vAlign w:val="center"/>
          </w:tcPr>
          <w:p w14:paraId="4978DC6A">
            <w:pPr>
              <w:jc w:val="center"/>
              <w:rPr>
                <w:rFonts w:hint="eastAsia" w:ascii="宋体" w:hAnsi="宋体" w:eastAsia="宋体" w:cs="宋体"/>
                <w:color w:val="auto"/>
              </w:rPr>
            </w:pPr>
          </w:p>
        </w:tc>
        <w:tc>
          <w:tcPr>
            <w:tcW w:w="851" w:type="dxa"/>
            <w:vMerge w:val="continue"/>
            <w:tcBorders>
              <w:top w:val="nil"/>
            </w:tcBorders>
            <w:vAlign w:val="center"/>
          </w:tcPr>
          <w:p w14:paraId="3CACAE57">
            <w:pPr>
              <w:jc w:val="center"/>
              <w:rPr>
                <w:rFonts w:hint="eastAsia" w:ascii="宋体" w:hAnsi="宋体" w:eastAsia="宋体" w:cs="宋体"/>
                <w:color w:val="auto"/>
              </w:rPr>
            </w:pPr>
          </w:p>
        </w:tc>
        <w:tc>
          <w:tcPr>
            <w:tcW w:w="849" w:type="dxa"/>
            <w:vMerge w:val="continue"/>
            <w:tcBorders>
              <w:top w:val="nil"/>
            </w:tcBorders>
            <w:vAlign w:val="center"/>
          </w:tcPr>
          <w:p w14:paraId="47A925A8">
            <w:pPr>
              <w:jc w:val="center"/>
              <w:rPr>
                <w:rFonts w:hint="eastAsia" w:ascii="宋体" w:hAnsi="宋体" w:eastAsia="宋体" w:cs="宋体"/>
                <w:color w:val="auto"/>
              </w:rPr>
            </w:pPr>
          </w:p>
        </w:tc>
        <w:tc>
          <w:tcPr>
            <w:tcW w:w="1134" w:type="dxa"/>
            <w:vAlign w:val="center"/>
          </w:tcPr>
          <w:p w14:paraId="3F168702">
            <w:pPr>
              <w:pStyle w:val="21"/>
              <w:jc w:val="center"/>
              <w:rPr>
                <w:rFonts w:hint="eastAsia"/>
                <w:color w:val="auto"/>
                <w:sz w:val="24"/>
                <w:szCs w:val="24"/>
              </w:rPr>
            </w:pPr>
            <w:r>
              <w:rPr>
                <w:rFonts w:hint="eastAsia"/>
                <w:color w:val="auto"/>
                <w:spacing w:val="-3"/>
                <w:sz w:val="24"/>
                <w:szCs w:val="24"/>
              </w:rPr>
              <w:t>设备费</w:t>
            </w:r>
          </w:p>
        </w:tc>
        <w:tc>
          <w:tcPr>
            <w:tcW w:w="990" w:type="dxa"/>
            <w:vAlign w:val="center"/>
          </w:tcPr>
          <w:p w14:paraId="5E461D8F">
            <w:pPr>
              <w:pStyle w:val="21"/>
              <w:jc w:val="center"/>
              <w:rPr>
                <w:rFonts w:hint="eastAsia"/>
                <w:color w:val="auto"/>
                <w:sz w:val="24"/>
                <w:szCs w:val="24"/>
              </w:rPr>
            </w:pPr>
            <w:r>
              <w:rPr>
                <w:rFonts w:hint="eastAsia"/>
                <w:color w:val="auto"/>
                <w:spacing w:val="-4"/>
                <w:sz w:val="24"/>
                <w:szCs w:val="24"/>
              </w:rPr>
              <w:t>安装费</w:t>
            </w:r>
          </w:p>
        </w:tc>
        <w:tc>
          <w:tcPr>
            <w:tcW w:w="992" w:type="dxa"/>
            <w:vAlign w:val="center"/>
          </w:tcPr>
          <w:p w14:paraId="42E8DBE1">
            <w:pPr>
              <w:pStyle w:val="21"/>
              <w:jc w:val="center"/>
              <w:rPr>
                <w:rFonts w:hint="eastAsia"/>
                <w:color w:val="auto"/>
                <w:sz w:val="24"/>
                <w:szCs w:val="24"/>
              </w:rPr>
            </w:pPr>
            <w:r>
              <w:rPr>
                <w:rFonts w:hint="eastAsia"/>
                <w:color w:val="auto"/>
                <w:spacing w:val="-3"/>
                <w:sz w:val="24"/>
                <w:szCs w:val="24"/>
              </w:rPr>
              <w:t>设备费</w:t>
            </w:r>
          </w:p>
        </w:tc>
        <w:tc>
          <w:tcPr>
            <w:tcW w:w="849" w:type="dxa"/>
            <w:vAlign w:val="center"/>
          </w:tcPr>
          <w:p w14:paraId="7A4813E9">
            <w:pPr>
              <w:pStyle w:val="21"/>
              <w:jc w:val="center"/>
              <w:rPr>
                <w:rFonts w:hint="eastAsia"/>
                <w:color w:val="auto"/>
                <w:sz w:val="24"/>
                <w:szCs w:val="24"/>
              </w:rPr>
            </w:pPr>
            <w:r>
              <w:rPr>
                <w:rFonts w:hint="eastAsia"/>
                <w:color w:val="auto"/>
                <w:spacing w:val="-4"/>
                <w:sz w:val="24"/>
                <w:szCs w:val="24"/>
              </w:rPr>
              <w:t>安装费</w:t>
            </w:r>
          </w:p>
        </w:tc>
        <w:tc>
          <w:tcPr>
            <w:tcW w:w="1131" w:type="dxa"/>
            <w:vMerge w:val="continue"/>
            <w:tcBorders>
              <w:top w:val="nil"/>
            </w:tcBorders>
            <w:vAlign w:val="center"/>
          </w:tcPr>
          <w:p w14:paraId="3A30D54B">
            <w:pPr>
              <w:jc w:val="center"/>
              <w:rPr>
                <w:rFonts w:hint="eastAsia" w:ascii="宋体" w:hAnsi="宋体" w:eastAsia="宋体" w:cs="宋体"/>
                <w:color w:val="auto"/>
              </w:rPr>
            </w:pPr>
          </w:p>
        </w:tc>
        <w:tc>
          <w:tcPr>
            <w:tcW w:w="789" w:type="dxa"/>
            <w:vMerge w:val="continue"/>
            <w:tcBorders>
              <w:top w:val="nil"/>
              <w:right w:val="single" w:color="000000" w:sz="6" w:space="0"/>
            </w:tcBorders>
            <w:vAlign w:val="center"/>
          </w:tcPr>
          <w:p w14:paraId="7E737DA0">
            <w:pPr>
              <w:jc w:val="center"/>
              <w:rPr>
                <w:rFonts w:hint="eastAsia" w:ascii="宋体" w:hAnsi="宋体" w:eastAsia="宋体" w:cs="宋体"/>
                <w:color w:val="auto"/>
              </w:rPr>
            </w:pPr>
          </w:p>
        </w:tc>
      </w:tr>
      <w:tr w14:paraId="4B75A8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jc w:val="center"/>
        </w:trPr>
        <w:tc>
          <w:tcPr>
            <w:tcW w:w="722" w:type="dxa"/>
            <w:tcBorders>
              <w:left w:val="single" w:color="000000" w:sz="6" w:space="0"/>
            </w:tcBorders>
            <w:vAlign w:val="center"/>
          </w:tcPr>
          <w:p w14:paraId="44EAB00E">
            <w:pPr>
              <w:jc w:val="center"/>
              <w:rPr>
                <w:rFonts w:hint="eastAsia" w:ascii="宋体" w:hAnsi="宋体" w:eastAsia="宋体" w:cs="宋体"/>
                <w:color w:val="auto"/>
              </w:rPr>
            </w:pPr>
          </w:p>
        </w:tc>
        <w:tc>
          <w:tcPr>
            <w:tcW w:w="1556" w:type="dxa"/>
            <w:vAlign w:val="center"/>
          </w:tcPr>
          <w:p w14:paraId="7A70F308">
            <w:pPr>
              <w:jc w:val="center"/>
              <w:rPr>
                <w:rFonts w:hint="eastAsia" w:ascii="宋体" w:hAnsi="宋体" w:eastAsia="宋体" w:cs="宋体"/>
                <w:color w:val="auto"/>
              </w:rPr>
            </w:pPr>
          </w:p>
        </w:tc>
        <w:tc>
          <w:tcPr>
            <w:tcW w:w="2126" w:type="dxa"/>
            <w:vAlign w:val="center"/>
          </w:tcPr>
          <w:p w14:paraId="5A2873F7">
            <w:pPr>
              <w:jc w:val="center"/>
              <w:rPr>
                <w:rFonts w:hint="eastAsia" w:ascii="宋体" w:hAnsi="宋体" w:eastAsia="宋体" w:cs="宋体"/>
                <w:color w:val="auto"/>
              </w:rPr>
            </w:pPr>
          </w:p>
        </w:tc>
        <w:tc>
          <w:tcPr>
            <w:tcW w:w="1980" w:type="dxa"/>
            <w:vAlign w:val="center"/>
          </w:tcPr>
          <w:p w14:paraId="5CF5A086">
            <w:pPr>
              <w:jc w:val="center"/>
              <w:rPr>
                <w:rFonts w:hint="eastAsia" w:ascii="宋体" w:hAnsi="宋体" w:eastAsia="宋体" w:cs="宋体"/>
                <w:color w:val="auto"/>
              </w:rPr>
            </w:pPr>
          </w:p>
        </w:tc>
        <w:tc>
          <w:tcPr>
            <w:tcW w:w="851" w:type="dxa"/>
            <w:vAlign w:val="center"/>
          </w:tcPr>
          <w:p w14:paraId="561C0DB2">
            <w:pPr>
              <w:jc w:val="center"/>
              <w:rPr>
                <w:rFonts w:hint="eastAsia" w:ascii="宋体" w:hAnsi="宋体" w:eastAsia="宋体" w:cs="宋体"/>
                <w:color w:val="auto"/>
              </w:rPr>
            </w:pPr>
          </w:p>
        </w:tc>
        <w:tc>
          <w:tcPr>
            <w:tcW w:w="849" w:type="dxa"/>
            <w:vAlign w:val="center"/>
          </w:tcPr>
          <w:p w14:paraId="0D46376A">
            <w:pPr>
              <w:jc w:val="center"/>
              <w:rPr>
                <w:rFonts w:hint="eastAsia" w:ascii="宋体" w:hAnsi="宋体" w:eastAsia="宋体" w:cs="宋体"/>
                <w:color w:val="auto"/>
              </w:rPr>
            </w:pPr>
          </w:p>
        </w:tc>
        <w:tc>
          <w:tcPr>
            <w:tcW w:w="1134" w:type="dxa"/>
            <w:vAlign w:val="center"/>
          </w:tcPr>
          <w:p w14:paraId="59C89780">
            <w:pPr>
              <w:jc w:val="center"/>
              <w:rPr>
                <w:rFonts w:hint="eastAsia" w:ascii="宋体" w:hAnsi="宋体" w:eastAsia="宋体" w:cs="宋体"/>
                <w:color w:val="auto"/>
              </w:rPr>
            </w:pPr>
          </w:p>
        </w:tc>
        <w:tc>
          <w:tcPr>
            <w:tcW w:w="990" w:type="dxa"/>
            <w:vAlign w:val="center"/>
          </w:tcPr>
          <w:p w14:paraId="7F68F9F7">
            <w:pPr>
              <w:jc w:val="center"/>
              <w:rPr>
                <w:rFonts w:hint="eastAsia" w:ascii="宋体" w:hAnsi="宋体" w:eastAsia="宋体" w:cs="宋体"/>
                <w:color w:val="auto"/>
              </w:rPr>
            </w:pPr>
          </w:p>
        </w:tc>
        <w:tc>
          <w:tcPr>
            <w:tcW w:w="992" w:type="dxa"/>
            <w:vAlign w:val="center"/>
          </w:tcPr>
          <w:p w14:paraId="794A6B38">
            <w:pPr>
              <w:jc w:val="center"/>
              <w:rPr>
                <w:rFonts w:hint="eastAsia" w:ascii="宋体" w:hAnsi="宋体" w:eastAsia="宋体" w:cs="宋体"/>
                <w:color w:val="auto"/>
              </w:rPr>
            </w:pPr>
          </w:p>
        </w:tc>
        <w:tc>
          <w:tcPr>
            <w:tcW w:w="849" w:type="dxa"/>
            <w:vAlign w:val="center"/>
          </w:tcPr>
          <w:p w14:paraId="3700322A">
            <w:pPr>
              <w:jc w:val="center"/>
              <w:rPr>
                <w:rFonts w:hint="eastAsia" w:ascii="宋体" w:hAnsi="宋体" w:eastAsia="宋体" w:cs="宋体"/>
                <w:color w:val="auto"/>
              </w:rPr>
            </w:pPr>
          </w:p>
        </w:tc>
        <w:tc>
          <w:tcPr>
            <w:tcW w:w="1131" w:type="dxa"/>
            <w:vAlign w:val="center"/>
          </w:tcPr>
          <w:p w14:paraId="1D91419D">
            <w:pPr>
              <w:jc w:val="center"/>
              <w:rPr>
                <w:rFonts w:hint="eastAsia" w:ascii="宋体" w:hAnsi="宋体" w:eastAsia="宋体" w:cs="宋体"/>
                <w:color w:val="auto"/>
              </w:rPr>
            </w:pPr>
          </w:p>
        </w:tc>
        <w:tc>
          <w:tcPr>
            <w:tcW w:w="789" w:type="dxa"/>
            <w:tcBorders>
              <w:right w:val="single" w:color="000000" w:sz="6" w:space="0"/>
            </w:tcBorders>
            <w:vAlign w:val="center"/>
          </w:tcPr>
          <w:p w14:paraId="688EDB08">
            <w:pPr>
              <w:jc w:val="center"/>
              <w:rPr>
                <w:rFonts w:hint="eastAsia" w:ascii="宋体" w:hAnsi="宋体" w:eastAsia="宋体" w:cs="宋体"/>
                <w:color w:val="auto"/>
              </w:rPr>
            </w:pPr>
          </w:p>
        </w:tc>
      </w:tr>
      <w:tr w14:paraId="397AB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722" w:type="dxa"/>
            <w:tcBorders>
              <w:left w:val="single" w:color="000000" w:sz="6" w:space="0"/>
            </w:tcBorders>
          </w:tcPr>
          <w:p w14:paraId="7BC1EA96">
            <w:pPr>
              <w:rPr>
                <w:color w:val="auto"/>
              </w:rPr>
            </w:pPr>
          </w:p>
        </w:tc>
        <w:tc>
          <w:tcPr>
            <w:tcW w:w="1556" w:type="dxa"/>
          </w:tcPr>
          <w:p w14:paraId="595182B0">
            <w:pPr>
              <w:rPr>
                <w:color w:val="auto"/>
              </w:rPr>
            </w:pPr>
          </w:p>
        </w:tc>
        <w:tc>
          <w:tcPr>
            <w:tcW w:w="2126" w:type="dxa"/>
          </w:tcPr>
          <w:p w14:paraId="270F8011">
            <w:pPr>
              <w:rPr>
                <w:color w:val="auto"/>
              </w:rPr>
            </w:pPr>
          </w:p>
        </w:tc>
        <w:tc>
          <w:tcPr>
            <w:tcW w:w="1980" w:type="dxa"/>
          </w:tcPr>
          <w:p w14:paraId="18B0D5C2">
            <w:pPr>
              <w:rPr>
                <w:color w:val="auto"/>
              </w:rPr>
            </w:pPr>
          </w:p>
        </w:tc>
        <w:tc>
          <w:tcPr>
            <w:tcW w:w="851" w:type="dxa"/>
          </w:tcPr>
          <w:p w14:paraId="53053530">
            <w:pPr>
              <w:rPr>
                <w:color w:val="auto"/>
              </w:rPr>
            </w:pPr>
          </w:p>
        </w:tc>
        <w:tc>
          <w:tcPr>
            <w:tcW w:w="849" w:type="dxa"/>
          </w:tcPr>
          <w:p w14:paraId="09D657BF">
            <w:pPr>
              <w:rPr>
                <w:color w:val="auto"/>
              </w:rPr>
            </w:pPr>
          </w:p>
        </w:tc>
        <w:tc>
          <w:tcPr>
            <w:tcW w:w="1134" w:type="dxa"/>
          </w:tcPr>
          <w:p w14:paraId="7EF0DDAD">
            <w:pPr>
              <w:rPr>
                <w:color w:val="auto"/>
              </w:rPr>
            </w:pPr>
          </w:p>
        </w:tc>
        <w:tc>
          <w:tcPr>
            <w:tcW w:w="990" w:type="dxa"/>
          </w:tcPr>
          <w:p w14:paraId="797524E3">
            <w:pPr>
              <w:rPr>
                <w:color w:val="auto"/>
              </w:rPr>
            </w:pPr>
          </w:p>
        </w:tc>
        <w:tc>
          <w:tcPr>
            <w:tcW w:w="992" w:type="dxa"/>
          </w:tcPr>
          <w:p w14:paraId="1E15202A">
            <w:pPr>
              <w:rPr>
                <w:color w:val="auto"/>
              </w:rPr>
            </w:pPr>
          </w:p>
        </w:tc>
        <w:tc>
          <w:tcPr>
            <w:tcW w:w="849" w:type="dxa"/>
          </w:tcPr>
          <w:p w14:paraId="2B7F9CF0">
            <w:pPr>
              <w:rPr>
                <w:color w:val="auto"/>
              </w:rPr>
            </w:pPr>
          </w:p>
        </w:tc>
        <w:tc>
          <w:tcPr>
            <w:tcW w:w="1131" w:type="dxa"/>
          </w:tcPr>
          <w:p w14:paraId="59B46712">
            <w:pPr>
              <w:rPr>
                <w:color w:val="auto"/>
              </w:rPr>
            </w:pPr>
          </w:p>
        </w:tc>
        <w:tc>
          <w:tcPr>
            <w:tcW w:w="789" w:type="dxa"/>
            <w:tcBorders>
              <w:right w:val="single" w:color="000000" w:sz="6" w:space="0"/>
            </w:tcBorders>
          </w:tcPr>
          <w:p w14:paraId="78E30D1B">
            <w:pPr>
              <w:rPr>
                <w:color w:val="auto"/>
              </w:rPr>
            </w:pPr>
          </w:p>
        </w:tc>
      </w:tr>
      <w:tr w14:paraId="02031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722" w:type="dxa"/>
            <w:tcBorders>
              <w:left w:val="single" w:color="000000" w:sz="6" w:space="0"/>
            </w:tcBorders>
          </w:tcPr>
          <w:p w14:paraId="32CE5954">
            <w:pPr>
              <w:rPr>
                <w:color w:val="auto"/>
              </w:rPr>
            </w:pPr>
          </w:p>
        </w:tc>
        <w:tc>
          <w:tcPr>
            <w:tcW w:w="1556" w:type="dxa"/>
          </w:tcPr>
          <w:p w14:paraId="3145B34C">
            <w:pPr>
              <w:rPr>
                <w:color w:val="auto"/>
              </w:rPr>
            </w:pPr>
          </w:p>
        </w:tc>
        <w:tc>
          <w:tcPr>
            <w:tcW w:w="2126" w:type="dxa"/>
          </w:tcPr>
          <w:p w14:paraId="59FC44E6">
            <w:pPr>
              <w:rPr>
                <w:color w:val="auto"/>
              </w:rPr>
            </w:pPr>
          </w:p>
        </w:tc>
        <w:tc>
          <w:tcPr>
            <w:tcW w:w="1980" w:type="dxa"/>
          </w:tcPr>
          <w:p w14:paraId="3DEC00AC">
            <w:pPr>
              <w:rPr>
                <w:color w:val="auto"/>
              </w:rPr>
            </w:pPr>
          </w:p>
        </w:tc>
        <w:tc>
          <w:tcPr>
            <w:tcW w:w="851" w:type="dxa"/>
          </w:tcPr>
          <w:p w14:paraId="21E2AD83">
            <w:pPr>
              <w:rPr>
                <w:color w:val="auto"/>
              </w:rPr>
            </w:pPr>
          </w:p>
        </w:tc>
        <w:tc>
          <w:tcPr>
            <w:tcW w:w="849" w:type="dxa"/>
          </w:tcPr>
          <w:p w14:paraId="10274B11">
            <w:pPr>
              <w:rPr>
                <w:color w:val="auto"/>
              </w:rPr>
            </w:pPr>
          </w:p>
        </w:tc>
        <w:tc>
          <w:tcPr>
            <w:tcW w:w="1134" w:type="dxa"/>
          </w:tcPr>
          <w:p w14:paraId="4E7781CC">
            <w:pPr>
              <w:rPr>
                <w:color w:val="auto"/>
              </w:rPr>
            </w:pPr>
          </w:p>
        </w:tc>
        <w:tc>
          <w:tcPr>
            <w:tcW w:w="990" w:type="dxa"/>
          </w:tcPr>
          <w:p w14:paraId="59BB58E8">
            <w:pPr>
              <w:rPr>
                <w:color w:val="auto"/>
              </w:rPr>
            </w:pPr>
          </w:p>
        </w:tc>
        <w:tc>
          <w:tcPr>
            <w:tcW w:w="992" w:type="dxa"/>
          </w:tcPr>
          <w:p w14:paraId="034EA868">
            <w:pPr>
              <w:rPr>
                <w:color w:val="auto"/>
              </w:rPr>
            </w:pPr>
          </w:p>
        </w:tc>
        <w:tc>
          <w:tcPr>
            <w:tcW w:w="849" w:type="dxa"/>
          </w:tcPr>
          <w:p w14:paraId="7B9F5560">
            <w:pPr>
              <w:rPr>
                <w:color w:val="auto"/>
              </w:rPr>
            </w:pPr>
          </w:p>
        </w:tc>
        <w:tc>
          <w:tcPr>
            <w:tcW w:w="1131" w:type="dxa"/>
          </w:tcPr>
          <w:p w14:paraId="2A9B3B8A">
            <w:pPr>
              <w:rPr>
                <w:color w:val="auto"/>
              </w:rPr>
            </w:pPr>
          </w:p>
        </w:tc>
        <w:tc>
          <w:tcPr>
            <w:tcW w:w="789" w:type="dxa"/>
            <w:tcBorders>
              <w:right w:val="single" w:color="000000" w:sz="6" w:space="0"/>
            </w:tcBorders>
          </w:tcPr>
          <w:p w14:paraId="2047EAB0">
            <w:pPr>
              <w:rPr>
                <w:color w:val="auto"/>
              </w:rPr>
            </w:pPr>
          </w:p>
        </w:tc>
      </w:tr>
      <w:tr w14:paraId="6C039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722" w:type="dxa"/>
            <w:tcBorders>
              <w:left w:val="single" w:color="000000" w:sz="6" w:space="0"/>
            </w:tcBorders>
          </w:tcPr>
          <w:p w14:paraId="4B56754F">
            <w:pPr>
              <w:rPr>
                <w:color w:val="auto"/>
              </w:rPr>
            </w:pPr>
          </w:p>
        </w:tc>
        <w:tc>
          <w:tcPr>
            <w:tcW w:w="1556" w:type="dxa"/>
          </w:tcPr>
          <w:p w14:paraId="4EDF3536">
            <w:pPr>
              <w:rPr>
                <w:color w:val="auto"/>
              </w:rPr>
            </w:pPr>
          </w:p>
        </w:tc>
        <w:tc>
          <w:tcPr>
            <w:tcW w:w="2126" w:type="dxa"/>
          </w:tcPr>
          <w:p w14:paraId="64093D78">
            <w:pPr>
              <w:rPr>
                <w:color w:val="auto"/>
              </w:rPr>
            </w:pPr>
          </w:p>
        </w:tc>
        <w:tc>
          <w:tcPr>
            <w:tcW w:w="1980" w:type="dxa"/>
          </w:tcPr>
          <w:p w14:paraId="5188112A">
            <w:pPr>
              <w:rPr>
                <w:color w:val="auto"/>
              </w:rPr>
            </w:pPr>
          </w:p>
        </w:tc>
        <w:tc>
          <w:tcPr>
            <w:tcW w:w="851" w:type="dxa"/>
          </w:tcPr>
          <w:p w14:paraId="6C0759AA">
            <w:pPr>
              <w:rPr>
                <w:color w:val="auto"/>
              </w:rPr>
            </w:pPr>
          </w:p>
        </w:tc>
        <w:tc>
          <w:tcPr>
            <w:tcW w:w="849" w:type="dxa"/>
          </w:tcPr>
          <w:p w14:paraId="7107ADB0">
            <w:pPr>
              <w:rPr>
                <w:color w:val="auto"/>
              </w:rPr>
            </w:pPr>
          </w:p>
        </w:tc>
        <w:tc>
          <w:tcPr>
            <w:tcW w:w="1134" w:type="dxa"/>
          </w:tcPr>
          <w:p w14:paraId="4E9F3E89">
            <w:pPr>
              <w:rPr>
                <w:color w:val="auto"/>
              </w:rPr>
            </w:pPr>
          </w:p>
        </w:tc>
        <w:tc>
          <w:tcPr>
            <w:tcW w:w="990" w:type="dxa"/>
          </w:tcPr>
          <w:p w14:paraId="4E2EE283">
            <w:pPr>
              <w:rPr>
                <w:color w:val="auto"/>
              </w:rPr>
            </w:pPr>
          </w:p>
        </w:tc>
        <w:tc>
          <w:tcPr>
            <w:tcW w:w="992" w:type="dxa"/>
          </w:tcPr>
          <w:p w14:paraId="77B4A623">
            <w:pPr>
              <w:rPr>
                <w:color w:val="auto"/>
              </w:rPr>
            </w:pPr>
          </w:p>
        </w:tc>
        <w:tc>
          <w:tcPr>
            <w:tcW w:w="849" w:type="dxa"/>
          </w:tcPr>
          <w:p w14:paraId="685671CA">
            <w:pPr>
              <w:rPr>
                <w:color w:val="auto"/>
              </w:rPr>
            </w:pPr>
          </w:p>
        </w:tc>
        <w:tc>
          <w:tcPr>
            <w:tcW w:w="1131" w:type="dxa"/>
          </w:tcPr>
          <w:p w14:paraId="575853EF">
            <w:pPr>
              <w:rPr>
                <w:color w:val="auto"/>
              </w:rPr>
            </w:pPr>
          </w:p>
        </w:tc>
        <w:tc>
          <w:tcPr>
            <w:tcW w:w="789" w:type="dxa"/>
            <w:tcBorders>
              <w:right w:val="single" w:color="000000" w:sz="6" w:space="0"/>
            </w:tcBorders>
          </w:tcPr>
          <w:p w14:paraId="7298D3D5">
            <w:pPr>
              <w:rPr>
                <w:color w:val="auto"/>
              </w:rPr>
            </w:pPr>
          </w:p>
        </w:tc>
      </w:tr>
      <w:tr w14:paraId="3DE08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jc w:val="center"/>
        </w:trPr>
        <w:tc>
          <w:tcPr>
            <w:tcW w:w="722" w:type="dxa"/>
            <w:tcBorders>
              <w:left w:val="single" w:color="000000" w:sz="6" w:space="0"/>
            </w:tcBorders>
          </w:tcPr>
          <w:p w14:paraId="606BAC41">
            <w:pPr>
              <w:rPr>
                <w:color w:val="auto"/>
              </w:rPr>
            </w:pPr>
          </w:p>
        </w:tc>
        <w:tc>
          <w:tcPr>
            <w:tcW w:w="1556" w:type="dxa"/>
          </w:tcPr>
          <w:p w14:paraId="1DBC19C0">
            <w:pPr>
              <w:rPr>
                <w:color w:val="auto"/>
              </w:rPr>
            </w:pPr>
          </w:p>
        </w:tc>
        <w:tc>
          <w:tcPr>
            <w:tcW w:w="2126" w:type="dxa"/>
          </w:tcPr>
          <w:p w14:paraId="54348FF3">
            <w:pPr>
              <w:rPr>
                <w:color w:val="auto"/>
              </w:rPr>
            </w:pPr>
          </w:p>
        </w:tc>
        <w:tc>
          <w:tcPr>
            <w:tcW w:w="1980" w:type="dxa"/>
          </w:tcPr>
          <w:p w14:paraId="7F8335C4">
            <w:pPr>
              <w:rPr>
                <w:color w:val="auto"/>
              </w:rPr>
            </w:pPr>
          </w:p>
        </w:tc>
        <w:tc>
          <w:tcPr>
            <w:tcW w:w="851" w:type="dxa"/>
          </w:tcPr>
          <w:p w14:paraId="67B28DE5">
            <w:pPr>
              <w:rPr>
                <w:color w:val="auto"/>
              </w:rPr>
            </w:pPr>
          </w:p>
        </w:tc>
        <w:tc>
          <w:tcPr>
            <w:tcW w:w="849" w:type="dxa"/>
          </w:tcPr>
          <w:p w14:paraId="47FA8765">
            <w:pPr>
              <w:rPr>
                <w:color w:val="auto"/>
              </w:rPr>
            </w:pPr>
          </w:p>
        </w:tc>
        <w:tc>
          <w:tcPr>
            <w:tcW w:w="1134" w:type="dxa"/>
          </w:tcPr>
          <w:p w14:paraId="71291B89">
            <w:pPr>
              <w:rPr>
                <w:color w:val="auto"/>
              </w:rPr>
            </w:pPr>
          </w:p>
        </w:tc>
        <w:tc>
          <w:tcPr>
            <w:tcW w:w="990" w:type="dxa"/>
          </w:tcPr>
          <w:p w14:paraId="51123B8C">
            <w:pPr>
              <w:rPr>
                <w:color w:val="auto"/>
              </w:rPr>
            </w:pPr>
          </w:p>
        </w:tc>
        <w:tc>
          <w:tcPr>
            <w:tcW w:w="992" w:type="dxa"/>
          </w:tcPr>
          <w:p w14:paraId="43834F8A">
            <w:pPr>
              <w:rPr>
                <w:color w:val="auto"/>
              </w:rPr>
            </w:pPr>
          </w:p>
        </w:tc>
        <w:tc>
          <w:tcPr>
            <w:tcW w:w="849" w:type="dxa"/>
          </w:tcPr>
          <w:p w14:paraId="1F8F2745">
            <w:pPr>
              <w:rPr>
                <w:color w:val="auto"/>
              </w:rPr>
            </w:pPr>
          </w:p>
        </w:tc>
        <w:tc>
          <w:tcPr>
            <w:tcW w:w="1131" w:type="dxa"/>
          </w:tcPr>
          <w:p w14:paraId="51E23624">
            <w:pPr>
              <w:rPr>
                <w:color w:val="auto"/>
              </w:rPr>
            </w:pPr>
          </w:p>
        </w:tc>
        <w:tc>
          <w:tcPr>
            <w:tcW w:w="789" w:type="dxa"/>
            <w:tcBorders>
              <w:right w:val="single" w:color="000000" w:sz="6" w:space="0"/>
            </w:tcBorders>
          </w:tcPr>
          <w:p w14:paraId="6E43E621">
            <w:pPr>
              <w:rPr>
                <w:color w:val="auto"/>
              </w:rPr>
            </w:pPr>
          </w:p>
        </w:tc>
      </w:tr>
      <w:tr w14:paraId="31748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722" w:type="dxa"/>
            <w:tcBorders>
              <w:left w:val="single" w:color="000000" w:sz="6" w:space="0"/>
            </w:tcBorders>
          </w:tcPr>
          <w:p w14:paraId="69606103">
            <w:pPr>
              <w:rPr>
                <w:color w:val="auto"/>
              </w:rPr>
            </w:pPr>
          </w:p>
        </w:tc>
        <w:tc>
          <w:tcPr>
            <w:tcW w:w="1556" w:type="dxa"/>
          </w:tcPr>
          <w:p w14:paraId="31768D01">
            <w:pPr>
              <w:rPr>
                <w:color w:val="auto"/>
              </w:rPr>
            </w:pPr>
          </w:p>
        </w:tc>
        <w:tc>
          <w:tcPr>
            <w:tcW w:w="2126" w:type="dxa"/>
          </w:tcPr>
          <w:p w14:paraId="2C0C1BD5">
            <w:pPr>
              <w:rPr>
                <w:color w:val="auto"/>
              </w:rPr>
            </w:pPr>
          </w:p>
        </w:tc>
        <w:tc>
          <w:tcPr>
            <w:tcW w:w="1980" w:type="dxa"/>
          </w:tcPr>
          <w:p w14:paraId="67948442">
            <w:pPr>
              <w:rPr>
                <w:color w:val="auto"/>
              </w:rPr>
            </w:pPr>
          </w:p>
        </w:tc>
        <w:tc>
          <w:tcPr>
            <w:tcW w:w="851" w:type="dxa"/>
          </w:tcPr>
          <w:p w14:paraId="47A2B590">
            <w:pPr>
              <w:rPr>
                <w:color w:val="auto"/>
              </w:rPr>
            </w:pPr>
          </w:p>
        </w:tc>
        <w:tc>
          <w:tcPr>
            <w:tcW w:w="849" w:type="dxa"/>
          </w:tcPr>
          <w:p w14:paraId="481C2A22">
            <w:pPr>
              <w:rPr>
                <w:color w:val="auto"/>
              </w:rPr>
            </w:pPr>
          </w:p>
        </w:tc>
        <w:tc>
          <w:tcPr>
            <w:tcW w:w="1134" w:type="dxa"/>
          </w:tcPr>
          <w:p w14:paraId="7B892580">
            <w:pPr>
              <w:rPr>
                <w:color w:val="auto"/>
              </w:rPr>
            </w:pPr>
          </w:p>
        </w:tc>
        <w:tc>
          <w:tcPr>
            <w:tcW w:w="990" w:type="dxa"/>
          </w:tcPr>
          <w:p w14:paraId="5770A6D2">
            <w:pPr>
              <w:rPr>
                <w:color w:val="auto"/>
              </w:rPr>
            </w:pPr>
          </w:p>
        </w:tc>
        <w:tc>
          <w:tcPr>
            <w:tcW w:w="992" w:type="dxa"/>
          </w:tcPr>
          <w:p w14:paraId="17BCA1EE">
            <w:pPr>
              <w:rPr>
                <w:color w:val="auto"/>
              </w:rPr>
            </w:pPr>
          </w:p>
        </w:tc>
        <w:tc>
          <w:tcPr>
            <w:tcW w:w="849" w:type="dxa"/>
          </w:tcPr>
          <w:p w14:paraId="3A9CE08F">
            <w:pPr>
              <w:rPr>
                <w:color w:val="auto"/>
              </w:rPr>
            </w:pPr>
          </w:p>
        </w:tc>
        <w:tc>
          <w:tcPr>
            <w:tcW w:w="1131" w:type="dxa"/>
          </w:tcPr>
          <w:p w14:paraId="2F5F9129">
            <w:pPr>
              <w:rPr>
                <w:color w:val="auto"/>
              </w:rPr>
            </w:pPr>
          </w:p>
        </w:tc>
        <w:tc>
          <w:tcPr>
            <w:tcW w:w="789" w:type="dxa"/>
            <w:tcBorders>
              <w:right w:val="single" w:color="000000" w:sz="6" w:space="0"/>
            </w:tcBorders>
          </w:tcPr>
          <w:p w14:paraId="0050A91E">
            <w:pPr>
              <w:rPr>
                <w:color w:val="auto"/>
              </w:rPr>
            </w:pPr>
          </w:p>
        </w:tc>
      </w:tr>
      <w:tr w14:paraId="5C312A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722" w:type="dxa"/>
            <w:tcBorders>
              <w:left w:val="single" w:color="000000" w:sz="6" w:space="0"/>
            </w:tcBorders>
          </w:tcPr>
          <w:p w14:paraId="5D98B54F">
            <w:pPr>
              <w:rPr>
                <w:color w:val="auto"/>
              </w:rPr>
            </w:pPr>
          </w:p>
        </w:tc>
        <w:tc>
          <w:tcPr>
            <w:tcW w:w="1556" w:type="dxa"/>
          </w:tcPr>
          <w:p w14:paraId="46708D90">
            <w:pPr>
              <w:rPr>
                <w:color w:val="auto"/>
              </w:rPr>
            </w:pPr>
          </w:p>
        </w:tc>
        <w:tc>
          <w:tcPr>
            <w:tcW w:w="2126" w:type="dxa"/>
          </w:tcPr>
          <w:p w14:paraId="66F39C6F">
            <w:pPr>
              <w:rPr>
                <w:color w:val="auto"/>
              </w:rPr>
            </w:pPr>
          </w:p>
        </w:tc>
        <w:tc>
          <w:tcPr>
            <w:tcW w:w="1980" w:type="dxa"/>
          </w:tcPr>
          <w:p w14:paraId="2AC54756">
            <w:pPr>
              <w:rPr>
                <w:color w:val="auto"/>
              </w:rPr>
            </w:pPr>
          </w:p>
        </w:tc>
        <w:tc>
          <w:tcPr>
            <w:tcW w:w="851" w:type="dxa"/>
          </w:tcPr>
          <w:p w14:paraId="6D4E6F21">
            <w:pPr>
              <w:rPr>
                <w:color w:val="auto"/>
              </w:rPr>
            </w:pPr>
          </w:p>
        </w:tc>
        <w:tc>
          <w:tcPr>
            <w:tcW w:w="849" w:type="dxa"/>
          </w:tcPr>
          <w:p w14:paraId="750A2A5D">
            <w:pPr>
              <w:rPr>
                <w:color w:val="auto"/>
              </w:rPr>
            </w:pPr>
          </w:p>
        </w:tc>
        <w:tc>
          <w:tcPr>
            <w:tcW w:w="1134" w:type="dxa"/>
          </w:tcPr>
          <w:p w14:paraId="220828D9">
            <w:pPr>
              <w:rPr>
                <w:color w:val="auto"/>
              </w:rPr>
            </w:pPr>
          </w:p>
        </w:tc>
        <w:tc>
          <w:tcPr>
            <w:tcW w:w="990" w:type="dxa"/>
          </w:tcPr>
          <w:p w14:paraId="2E13D870">
            <w:pPr>
              <w:rPr>
                <w:color w:val="auto"/>
              </w:rPr>
            </w:pPr>
          </w:p>
        </w:tc>
        <w:tc>
          <w:tcPr>
            <w:tcW w:w="992" w:type="dxa"/>
          </w:tcPr>
          <w:p w14:paraId="4A62FEBA">
            <w:pPr>
              <w:rPr>
                <w:color w:val="auto"/>
              </w:rPr>
            </w:pPr>
          </w:p>
        </w:tc>
        <w:tc>
          <w:tcPr>
            <w:tcW w:w="849" w:type="dxa"/>
          </w:tcPr>
          <w:p w14:paraId="52D30EB2">
            <w:pPr>
              <w:rPr>
                <w:color w:val="auto"/>
              </w:rPr>
            </w:pPr>
          </w:p>
        </w:tc>
        <w:tc>
          <w:tcPr>
            <w:tcW w:w="1131" w:type="dxa"/>
          </w:tcPr>
          <w:p w14:paraId="05E79670">
            <w:pPr>
              <w:rPr>
                <w:color w:val="auto"/>
              </w:rPr>
            </w:pPr>
          </w:p>
        </w:tc>
        <w:tc>
          <w:tcPr>
            <w:tcW w:w="789" w:type="dxa"/>
            <w:tcBorders>
              <w:right w:val="single" w:color="000000" w:sz="6" w:space="0"/>
            </w:tcBorders>
          </w:tcPr>
          <w:p w14:paraId="2082FD03">
            <w:pPr>
              <w:rPr>
                <w:color w:val="auto"/>
              </w:rPr>
            </w:pPr>
          </w:p>
        </w:tc>
      </w:tr>
      <w:tr w14:paraId="21575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722" w:type="dxa"/>
            <w:tcBorders>
              <w:left w:val="single" w:color="000000" w:sz="6" w:space="0"/>
            </w:tcBorders>
          </w:tcPr>
          <w:p w14:paraId="6525B1B2">
            <w:pPr>
              <w:rPr>
                <w:color w:val="auto"/>
              </w:rPr>
            </w:pPr>
          </w:p>
        </w:tc>
        <w:tc>
          <w:tcPr>
            <w:tcW w:w="1556" w:type="dxa"/>
          </w:tcPr>
          <w:p w14:paraId="721ED61F">
            <w:pPr>
              <w:rPr>
                <w:color w:val="auto"/>
              </w:rPr>
            </w:pPr>
          </w:p>
        </w:tc>
        <w:tc>
          <w:tcPr>
            <w:tcW w:w="2126" w:type="dxa"/>
          </w:tcPr>
          <w:p w14:paraId="24096903">
            <w:pPr>
              <w:rPr>
                <w:color w:val="auto"/>
              </w:rPr>
            </w:pPr>
          </w:p>
        </w:tc>
        <w:tc>
          <w:tcPr>
            <w:tcW w:w="1980" w:type="dxa"/>
          </w:tcPr>
          <w:p w14:paraId="180E5469">
            <w:pPr>
              <w:rPr>
                <w:color w:val="auto"/>
              </w:rPr>
            </w:pPr>
          </w:p>
        </w:tc>
        <w:tc>
          <w:tcPr>
            <w:tcW w:w="851" w:type="dxa"/>
          </w:tcPr>
          <w:p w14:paraId="78C8FC16">
            <w:pPr>
              <w:rPr>
                <w:color w:val="auto"/>
              </w:rPr>
            </w:pPr>
          </w:p>
        </w:tc>
        <w:tc>
          <w:tcPr>
            <w:tcW w:w="849" w:type="dxa"/>
          </w:tcPr>
          <w:p w14:paraId="517BBDD2">
            <w:pPr>
              <w:rPr>
                <w:color w:val="auto"/>
              </w:rPr>
            </w:pPr>
          </w:p>
        </w:tc>
        <w:tc>
          <w:tcPr>
            <w:tcW w:w="1134" w:type="dxa"/>
          </w:tcPr>
          <w:p w14:paraId="132DF570">
            <w:pPr>
              <w:rPr>
                <w:color w:val="auto"/>
              </w:rPr>
            </w:pPr>
          </w:p>
        </w:tc>
        <w:tc>
          <w:tcPr>
            <w:tcW w:w="990" w:type="dxa"/>
          </w:tcPr>
          <w:p w14:paraId="652D7C7D">
            <w:pPr>
              <w:rPr>
                <w:color w:val="auto"/>
              </w:rPr>
            </w:pPr>
          </w:p>
        </w:tc>
        <w:tc>
          <w:tcPr>
            <w:tcW w:w="992" w:type="dxa"/>
          </w:tcPr>
          <w:p w14:paraId="1D0DA719">
            <w:pPr>
              <w:rPr>
                <w:color w:val="auto"/>
              </w:rPr>
            </w:pPr>
          </w:p>
        </w:tc>
        <w:tc>
          <w:tcPr>
            <w:tcW w:w="849" w:type="dxa"/>
          </w:tcPr>
          <w:p w14:paraId="2FD01BD6">
            <w:pPr>
              <w:rPr>
                <w:color w:val="auto"/>
              </w:rPr>
            </w:pPr>
          </w:p>
        </w:tc>
        <w:tc>
          <w:tcPr>
            <w:tcW w:w="1131" w:type="dxa"/>
          </w:tcPr>
          <w:p w14:paraId="5DC8AB98">
            <w:pPr>
              <w:rPr>
                <w:color w:val="auto"/>
              </w:rPr>
            </w:pPr>
          </w:p>
        </w:tc>
        <w:tc>
          <w:tcPr>
            <w:tcW w:w="789" w:type="dxa"/>
            <w:tcBorders>
              <w:right w:val="single" w:color="000000" w:sz="6" w:space="0"/>
            </w:tcBorders>
          </w:tcPr>
          <w:p w14:paraId="766BD1AA">
            <w:pPr>
              <w:rPr>
                <w:color w:val="auto"/>
              </w:rPr>
            </w:pPr>
          </w:p>
        </w:tc>
      </w:tr>
      <w:tr w14:paraId="50D1B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jc w:val="center"/>
        </w:trPr>
        <w:tc>
          <w:tcPr>
            <w:tcW w:w="722" w:type="dxa"/>
            <w:tcBorders>
              <w:left w:val="single" w:color="000000" w:sz="6" w:space="0"/>
            </w:tcBorders>
          </w:tcPr>
          <w:p w14:paraId="2E0DA009">
            <w:pPr>
              <w:rPr>
                <w:color w:val="auto"/>
              </w:rPr>
            </w:pPr>
          </w:p>
        </w:tc>
        <w:tc>
          <w:tcPr>
            <w:tcW w:w="1556" w:type="dxa"/>
          </w:tcPr>
          <w:p w14:paraId="5BC1336A">
            <w:pPr>
              <w:rPr>
                <w:color w:val="auto"/>
              </w:rPr>
            </w:pPr>
          </w:p>
        </w:tc>
        <w:tc>
          <w:tcPr>
            <w:tcW w:w="2126" w:type="dxa"/>
          </w:tcPr>
          <w:p w14:paraId="1DDE418D">
            <w:pPr>
              <w:rPr>
                <w:color w:val="auto"/>
              </w:rPr>
            </w:pPr>
          </w:p>
        </w:tc>
        <w:tc>
          <w:tcPr>
            <w:tcW w:w="1980" w:type="dxa"/>
          </w:tcPr>
          <w:p w14:paraId="7285821B">
            <w:pPr>
              <w:rPr>
                <w:color w:val="auto"/>
              </w:rPr>
            </w:pPr>
          </w:p>
        </w:tc>
        <w:tc>
          <w:tcPr>
            <w:tcW w:w="851" w:type="dxa"/>
          </w:tcPr>
          <w:p w14:paraId="06DD3561">
            <w:pPr>
              <w:rPr>
                <w:color w:val="auto"/>
              </w:rPr>
            </w:pPr>
          </w:p>
        </w:tc>
        <w:tc>
          <w:tcPr>
            <w:tcW w:w="849" w:type="dxa"/>
          </w:tcPr>
          <w:p w14:paraId="6F558F8B">
            <w:pPr>
              <w:rPr>
                <w:color w:val="auto"/>
              </w:rPr>
            </w:pPr>
          </w:p>
        </w:tc>
        <w:tc>
          <w:tcPr>
            <w:tcW w:w="1134" w:type="dxa"/>
          </w:tcPr>
          <w:p w14:paraId="4070C860">
            <w:pPr>
              <w:rPr>
                <w:color w:val="auto"/>
              </w:rPr>
            </w:pPr>
          </w:p>
        </w:tc>
        <w:tc>
          <w:tcPr>
            <w:tcW w:w="990" w:type="dxa"/>
          </w:tcPr>
          <w:p w14:paraId="41C3CE89">
            <w:pPr>
              <w:rPr>
                <w:color w:val="auto"/>
              </w:rPr>
            </w:pPr>
          </w:p>
        </w:tc>
        <w:tc>
          <w:tcPr>
            <w:tcW w:w="992" w:type="dxa"/>
          </w:tcPr>
          <w:p w14:paraId="0FD73870">
            <w:pPr>
              <w:rPr>
                <w:color w:val="auto"/>
              </w:rPr>
            </w:pPr>
          </w:p>
        </w:tc>
        <w:tc>
          <w:tcPr>
            <w:tcW w:w="849" w:type="dxa"/>
          </w:tcPr>
          <w:p w14:paraId="4E9CCBEC">
            <w:pPr>
              <w:rPr>
                <w:color w:val="auto"/>
              </w:rPr>
            </w:pPr>
          </w:p>
        </w:tc>
        <w:tc>
          <w:tcPr>
            <w:tcW w:w="1131" w:type="dxa"/>
          </w:tcPr>
          <w:p w14:paraId="7047EF27">
            <w:pPr>
              <w:rPr>
                <w:color w:val="auto"/>
              </w:rPr>
            </w:pPr>
          </w:p>
        </w:tc>
        <w:tc>
          <w:tcPr>
            <w:tcW w:w="789" w:type="dxa"/>
            <w:tcBorders>
              <w:right w:val="single" w:color="000000" w:sz="6" w:space="0"/>
            </w:tcBorders>
          </w:tcPr>
          <w:p w14:paraId="12AEA3E1">
            <w:pPr>
              <w:rPr>
                <w:color w:val="auto"/>
              </w:rPr>
            </w:pPr>
          </w:p>
        </w:tc>
      </w:tr>
      <w:tr w14:paraId="3839EB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722" w:type="dxa"/>
            <w:tcBorders>
              <w:left w:val="single" w:color="000000" w:sz="6" w:space="0"/>
            </w:tcBorders>
          </w:tcPr>
          <w:p w14:paraId="18E0C045">
            <w:pPr>
              <w:rPr>
                <w:color w:val="auto"/>
              </w:rPr>
            </w:pPr>
          </w:p>
        </w:tc>
        <w:tc>
          <w:tcPr>
            <w:tcW w:w="1556" w:type="dxa"/>
          </w:tcPr>
          <w:p w14:paraId="013CE213">
            <w:pPr>
              <w:rPr>
                <w:color w:val="auto"/>
              </w:rPr>
            </w:pPr>
          </w:p>
        </w:tc>
        <w:tc>
          <w:tcPr>
            <w:tcW w:w="2126" w:type="dxa"/>
          </w:tcPr>
          <w:p w14:paraId="17B99F90">
            <w:pPr>
              <w:rPr>
                <w:color w:val="auto"/>
              </w:rPr>
            </w:pPr>
          </w:p>
        </w:tc>
        <w:tc>
          <w:tcPr>
            <w:tcW w:w="1980" w:type="dxa"/>
          </w:tcPr>
          <w:p w14:paraId="472B14AE">
            <w:pPr>
              <w:rPr>
                <w:color w:val="auto"/>
              </w:rPr>
            </w:pPr>
          </w:p>
        </w:tc>
        <w:tc>
          <w:tcPr>
            <w:tcW w:w="851" w:type="dxa"/>
          </w:tcPr>
          <w:p w14:paraId="5AC5337C">
            <w:pPr>
              <w:rPr>
                <w:color w:val="auto"/>
              </w:rPr>
            </w:pPr>
          </w:p>
        </w:tc>
        <w:tc>
          <w:tcPr>
            <w:tcW w:w="849" w:type="dxa"/>
          </w:tcPr>
          <w:p w14:paraId="5A54FD27">
            <w:pPr>
              <w:rPr>
                <w:color w:val="auto"/>
              </w:rPr>
            </w:pPr>
          </w:p>
        </w:tc>
        <w:tc>
          <w:tcPr>
            <w:tcW w:w="1134" w:type="dxa"/>
          </w:tcPr>
          <w:p w14:paraId="0980AA99">
            <w:pPr>
              <w:rPr>
                <w:color w:val="auto"/>
              </w:rPr>
            </w:pPr>
          </w:p>
        </w:tc>
        <w:tc>
          <w:tcPr>
            <w:tcW w:w="990" w:type="dxa"/>
          </w:tcPr>
          <w:p w14:paraId="281D5280">
            <w:pPr>
              <w:rPr>
                <w:color w:val="auto"/>
              </w:rPr>
            </w:pPr>
          </w:p>
        </w:tc>
        <w:tc>
          <w:tcPr>
            <w:tcW w:w="992" w:type="dxa"/>
          </w:tcPr>
          <w:p w14:paraId="07F2C4B5">
            <w:pPr>
              <w:rPr>
                <w:color w:val="auto"/>
              </w:rPr>
            </w:pPr>
          </w:p>
        </w:tc>
        <w:tc>
          <w:tcPr>
            <w:tcW w:w="849" w:type="dxa"/>
          </w:tcPr>
          <w:p w14:paraId="0770FCD2">
            <w:pPr>
              <w:rPr>
                <w:color w:val="auto"/>
              </w:rPr>
            </w:pPr>
          </w:p>
        </w:tc>
        <w:tc>
          <w:tcPr>
            <w:tcW w:w="1131" w:type="dxa"/>
          </w:tcPr>
          <w:p w14:paraId="149FA616">
            <w:pPr>
              <w:rPr>
                <w:color w:val="auto"/>
              </w:rPr>
            </w:pPr>
          </w:p>
        </w:tc>
        <w:tc>
          <w:tcPr>
            <w:tcW w:w="789" w:type="dxa"/>
            <w:tcBorders>
              <w:right w:val="single" w:color="000000" w:sz="6" w:space="0"/>
            </w:tcBorders>
          </w:tcPr>
          <w:p w14:paraId="4BB34A65">
            <w:pPr>
              <w:rPr>
                <w:color w:val="auto"/>
              </w:rPr>
            </w:pPr>
          </w:p>
        </w:tc>
      </w:tr>
      <w:tr w14:paraId="62284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jc w:val="center"/>
        </w:trPr>
        <w:tc>
          <w:tcPr>
            <w:tcW w:w="722" w:type="dxa"/>
            <w:tcBorders>
              <w:left w:val="single" w:color="000000" w:sz="6" w:space="0"/>
              <w:bottom w:val="single" w:color="000000" w:sz="6" w:space="0"/>
            </w:tcBorders>
          </w:tcPr>
          <w:p w14:paraId="210F0294">
            <w:pPr>
              <w:rPr>
                <w:color w:val="auto"/>
              </w:rPr>
            </w:pPr>
          </w:p>
        </w:tc>
        <w:tc>
          <w:tcPr>
            <w:tcW w:w="1556" w:type="dxa"/>
            <w:tcBorders>
              <w:bottom w:val="single" w:color="000000" w:sz="6" w:space="0"/>
            </w:tcBorders>
          </w:tcPr>
          <w:p w14:paraId="57E2A6A1">
            <w:pPr>
              <w:rPr>
                <w:color w:val="auto"/>
              </w:rPr>
            </w:pPr>
          </w:p>
        </w:tc>
        <w:tc>
          <w:tcPr>
            <w:tcW w:w="2126" w:type="dxa"/>
            <w:tcBorders>
              <w:bottom w:val="single" w:color="000000" w:sz="6" w:space="0"/>
            </w:tcBorders>
          </w:tcPr>
          <w:p w14:paraId="2D1F578A">
            <w:pPr>
              <w:pStyle w:val="21"/>
              <w:spacing w:before="162" w:line="221" w:lineRule="auto"/>
              <w:ind w:left="705"/>
              <w:rPr>
                <w:rFonts w:hint="eastAsia"/>
                <w:color w:val="auto"/>
                <w:sz w:val="24"/>
                <w:szCs w:val="24"/>
              </w:rPr>
            </w:pPr>
            <w:r>
              <w:rPr>
                <w:color w:val="auto"/>
                <w:spacing w:val="-6"/>
                <w:sz w:val="24"/>
                <w:szCs w:val="24"/>
              </w:rPr>
              <w:t>合</w:t>
            </w:r>
            <w:r>
              <w:rPr>
                <w:rFonts w:hint="eastAsia"/>
                <w:color w:val="auto"/>
                <w:spacing w:val="5"/>
                <w:sz w:val="24"/>
                <w:szCs w:val="24"/>
                <w:lang w:eastAsia="zh-CN"/>
              </w:rPr>
              <w:t>　</w:t>
            </w:r>
            <w:r>
              <w:rPr>
                <w:color w:val="auto"/>
                <w:spacing w:val="-6"/>
                <w:sz w:val="24"/>
                <w:szCs w:val="24"/>
              </w:rPr>
              <w:t>计</w:t>
            </w:r>
          </w:p>
        </w:tc>
        <w:tc>
          <w:tcPr>
            <w:tcW w:w="1980" w:type="dxa"/>
            <w:tcBorders>
              <w:bottom w:val="single" w:color="000000" w:sz="6" w:space="0"/>
            </w:tcBorders>
          </w:tcPr>
          <w:p w14:paraId="266E15F0">
            <w:pPr>
              <w:rPr>
                <w:color w:val="auto"/>
              </w:rPr>
            </w:pPr>
          </w:p>
        </w:tc>
        <w:tc>
          <w:tcPr>
            <w:tcW w:w="851" w:type="dxa"/>
            <w:tcBorders>
              <w:bottom w:val="single" w:color="000000" w:sz="6" w:space="0"/>
            </w:tcBorders>
          </w:tcPr>
          <w:p w14:paraId="684C52A1">
            <w:pPr>
              <w:rPr>
                <w:color w:val="auto"/>
              </w:rPr>
            </w:pPr>
          </w:p>
        </w:tc>
        <w:tc>
          <w:tcPr>
            <w:tcW w:w="849" w:type="dxa"/>
            <w:tcBorders>
              <w:bottom w:val="single" w:color="000000" w:sz="6" w:space="0"/>
            </w:tcBorders>
          </w:tcPr>
          <w:p w14:paraId="530ADE67">
            <w:pPr>
              <w:rPr>
                <w:color w:val="auto"/>
              </w:rPr>
            </w:pPr>
          </w:p>
        </w:tc>
        <w:tc>
          <w:tcPr>
            <w:tcW w:w="1134" w:type="dxa"/>
            <w:tcBorders>
              <w:bottom w:val="single" w:color="000000" w:sz="6" w:space="0"/>
            </w:tcBorders>
          </w:tcPr>
          <w:p w14:paraId="6302EF2E">
            <w:pPr>
              <w:rPr>
                <w:color w:val="auto"/>
              </w:rPr>
            </w:pPr>
          </w:p>
        </w:tc>
        <w:tc>
          <w:tcPr>
            <w:tcW w:w="990" w:type="dxa"/>
            <w:tcBorders>
              <w:bottom w:val="single" w:color="000000" w:sz="6" w:space="0"/>
            </w:tcBorders>
          </w:tcPr>
          <w:p w14:paraId="029EA8C8">
            <w:pPr>
              <w:rPr>
                <w:color w:val="auto"/>
              </w:rPr>
            </w:pPr>
          </w:p>
        </w:tc>
        <w:tc>
          <w:tcPr>
            <w:tcW w:w="992" w:type="dxa"/>
            <w:tcBorders>
              <w:bottom w:val="single" w:color="000000" w:sz="6" w:space="0"/>
            </w:tcBorders>
          </w:tcPr>
          <w:p w14:paraId="1BBDB7CE">
            <w:pPr>
              <w:rPr>
                <w:color w:val="auto"/>
              </w:rPr>
            </w:pPr>
          </w:p>
        </w:tc>
        <w:tc>
          <w:tcPr>
            <w:tcW w:w="849" w:type="dxa"/>
            <w:tcBorders>
              <w:bottom w:val="single" w:color="000000" w:sz="6" w:space="0"/>
            </w:tcBorders>
          </w:tcPr>
          <w:p w14:paraId="584127B0">
            <w:pPr>
              <w:rPr>
                <w:color w:val="auto"/>
              </w:rPr>
            </w:pPr>
          </w:p>
        </w:tc>
        <w:tc>
          <w:tcPr>
            <w:tcW w:w="1131" w:type="dxa"/>
            <w:tcBorders>
              <w:bottom w:val="single" w:color="000000" w:sz="6" w:space="0"/>
            </w:tcBorders>
          </w:tcPr>
          <w:p w14:paraId="569C7137">
            <w:pPr>
              <w:rPr>
                <w:color w:val="auto"/>
              </w:rPr>
            </w:pPr>
          </w:p>
        </w:tc>
        <w:tc>
          <w:tcPr>
            <w:tcW w:w="789" w:type="dxa"/>
            <w:tcBorders>
              <w:bottom w:val="single" w:color="000000" w:sz="6" w:space="0"/>
              <w:right w:val="single" w:color="000000" w:sz="6" w:space="0"/>
            </w:tcBorders>
          </w:tcPr>
          <w:p w14:paraId="4AB0227F">
            <w:pPr>
              <w:rPr>
                <w:color w:val="auto"/>
              </w:rPr>
            </w:pPr>
          </w:p>
        </w:tc>
      </w:tr>
    </w:tbl>
    <w:p w14:paraId="3D77AD26">
      <w:pPr>
        <w:spacing w:before="311" w:line="219" w:lineRule="auto"/>
        <w:ind w:left="2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法定代表人或委托代理人</w:t>
      </w:r>
      <w:r>
        <w:rPr>
          <w:rFonts w:ascii="宋体" w:hAnsi="宋体" w:eastAsia="宋体" w:cs="宋体"/>
          <w:color w:val="auto"/>
          <w:spacing w:val="-11"/>
          <w:sz w:val="24"/>
          <w:szCs w:val="24"/>
          <w:lang w:eastAsia="zh-CN"/>
        </w:rPr>
        <w:t>：</w:t>
      </w:r>
      <w:r>
        <w:rPr>
          <w:rFonts w:hint="eastAsia" w:ascii="宋体" w:hAnsi="宋体" w:eastAsia="宋体" w:cs="宋体"/>
          <w:color w:val="auto"/>
          <w:spacing w:val="30"/>
          <w:sz w:val="24"/>
          <w:szCs w:val="24"/>
          <w:u w:val="single"/>
          <w:lang w:eastAsia="zh-CN"/>
        </w:rPr>
        <w:t>　　</w:t>
      </w:r>
      <w:r>
        <w:rPr>
          <w:rFonts w:ascii="宋体" w:hAnsi="宋体" w:eastAsia="宋体" w:cs="宋体"/>
          <w:color w:val="auto"/>
          <w:spacing w:val="-11"/>
          <w:sz w:val="24"/>
          <w:szCs w:val="24"/>
          <w:u w:val="single"/>
          <w:lang w:eastAsia="zh-CN"/>
        </w:rPr>
        <w:t>（</w:t>
      </w:r>
      <w:r>
        <w:rPr>
          <w:rFonts w:ascii="宋体" w:hAnsi="宋体" w:eastAsia="宋体" w:cs="宋体"/>
          <w:color w:val="auto"/>
          <w:spacing w:val="1"/>
          <w:sz w:val="24"/>
          <w:szCs w:val="24"/>
          <w:u w:val="single"/>
          <w:lang w:eastAsia="zh-CN"/>
        </w:rPr>
        <w:t>签字或盖章）</w:t>
      </w:r>
      <w:r>
        <w:rPr>
          <w:rFonts w:hint="eastAsia" w:ascii="宋体" w:hAnsi="宋体" w:eastAsia="宋体" w:cs="宋体"/>
          <w:color w:val="auto"/>
          <w:sz w:val="24"/>
          <w:szCs w:val="24"/>
          <w:u w:val="single"/>
          <w:lang w:eastAsia="zh-CN"/>
        </w:rPr>
        <w:t>　　　</w:t>
      </w:r>
    </w:p>
    <w:p w14:paraId="333A4D6B">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5EB8C7B4">
      <w:pPr>
        <w:spacing w:before="91" w:line="219" w:lineRule="auto"/>
        <w:ind w:left="4512"/>
        <w:rPr>
          <w:rFonts w:hint="eastAsia" w:ascii="宋体" w:hAnsi="宋体" w:eastAsia="宋体" w:cs="宋体"/>
          <w:color w:val="auto"/>
          <w:sz w:val="28"/>
          <w:szCs w:val="28"/>
          <w:lang w:eastAsia="zh-CN"/>
        </w:rPr>
      </w:pPr>
      <w:r>
        <w:rPr>
          <w:rFonts w:ascii="宋体" w:hAnsi="宋体" w:eastAsia="宋体" w:cs="宋体"/>
          <w:b/>
          <w:bCs/>
          <w:color w:val="auto"/>
          <w:spacing w:val="-3"/>
          <w:sz w:val="28"/>
          <w:szCs w:val="28"/>
          <w:lang w:eastAsia="zh-CN"/>
        </w:rPr>
        <w:t>施工临时工程分类分项工程量清单计价表</w:t>
      </w:r>
    </w:p>
    <w:p w14:paraId="71D22951">
      <w:pPr>
        <w:spacing w:before="205" w:line="212" w:lineRule="auto"/>
        <w:ind w:left="6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pacing w:val="-1"/>
          <w:sz w:val="24"/>
          <w:szCs w:val="24"/>
          <w:lang w:eastAsia="zh-CN"/>
        </w:rPr>
        <w:t>　　　　　　　　　　　　　　　　　　　　　　　　　　　　</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第</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w:t>
      </w:r>
    </w:p>
    <w:tbl>
      <w:tblPr>
        <w:tblStyle w:val="20"/>
        <w:tblW w:w="140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841"/>
        <w:gridCol w:w="2407"/>
        <w:gridCol w:w="2831"/>
        <w:gridCol w:w="851"/>
        <w:gridCol w:w="990"/>
        <w:gridCol w:w="993"/>
        <w:gridCol w:w="1132"/>
        <w:gridCol w:w="1273"/>
        <w:gridCol w:w="971"/>
      </w:tblGrid>
      <w:tr w14:paraId="66017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jc w:val="center"/>
        </w:trPr>
        <w:tc>
          <w:tcPr>
            <w:tcW w:w="760" w:type="dxa"/>
            <w:tcBorders>
              <w:top w:val="single" w:color="000000" w:sz="6" w:space="0"/>
              <w:left w:val="single" w:color="000000" w:sz="6" w:space="0"/>
            </w:tcBorders>
            <w:vAlign w:val="center"/>
          </w:tcPr>
          <w:p w14:paraId="2687FBF8">
            <w:pPr>
              <w:pStyle w:val="21"/>
              <w:jc w:val="center"/>
              <w:rPr>
                <w:rFonts w:hint="eastAsia"/>
                <w:color w:val="auto"/>
                <w:sz w:val="24"/>
                <w:szCs w:val="24"/>
              </w:rPr>
            </w:pPr>
            <w:r>
              <w:rPr>
                <w:color w:val="auto"/>
                <w:spacing w:val="-3"/>
                <w:sz w:val="24"/>
                <w:szCs w:val="24"/>
              </w:rPr>
              <w:t>序号</w:t>
            </w:r>
          </w:p>
        </w:tc>
        <w:tc>
          <w:tcPr>
            <w:tcW w:w="1841" w:type="dxa"/>
            <w:tcBorders>
              <w:top w:val="single" w:color="000000" w:sz="6" w:space="0"/>
            </w:tcBorders>
            <w:vAlign w:val="center"/>
          </w:tcPr>
          <w:p w14:paraId="49DA102A">
            <w:pPr>
              <w:pStyle w:val="21"/>
              <w:jc w:val="center"/>
              <w:rPr>
                <w:rFonts w:hint="eastAsia"/>
                <w:color w:val="auto"/>
                <w:sz w:val="24"/>
                <w:szCs w:val="24"/>
              </w:rPr>
            </w:pPr>
            <w:r>
              <w:rPr>
                <w:color w:val="auto"/>
                <w:spacing w:val="-3"/>
                <w:sz w:val="24"/>
                <w:szCs w:val="24"/>
              </w:rPr>
              <w:t>项目编码</w:t>
            </w:r>
          </w:p>
        </w:tc>
        <w:tc>
          <w:tcPr>
            <w:tcW w:w="2407" w:type="dxa"/>
            <w:tcBorders>
              <w:top w:val="single" w:color="000000" w:sz="6" w:space="0"/>
            </w:tcBorders>
            <w:vAlign w:val="center"/>
          </w:tcPr>
          <w:p w14:paraId="4DAB0881">
            <w:pPr>
              <w:pStyle w:val="21"/>
              <w:jc w:val="center"/>
              <w:rPr>
                <w:rFonts w:hint="eastAsia"/>
                <w:color w:val="auto"/>
                <w:sz w:val="24"/>
                <w:szCs w:val="24"/>
              </w:rPr>
            </w:pPr>
            <w:r>
              <w:rPr>
                <w:color w:val="auto"/>
                <w:spacing w:val="-3"/>
                <w:sz w:val="24"/>
                <w:szCs w:val="24"/>
              </w:rPr>
              <w:t>项目名称</w:t>
            </w:r>
          </w:p>
        </w:tc>
        <w:tc>
          <w:tcPr>
            <w:tcW w:w="2831" w:type="dxa"/>
            <w:tcBorders>
              <w:top w:val="single" w:color="000000" w:sz="6" w:space="0"/>
            </w:tcBorders>
            <w:vAlign w:val="center"/>
          </w:tcPr>
          <w:p w14:paraId="35721042">
            <w:pPr>
              <w:pStyle w:val="21"/>
              <w:jc w:val="center"/>
              <w:rPr>
                <w:rFonts w:hint="eastAsia"/>
                <w:color w:val="auto"/>
                <w:sz w:val="24"/>
                <w:szCs w:val="24"/>
              </w:rPr>
            </w:pPr>
            <w:r>
              <w:rPr>
                <w:color w:val="auto"/>
                <w:spacing w:val="-4"/>
                <w:sz w:val="24"/>
                <w:szCs w:val="24"/>
              </w:rPr>
              <w:t>项目主要</w:t>
            </w:r>
            <w:r>
              <w:rPr>
                <w:color w:val="auto"/>
                <w:spacing w:val="-11"/>
                <w:sz w:val="24"/>
                <w:szCs w:val="24"/>
              </w:rPr>
              <w:t>特征</w:t>
            </w:r>
          </w:p>
        </w:tc>
        <w:tc>
          <w:tcPr>
            <w:tcW w:w="851" w:type="dxa"/>
            <w:tcBorders>
              <w:top w:val="single" w:color="000000" w:sz="6" w:space="0"/>
            </w:tcBorders>
            <w:vAlign w:val="center"/>
          </w:tcPr>
          <w:p w14:paraId="73E6942F">
            <w:pPr>
              <w:pStyle w:val="21"/>
              <w:jc w:val="center"/>
              <w:rPr>
                <w:rFonts w:hint="eastAsia"/>
                <w:color w:val="auto"/>
                <w:spacing w:val="-3"/>
                <w:sz w:val="24"/>
                <w:szCs w:val="24"/>
              </w:rPr>
            </w:pPr>
            <w:r>
              <w:rPr>
                <w:color w:val="auto"/>
                <w:spacing w:val="-3"/>
                <w:sz w:val="24"/>
                <w:szCs w:val="24"/>
              </w:rPr>
              <w:t>计量</w:t>
            </w:r>
          </w:p>
          <w:p w14:paraId="6FCFB19A">
            <w:pPr>
              <w:pStyle w:val="21"/>
              <w:jc w:val="center"/>
              <w:rPr>
                <w:rFonts w:hint="eastAsia"/>
                <w:color w:val="auto"/>
                <w:sz w:val="24"/>
                <w:szCs w:val="24"/>
              </w:rPr>
            </w:pPr>
            <w:r>
              <w:rPr>
                <w:color w:val="auto"/>
                <w:spacing w:val="-3"/>
                <w:sz w:val="24"/>
                <w:szCs w:val="24"/>
              </w:rPr>
              <w:t>单位</w:t>
            </w:r>
          </w:p>
        </w:tc>
        <w:tc>
          <w:tcPr>
            <w:tcW w:w="990" w:type="dxa"/>
            <w:tcBorders>
              <w:top w:val="single" w:color="000000" w:sz="6" w:space="0"/>
            </w:tcBorders>
            <w:vAlign w:val="center"/>
          </w:tcPr>
          <w:p w14:paraId="0DDD5BC2">
            <w:pPr>
              <w:pStyle w:val="21"/>
              <w:jc w:val="center"/>
              <w:rPr>
                <w:rFonts w:hint="eastAsia"/>
                <w:color w:val="auto"/>
                <w:sz w:val="24"/>
                <w:szCs w:val="24"/>
              </w:rPr>
            </w:pPr>
            <w:r>
              <w:rPr>
                <w:color w:val="auto"/>
                <w:spacing w:val="-4"/>
                <w:sz w:val="24"/>
                <w:szCs w:val="24"/>
              </w:rPr>
              <w:t>工程</w:t>
            </w:r>
            <w:r>
              <w:rPr>
                <w:color w:val="auto"/>
                <w:spacing w:val="-3"/>
                <w:sz w:val="24"/>
                <w:szCs w:val="24"/>
              </w:rPr>
              <w:t>数量</w:t>
            </w:r>
          </w:p>
        </w:tc>
        <w:tc>
          <w:tcPr>
            <w:tcW w:w="993" w:type="dxa"/>
            <w:tcBorders>
              <w:top w:val="single" w:color="000000" w:sz="6" w:space="0"/>
            </w:tcBorders>
            <w:vAlign w:val="center"/>
          </w:tcPr>
          <w:p w14:paraId="0015C9DE">
            <w:pPr>
              <w:pStyle w:val="21"/>
              <w:jc w:val="center"/>
              <w:rPr>
                <w:rFonts w:hint="eastAsia"/>
                <w:color w:val="auto"/>
                <w:spacing w:val="-6"/>
                <w:sz w:val="24"/>
                <w:szCs w:val="24"/>
              </w:rPr>
            </w:pPr>
            <w:r>
              <w:rPr>
                <w:color w:val="auto"/>
                <w:spacing w:val="-6"/>
                <w:sz w:val="24"/>
                <w:szCs w:val="24"/>
              </w:rPr>
              <w:t>单价</w:t>
            </w:r>
          </w:p>
          <w:p w14:paraId="5EEDF973">
            <w:pPr>
              <w:pStyle w:val="21"/>
              <w:jc w:val="center"/>
              <w:rPr>
                <w:rFonts w:hint="eastAsia"/>
                <w:color w:val="auto"/>
                <w:sz w:val="24"/>
                <w:szCs w:val="24"/>
              </w:rPr>
            </w:pPr>
            <w:r>
              <w:rPr>
                <w:color w:val="auto"/>
                <w:spacing w:val="-11"/>
                <w:sz w:val="24"/>
                <w:szCs w:val="24"/>
              </w:rPr>
              <w:t>（元）</w:t>
            </w:r>
          </w:p>
        </w:tc>
        <w:tc>
          <w:tcPr>
            <w:tcW w:w="1132" w:type="dxa"/>
            <w:tcBorders>
              <w:top w:val="single" w:color="000000" w:sz="6" w:space="0"/>
            </w:tcBorders>
            <w:vAlign w:val="center"/>
          </w:tcPr>
          <w:p w14:paraId="6A87ACA2">
            <w:pPr>
              <w:pStyle w:val="21"/>
              <w:jc w:val="center"/>
              <w:rPr>
                <w:rFonts w:hint="eastAsia"/>
                <w:color w:val="auto"/>
                <w:spacing w:val="-6"/>
                <w:sz w:val="24"/>
                <w:szCs w:val="24"/>
              </w:rPr>
            </w:pPr>
            <w:r>
              <w:rPr>
                <w:color w:val="auto"/>
                <w:spacing w:val="-6"/>
                <w:sz w:val="24"/>
                <w:szCs w:val="24"/>
              </w:rPr>
              <w:t>合价</w:t>
            </w:r>
          </w:p>
          <w:p w14:paraId="71F6B3FE">
            <w:pPr>
              <w:pStyle w:val="21"/>
              <w:jc w:val="center"/>
              <w:rPr>
                <w:rFonts w:hint="eastAsia"/>
                <w:color w:val="auto"/>
                <w:sz w:val="24"/>
                <w:szCs w:val="24"/>
              </w:rPr>
            </w:pPr>
            <w:r>
              <w:rPr>
                <w:color w:val="auto"/>
                <w:spacing w:val="-11"/>
                <w:sz w:val="24"/>
                <w:szCs w:val="24"/>
              </w:rPr>
              <w:t>（元）</w:t>
            </w:r>
          </w:p>
        </w:tc>
        <w:tc>
          <w:tcPr>
            <w:tcW w:w="1273" w:type="dxa"/>
            <w:tcBorders>
              <w:top w:val="single" w:color="000000" w:sz="6" w:space="0"/>
            </w:tcBorders>
            <w:vAlign w:val="center"/>
          </w:tcPr>
          <w:p w14:paraId="2063FBC1">
            <w:pPr>
              <w:pStyle w:val="21"/>
              <w:jc w:val="center"/>
              <w:rPr>
                <w:rFonts w:hint="eastAsia"/>
                <w:color w:val="auto"/>
                <w:sz w:val="24"/>
                <w:szCs w:val="24"/>
              </w:rPr>
            </w:pPr>
            <w:r>
              <w:rPr>
                <w:color w:val="auto"/>
                <w:spacing w:val="-3"/>
                <w:sz w:val="24"/>
                <w:szCs w:val="24"/>
              </w:rPr>
              <w:t>主要技术</w:t>
            </w:r>
          </w:p>
          <w:p w14:paraId="36BDE4EB">
            <w:pPr>
              <w:pStyle w:val="21"/>
              <w:jc w:val="center"/>
              <w:rPr>
                <w:rFonts w:hint="eastAsia"/>
                <w:color w:val="auto"/>
                <w:sz w:val="24"/>
                <w:szCs w:val="24"/>
              </w:rPr>
            </w:pPr>
            <w:r>
              <w:rPr>
                <w:color w:val="auto"/>
                <w:spacing w:val="-3"/>
                <w:sz w:val="24"/>
                <w:szCs w:val="24"/>
              </w:rPr>
              <w:t>条款编码</w:t>
            </w:r>
          </w:p>
        </w:tc>
        <w:tc>
          <w:tcPr>
            <w:tcW w:w="971" w:type="dxa"/>
            <w:tcBorders>
              <w:top w:val="single" w:color="000000" w:sz="6" w:space="0"/>
              <w:right w:val="single" w:color="000000" w:sz="6" w:space="0"/>
            </w:tcBorders>
            <w:vAlign w:val="center"/>
          </w:tcPr>
          <w:p w14:paraId="2E03E1FD">
            <w:pPr>
              <w:pStyle w:val="21"/>
              <w:jc w:val="center"/>
              <w:rPr>
                <w:rFonts w:hint="eastAsia"/>
                <w:color w:val="auto"/>
                <w:sz w:val="24"/>
                <w:szCs w:val="24"/>
              </w:rPr>
            </w:pPr>
            <w:r>
              <w:rPr>
                <w:color w:val="auto"/>
                <w:spacing w:val="-4"/>
                <w:sz w:val="24"/>
                <w:szCs w:val="24"/>
              </w:rPr>
              <w:t>备注</w:t>
            </w:r>
          </w:p>
        </w:tc>
      </w:tr>
      <w:tr w14:paraId="6BB2EF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629298F9">
            <w:pPr>
              <w:rPr>
                <w:color w:val="auto"/>
              </w:rPr>
            </w:pPr>
          </w:p>
        </w:tc>
        <w:tc>
          <w:tcPr>
            <w:tcW w:w="1841" w:type="dxa"/>
          </w:tcPr>
          <w:p w14:paraId="2D036CF0">
            <w:pPr>
              <w:rPr>
                <w:color w:val="auto"/>
              </w:rPr>
            </w:pPr>
          </w:p>
        </w:tc>
        <w:tc>
          <w:tcPr>
            <w:tcW w:w="2407" w:type="dxa"/>
          </w:tcPr>
          <w:p w14:paraId="7776FCEA">
            <w:pPr>
              <w:rPr>
                <w:color w:val="auto"/>
              </w:rPr>
            </w:pPr>
          </w:p>
        </w:tc>
        <w:tc>
          <w:tcPr>
            <w:tcW w:w="2831" w:type="dxa"/>
          </w:tcPr>
          <w:p w14:paraId="2AD19306">
            <w:pPr>
              <w:rPr>
                <w:color w:val="auto"/>
              </w:rPr>
            </w:pPr>
          </w:p>
        </w:tc>
        <w:tc>
          <w:tcPr>
            <w:tcW w:w="851" w:type="dxa"/>
          </w:tcPr>
          <w:p w14:paraId="450203F4">
            <w:pPr>
              <w:rPr>
                <w:color w:val="auto"/>
              </w:rPr>
            </w:pPr>
          </w:p>
        </w:tc>
        <w:tc>
          <w:tcPr>
            <w:tcW w:w="990" w:type="dxa"/>
          </w:tcPr>
          <w:p w14:paraId="795E7902">
            <w:pPr>
              <w:rPr>
                <w:color w:val="auto"/>
              </w:rPr>
            </w:pPr>
          </w:p>
        </w:tc>
        <w:tc>
          <w:tcPr>
            <w:tcW w:w="993" w:type="dxa"/>
          </w:tcPr>
          <w:p w14:paraId="38554BF8">
            <w:pPr>
              <w:rPr>
                <w:color w:val="auto"/>
              </w:rPr>
            </w:pPr>
          </w:p>
        </w:tc>
        <w:tc>
          <w:tcPr>
            <w:tcW w:w="1132" w:type="dxa"/>
          </w:tcPr>
          <w:p w14:paraId="3B5047E1">
            <w:pPr>
              <w:rPr>
                <w:color w:val="auto"/>
              </w:rPr>
            </w:pPr>
          </w:p>
        </w:tc>
        <w:tc>
          <w:tcPr>
            <w:tcW w:w="1273" w:type="dxa"/>
          </w:tcPr>
          <w:p w14:paraId="11E253F7">
            <w:pPr>
              <w:rPr>
                <w:color w:val="auto"/>
              </w:rPr>
            </w:pPr>
          </w:p>
        </w:tc>
        <w:tc>
          <w:tcPr>
            <w:tcW w:w="971" w:type="dxa"/>
            <w:tcBorders>
              <w:right w:val="single" w:color="000000" w:sz="6" w:space="0"/>
            </w:tcBorders>
          </w:tcPr>
          <w:p w14:paraId="32BBDA50">
            <w:pPr>
              <w:rPr>
                <w:color w:val="auto"/>
              </w:rPr>
            </w:pPr>
          </w:p>
        </w:tc>
      </w:tr>
      <w:tr w14:paraId="3B259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760" w:type="dxa"/>
            <w:tcBorders>
              <w:left w:val="single" w:color="000000" w:sz="6" w:space="0"/>
            </w:tcBorders>
          </w:tcPr>
          <w:p w14:paraId="4AA0A32C">
            <w:pPr>
              <w:rPr>
                <w:color w:val="auto"/>
              </w:rPr>
            </w:pPr>
          </w:p>
        </w:tc>
        <w:tc>
          <w:tcPr>
            <w:tcW w:w="1841" w:type="dxa"/>
          </w:tcPr>
          <w:p w14:paraId="0FA0B02B">
            <w:pPr>
              <w:rPr>
                <w:color w:val="auto"/>
              </w:rPr>
            </w:pPr>
          </w:p>
        </w:tc>
        <w:tc>
          <w:tcPr>
            <w:tcW w:w="2407" w:type="dxa"/>
          </w:tcPr>
          <w:p w14:paraId="22932BA7">
            <w:pPr>
              <w:rPr>
                <w:color w:val="auto"/>
              </w:rPr>
            </w:pPr>
          </w:p>
        </w:tc>
        <w:tc>
          <w:tcPr>
            <w:tcW w:w="2831" w:type="dxa"/>
          </w:tcPr>
          <w:p w14:paraId="02FE6AD5">
            <w:pPr>
              <w:rPr>
                <w:color w:val="auto"/>
              </w:rPr>
            </w:pPr>
          </w:p>
        </w:tc>
        <w:tc>
          <w:tcPr>
            <w:tcW w:w="851" w:type="dxa"/>
          </w:tcPr>
          <w:p w14:paraId="75551397">
            <w:pPr>
              <w:rPr>
                <w:color w:val="auto"/>
              </w:rPr>
            </w:pPr>
          </w:p>
        </w:tc>
        <w:tc>
          <w:tcPr>
            <w:tcW w:w="990" w:type="dxa"/>
          </w:tcPr>
          <w:p w14:paraId="5BDD7A1F">
            <w:pPr>
              <w:rPr>
                <w:color w:val="auto"/>
              </w:rPr>
            </w:pPr>
          </w:p>
        </w:tc>
        <w:tc>
          <w:tcPr>
            <w:tcW w:w="993" w:type="dxa"/>
          </w:tcPr>
          <w:p w14:paraId="5AA2E82D">
            <w:pPr>
              <w:rPr>
                <w:color w:val="auto"/>
              </w:rPr>
            </w:pPr>
          </w:p>
        </w:tc>
        <w:tc>
          <w:tcPr>
            <w:tcW w:w="1132" w:type="dxa"/>
          </w:tcPr>
          <w:p w14:paraId="36B1FC49">
            <w:pPr>
              <w:rPr>
                <w:color w:val="auto"/>
              </w:rPr>
            </w:pPr>
          </w:p>
        </w:tc>
        <w:tc>
          <w:tcPr>
            <w:tcW w:w="1273" w:type="dxa"/>
          </w:tcPr>
          <w:p w14:paraId="6528529C">
            <w:pPr>
              <w:rPr>
                <w:color w:val="auto"/>
              </w:rPr>
            </w:pPr>
          </w:p>
        </w:tc>
        <w:tc>
          <w:tcPr>
            <w:tcW w:w="971" w:type="dxa"/>
            <w:tcBorders>
              <w:right w:val="single" w:color="000000" w:sz="6" w:space="0"/>
            </w:tcBorders>
          </w:tcPr>
          <w:p w14:paraId="56F61F8F">
            <w:pPr>
              <w:rPr>
                <w:color w:val="auto"/>
              </w:rPr>
            </w:pPr>
          </w:p>
        </w:tc>
      </w:tr>
      <w:tr w14:paraId="3DE84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2C5B2143">
            <w:pPr>
              <w:rPr>
                <w:color w:val="auto"/>
              </w:rPr>
            </w:pPr>
          </w:p>
        </w:tc>
        <w:tc>
          <w:tcPr>
            <w:tcW w:w="1841" w:type="dxa"/>
          </w:tcPr>
          <w:p w14:paraId="3F17C35C">
            <w:pPr>
              <w:rPr>
                <w:color w:val="auto"/>
              </w:rPr>
            </w:pPr>
          </w:p>
        </w:tc>
        <w:tc>
          <w:tcPr>
            <w:tcW w:w="2407" w:type="dxa"/>
          </w:tcPr>
          <w:p w14:paraId="0DAE66DC">
            <w:pPr>
              <w:rPr>
                <w:color w:val="auto"/>
              </w:rPr>
            </w:pPr>
          </w:p>
        </w:tc>
        <w:tc>
          <w:tcPr>
            <w:tcW w:w="2831" w:type="dxa"/>
          </w:tcPr>
          <w:p w14:paraId="76ACAF81">
            <w:pPr>
              <w:rPr>
                <w:color w:val="auto"/>
              </w:rPr>
            </w:pPr>
          </w:p>
        </w:tc>
        <w:tc>
          <w:tcPr>
            <w:tcW w:w="851" w:type="dxa"/>
          </w:tcPr>
          <w:p w14:paraId="59D5E0CC">
            <w:pPr>
              <w:rPr>
                <w:color w:val="auto"/>
              </w:rPr>
            </w:pPr>
          </w:p>
        </w:tc>
        <w:tc>
          <w:tcPr>
            <w:tcW w:w="990" w:type="dxa"/>
          </w:tcPr>
          <w:p w14:paraId="7D1DD28A">
            <w:pPr>
              <w:rPr>
                <w:color w:val="auto"/>
              </w:rPr>
            </w:pPr>
          </w:p>
        </w:tc>
        <w:tc>
          <w:tcPr>
            <w:tcW w:w="993" w:type="dxa"/>
          </w:tcPr>
          <w:p w14:paraId="7C22EF91">
            <w:pPr>
              <w:rPr>
                <w:color w:val="auto"/>
              </w:rPr>
            </w:pPr>
          </w:p>
        </w:tc>
        <w:tc>
          <w:tcPr>
            <w:tcW w:w="1132" w:type="dxa"/>
          </w:tcPr>
          <w:p w14:paraId="634D7C31">
            <w:pPr>
              <w:rPr>
                <w:color w:val="auto"/>
              </w:rPr>
            </w:pPr>
          </w:p>
        </w:tc>
        <w:tc>
          <w:tcPr>
            <w:tcW w:w="1273" w:type="dxa"/>
          </w:tcPr>
          <w:p w14:paraId="2EA26102">
            <w:pPr>
              <w:rPr>
                <w:color w:val="auto"/>
              </w:rPr>
            </w:pPr>
          </w:p>
        </w:tc>
        <w:tc>
          <w:tcPr>
            <w:tcW w:w="971" w:type="dxa"/>
            <w:tcBorders>
              <w:right w:val="single" w:color="000000" w:sz="6" w:space="0"/>
            </w:tcBorders>
          </w:tcPr>
          <w:p w14:paraId="26705136">
            <w:pPr>
              <w:rPr>
                <w:color w:val="auto"/>
              </w:rPr>
            </w:pPr>
          </w:p>
        </w:tc>
      </w:tr>
      <w:tr w14:paraId="31C01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12606F83">
            <w:pPr>
              <w:rPr>
                <w:color w:val="auto"/>
              </w:rPr>
            </w:pPr>
          </w:p>
        </w:tc>
        <w:tc>
          <w:tcPr>
            <w:tcW w:w="1841" w:type="dxa"/>
          </w:tcPr>
          <w:p w14:paraId="18A2B3C2">
            <w:pPr>
              <w:rPr>
                <w:color w:val="auto"/>
              </w:rPr>
            </w:pPr>
          </w:p>
        </w:tc>
        <w:tc>
          <w:tcPr>
            <w:tcW w:w="2407" w:type="dxa"/>
          </w:tcPr>
          <w:p w14:paraId="34D6D1AC">
            <w:pPr>
              <w:rPr>
                <w:color w:val="auto"/>
              </w:rPr>
            </w:pPr>
          </w:p>
        </w:tc>
        <w:tc>
          <w:tcPr>
            <w:tcW w:w="2831" w:type="dxa"/>
          </w:tcPr>
          <w:p w14:paraId="3036962B">
            <w:pPr>
              <w:rPr>
                <w:color w:val="auto"/>
              </w:rPr>
            </w:pPr>
          </w:p>
        </w:tc>
        <w:tc>
          <w:tcPr>
            <w:tcW w:w="851" w:type="dxa"/>
          </w:tcPr>
          <w:p w14:paraId="392BAB91">
            <w:pPr>
              <w:rPr>
                <w:color w:val="auto"/>
              </w:rPr>
            </w:pPr>
          </w:p>
        </w:tc>
        <w:tc>
          <w:tcPr>
            <w:tcW w:w="990" w:type="dxa"/>
          </w:tcPr>
          <w:p w14:paraId="5B619924">
            <w:pPr>
              <w:rPr>
                <w:color w:val="auto"/>
              </w:rPr>
            </w:pPr>
          </w:p>
        </w:tc>
        <w:tc>
          <w:tcPr>
            <w:tcW w:w="993" w:type="dxa"/>
          </w:tcPr>
          <w:p w14:paraId="4A3CCE26">
            <w:pPr>
              <w:rPr>
                <w:color w:val="auto"/>
              </w:rPr>
            </w:pPr>
          </w:p>
        </w:tc>
        <w:tc>
          <w:tcPr>
            <w:tcW w:w="1132" w:type="dxa"/>
          </w:tcPr>
          <w:p w14:paraId="19BD5A01">
            <w:pPr>
              <w:rPr>
                <w:color w:val="auto"/>
              </w:rPr>
            </w:pPr>
          </w:p>
        </w:tc>
        <w:tc>
          <w:tcPr>
            <w:tcW w:w="1273" w:type="dxa"/>
          </w:tcPr>
          <w:p w14:paraId="103295CF">
            <w:pPr>
              <w:rPr>
                <w:color w:val="auto"/>
              </w:rPr>
            </w:pPr>
          </w:p>
        </w:tc>
        <w:tc>
          <w:tcPr>
            <w:tcW w:w="971" w:type="dxa"/>
            <w:tcBorders>
              <w:right w:val="single" w:color="000000" w:sz="6" w:space="0"/>
            </w:tcBorders>
          </w:tcPr>
          <w:p w14:paraId="7FA9D793">
            <w:pPr>
              <w:rPr>
                <w:color w:val="auto"/>
              </w:rPr>
            </w:pPr>
          </w:p>
        </w:tc>
      </w:tr>
      <w:tr w14:paraId="10687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314499EB">
            <w:pPr>
              <w:rPr>
                <w:color w:val="auto"/>
              </w:rPr>
            </w:pPr>
          </w:p>
        </w:tc>
        <w:tc>
          <w:tcPr>
            <w:tcW w:w="1841" w:type="dxa"/>
          </w:tcPr>
          <w:p w14:paraId="2FD19E0B">
            <w:pPr>
              <w:rPr>
                <w:color w:val="auto"/>
              </w:rPr>
            </w:pPr>
          </w:p>
        </w:tc>
        <w:tc>
          <w:tcPr>
            <w:tcW w:w="2407" w:type="dxa"/>
          </w:tcPr>
          <w:p w14:paraId="17A8E563">
            <w:pPr>
              <w:rPr>
                <w:color w:val="auto"/>
              </w:rPr>
            </w:pPr>
          </w:p>
        </w:tc>
        <w:tc>
          <w:tcPr>
            <w:tcW w:w="2831" w:type="dxa"/>
          </w:tcPr>
          <w:p w14:paraId="4574D531">
            <w:pPr>
              <w:rPr>
                <w:color w:val="auto"/>
              </w:rPr>
            </w:pPr>
          </w:p>
        </w:tc>
        <w:tc>
          <w:tcPr>
            <w:tcW w:w="851" w:type="dxa"/>
          </w:tcPr>
          <w:p w14:paraId="2E23848E">
            <w:pPr>
              <w:rPr>
                <w:color w:val="auto"/>
              </w:rPr>
            </w:pPr>
          </w:p>
        </w:tc>
        <w:tc>
          <w:tcPr>
            <w:tcW w:w="990" w:type="dxa"/>
          </w:tcPr>
          <w:p w14:paraId="23A10791">
            <w:pPr>
              <w:rPr>
                <w:color w:val="auto"/>
              </w:rPr>
            </w:pPr>
          </w:p>
        </w:tc>
        <w:tc>
          <w:tcPr>
            <w:tcW w:w="993" w:type="dxa"/>
          </w:tcPr>
          <w:p w14:paraId="73AC0031">
            <w:pPr>
              <w:rPr>
                <w:color w:val="auto"/>
              </w:rPr>
            </w:pPr>
          </w:p>
        </w:tc>
        <w:tc>
          <w:tcPr>
            <w:tcW w:w="1132" w:type="dxa"/>
          </w:tcPr>
          <w:p w14:paraId="289052AF">
            <w:pPr>
              <w:rPr>
                <w:color w:val="auto"/>
              </w:rPr>
            </w:pPr>
          </w:p>
        </w:tc>
        <w:tc>
          <w:tcPr>
            <w:tcW w:w="1273" w:type="dxa"/>
          </w:tcPr>
          <w:p w14:paraId="43C0D938">
            <w:pPr>
              <w:rPr>
                <w:color w:val="auto"/>
              </w:rPr>
            </w:pPr>
          </w:p>
        </w:tc>
        <w:tc>
          <w:tcPr>
            <w:tcW w:w="971" w:type="dxa"/>
            <w:tcBorders>
              <w:right w:val="single" w:color="000000" w:sz="6" w:space="0"/>
            </w:tcBorders>
          </w:tcPr>
          <w:p w14:paraId="585A046C">
            <w:pPr>
              <w:rPr>
                <w:color w:val="auto"/>
              </w:rPr>
            </w:pPr>
          </w:p>
        </w:tc>
      </w:tr>
      <w:tr w14:paraId="5AFD4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1398D352">
            <w:pPr>
              <w:rPr>
                <w:color w:val="auto"/>
              </w:rPr>
            </w:pPr>
          </w:p>
        </w:tc>
        <w:tc>
          <w:tcPr>
            <w:tcW w:w="1841" w:type="dxa"/>
          </w:tcPr>
          <w:p w14:paraId="68EF9B92">
            <w:pPr>
              <w:rPr>
                <w:color w:val="auto"/>
              </w:rPr>
            </w:pPr>
          </w:p>
        </w:tc>
        <w:tc>
          <w:tcPr>
            <w:tcW w:w="2407" w:type="dxa"/>
          </w:tcPr>
          <w:p w14:paraId="4B302560">
            <w:pPr>
              <w:rPr>
                <w:color w:val="auto"/>
              </w:rPr>
            </w:pPr>
          </w:p>
        </w:tc>
        <w:tc>
          <w:tcPr>
            <w:tcW w:w="2831" w:type="dxa"/>
          </w:tcPr>
          <w:p w14:paraId="1116BEF3">
            <w:pPr>
              <w:rPr>
                <w:color w:val="auto"/>
              </w:rPr>
            </w:pPr>
          </w:p>
        </w:tc>
        <w:tc>
          <w:tcPr>
            <w:tcW w:w="851" w:type="dxa"/>
          </w:tcPr>
          <w:p w14:paraId="30A83969">
            <w:pPr>
              <w:rPr>
                <w:color w:val="auto"/>
              </w:rPr>
            </w:pPr>
          </w:p>
        </w:tc>
        <w:tc>
          <w:tcPr>
            <w:tcW w:w="990" w:type="dxa"/>
          </w:tcPr>
          <w:p w14:paraId="40AF2F69">
            <w:pPr>
              <w:rPr>
                <w:color w:val="auto"/>
              </w:rPr>
            </w:pPr>
          </w:p>
        </w:tc>
        <w:tc>
          <w:tcPr>
            <w:tcW w:w="993" w:type="dxa"/>
          </w:tcPr>
          <w:p w14:paraId="1BBAA6D0">
            <w:pPr>
              <w:rPr>
                <w:color w:val="auto"/>
              </w:rPr>
            </w:pPr>
          </w:p>
        </w:tc>
        <w:tc>
          <w:tcPr>
            <w:tcW w:w="1132" w:type="dxa"/>
          </w:tcPr>
          <w:p w14:paraId="629E40F8">
            <w:pPr>
              <w:rPr>
                <w:color w:val="auto"/>
              </w:rPr>
            </w:pPr>
          </w:p>
        </w:tc>
        <w:tc>
          <w:tcPr>
            <w:tcW w:w="1273" w:type="dxa"/>
          </w:tcPr>
          <w:p w14:paraId="6C2F47E7">
            <w:pPr>
              <w:rPr>
                <w:color w:val="auto"/>
              </w:rPr>
            </w:pPr>
          </w:p>
        </w:tc>
        <w:tc>
          <w:tcPr>
            <w:tcW w:w="971" w:type="dxa"/>
            <w:tcBorders>
              <w:right w:val="single" w:color="000000" w:sz="6" w:space="0"/>
            </w:tcBorders>
          </w:tcPr>
          <w:p w14:paraId="6CE652A4">
            <w:pPr>
              <w:rPr>
                <w:color w:val="auto"/>
              </w:rPr>
            </w:pPr>
          </w:p>
        </w:tc>
      </w:tr>
      <w:tr w14:paraId="12E1B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40F8C1F6">
            <w:pPr>
              <w:rPr>
                <w:color w:val="auto"/>
              </w:rPr>
            </w:pPr>
          </w:p>
        </w:tc>
        <w:tc>
          <w:tcPr>
            <w:tcW w:w="1841" w:type="dxa"/>
          </w:tcPr>
          <w:p w14:paraId="2235CE24">
            <w:pPr>
              <w:rPr>
                <w:color w:val="auto"/>
              </w:rPr>
            </w:pPr>
          </w:p>
        </w:tc>
        <w:tc>
          <w:tcPr>
            <w:tcW w:w="2407" w:type="dxa"/>
          </w:tcPr>
          <w:p w14:paraId="0531F168">
            <w:pPr>
              <w:rPr>
                <w:color w:val="auto"/>
              </w:rPr>
            </w:pPr>
          </w:p>
        </w:tc>
        <w:tc>
          <w:tcPr>
            <w:tcW w:w="2831" w:type="dxa"/>
          </w:tcPr>
          <w:p w14:paraId="6806CA57">
            <w:pPr>
              <w:rPr>
                <w:color w:val="auto"/>
              </w:rPr>
            </w:pPr>
          </w:p>
        </w:tc>
        <w:tc>
          <w:tcPr>
            <w:tcW w:w="851" w:type="dxa"/>
          </w:tcPr>
          <w:p w14:paraId="678D6836">
            <w:pPr>
              <w:rPr>
                <w:color w:val="auto"/>
              </w:rPr>
            </w:pPr>
          </w:p>
        </w:tc>
        <w:tc>
          <w:tcPr>
            <w:tcW w:w="990" w:type="dxa"/>
          </w:tcPr>
          <w:p w14:paraId="36E3BC14">
            <w:pPr>
              <w:rPr>
                <w:color w:val="auto"/>
              </w:rPr>
            </w:pPr>
          </w:p>
        </w:tc>
        <w:tc>
          <w:tcPr>
            <w:tcW w:w="993" w:type="dxa"/>
          </w:tcPr>
          <w:p w14:paraId="59B32AA6">
            <w:pPr>
              <w:rPr>
                <w:color w:val="auto"/>
              </w:rPr>
            </w:pPr>
          </w:p>
        </w:tc>
        <w:tc>
          <w:tcPr>
            <w:tcW w:w="1132" w:type="dxa"/>
          </w:tcPr>
          <w:p w14:paraId="497804E9">
            <w:pPr>
              <w:rPr>
                <w:color w:val="auto"/>
              </w:rPr>
            </w:pPr>
          </w:p>
        </w:tc>
        <w:tc>
          <w:tcPr>
            <w:tcW w:w="1273" w:type="dxa"/>
          </w:tcPr>
          <w:p w14:paraId="1C6139FC">
            <w:pPr>
              <w:rPr>
                <w:color w:val="auto"/>
              </w:rPr>
            </w:pPr>
          </w:p>
        </w:tc>
        <w:tc>
          <w:tcPr>
            <w:tcW w:w="971" w:type="dxa"/>
            <w:tcBorders>
              <w:right w:val="single" w:color="000000" w:sz="6" w:space="0"/>
            </w:tcBorders>
          </w:tcPr>
          <w:p w14:paraId="58FA3C22">
            <w:pPr>
              <w:rPr>
                <w:color w:val="auto"/>
              </w:rPr>
            </w:pPr>
          </w:p>
        </w:tc>
      </w:tr>
      <w:tr w14:paraId="59591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785E7A13">
            <w:pPr>
              <w:rPr>
                <w:color w:val="auto"/>
              </w:rPr>
            </w:pPr>
          </w:p>
        </w:tc>
        <w:tc>
          <w:tcPr>
            <w:tcW w:w="1841" w:type="dxa"/>
          </w:tcPr>
          <w:p w14:paraId="5B7E2350">
            <w:pPr>
              <w:rPr>
                <w:color w:val="auto"/>
              </w:rPr>
            </w:pPr>
          </w:p>
        </w:tc>
        <w:tc>
          <w:tcPr>
            <w:tcW w:w="2407" w:type="dxa"/>
          </w:tcPr>
          <w:p w14:paraId="111D8A02">
            <w:pPr>
              <w:rPr>
                <w:color w:val="auto"/>
              </w:rPr>
            </w:pPr>
          </w:p>
        </w:tc>
        <w:tc>
          <w:tcPr>
            <w:tcW w:w="2831" w:type="dxa"/>
          </w:tcPr>
          <w:p w14:paraId="35442F51">
            <w:pPr>
              <w:rPr>
                <w:color w:val="auto"/>
              </w:rPr>
            </w:pPr>
          </w:p>
        </w:tc>
        <w:tc>
          <w:tcPr>
            <w:tcW w:w="851" w:type="dxa"/>
          </w:tcPr>
          <w:p w14:paraId="13D7FFEF">
            <w:pPr>
              <w:rPr>
                <w:color w:val="auto"/>
              </w:rPr>
            </w:pPr>
          </w:p>
        </w:tc>
        <w:tc>
          <w:tcPr>
            <w:tcW w:w="990" w:type="dxa"/>
          </w:tcPr>
          <w:p w14:paraId="60822E91">
            <w:pPr>
              <w:rPr>
                <w:color w:val="auto"/>
              </w:rPr>
            </w:pPr>
          </w:p>
        </w:tc>
        <w:tc>
          <w:tcPr>
            <w:tcW w:w="993" w:type="dxa"/>
          </w:tcPr>
          <w:p w14:paraId="7D415A19">
            <w:pPr>
              <w:rPr>
                <w:color w:val="auto"/>
              </w:rPr>
            </w:pPr>
          </w:p>
        </w:tc>
        <w:tc>
          <w:tcPr>
            <w:tcW w:w="1132" w:type="dxa"/>
          </w:tcPr>
          <w:p w14:paraId="4F2A60B9">
            <w:pPr>
              <w:rPr>
                <w:color w:val="auto"/>
              </w:rPr>
            </w:pPr>
          </w:p>
        </w:tc>
        <w:tc>
          <w:tcPr>
            <w:tcW w:w="1273" w:type="dxa"/>
          </w:tcPr>
          <w:p w14:paraId="27CD8BED">
            <w:pPr>
              <w:rPr>
                <w:color w:val="auto"/>
              </w:rPr>
            </w:pPr>
          </w:p>
        </w:tc>
        <w:tc>
          <w:tcPr>
            <w:tcW w:w="971" w:type="dxa"/>
            <w:tcBorders>
              <w:right w:val="single" w:color="000000" w:sz="6" w:space="0"/>
            </w:tcBorders>
          </w:tcPr>
          <w:p w14:paraId="137DBA19">
            <w:pPr>
              <w:rPr>
                <w:color w:val="auto"/>
              </w:rPr>
            </w:pPr>
          </w:p>
        </w:tc>
      </w:tr>
      <w:tr w14:paraId="533B0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48EDDE27">
            <w:pPr>
              <w:rPr>
                <w:color w:val="auto"/>
              </w:rPr>
            </w:pPr>
          </w:p>
        </w:tc>
        <w:tc>
          <w:tcPr>
            <w:tcW w:w="1841" w:type="dxa"/>
          </w:tcPr>
          <w:p w14:paraId="68705E00">
            <w:pPr>
              <w:rPr>
                <w:color w:val="auto"/>
              </w:rPr>
            </w:pPr>
          </w:p>
        </w:tc>
        <w:tc>
          <w:tcPr>
            <w:tcW w:w="2407" w:type="dxa"/>
          </w:tcPr>
          <w:p w14:paraId="39D30C0E">
            <w:pPr>
              <w:rPr>
                <w:color w:val="auto"/>
              </w:rPr>
            </w:pPr>
          </w:p>
        </w:tc>
        <w:tc>
          <w:tcPr>
            <w:tcW w:w="2831" w:type="dxa"/>
          </w:tcPr>
          <w:p w14:paraId="708237B2">
            <w:pPr>
              <w:rPr>
                <w:color w:val="auto"/>
              </w:rPr>
            </w:pPr>
          </w:p>
        </w:tc>
        <w:tc>
          <w:tcPr>
            <w:tcW w:w="851" w:type="dxa"/>
          </w:tcPr>
          <w:p w14:paraId="4E9F93DC">
            <w:pPr>
              <w:rPr>
                <w:color w:val="auto"/>
              </w:rPr>
            </w:pPr>
          </w:p>
        </w:tc>
        <w:tc>
          <w:tcPr>
            <w:tcW w:w="990" w:type="dxa"/>
          </w:tcPr>
          <w:p w14:paraId="5AF843D9">
            <w:pPr>
              <w:rPr>
                <w:color w:val="auto"/>
              </w:rPr>
            </w:pPr>
          </w:p>
        </w:tc>
        <w:tc>
          <w:tcPr>
            <w:tcW w:w="993" w:type="dxa"/>
          </w:tcPr>
          <w:p w14:paraId="014FCF60">
            <w:pPr>
              <w:rPr>
                <w:color w:val="auto"/>
              </w:rPr>
            </w:pPr>
          </w:p>
        </w:tc>
        <w:tc>
          <w:tcPr>
            <w:tcW w:w="1132" w:type="dxa"/>
          </w:tcPr>
          <w:p w14:paraId="6DD34CCC">
            <w:pPr>
              <w:rPr>
                <w:color w:val="auto"/>
              </w:rPr>
            </w:pPr>
          </w:p>
        </w:tc>
        <w:tc>
          <w:tcPr>
            <w:tcW w:w="1273" w:type="dxa"/>
          </w:tcPr>
          <w:p w14:paraId="5E360D6B">
            <w:pPr>
              <w:rPr>
                <w:color w:val="auto"/>
              </w:rPr>
            </w:pPr>
          </w:p>
        </w:tc>
        <w:tc>
          <w:tcPr>
            <w:tcW w:w="971" w:type="dxa"/>
            <w:tcBorders>
              <w:right w:val="single" w:color="000000" w:sz="6" w:space="0"/>
            </w:tcBorders>
          </w:tcPr>
          <w:p w14:paraId="5AADA90C">
            <w:pPr>
              <w:rPr>
                <w:color w:val="auto"/>
              </w:rPr>
            </w:pPr>
          </w:p>
        </w:tc>
      </w:tr>
      <w:tr w14:paraId="74698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60" w:type="dxa"/>
            <w:tcBorders>
              <w:left w:val="single" w:color="000000" w:sz="6" w:space="0"/>
            </w:tcBorders>
          </w:tcPr>
          <w:p w14:paraId="1BD8CD50">
            <w:pPr>
              <w:rPr>
                <w:color w:val="auto"/>
              </w:rPr>
            </w:pPr>
          </w:p>
        </w:tc>
        <w:tc>
          <w:tcPr>
            <w:tcW w:w="1841" w:type="dxa"/>
          </w:tcPr>
          <w:p w14:paraId="67493A3F">
            <w:pPr>
              <w:rPr>
                <w:color w:val="auto"/>
              </w:rPr>
            </w:pPr>
          </w:p>
        </w:tc>
        <w:tc>
          <w:tcPr>
            <w:tcW w:w="2407" w:type="dxa"/>
          </w:tcPr>
          <w:p w14:paraId="7F4C67F6">
            <w:pPr>
              <w:rPr>
                <w:color w:val="auto"/>
              </w:rPr>
            </w:pPr>
          </w:p>
        </w:tc>
        <w:tc>
          <w:tcPr>
            <w:tcW w:w="2831" w:type="dxa"/>
          </w:tcPr>
          <w:p w14:paraId="313D49D8">
            <w:pPr>
              <w:rPr>
                <w:color w:val="auto"/>
              </w:rPr>
            </w:pPr>
          </w:p>
        </w:tc>
        <w:tc>
          <w:tcPr>
            <w:tcW w:w="851" w:type="dxa"/>
          </w:tcPr>
          <w:p w14:paraId="1746B884">
            <w:pPr>
              <w:rPr>
                <w:color w:val="auto"/>
              </w:rPr>
            </w:pPr>
          </w:p>
        </w:tc>
        <w:tc>
          <w:tcPr>
            <w:tcW w:w="990" w:type="dxa"/>
          </w:tcPr>
          <w:p w14:paraId="0F2159A7">
            <w:pPr>
              <w:rPr>
                <w:color w:val="auto"/>
              </w:rPr>
            </w:pPr>
          </w:p>
        </w:tc>
        <w:tc>
          <w:tcPr>
            <w:tcW w:w="993" w:type="dxa"/>
          </w:tcPr>
          <w:p w14:paraId="0D7909E7">
            <w:pPr>
              <w:rPr>
                <w:color w:val="auto"/>
              </w:rPr>
            </w:pPr>
          </w:p>
        </w:tc>
        <w:tc>
          <w:tcPr>
            <w:tcW w:w="1132" w:type="dxa"/>
          </w:tcPr>
          <w:p w14:paraId="777D992A">
            <w:pPr>
              <w:rPr>
                <w:color w:val="auto"/>
              </w:rPr>
            </w:pPr>
          </w:p>
        </w:tc>
        <w:tc>
          <w:tcPr>
            <w:tcW w:w="1273" w:type="dxa"/>
          </w:tcPr>
          <w:p w14:paraId="2869CD94">
            <w:pPr>
              <w:rPr>
                <w:color w:val="auto"/>
              </w:rPr>
            </w:pPr>
          </w:p>
        </w:tc>
        <w:tc>
          <w:tcPr>
            <w:tcW w:w="971" w:type="dxa"/>
            <w:tcBorders>
              <w:right w:val="single" w:color="000000" w:sz="6" w:space="0"/>
            </w:tcBorders>
          </w:tcPr>
          <w:p w14:paraId="7E008133">
            <w:pPr>
              <w:rPr>
                <w:color w:val="auto"/>
              </w:rPr>
            </w:pPr>
          </w:p>
        </w:tc>
      </w:tr>
      <w:tr w14:paraId="55FD1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760" w:type="dxa"/>
            <w:tcBorders>
              <w:left w:val="single" w:color="000000" w:sz="6" w:space="0"/>
              <w:bottom w:val="single" w:color="000000" w:sz="6" w:space="0"/>
            </w:tcBorders>
          </w:tcPr>
          <w:p w14:paraId="100444DA">
            <w:pPr>
              <w:rPr>
                <w:color w:val="auto"/>
              </w:rPr>
            </w:pPr>
          </w:p>
        </w:tc>
        <w:tc>
          <w:tcPr>
            <w:tcW w:w="1841" w:type="dxa"/>
            <w:tcBorders>
              <w:bottom w:val="single" w:color="000000" w:sz="6" w:space="0"/>
            </w:tcBorders>
          </w:tcPr>
          <w:p w14:paraId="0ED21812">
            <w:pPr>
              <w:rPr>
                <w:color w:val="auto"/>
              </w:rPr>
            </w:pPr>
          </w:p>
        </w:tc>
        <w:tc>
          <w:tcPr>
            <w:tcW w:w="2407" w:type="dxa"/>
            <w:tcBorders>
              <w:bottom w:val="single" w:color="000000" w:sz="6" w:space="0"/>
            </w:tcBorders>
          </w:tcPr>
          <w:p w14:paraId="2CF218D9">
            <w:pPr>
              <w:pStyle w:val="21"/>
              <w:spacing w:before="174" w:line="221" w:lineRule="auto"/>
              <w:ind w:left="848"/>
              <w:rPr>
                <w:rFonts w:hint="eastAsia"/>
                <w:color w:val="auto"/>
                <w:sz w:val="24"/>
                <w:szCs w:val="24"/>
              </w:rPr>
            </w:pPr>
            <w:r>
              <w:rPr>
                <w:color w:val="auto"/>
                <w:spacing w:val="-6"/>
                <w:sz w:val="24"/>
                <w:szCs w:val="24"/>
              </w:rPr>
              <w:t>合</w:t>
            </w:r>
            <w:r>
              <w:rPr>
                <w:rFonts w:hint="eastAsia"/>
                <w:color w:val="auto"/>
                <w:spacing w:val="5"/>
                <w:sz w:val="24"/>
                <w:szCs w:val="24"/>
                <w:lang w:eastAsia="zh-CN"/>
              </w:rPr>
              <w:t>　</w:t>
            </w:r>
            <w:r>
              <w:rPr>
                <w:color w:val="auto"/>
                <w:spacing w:val="-6"/>
                <w:sz w:val="24"/>
                <w:szCs w:val="24"/>
              </w:rPr>
              <w:t>计</w:t>
            </w:r>
          </w:p>
        </w:tc>
        <w:tc>
          <w:tcPr>
            <w:tcW w:w="2831" w:type="dxa"/>
            <w:tcBorders>
              <w:bottom w:val="single" w:color="000000" w:sz="6" w:space="0"/>
            </w:tcBorders>
          </w:tcPr>
          <w:p w14:paraId="5EAFFA0C">
            <w:pPr>
              <w:rPr>
                <w:color w:val="auto"/>
              </w:rPr>
            </w:pPr>
          </w:p>
        </w:tc>
        <w:tc>
          <w:tcPr>
            <w:tcW w:w="851" w:type="dxa"/>
            <w:tcBorders>
              <w:bottom w:val="single" w:color="000000" w:sz="6" w:space="0"/>
            </w:tcBorders>
          </w:tcPr>
          <w:p w14:paraId="20188790">
            <w:pPr>
              <w:rPr>
                <w:color w:val="auto"/>
              </w:rPr>
            </w:pPr>
          </w:p>
        </w:tc>
        <w:tc>
          <w:tcPr>
            <w:tcW w:w="990" w:type="dxa"/>
            <w:tcBorders>
              <w:bottom w:val="single" w:color="000000" w:sz="6" w:space="0"/>
            </w:tcBorders>
          </w:tcPr>
          <w:p w14:paraId="681553AF">
            <w:pPr>
              <w:rPr>
                <w:color w:val="auto"/>
              </w:rPr>
            </w:pPr>
          </w:p>
        </w:tc>
        <w:tc>
          <w:tcPr>
            <w:tcW w:w="993" w:type="dxa"/>
            <w:tcBorders>
              <w:bottom w:val="single" w:color="000000" w:sz="6" w:space="0"/>
            </w:tcBorders>
          </w:tcPr>
          <w:p w14:paraId="15385F81">
            <w:pPr>
              <w:rPr>
                <w:color w:val="auto"/>
              </w:rPr>
            </w:pPr>
          </w:p>
        </w:tc>
        <w:tc>
          <w:tcPr>
            <w:tcW w:w="1132" w:type="dxa"/>
            <w:tcBorders>
              <w:bottom w:val="single" w:color="000000" w:sz="6" w:space="0"/>
            </w:tcBorders>
          </w:tcPr>
          <w:p w14:paraId="2EB4A62A">
            <w:pPr>
              <w:rPr>
                <w:color w:val="auto"/>
              </w:rPr>
            </w:pPr>
          </w:p>
        </w:tc>
        <w:tc>
          <w:tcPr>
            <w:tcW w:w="1273" w:type="dxa"/>
            <w:tcBorders>
              <w:bottom w:val="single" w:color="000000" w:sz="6" w:space="0"/>
            </w:tcBorders>
          </w:tcPr>
          <w:p w14:paraId="63576BFA">
            <w:pPr>
              <w:rPr>
                <w:color w:val="auto"/>
              </w:rPr>
            </w:pPr>
          </w:p>
        </w:tc>
        <w:tc>
          <w:tcPr>
            <w:tcW w:w="971" w:type="dxa"/>
            <w:tcBorders>
              <w:bottom w:val="single" w:color="000000" w:sz="6" w:space="0"/>
              <w:right w:val="single" w:color="000000" w:sz="6" w:space="0"/>
            </w:tcBorders>
          </w:tcPr>
          <w:p w14:paraId="2BD6440B">
            <w:pPr>
              <w:rPr>
                <w:color w:val="auto"/>
              </w:rPr>
            </w:pPr>
          </w:p>
        </w:tc>
      </w:tr>
    </w:tbl>
    <w:p w14:paraId="69173FD3">
      <w:pPr>
        <w:spacing w:before="311" w:line="219" w:lineRule="auto"/>
        <w:ind w:left="6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法定代表人或委托代理人</w:t>
      </w:r>
      <w:r>
        <w:rPr>
          <w:rFonts w:ascii="宋体" w:hAnsi="宋体" w:eastAsia="宋体" w:cs="宋体"/>
          <w:color w:val="auto"/>
          <w:spacing w:val="-11"/>
          <w:sz w:val="24"/>
          <w:szCs w:val="24"/>
          <w:lang w:eastAsia="zh-CN"/>
        </w:rPr>
        <w:t>：</w:t>
      </w:r>
      <w:r>
        <w:rPr>
          <w:rFonts w:hint="eastAsia" w:ascii="宋体" w:hAnsi="宋体" w:eastAsia="宋体" w:cs="宋体"/>
          <w:color w:val="auto"/>
          <w:spacing w:val="30"/>
          <w:sz w:val="24"/>
          <w:szCs w:val="24"/>
          <w:u w:val="single"/>
          <w:lang w:eastAsia="zh-CN"/>
        </w:rPr>
        <w:t>　　　</w:t>
      </w:r>
      <w:r>
        <w:rPr>
          <w:rFonts w:ascii="宋体" w:hAnsi="宋体" w:eastAsia="宋体" w:cs="宋体"/>
          <w:color w:val="auto"/>
          <w:spacing w:val="-11"/>
          <w:sz w:val="24"/>
          <w:szCs w:val="24"/>
          <w:u w:val="single"/>
          <w:lang w:eastAsia="zh-CN"/>
        </w:rPr>
        <w:t>（</w:t>
      </w:r>
      <w:r>
        <w:rPr>
          <w:rFonts w:ascii="宋体" w:hAnsi="宋体" w:eastAsia="宋体" w:cs="宋体"/>
          <w:color w:val="auto"/>
          <w:spacing w:val="1"/>
          <w:sz w:val="24"/>
          <w:szCs w:val="24"/>
          <w:u w:val="single"/>
          <w:lang w:eastAsia="zh-CN"/>
        </w:rPr>
        <w:t>签字或盖章）</w:t>
      </w:r>
      <w:r>
        <w:rPr>
          <w:rFonts w:hint="eastAsia" w:ascii="宋体" w:hAnsi="宋体" w:eastAsia="宋体" w:cs="宋体"/>
          <w:color w:val="auto"/>
          <w:sz w:val="24"/>
          <w:szCs w:val="24"/>
          <w:u w:val="single"/>
          <w:lang w:eastAsia="zh-CN"/>
        </w:rPr>
        <w:t>　　　</w:t>
      </w:r>
    </w:p>
    <w:p w14:paraId="3BF8690E">
      <w:pPr>
        <w:spacing w:line="219" w:lineRule="auto"/>
        <w:rPr>
          <w:rFonts w:hint="eastAsia" w:ascii="宋体" w:hAnsi="宋体" w:eastAsia="宋体" w:cs="宋体"/>
          <w:color w:val="auto"/>
          <w:sz w:val="24"/>
          <w:szCs w:val="24"/>
          <w:lang w:eastAsia="zh-CN"/>
        </w:rPr>
        <w:sectPr>
          <w:footerReference r:id="rId21" w:type="default"/>
          <w:pgSz w:w="16841" w:h="11907"/>
          <w:pgMar w:top="1417" w:right="1389" w:bottom="1252" w:left="1387" w:header="0" w:footer="1091" w:gutter="0"/>
          <w:pgNumType w:fmt="numberInDash"/>
          <w:cols w:space="720" w:num="1"/>
        </w:sectPr>
      </w:pPr>
    </w:p>
    <w:p w14:paraId="43E30B0A">
      <w:pPr>
        <w:spacing w:before="91" w:line="219" w:lineRule="auto"/>
        <w:ind w:left="3158"/>
        <w:rPr>
          <w:rFonts w:hint="eastAsia"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其他项目清单计价表</w:t>
      </w:r>
    </w:p>
    <w:p w14:paraId="782B4703">
      <w:pPr>
        <w:spacing w:before="206" w:line="220" w:lineRule="auto"/>
        <w:ind w:left="3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z w:val="24"/>
          <w:szCs w:val="24"/>
          <w:lang w:eastAsia="zh-CN"/>
        </w:rPr>
        <w:t>　　　　　　　　　　</w:t>
      </w:r>
      <w:r>
        <w:rPr>
          <w:rFonts w:ascii="宋体" w:hAnsi="宋体" w:eastAsia="宋体" w:cs="宋体"/>
          <w:color w:val="auto"/>
          <w:spacing w:val="-1"/>
          <w:sz w:val="24"/>
          <w:szCs w:val="24"/>
          <w:lang w:eastAsia="zh-CN"/>
        </w:rPr>
        <w:t>第</w:t>
      </w:r>
      <w:r>
        <w:rPr>
          <w:rFonts w:hint="eastAsia" w:ascii="宋体" w:hAnsi="宋体" w:eastAsia="宋体" w:cs="宋体"/>
          <w:color w:val="auto"/>
          <w:spacing w:val="1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7"/>
          <w:sz w:val="24"/>
          <w:szCs w:val="24"/>
          <w:lang w:eastAsia="zh-CN"/>
        </w:rPr>
        <w:t>　</w:t>
      </w:r>
      <w:r>
        <w:rPr>
          <w:rFonts w:ascii="宋体" w:hAnsi="宋体" w:eastAsia="宋体" w:cs="宋体"/>
          <w:color w:val="auto"/>
          <w:spacing w:val="-2"/>
          <w:sz w:val="24"/>
          <w:szCs w:val="24"/>
          <w:lang w:eastAsia="zh-CN"/>
        </w:rPr>
        <w:t>页</w:t>
      </w:r>
    </w:p>
    <w:p w14:paraId="2F5029C3">
      <w:pPr>
        <w:spacing w:line="143" w:lineRule="exact"/>
        <w:rPr>
          <w:color w:val="auto"/>
          <w:lang w:eastAsia="zh-CN"/>
        </w:rPr>
      </w:pPr>
    </w:p>
    <w:tbl>
      <w:tblPr>
        <w:tblStyle w:val="20"/>
        <w:tblW w:w="880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9"/>
        <w:gridCol w:w="2758"/>
        <w:gridCol w:w="1504"/>
        <w:gridCol w:w="2003"/>
        <w:gridCol w:w="1770"/>
      </w:tblGrid>
      <w:tr w14:paraId="2A6DA6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769" w:type="dxa"/>
            <w:tcBorders>
              <w:top w:val="single" w:color="000000" w:sz="6" w:space="0"/>
              <w:left w:val="single" w:color="000000" w:sz="6" w:space="0"/>
            </w:tcBorders>
            <w:vAlign w:val="center"/>
          </w:tcPr>
          <w:p w14:paraId="315EF86E">
            <w:pPr>
              <w:pStyle w:val="21"/>
              <w:jc w:val="center"/>
              <w:rPr>
                <w:rFonts w:hint="eastAsia"/>
                <w:color w:val="auto"/>
                <w:sz w:val="24"/>
                <w:szCs w:val="24"/>
              </w:rPr>
            </w:pPr>
            <w:r>
              <w:rPr>
                <w:color w:val="auto"/>
                <w:spacing w:val="-3"/>
                <w:sz w:val="24"/>
                <w:szCs w:val="24"/>
              </w:rPr>
              <w:t>序号</w:t>
            </w:r>
          </w:p>
        </w:tc>
        <w:tc>
          <w:tcPr>
            <w:tcW w:w="2758" w:type="dxa"/>
            <w:tcBorders>
              <w:top w:val="single" w:color="000000" w:sz="6" w:space="0"/>
            </w:tcBorders>
            <w:vAlign w:val="center"/>
          </w:tcPr>
          <w:p w14:paraId="236D5E97">
            <w:pPr>
              <w:pStyle w:val="21"/>
              <w:jc w:val="center"/>
              <w:rPr>
                <w:rFonts w:hint="eastAsia"/>
                <w:color w:val="auto"/>
                <w:sz w:val="24"/>
                <w:szCs w:val="24"/>
              </w:rPr>
            </w:pPr>
            <w:r>
              <w:rPr>
                <w:color w:val="auto"/>
                <w:spacing w:val="-3"/>
                <w:sz w:val="24"/>
                <w:szCs w:val="24"/>
              </w:rPr>
              <w:t>项目名称</w:t>
            </w:r>
          </w:p>
        </w:tc>
        <w:tc>
          <w:tcPr>
            <w:tcW w:w="1504" w:type="dxa"/>
            <w:tcBorders>
              <w:top w:val="single" w:color="000000" w:sz="6" w:space="0"/>
            </w:tcBorders>
            <w:vAlign w:val="center"/>
          </w:tcPr>
          <w:p w14:paraId="35D29D66">
            <w:pPr>
              <w:pStyle w:val="21"/>
              <w:jc w:val="center"/>
              <w:rPr>
                <w:rFonts w:hint="eastAsia"/>
                <w:color w:val="auto"/>
                <w:sz w:val="24"/>
                <w:szCs w:val="24"/>
              </w:rPr>
            </w:pPr>
            <w:r>
              <w:rPr>
                <w:color w:val="auto"/>
                <w:spacing w:val="-2"/>
                <w:sz w:val="24"/>
                <w:szCs w:val="24"/>
              </w:rPr>
              <w:t>计量单位</w:t>
            </w:r>
          </w:p>
        </w:tc>
        <w:tc>
          <w:tcPr>
            <w:tcW w:w="2003" w:type="dxa"/>
            <w:tcBorders>
              <w:top w:val="single" w:color="000000" w:sz="6" w:space="0"/>
            </w:tcBorders>
            <w:vAlign w:val="center"/>
          </w:tcPr>
          <w:p w14:paraId="6BED2406">
            <w:pPr>
              <w:pStyle w:val="21"/>
              <w:jc w:val="center"/>
              <w:rPr>
                <w:rFonts w:hint="eastAsia"/>
                <w:color w:val="auto"/>
                <w:sz w:val="24"/>
                <w:szCs w:val="24"/>
              </w:rPr>
            </w:pPr>
            <w:r>
              <w:rPr>
                <w:color w:val="auto"/>
                <w:spacing w:val="-5"/>
                <w:sz w:val="24"/>
                <w:szCs w:val="24"/>
              </w:rPr>
              <w:t>金额（元）</w:t>
            </w:r>
          </w:p>
        </w:tc>
        <w:tc>
          <w:tcPr>
            <w:tcW w:w="1770" w:type="dxa"/>
            <w:tcBorders>
              <w:top w:val="single" w:color="000000" w:sz="6" w:space="0"/>
              <w:right w:val="single" w:color="000000" w:sz="6" w:space="0"/>
            </w:tcBorders>
            <w:vAlign w:val="center"/>
          </w:tcPr>
          <w:p w14:paraId="038BEF72">
            <w:pPr>
              <w:pStyle w:val="21"/>
              <w:jc w:val="center"/>
              <w:rPr>
                <w:rFonts w:hint="eastAsia"/>
                <w:color w:val="auto"/>
                <w:sz w:val="24"/>
                <w:szCs w:val="24"/>
              </w:rPr>
            </w:pPr>
            <w:r>
              <w:rPr>
                <w:color w:val="auto"/>
                <w:spacing w:val="-4"/>
                <w:sz w:val="24"/>
                <w:szCs w:val="24"/>
              </w:rPr>
              <w:t>备注</w:t>
            </w:r>
          </w:p>
        </w:tc>
      </w:tr>
      <w:tr w14:paraId="65D416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4B8EF9A7">
            <w:pPr>
              <w:rPr>
                <w:color w:val="auto"/>
              </w:rPr>
            </w:pPr>
          </w:p>
        </w:tc>
        <w:tc>
          <w:tcPr>
            <w:tcW w:w="2758" w:type="dxa"/>
          </w:tcPr>
          <w:p w14:paraId="470C5BCD">
            <w:pPr>
              <w:rPr>
                <w:color w:val="auto"/>
              </w:rPr>
            </w:pPr>
          </w:p>
        </w:tc>
        <w:tc>
          <w:tcPr>
            <w:tcW w:w="1504" w:type="dxa"/>
          </w:tcPr>
          <w:p w14:paraId="402AA309">
            <w:pPr>
              <w:rPr>
                <w:color w:val="auto"/>
              </w:rPr>
            </w:pPr>
          </w:p>
        </w:tc>
        <w:tc>
          <w:tcPr>
            <w:tcW w:w="2003" w:type="dxa"/>
          </w:tcPr>
          <w:p w14:paraId="3EBD68C3">
            <w:pPr>
              <w:rPr>
                <w:color w:val="auto"/>
              </w:rPr>
            </w:pPr>
          </w:p>
        </w:tc>
        <w:tc>
          <w:tcPr>
            <w:tcW w:w="1770" w:type="dxa"/>
            <w:tcBorders>
              <w:right w:val="single" w:color="000000" w:sz="6" w:space="0"/>
            </w:tcBorders>
          </w:tcPr>
          <w:p w14:paraId="0368C82D">
            <w:pPr>
              <w:rPr>
                <w:color w:val="auto"/>
              </w:rPr>
            </w:pPr>
          </w:p>
        </w:tc>
      </w:tr>
      <w:tr w14:paraId="45E5F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147C8A80">
            <w:pPr>
              <w:rPr>
                <w:color w:val="auto"/>
              </w:rPr>
            </w:pPr>
          </w:p>
        </w:tc>
        <w:tc>
          <w:tcPr>
            <w:tcW w:w="2758" w:type="dxa"/>
          </w:tcPr>
          <w:p w14:paraId="08DA0EEB">
            <w:pPr>
              <w:rPr>
                <w:color w:val="auto"/>
              </w:rPr>
            </w:pPr>
          </w:p>
        </w:tc>
        <w:tc>
          <w:tcPr>
            <w:tcW w:w="1504" w:type="dxa"/>
          </w:tcPr>
          <w:p w14:paraId="307B0C9D">
            <w:pPr>
              <w:rPr>
                <w:color w:val="auto"/>
              </w:rPr>
            </w:pPr>
          </w:p>
        </w:tc>
        <w:tc>
          <w:tcPr>
            <w:tcW w:w="2003" w:type="dxa"/>
          </w:tcPr>
          <w:p w14:paraId="7B9FA232">
            <w:pPr>
              <w:rPr>
                <w:color w:val="auto"/>
              </w:rPr>
            </w:pPr>
          </w:p>
        </w:tc>
        <w:tc>
          <w:tcPr>
            <w:tcW w:w="1770" w:type="dxa"/>
            <w:tcBorders>
              <w:right w:val="single" w:color="000000" w:sz="6" w:space="0"/>
            </w:tcBorders>
          </w:tcPr>
          <w:p w14:paraId="361E5D16">
            <w:pPr>
              <w:rPr>
                <w:color w:val="auto"/>
              </w:rPr>
            </w:pPr>
          </w:p>
        </w:tc>
      </w:tr>
      <w:tr w14:paraId="53B77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69" w:type="dxa"/>
            <w:tcBorders>
              <w:left w:val="single" w:color="000000" w:sz="6" w:space="0"/>
            </w:tcBorders>
          </w:tcPr>
          <w:p w14:paraId="22612389">
            <w:pPr>
              <w:rPr>
                <w:color w:val="auto"/>
              </w:rPr>
            </w:pPr>
          </w:p>
        </w:tc>
        <w:tc>
          <w:tcPr>
            <w:tcW w:w="2758" w:type="dxa"/>
          </w:tcPr>
          <w:p w14:paraId="039CF5FF">
            <w:pPr>
              <w:rPr>
                <w:color w:val="auto"/>
              </w:rPr>
            </w:pPr>
          </w:p>
        </w:tc>
        <w:tc>
          <w:tcPr>
            <w:tcW w:w="1504" w:type="dxa"/>
          </w:tcPr>
          <w:p w14:paraId="3795E618">
            <w:pPr>
              <w:rPr>
                <w:color w:val="auto"/>
              </w:rPr>
            </w:pPr>
          </w:p>
        </w:tc>
        <w:tc>
          <w:tcPr>
            <w:tcW w:w="2003" w:type="dxa"/>
          </w:tcPr>
          <w:p w14:paraId="0CA8F1E0">
            <w:pPr>
              <w:rPr>
                <w:color w:val="auto"/>
              </w:rPr>
            </w:pPr>
          </w:p>
        </w:tc>
        <w:tc>
          <w:tcPr>
            <w:tcW w:w="1770" w:type="dxa"/>
            <w:tcBorders>
              <w:right w:val="single" w:color="000000" w:sz="6" w:space="0"/>
            </w:tcBorders>
          </w:tcPr>
          <w:p w14:paraId="4853D8F8">
            <w:pPr>
              <w:rPr>
                <w:color w:val="auto"/>
              </w:rPr>
            </w:pPr>
          </w:p>
        </w:tc>
      </w:tr>
      <w:tr w14:paraId="5866B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41598EA7">
            <w:pPr>
              <w:rPr>
                <w:color w:val="auto"/>
              </w:rPr>
            </w:pPr>
          </w:p>
        </w:tc>
        <w:tc>
          <w:tcPr>
            <w:tcW w:w="2758" w:type="dxa"/>
          </w:tcPr>
          <w:p w14:paraId="23C2681F">
            <w:pPr>
              <w:rPr>
                <w:color w:val="auto"/>
              </w:rPr>
            </w:pPr>
          </w:p>
        </w:tc>
        <w:tc>
          <w:tcPr>
            <w:tcW w:w="1504" w:type="dxa"/>
          </w:tcPr>
          <w:p w14:paraId="742143BA">
            <w:pPr>
              <w:rPr>
                <w:color w:val="auto"/>
              </w:rPr>
            </w:pPr>
          </w:p>
        </w:tc>
        <w:tc>
          <w:tcPr>
            <w:tcW w:w="2003" w:type="dxa"/>
          </w:tcPr>
          <w:p w14:paraId="3B3027F0">
            <w:pPr>
              <w:rPr>
                <w:color w:val="auto"/>
              </w:rPr>
            </w:pPr>
          </w:p>
        </w:tc>
        <w:tc>
          <w:tcPr>
            <w:tcW w:w="1770" w:type="dxa"/>
            <w:tcBorders>
              <w:right w:val="single" w:color="000000" w:sz="6" w:space="0"/>
            </w:tcBorders>
          </w:tcPr>
          <w:p w14:paraId="4178F549">
            <w:pPr>
              <w:rPr>
                <w:color w:val="auto"/>
              </w:rPr>
            </w:pPr>
          </w:p>
        </w:tc>
      </w:tr>
      <w:tr w14:paraId="5438D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775B5F35">
            <w:pPr>
              <w:rPr>
                <w:color w:val="auto"/>
              </w:rPr>
            </w:pPr>
          </w:p>
        </w:tc>
        <w:tc>
          <w:tcPr>
            <w:tcW w:w="2758" w:type="dxa"/>
          </w:tcPr>
          <w:p w14:paraId="07606D7E">
            <w:pPr>
              <w:rPr>
                <w:color w:val="auto"/>
              </w:rPr>
            </w:pPr>
          </w:p>
        </w:tc>
        <w:tc>
          <w:tcPr>
            <w:tcW w:w="1504" w:type="dxa"/>
          </w:tcPr>
          <w:p w14:paraId="19552A5B">
            <w:pPr>
              <w:rPr>
                <w:color w:val="auto"/>
              </w:rPr>
            </w:pPr>
          </w:p>
        </w:tc>
        <w:tc>
          <w:tcPr>
            <w:tcW w:w="2003" w:type="dxa"/>
          </w:tcPr>
          <w:p w14:paraId="7346A5A5">
            <w:pPr>
              <w:rPr>
                <w:color w:val="auto"/>
              </w:rPr>
            </w:pPr>
          </w:p>
        </w:tc>
        <w:tc>
          <w:tcPr>
            <w:tcW w:w="1770" w:type="dxa"/>
            <w:tcBorders>
              <w:right w:val="single" w:color="000000" w:sz="6" w:space="0"/>
            </w:tcBorders>
          </w:tcPr>
          <w:p w14:paraId="784D9ACE">
            <w:pPr>
              <w:rPr>
                <w:color w:val="auto"/>
              </w:rPr>
            </w:pPr>
          </w:p>
        </w:tc>
      </w:tr>
      <w:tr w14:paraId="07C16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69" w:type="dxa"/>
            <w:tcBorders>
              <w:left w:val="single" w:color="000000" w:sz="6" w:space="0"/>
            </w:tcBorders>
          </w:tcPr>
          <w:p w14:paraId="23D1F1B5">
            <w:pPr>
              <w:rPr>
                <w:color w:val="auto"/>
              </w:rPr>
            </w:pPr>
          </w:p>
        </w:tc>
        <w:tc>
          <w:tcPr>
            <w:tcW w:w="2758" w:type="dxa"/>
          </w:tcPr>
          <w:p w14:paraId="483278E2">
            <w:pPr>
              <w:rPr>
                <w:color w:val="auto"/>
              </w:rPr>
            </w:pPr>
          </w:p>
        </w:tc>
        <w:tc>
          <w:tcPr>
            <w:tcW w:w="1504" w:type="dxa"/>
          </w:tcPr>
          <w:p w14:paraId="53543E8E">
            <w:pPr>
              <w:rPr>
                <w:color w:val="auto"/>
              </w:rPr>
            </w:pPr>
          </w:p>
        </w:tc>
        <w:tc>
          <w:tcPr>
            <w:tcW w:w="2003" w:type="dxa"/>
          </w:tcPr>
          <w:p w14:paraId="61F0C039">
            <w:pPr>
              <w:rPr>
                <w:color w:val="auto"/>
              </w:rPr>
            </w:pPr>
          </w:p>
        </w:tc>
        <w:tc>
          <w:tcPr>
            <w:tcW w:w="1770" w:type="dxa"/>
            <w:tcBorders>
              <w:right w:val="single" w:color="000000" w:sz="6" w:space="0"/>
            </w:tcBorders>
          </w:tcPr>
          <w:p w14:paraId="6C0B4776">
            <w:pPr>
              <w:rPr>
                <w:color w:val="auto"/>
              </w:rPr>
            </w:pPr>
          </w:p>
        </w:tc>
      </w:tr>
      <w:tr w14:paraId="7BAA2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21305BD9">
            <w:pPr>
              <w:rPr>
                <w:color w:val="auto"/>
              </w:rPr>
            </w:pPr>
          </w:p>
        </w:tc>
        <w:tc>
          <w:tcPr>
            <w:tcW w:w="2758" w:type="dxa"/>
          </w:tcPr>
          <w:p w14:paraId="574050D3">
            <w:pPr>
              <w:rPr>
                <w:color w:val="auto"/>
              </w:rPr>
            </w:pPr>
          </w:p>
        </w:tc>
        <w:tc>
          <w:tcPr>
            <w:tcW w:w="1504" w:type="dxa"/>
          </w:tcPr>
          <w:p w14:paraId="596982F2">
            <w:pPr>
              <w:rPr>
                <w:color w:val="auto"/>
              </w:rPr>
            </w:pPr>
          </w:p>
        </w:tc>
        <w:tc>
          <w:tcPr>
            <w:tcW w:w="2003" w:type="dxa"/>
          </w:tcPr>
          <w:p w14:paraId="3FD16504">
            <w:pPr>
              <w:rPr>
                <w:color w:val="auto"/>
              </w:rPr>
            </w:pPr>
          </w:p>
        </w:tc>
        <w:tc>
          <w:tcPr>
            <w:tcW w:w="1770" w:type="dxa"/>
            <w:tcBorders>
              <w:right w:val="single" w:color="000000" w:sz="6" w:space="0"/>
            </w:tcBorders>
          </w:tcPr>
          <w:p w14:paraId="5F1D21E5">
            <w:pPr>
              <w:rPr>
                <w:color w:val="auto"/>
              </w:rPr>
            </w:pPr>
          </w:p>
        </w:tc>
      </w:tr>
      <w:tr w14:paraId="72B28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69" w:type="dxa"/>
            <w:tcBorders>
              <w:left w:val="single" w:color="000000" w:sz="6" w:space="0"/>
            </w:tcBorders>
          </w:tcPr>
          <w:p w14:paraId="49A92E42">
            <w:pPr>
              <w:rPr>
                <w:color w:val="auto"/>
              </w:rPr>
            </w:pPr>
          </w:p>
        </w:tc>
        <w:tc>
          <w:tcPr>
            <w:tcW w:w="2758" w:type="dxa"/>
          </w:tcPr>
          <w:p w14:paraId="7A6082A6">
            <w:pPr>
              <w:rPr>
                <w:color w:val="auto"/>
              </w:rPr>
            </w:pPr>
          </w:p>
        </w:tc>
        <w:tc>
          <w:tcPr>
            <w:tcW w:w="1504" w:type="dxa"/>
          </w:tcPr>
          <w:p w14:paraId="638110FD">
            <w:pPr>
              <w:rPr>
                <w:color w:val="auto"/>
              </w:rPr>
            </w:pPr>
          </w:p>
        </w:tc>
        <w:tc>
          <w:tcPr>
            <w:tcW w:w="2003" w:type="dxa"/>
          </w:tcPr>
          <w:p w14:paraId="6975AF52">
            <w:pPr>
              <w:rPr>
                <w:color w:val="auto"/>
              </w:rPr>
            </w:pPr>
          </w:p>
        </w:tc>
        <w:tc>
          <w:tcPr>
            <w:tcW w:w="1770" w:type="dxa"/>
            <w:tcBorders>
              <w:right w:val="single" w:color="000000" w:sz="6" w:space="0"/>
            </w:tcBorders>
          </w:tcPr>
          <w:p w14:paraId="62D3CED4">
            <w:pPr>
              <w:rPr>
                <w:color w:val="auto"/>
              </w:rPr>
            </w:pPr>
          </w:p>
        </w:tc>
      </w:tr>
      <w:tr w14:paraId="18F10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45DA68F8">
            <w:pPr>
              <w:rPr>
                <w:color w:val="auto"/>
              </w:rPr>
            </w:pPr>
          </w:p>
        </w:tc>
        <w:tc>
          <w:tcPr>
            <w:tcW w:w="2758" w:type="dxa"/>
          </w:tcPr>
          <w:p w14:paraId="66F9C63C">
            <w:pPr>
              <w:rPr>
                <w:color w:val="auto"/>
              </w:rPr>
            </w:pPr>
          </w:p>
        </w:tc>
        <w:tc>
          <w:tcPr>
            <w:tcW w:w="1504" w:type="dxa"/>
          </w:tcPr>
          <w:p w14:paraId="1736EB54">
            <w:pPr>
              <w:rPr>
                <w:color w:val="auto"/>
              </w:rPr>
            </w:pPr>
          </w:p>
        </w:tc>
        <w:tc>
          <w:tcPr>
            <w:tcW w:w="2003" w:type="dxa"/>
          </w:tcPr>
          <w:p w14:paraId="30EEAED6">
            <w:pPr>
              <w:rPr>
                <w:color w:val="auto"/>
              </w:rPr>
            </w:pPr>
          </w:p>
        </w:tc>
        <w:tc>
          <w:tcPr>
            <w:tcW w:w="1770" w:type="dxa"/>
            <w:tcBorders>
              <w:right w:val="single" w:color="000000" w:sz="6" w:space="0"/>
            </w:tcBorders>
          </w:tcPr>
          <w:p w14:paraId="4FB61FDB">
            <w:pPr>
              <w:rPr>
                <w:color w:val="auto"/>
              </w:rPr>
            </w:pPr>
          </w:p>
        </w:tc>
      </w:tr>
      <w:tr w14:paraId="04A1B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71776860">
            <w:pPr>
              <w:rPr>
                <w:color w:val="auto"/>
              </w:rPr>
            </w:pPr>
          </w:p>
        </w:tc>
        <w:tc>
          <w:tcPr>
            <w:tcW w:w="2758" w:type="dxa"/>
          </w:tcPr>
          <w:p w14:paraId="0CEC16DA">
            <w:pPr>
              <w:rPr>
                <w:color w:val="auto"/>
              </w:rPr>
            </w:pPr>
          </w:p>
        </w:tc>
        <w:tc>
          <w:tcPr>
            <w:tcW w:w="1504" w:type="dxa"/>
          </w:tcPr>
          <w:p w14:paraId="583552EE">
            <w:pPr>
              <w:rPr>
                <w:color w:val="auto"/>
              </w:rPr>
            </w:pPr>
          </w:p>
        </w:tc>
        <w:tc>
          <w:tcPr>
            <w:tcW w:w="2003" w:type="dxa"/>
          </w:tcPr>
          <w:p w14:paraId="10BB54F9">
            <w:pPr>
              <w:rPr>
                <w:color w:val="auto"/>
              </w:rPr>
            </w:pPr>
          </w:p>
        </w:tc>
        <w:tc>
          <w:tcPr>
            <w:tcW w:w="1770" w:type="dxa"/>
            <w:tcBorders>
              <w:right w:val="single" w:color="000000" w:sz="6" w:space="0"/>
            </w:tcBorders>
          </w:tcPr>
          <w:p w14:paraId="7DB78622">
            <w:pPr>
              <w:rPr>
                <w:color w:val="auto"/>
              </w:rPr>
            </w:pPr>
          </w:p>
        </w:tc>
      </w:tr>
      <w:tr w14:paraId="12C56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69" w:type="dxa"/>
            <w:tcBorders>
              <w:left w:val="single" w:color="000000" w:sz="6" w:space="0"/>
            </w:tcBorders>
          </w:tcPr>
          <w:p w14:paraId="4A00CD4D">
            <w:pPr>
              <w:rPr>
                <w:color w:val="auto"/>
              </w:rPr>
            </w:pPr>
          </w:p>
        </w:tc>
        <w:tc>
          <w:tcPr>
            <w:tcW w:w="2758" w:type="dxa"/>
          </w:tcPr>
          <w:p w14:paraId="1BD0D625">
            <w:pPr>
              <w:rPr>
                <w:color w:val="auto"/>
              </w:rPr>
            </w:pPr>
          </w:p>
        </w:tc>
        <w:tc>
          <w:tcPr>
            <w:tcW w:w="1504" w:type="dxa"/>
          </w:tcPr>
          <w:p w14:paraId="35B414BF">
            <w:pPr>
              <w:rPr>
                <w:color w:val="auto"/>
              </w:rPr>
            </w:pPr>
          </w:p>
        </w:tc>
        <w:tc>
          <w:tcPr>
            <w:tcW w:w="2003" w:type="dxa"/>
          </w:tcPr>
          <w:p w14:paraId="588CABEB">
            <w:pPr>
              <w:rPr>
                <w:color w:val="auto"/>
              </w:rPr>
            </w:pPr>
          </w:p>
        </w:tc>
        <w:tc>
          <w:tcPr>
            <w:tcW w:w="1770" w:type="dxa"/>
            <w:tcBorders>
              <w:right w:val="single" w:color="000000" w:sz="6" w:space="0"/>
            </w:tcBorders>
          </w:tcPr>
          <w:p w14:paraId="27AC299E">
            <w:pPr>
              <w:rPr>
                <w:color w:val="auto"/>
              </w:rPr>
            </w:pPr>
          </w:p>
        </w:tc>
      </w:tr>
      <w:tr w14:paraId="318D5A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39B3DEE5">
            <w:pPr>
              <w:rPr>
                <w:color w:val="auto"/>
              </w:rPr>
            </w:pPr>
          </w:p>
        </w:tc>
        <w:tc>
          <w:tcPr>
            <w:tcW w:w="2758" w:type="dxa"/>
          </w:tcPr>
          <w:p w14:paraId="447ACAD0">
            <w:pPr>
              <w:rPr>
                <w:color w:val="auto"/>
              </w:rPr>
            </w:pPr>
          </w:p>
        </w:tc>
        <w:tc>
          <w:tcPr>
            <w:tcW w:w="1504" w:type="dxa"/>
          </w:tcPr>
          <w:p w14:paraId="35C35C50">
            <w:pPr>
              <w:rPr>
                <w:color w:val="auto"/>
              </w:rPr>
            </w:pPr>
          </w:p>
        </w:tc>
        <w:tc>
          <w:tcPr>
            <w:tcW w:w="2003" w:type="dxa"/>
          </w:tcPr>
          <w:p w14:paraId="22B93F3B">
            <w:pPr>
              <w:rPr>
                <w:color w:val="auto"/>
              </w:rPr>
            </w:pPr>
          </w:p>
        </w:tc>
        <w:tc>
          <w:tcPr>
            <w:tcW w:w="1770" w:type="dxa"/>
            <w:tcBorders>
              <w:right w:val="single" w:color="000000" w:sz="6" w:space="0"/>
            </w:tcBorders>
          </w:tcPr>
          <w:p w14:paraId="37BB8FED">
            <w:pPr>
              <w:rPr>
                <w:color w:val="auto"/>
              </w:rPr>
            </w:pPr>
          </w:p>
        </w:tc>
      </w:tr>
      <w:tr w14:paraId="2687C3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16D9A82E">
            <w:pPr>
              <w:rPr>
                <w:color w:val="auto"/>
              </w:rPr>
            </w:pPr>
          </w:p>
        </w:tc>
        <w:tc>
          <w:tcPr>
            <w:tcW w:w="2758" w:type="dxa"/>
          </w:tcPr>
          <w:p w14:paraId="3715A535">
            <w:pPr>
              <w:rPr>
                <w:color w:val="auto"/>
              </w:rPr>
            </w:pPr>
          </w:p>
        </w:tc>
        <w:tc>
          <w:tcPr>
            <w:tcW w:w="1504" w:type="dxa"/>
          </w:tcPr>
          <w:p w14:paraId="546FBA72">
            <w:pPr>
              <w:rPr>
                <w:color w:val="auto"/>
              </w:rPr>
            </w:pPr>
          </w:p>
        </w:tc>
        <w:tc>
          <w:tcPr>
            <w:tcW w:w="2003" w:type="dxa"/>
          </w:tcPr>
          <w:p w14:paraId="5D50793C">
            <w:pPr>
              <w:rPr>
                <w:color w:val="auto"/>
              </w:rPr>
            </w:pPr>
          </w:p>
        </w:tc>
        <w:tc>
          <w:tcPr>
            <w:tcW w:w="1770" w:type="dxa"/>
            <w:tcBorders>
              <w:right w:val="single" w:color="000000" w:sz="6" w:space="0"/>
            </w:tcBorders>
          </w:tcPr>
          <w:p w14:paraId="7347DA1F">
            <w:pPr>
              <w:rPr>
                <w:color w:val="auto"/>
              </w:rPr>
            </w:pPr>
          </w:p>
        </w:tc>
      </w:tr>
      <w:tr w14:paraId="3B4C5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69" w:type="dxa"/>
            <w:tcBorders>
              <w:left w:val="single" w:color="000000" w:sz="6" w:space="0"/>
            </w:tcBorders>
          </w:tcPr>
          <w:p w14:paraId="41680453">
            <w:pPr>
              <w:rPr>
                <w:color w:val="auto"/>
              </w:rPr>
            </w:pPr>
          </w:p>
        </w:tc>
        <w:tc>
          <w:tcPr>
            <w:tcW w:w="2758" w:type="dxa"/>
          </w:tcPr>
          <w:p w14:paraId="4E7AB706">
            <w:pPr>
              <w:rPr>
                <w:color w:val="auto"/>
              </w:rPr>
            </w:pPr>
          </w:p>
        </w:tc>
        <w:tc>
          <w:tcPr>
            <w:tcW w:w="1504" w:type="dxa"/>
          </w:tcPr>
          <w:p w14:paraId="54CC36F9">
            <w:pPr>
              <w:rPr>
                <w:color w:val="auto"/>
              </w:rPr>
            </w:pPr>
          </w:p>
        </w:tc>
        <w:tc>
          <w:tcPr>
            <w:tcW w:w="2003" w:type="dxa"/>
          </w:tcPr>
          <w:p w14:paraId="3965C779">
            <w:pPr>
              <w:rPr>
                <w:color w:val="auto"/>
              </w:rPr>
            </w:pPr>
          </w:p>
        </w:tc>
        <w:tc>
          <w:tcPr>
            <w:tcW w:w="1770" w:type="dxa"/>
            <w:tcBorders>
              <w:right w:val="single" w:color="000000" w:sz="6" w:space="0"/>
            </w:tcBorders>
          </w:tcPr>
          <w:p w14:paraId="10A23EB5">
            <w:pPr>
              <w:rPr>
                <w:color w:val="auto"/>
              </w:rPr>
            </w:pPr>
          </w:p>
        </w:tc>
      </w:tr>
      <w:tr w14:paraId="20C26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tcPr>
          <w:p w14:paraId="7C0212DA">
            <w:pPr>
              <w:rPr>
                <w:color w:val="auto"/>
              </w:rPr>
            </w:pPr>
          </w:p>
        </w:tc>
        <w:tc>
          <w:tcPr>
            <w:tcW w:w="2758" w:type="dxa"/>
          </w:tcPr>
          <w:p w14:paraId="769A27AF">
            <w:pPr>
              <w:rPr>
                <w:color w:val="auto"/>
              </w:rPr>
            </w:pPr>
          </w:p>
        </w:tc>
        <w:tc>
          <w:tcPr>
            <w:tcW w:w="1504" w:type="dxa"/>
          </w:tcPr>
          <w:p w14:paraId="12F15365">
            <w:pPr>
              <w:rPr>
                <w:color w:val="auto"/>
              </w:rPr>
            </w:pPr>
          </w:p>
        </w:tc>
        <w:tc>
          <w:tcPr>
            <w:tcW w:w="2003" w:type="dxa"/>
          </w:tcPr>
          <w:p w14:paraId="4F19160B">
            <w:pPr>
              <w:rPr>
                <w:color w:val="auto"/>
              </w:rPr>
            </w:pPr>
          </w:p>
        </w:tc>
        <w:tc>
          <w:tcPr>
            <w:tcW w:w="1770" w:type="dxa"/>
            <w:tcBorders>
              <w:right w:val="single" w:color="000000" w:sz="6" w:space="0"/>
            </w:tcBorders>
          </w:tcPr>
          <w:p w14:paraId="106F815C">
            <w:pPr>
              <w:rPr>
                <w:color w:val="auto"/>
              </w:rPr>
            </w:pPr>
          </w:p>
        </w:tc>
      </w:tr>
      <w:tr w14:paraId="13CB49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769" w:type="dxa"/>
            <w:tcBorders>
              <w:left w:val="single" w:color="000000" w:sz="6" w:space="0"/>
              <w:bottom w:val="single" w:color="000000" w:sz="6" w:space="0"/>
            </w:tcBorders>
          </w:tcPr>
          <w:p w14:paraId="5CDCC8C2">
            <w:pPr>
              <w:rPr>
                <w:color w:val="auto"/>
              </w:rPr>
            </w:pPr>
          </w:p>
        </w:tc>
        <w:tc>
          <w:tcPr>
            <w:tcW w:w="2758" w:type="dxa"/>
            <w:tcBorders>
              <w:bottom w:val="single" w:color="000000" w:sz="6" w:space="0"/>
            </w:tcBorders>
          </w:tcPr>
          <w:p w14:paraId="1D0E9A50">
            <w:pPr>
              <w:pStyle w:val="21"/>
              <w:spacing w:before="120" w:line="221" w:lineRule="auto"/>
              <w:ind w:left="1021"/>
              <w:rPr>
                <w:rFonts w:hint="eastAsia"/>
                <w:color w:val="auto"/>
                <w:sz w:val="24"/>
                <w:szCs w:val="24"/>
              </w:rPr>
            </w:pPr>
            <w:r>
              <w:rPr>
                <w:color w:val="auto"/>
                <w:spacing w:val="-6"/>
                <w:sz w:val="24"/>
                <w:szCs w:val="24"/>
              </w:rPr>
              <w:t>合</w:t>
            </w:r>
            <w:r>
              <w:rPr>
                <w:rFonts w:hint="eastAsia"/>
                <w:color w:val="auto"/>
                <w:spacing w:val="5"/>
                <w:sz w:val="24"/>
                <w:szCs w:val="24"/>
                <w:lang w:eastAsia="zh-CN"/>
              </w:rPr>
              <w:t>　</w:t>
            </w:r>
            <w:r>
              <w:rPr>
                <w:color w:val="auto"/>
                <w:spacing w:val="-6"/>
                <w:sz w:val="24"/>
                <w:szCs w:val="24"/>
              </w:rPr>
              <w:t>计</w:t>
            </w:r>
          </w:p>
        </w:tc>
        <w:tc>
          <w:tcPr>
            <w:tcW w:w="1504" w:type="dxa"/>
            <w:tcBorders>
              <w:bottom w:val="single" w:color="000000" w:sz="6" w:space="0"/>
            </w:tcBorders>
          </w:tcPr>
          <w:p w14:paraId="5442AEC0">
            <w:pPr>
              <w:rPr>
                <w:color w:val="auto"/>
              </w:rPr>
            </w:pPr>
          </w:p>
        </w:tc>
        <w:tc>
          <w:tcPr>
            <w:tcW w:w="2003" w:type="dxa"/>
            <w:tcBorders>
              <w:bottom w:val="single" w:color="000000" w:sz="6" w:space="0"/>
            </w:tcBorders>
          </w:tcPr>
          <w:p w14:paraId="1D36E4BA">
            <w:pPr>
              <w:rPr>
                <w:color w:val="auto"/>
              </w:rPr>
            </w:pPr>
          </w:p>
        </w:tc>
        <w:tc>
          <w:tcPr>
            <w:tcW w:w="1770" w:type="dxa"/>
            <w:tcBorders>
              <w:bottom w:val="single" w:color="000000" w:sz="6" w:space="0"/>
              <w:right w:val="single" w:color="000000" w:sz="6" w:space="0"/>
            </w:tcBorders>
          </w:tcPr>
          <w:p w14:paraId="5DF17967">
            <w:pPr>
              <w:rPr>
                <w:color w:val="auto"/>
              </w:rPr>
            </w:pPr>
          </w:p>
        </w:tc>
      </w:tr>
    </w:tbl>
    <w:p w14:paraId="78C9A881">
      <w:pPr>
        <w:pStyle w:val="8"/>
        <w:spacing w:line="368" w:lineRule="auto"/>
        <w:rPr>
          <w:color w:val="auto"/>
        </w:rPr>
      </w:pPr>
    </w:p>
    <w:p w14:paraId="6B526083">
      <w:pPr>
        <w:spacing w:before="78" w:line="219" w:lineRule="auto"/>
        <w:ind w:left="224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法定代表人或委托代理人</w:t>
      </w:r>
      <w:r>
        <w:rPr>
          <w:rFonts w:ascii="宋体" w:hAnsi="宋体" w:eastAsia="宋体" w:cs="宋体"/>
          <w:color w:val="auto"/>
          <w:spacing w:val="-11"/>
          <w:sz w:val="24"/>
          <w:szCs w:val="24"/>
          <w:lang w:eastAsia="zh-CN"/>
        </w:rPr>
        <w:t>：</w:t>
      </w:r>
      <w:r>
        <w:rPr>
          <w:rFonts w:hint="eastAsia" w:ascii="宋体" w:hAnsi="宋体" w:eastAsia="宋体" w:cs="宋体"/>
          <w:color w:val="auto"/>
          <w:spacing w:val="30"/>
          <w:sz w:val="24"/>
          <w:szCs w:val="24"/>
          <w:u w:val="single"/>
          <w:lang w:eastAsia="zh-CN"/>
        </w:rPr>
        <w:t>　　</w:t>
      </w:r>
      <w:r>
        <w:rPr>
          <w:rFonts w:ascii="宋体" w:hAnsi="宋体" w:eastAsia="宋体" w:cs="宋体"/>
          <w:color w:val="auto"/>
          <w:spacing w:val="-11"/>
          <w:sz w:val="24"/>
          <w:szCs w:val="24"/>
          <w:u w:val="single"/>
          <w:lang w:eastAsia="zh-CN"/>
        </w:rPr>
        <w:t>（</w:t>
      </w:r>
      <w:r>
        <w:rPr>
          <w:rFonts w:ascii="宋体" w:hAnsi="宋体" w:eastAsia="宋体" w:cs="宋体"/>
          <w:color w:val="auto"/>
          <w:spacing w:val="1"/>
          <w:sz w:val="24"/>
          <w:szCs w:val="24"/>
          <w:u w:val="single"/>
          <w:lang w:eastAsia="zh-CN"/>
        </w:rPr>
        <w:t>签字或盖章）</w:t>
      </w:r>
      <w:r>
        <w:rPr>
          <w:rFonts w:hint="eastAsia" w:ascii="宋体" w:hAnsi="宋体" w:eastAsia="宋体" w:cs="宋体"/>
          <w:color w:val="auto"/>
          <w:sz w:val="24"/>
          <w:szCs w:val="24"/>
          <w:u w:val="single"/>
          <w:lang w:eastAsia="zh-CN"/>
        </w:rPr>
        <w:t>　　　</w:t>
      </w:r>
    </w:p>
    <w:p w14:paraId="524D60F9">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7D8E1322">
      <w:pPr>
        <w:pStyle w:val="8"/>
        <w:spacing w:line="246" w:lineRule="auto"/>
        <w:rPr>
          <w:color w:val="auto"/>
          <w:lang w:eastAsia="zh-CN"/>
        </w:rPr>
      </w:pPr>
    </w:p>
    <w:p w14:paraId="4E810805">
      <w:pPr>
        <w:spacing w:before="91" w:line="219" w:lineRule="auto"/>
        <w:ind w:left="3141"/>
        <w:rPr>
          <w:rFonts w:hint="eastAsia"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零星工作项目计价表</w:t>
      </w:r>
    </w:p>
    <w:p w14:paraId="471D8DA5">
      <w:pPr>
        <w:spacing w:before="206" w:line="220" w:lineRule="auto"/>
        <w:ind w:left="1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z w:val="24"/>
          <w:szCs w:val="24"/>
          <w:lang w:eastAsia="zh-CN"/>
        </w:rPr>
        <w:t>　　　　　　　　　　</w:t>
      </w:r>
      <w:r>
        <w:rPr>
          <w:rFonts w:ascii="宋体" w:hAnsi="宋体" w:eastAsia="宋体" w:cs="宋体"/>
          <w:color w:val="auto"/>
          <w:spacing w:val="-1"/>
          <w:sz w:val="24"/>
          <w:szCs w:val="24"/>
          <w:lang w:eastAsia="zh-CN"/>
        </w:rPr>
        <w:t>第</w:t>
      </w:r>
      <w:r>
        <w:rPr>
          <w:rFonts w:hint="eastAsia" w:ascii="宋体" w:hAnsi="宋体" w:eastAsia="宋体" w:cs="宋体"/>
          <w:color w:val="auto"/>
          <w:spacing w:val="1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7"/>
          <w:sz w:val="24"/>
          <w:szCs w:val="24"/>
          <w:lang w:eastAsia="zh-CN"/>
        </w:rPr>
        <w:t>　</w:t>
      </w:r>
      <w:r>
        <w:rPr>
          <w:rFonts w:ascii="宋体" w:hAnsi="宋体" w:eastAsia="宋体" w:cs="宋体"/>
          <w:color w:val="auto"/>
          <w:spacing w:val="-2"/>
          <w:sz w:val="24"/>
          <w:szCs w:val="24"/>
          <w:lang w:eastAsia="zh-CN"/>
        </w:rPr>
        <w:t>页</w:t>
      </w:r>
    </w:p>
    <w:p w14:paraId="53CFC703">
      <w:pPr>
        <w:spacing w:line="143" w:lineRule="exact"/>
        <w:rPr>
          <w:color w:val="auto"/>
          <w:lang w:eastAsia="zh-CN"/>
        </w:rPr>
      </w:pPr>
    </w:p>
    <w:tbl>
      <w:tblPr>
        <w:tblStyle w:val="20"/>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2564"/>
        <w:gridCol w:w="1370"/>
        <w:gridCol w:w="1371"/>
        <w:gridCol w:w="1368"/>
        <w:gridCol w:w="1382"/>
      </w:tblGrid>
      <w:tr w14:paraId="0F0382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954" w:type="dxa"/>
            <w:tcBorders>
              <w:top w:val="single" w:color="000000" w:sz="6" w:space="0"/>
              <w:left w:val="single" w:color="000000" w:sz="6" w:space="0"/>
            </w:tcBorders>
            <w:vAlign w:val="center"/>
          </w:tcPr>
          <w:p w14:paraId="65129049">
            <w:pPr>
              <w:pStyle w:val="21"/>
              <w:jc w:val="center"/>
              <w:rPr>
                <w:rFonts w:hint="eastAsia"/>
                <w:color w:val="auto"/>
                <w:sz w:val="24"/>
                <w:szCs w:val="24"/>
              </w:rPr>
            </w:pPr>
            <w:r>
              <w:rPr>
                <w:color w:val="auto"/>
                <w:spacing w:val="-3"/>
                <w:sz w:val="24"/>
                <w:szCs w:val="24"/>
              </w:rPr>
              <w:t>序号</w:t>
            </w:r>
          </w:p>
        </w:tc>
        <w:tc>
          <w:tcPr>
            <w:tcW w:w="2564" w:type="dxa"/>
            <w:tcBorders>
              <w:top w:val="single" w:color="000000" w:sz="6" w:space="0"/>
            </w:tcBorders>
            <w:vAlign w:val="center"/>
          </w:tcPr>
          <w:p w14:paraId="14362454">
            <w:pPr>
              <w:pStyle w:val="21"/>
              <w:jc w:val="center"/>
              <w:rPr>
                <w:rFonts w:hint="eastAsia"/>
                <w:color w:val="auto"/>
                <w:sz w:val="24"/>
                <w:szCs w:val="24"/>
              </w:rPr>
            </w:pPr>
            <w:r>
              <w:rPr>
                <w:color w:val="auto"/>
                <w:spacing w:val="-7"/>
                <w:sz w:val="24"/>
                <w:szCs w:val="24"/>
              </w:rPr>
              <w:t>名</w:t>
            </w:r>
            <w:r>
              <w:rPr>
                <w:rFonts w:hint="eastAsia"/>
                <w:color w:val="auto"/>
                <w:spacing w:val="2"/>
                <w:sz w:val="24"/>
                <w:szCs w:val="24"/>
                <w:lang w:eastAsia="zh-CN"/>
              </w:rPr>
              <w:t>　　</w:t>
            </w:r>
            <w:r>
              <w:rPr>
                <w:color w:val="auto"/>
                <w:spacing w:val="-7"/>
                <w:sz w:val="24"/>
                <w:szCs w:val="24"/>
              </w:rPr>
              <w:t>称</w:t>
            </w:r>
          </w:p>
        </w:tc>
        <w:tc>
          <w:tcPr>
            <w:tcW w:w="1370" w:type="dxa"/>
            <w:tcBorders>
              <w:top w:val="single" w:color="000000" w:sz="6" w:space="0"/>
            </w:tcBorders>
            <w:vAlign w:val="center"/>
          </w:tcPr>
          <w:p w14:paraId="7C1C5BE4">
            <w:pPr>
              <w:pStyle w:val="21"/>
              <w:jc w:val="center"/>
              <w:rPr>
                <w:rFonts w:hint="eastAsia"/>
                <w:color w:val="auto"/>
                <w:sz w:val="24"/>
                <w:szCs w:val="24"/>
              </w:rPr>
            </w:pPr>
            <w:r>
              <w:rPr>
                <w:color w:val="auto"/>
                <w:spacing w:val="-4"/>
                <w:sz w:val="24"/>
                <w:szCs w:val="24"/>
              </w:rPr>
              <w:t>型号规格</w:t>
            </w:r>
          </w:p>
        </w:tc>
        <w:tc>
          <w:tcPr>
            <w:tcW w:w="1371" w:type="dxa"/>
            <w:tcBorders>
              <w:top w:val="single" w:color="000000" w:sz="6" w:space="0"/>
            </w:tcBorders>
            <w:vAlign w:val="center"/>
          </w:tcPr>
          <w:p w14:paraId="66FE2E90">
            <w:pPr>
              <w:pStyle w:val="21"/>
              <w:jc w:val="center"/>
              <w:rPr>
                <w:rFonts w:hint="eastAsia"/>
                <w:color w:val="auto"/>
                <w:sz w:val="24"/>
                <w:szCs w:val="24"/>
              </w:rPr>
            </w:pPr>
            <w:r>
              <w:rPr>
                <w:color w:val="auto"/>
                <w:spacing w:val="-2"/>
                <w:sz w:val="24"/>
                <w:szCs w:val="24"/>
              </w:rPr>
              <w:t>计量单位</w:t>
            </w:r>
          </w:p>
        </w:tc>
        <w:tc>
          <w:tcPr>
            <w:tcW w:w="1368" w:type="dxa"/>
            <w:tcBorders>
              <w:top w:val="single" w:color="000000" w:sz="6" w:space="0"/>
            </w:tcBorders>
            <w:vAlign w:val="center"/>
          </w:tcPr>
          <w:p w14:paraId="404D4A84">
            <w:pPr>
              <w:pStyle w:val="21"/>
              <w:jc w:val="center"/>
              <w:rPr>
                <w:rFonts w:hint="eastAsia"/>
                <w:color w:val="auto"/>
                <w:sz w:val="24"/>
                <w:szCs w:val="24"/>
              </w:rPr>
            </w:pPr>
            <w:r>
              <w:rPr>
                <w:color w:val="auto"/>
                <w:spacing w:val="-6"/>
                <w:sz w:val="24"/>
                <w:szCs w:val="24"/>
              </w:rPr>
              <w:t>单价</w:t>
            </w:r>
            <w:r>
              <w:rPr>
                <w:color w:val="auto"/>
                <w:spacing w:val="-11"/>
                <w:sz w:val="24"/>
                <w:szCs w:val="24"/>
              </w:rPr>
              <w:t>（元）</w:t>
            </w:r>
          </w:p>
        </w:tc>
        <w:tc>
          <w:tcPr>
            <w:tcW w:w="1382" w:type="dxa"/>
            <w:tcBorders>
              <w:top w:val="single" w:color="000000" w:sz="6" w:space="0"/>
              <w:right w:val="single" w:color="000000" w:sz="6" w:space="0"/>
            </w:tcBorders>
            <w:vAlign w:val="center"/>
          </w:tcPr>
          <w:p w14:paraId="70307B9F">
            <w:pPr>
              <w:pStyle w:val="21"/>
              <w:jc w:val="center"/>
              <w:rPr>
                <w:rFonts w:hint="eastAsia"/>
                <w:color w:val="auto"/>
                <w:sz w:val="24"/>
                <w:szCs w:val="24"/>
              </w:rPr>
            </w:pPr>
            <w:r>
              <w:rPr>
                <w:color w:val="auto"/>
                <w:spacing w:val="-4"/>
                <w:sz w:val="24"/>
                <w:szCs w:val="24"/>
              </w:rPr>
              <w:t>备注</w:t>
            </w:r>
          </w:p>
        </w:tc>
      </w:tr>
      <w:tr w14:paraId="6DDAD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center"/>
          </w:tcPr>
          <w:p w14:paraId="14B2D042">
            <w:pPr>
              <w:spacing w:before="88" w:line="186" w:lineRule="auto"/>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1</w:t>
            </w:r>
          </w:p>
        </w:tc>
        <w:tc>
          <w:tcPr>
            <w:tcW w:w="2564" w:type="dxa"/>
            <w:vAlign w:val="center"/>
          </w:tcPr>
          <w:p w14:paraId="2AEC2056">
            <w:pPr>
              <w:pStyle w:val="21"/>
              <w:spacing w:before="37" w:line="222" w:lineRule="auto"/>
              <w:jc w:val="center"/>
              <w:rPr>
                <w:rFonts w:hint="eastAsia"/>
                <w:color w:val="auto"/>
                <w:sz w:val="24"/>
                <w:szCs w:val="24"/>
              </w:rPr>
            </w:pPr>
            <w:r>
              <w:rPr>
                <w:color w:val="auto"/>
                <w:spacing w:val="-3"/>
                <w:sz w:val="24"/>
                <w:szCs w:val="24"/>
              </w:rPr>
              <w:t>人工</w:t>
            </w:r>
          </w:p>
        </w:tc>
        <w:tc>
          <w:tcPr>
            <w:tcW w:w="1370" w:type="dxa"/>
            <w:vAlign w:val="center"/>
          </w:tcPr>
          <w:p w14:paraId="3FA14B19">
            <w:pPr>
              <w:jc w:val="center"/>
              <w:rPr>
                <w:color w:val="auto"/>
              </w:rPr>
            </w:pPr>
          </w:p>
        </w:tc>
        <w:tc>
          <w:tcPr>
            <w:tcW w:w="1371" w:type="dxa"/>
            <w:vAlign w:val="center"/>
          </w:tcPr>
          <w:p w14:paraId="29CADF57">
            <w:pPr>
              <w:jc w:val="center"/>
              <w:rPr>
                <w:color w:val="auto"/>
              </w:rPr>
            </w:pPr>
          </w:p>
        </w:tc>
        <w:tc>
          <w:tcPr>
            <w:tcW w:w="1368" w:type="dxa"/>
            <w:vAlign w:val="center"/>
          </w:tcPr>
          <w:p w14:paraId="66E6DD9A">
            <w:pPr>
              <w:jc w:val="center"/>
              <w:rPr>
                <w:color w:val="auto"/>
              </w:rPr>
            </w:pPr>
          </w:p>
        </w:tc>
        <w:tc>
          <w:tcPr>
            <w:tcW w:w="1382" w:type="dxa"/>
            <w:tcBorders>
              <w:right w:val="single" w:color="000000" w:sz="6" w:space="0"/>
            </w:tcBorders>
            <w:vAlign w:val="center"/>
          </w:tcPr>
          <w:p w14:paraId="41D04459">
            <w:pPr>
              <w:jc w:val="center"/>
              <w:rPr>
                <w:color w:val="auto"/>
              </w:rPr>
            </w:pPr>
          </w:p>
        </w:tc>
      </w:tr>
      <w:tr w14:paraId="3433A7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954" w:type="dxa"/>
            <w:tcBorders>
              <w:left w:val="single" w:color="000000" w:sz="6" w:space="0"/>
            </w:tcBorders>
            <w:vAlign w:val="center"/>
          </w:tcPr>
          <w:p w14:paraId="7F81D3E6">
            <w:pPr>
              <w:jc w:val="center"/>
              <w:rPr>
                <w:color w:val="auto"/>
              </w:rPr>
            </w:pPr>
          </w:p>
        </w:tc>
        <w:tc>
          <w:tcPr>
            <w:tcW w:w="2564" w:type="dxa"/>
            <w:vAlign w:val="center"/>
          </w:tcPr>
          <w:p w14:paraId="32AB0A61">
            <w:pPr>
              <w:jc w:val="center"/>
              <w:rPr>
                <w:color w:val="auto"/>
              </w:rPr>
            </w:pPr>
          </w:p>
        </w:tc>
        <w:tc>
          <w:tcPr>
            <w:tcW w:w="1370" w:type="dxa"/>
            <w:vAlign w:val="center"/>
          </w:tcPr>
          <w:p w14:paraId="66B9ED66">
            <w:pPr>
              <w:jc w:val="center"/>
              <w:rPr>
                <w:color w:val="auto"/>
              </w:rPr>
            </w:pPr>
          </w:p>
        </w:tc>
        <w:tc>
          <w:tcPr>
            <w:tcW w:w="1371" w:type="dxa"/>
            <w:vAlign w:val="center"/>
          </w:tcPr>
          <w:p w14:paraId="05D54ACF">
            <w:pPr>
              <w:jc w:val="center"/>
              <w:rPr>
                <w:color w:val="auto"/>
              </w:rPr>
            </w:pPr>
          </w:p>
        </w:tc>
        <w:tc>
          <w:tcPr>
            <w:tcW w:w="1368" w:type="dxa"/>
            <w:vAlign w:val="center"/>
          </w:tcPr>
          <w:p w14:paraId="62A39820">
            <w:pPr>
              <w:jc w:val="center"/>
              <w:rPr>
                <w:color w:val="auto"/>
              </w:rPr>
            </w:pPr>
          </w:p>
        </w:tc>
        <w:tc>
          <w:tcPr>
            <w:tcW w:w="1382" w:type="dxa"/>
            <w:tcBorders>
              <w:right w:val="single" w:color="000000" w:sz="6" w:space="0"/>
            </w:tcBorders>
            <w:vAlign w:val="center"/>
          </w:tcPr>
          <w:p w14:paraId="390FF4EB">
            <w:pPr>
              <w:jc w:val="center"/>
              <w:rPr>
                <w:color w:val="auto"/>
              </w:rPr>
            </w:pPr>
          </w:p>
        </w:tc>
      </w:tr>
      <w:tr w14:paraId="64D56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center"/>
          </w:tcPr>
          <w:p w14:paraId="3CAAC216">
            <w:pPr>
              <w:jc w:val="center"/>
              <w:rPr>
                <w:color w:val="auto"/>
              </w:rPr>
            </w:pPr>
          </w:p>
        </w:tc>
        <w:tc>
          <w:tcPr>
            <w:tcW w:w="2564" w:type="dxa"/>
            <w:vAlign w:val="center"/>
          </w:tcPr>
          <w:p w14:paraId="7DE49663">
            <w:pPr>
              <w:jc w:val="center"/>
              <w:rPr>
                <w:color w:val="auto"/>
              </w:rPr>
            </w:pPr>
          </w:p>
        </w:tc>
        <w:tc>
          <w:tcPr>
            <w:tcW w:w="1370" w:type="dxa"/>
            <w:vAlign w:val="center"/>
          </w:tcPr>
          <w:p w14:paraId="456A5059">
            <w:pPr>
              <w:jc w:val="center"/>
              <w:rPr>
                <w:color w:val="auto"/>
              </w:rPr>
            </w:pPr>
          </w:p>
        </w:tc>
        <w:tc>
          <w:tcPr>
            <w:tcW w:w="1371" w:type="dxa"/>
            <w:vAlign w:val="center"/>
          </w:tcPr>
          <w:p w14:paraId="1A992DE4">
            <w:pPr>
              <w:jc w:val="center"/>
              <w:rPr>
                <w:color w:val="auto"/>
              </w:rPr>
            </w:pPr>
          </w:p>
        </w:tc>
        <w:tc>
          <w:tcPr>
            <w:tcW w:w="1368" w:type="dxa"/>
            <w:vAlign w:val="center"/>
          </w:tcPr>
          <w:p w14:paraId="01824937">
            <w:pPr>
              <w:jc w:val="center"/>
              <w:rPr>
                <w:color w:val="auto"/>
              </w:rPr>
            </w:pPr>
          </w:p>
        </w:tc>
        <w:tc>
          <w:tcPr>
            <w:tcW w:w="1382" w:type="dxa"/>
            <w:tcBorders>
              <w:right w:val="single" w:color="000000" w:sz="6" w:space="0"/>
            </w:tcBorders>
            <w:vAlign w:val="center"/>
          </w:tcPr>
          <w:p w14:paraId="7E3F7E18">
            <w:pPr>
              <w:jc w:val="center"/>
              <w:rPr>
                <w:color w:val="auto"/>
              </w:rPr>
            </w:pPr>
          </w:p>
        </w:tc>
      </w:tr>
      <w:tr w14:paraId="79132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54" w:type="dxa"/>
            <w:tcBorders>
              <w:left w:val="single" w:color="000000" w:sz="6" w:space="0"/>
            </w:tcBorders>
            <w:vAlign w:val="center"/>
          </w:tcPr>
          <w:p w14:paraId="6A762C1F">
            <w:pPr>
              <w:jc w:val="center"/>
              <w:rPr>
                <w:color w:val="auto"/>
              </w:rPr>
            </w:pPr>
          </w:p>
        </w:tc>
        <w:tc>
          <w:tcPr>
            <w:tcW w:w="2564" w:type="dxa"/>
            <w:vAlign w:val="center"/>
          </w:tcPr>
          <w:p w14:paraId="528794A7">
            <w:pPr>
              <w:jc w:val="center"/>
              <w:rPr>
                <w:color w:val="auto"/>
              </w:rPr>
            </w:pPr>
          </w:p>
        </w:tc>
        <w:tc>
          <w:tcPr>
            <w:tcW w:w="1370" w:type="dxa"/>
            <w:vAlign w:val="center"/>
          </w:tcPr>
          <w:p w14:paraId="365E9A05">
            <w:pPr>
              <w:jc w:val="center"/>
              <w:rPr>
                <w:color w:val="auto"/>
              </w:rPr>
            </w:pPr>
          </w:p>
        </w:tc>
        <w:tc>
          <w:tcPr>
            <w:tcW w:w="1371" w:type="dxa"/>
            <w:vAlign w:val="center"/>
          </w:tcPr>
          <w:p w14:paraId="66477301">
            <w:pPr>
              <w:jc w:val="center"/>
              <w:rPr>
                <w:color w:val="auto"/>
              </w:rPr>
            </w:pPr>
          </w:p>
        </w:tc>
        <w:tc>
          <w:tcPr>
            <w:tcW w:w="1368" w:type="dxa"/>
            <w:vAlign w:val="center"/>
          </w:tcPr>
          <w:p w14:paraId="5E13C840">
            <w:pPr>
              <w:jc w:val="center"/>
              <w:rPr>
                <w:color w:val="auto"/>
              </w:rPr>
            </w:pPr>
          </w:p>
        </w:tc>
        <w:tc>
          <w:tcPr>
            <w:tcW w:w="1382" w:type="dxa"/>
            <w:tcBorders>
              <w:right w:val="single" w:color="000000" w:sz="6" w:space="0"/>
            </w:tcBorders>
            <w:vAlign w:val="center"/>
          </w:tcPr>
          <w:p w14:paraId="37F625C1">
            <w:pPr>
              <w:jc w:val="center"/>
              <w:rPr>
                <w:color w:val="auto"/>
              </w:rPr>
            </w:pPr>
          </w:p>
        </w:tc>
      </w:tr>
      <w:tr w14:paraId="73BEE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Borders>
              <w:left w:val="single" w:color="000000" w:sz="6" w:space="0"/>
            </w:tcBorders>
            <w:vAlign w:val="center"/>
          </w:tcPr>
          <w:p w14:paraId="6E392274">
            <w:pPr>
              <w:jc w:val="center"/>
              <w:rPr>
                <w:color w:val="auto"/>
              </w:rPr>
            </w:pPr>
          </w:p>
        </w:tc>
        <w:tc>
          <w:tcPr>
            <w:tcW w:w="2564" w:type="dxa"/>
            <w:vAlign w:val="center"/>
          </w:tcPr>
          <w:p w14:paraId="20EBA378">
            <w:pPr>
              <w:jc w:val="center"/>
              <w:rPr>
                <w:color w:val="auto"/>
              </w:rPr>
            </w:pPr>
          </w:p>
        </w:tc>
        <w:tc>
          <w:tcPr>
            <w:tcW w:w="1370" w:type="dxa"/>
            <w:vAlign w:val="center"/>
          </w:tcPr>
          <w:p w14:paraId="0AEAF8A8">
            <w:pPr>
              <w:jc w:val="center"/>
              <w:rPr>
                <w:color w:val="auto"/>
              </w:rPr>
            </w:pPr>
          </w:p>
        </w:tc>
        <w:tc>
          <w:tcPr>
            <w:tcW w:w="1371" w:type="dxa"/>
            <w:vAlign w:val="center"/>
          </w:tcPr>
          <w:p w14:paraId="7351F223">
            <w:pPr>
              <w:jc w:val="center"/>
              <w:rPr>
                <w:color w:val="auto"/>
              </w:rPr>
            </w:pPr>
          </w:p>
        </w:tc>
        <w:tc>
          <w:tcPr>
            <w:tcW w:w="1368" w:type="dxa"/>
            <w:vAlign w:val="center"/>
          </w:tcPr>
          <w:p w14:paraId="29C30FE5">
            <w:pPr>
              <w:jc w:val="center"/>
              <w:rPr>
                <w:color w:val="auto"/>
              </w:rPr>
            </w:pPr>
          </w:p>
        </w:tc>
        <w:tc>
          <w:tcPr>
            <w:tcW w:w="1382" w:type="dxa"/>
            <w:tcBorders>
              <w:right w:val="single" w:color="000000" w:sz="6" w:space="0"/>
            </w:tcBorders>
            <w:vAlign w:val="center"/>
          </w:tcPr>
          <w:p w14:paraId="3B457C50">
            <w:pPr>
              <w:jc w:val="center"/>
              <w:rPr>
                <w:color w:val="auto"/>
              </w:rPr>
            </w:pPr>
          </w:p>
        </w:tc>
      </w:tr>
      <w:tr w14:paraId="56AFF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954" w:type="dxa"/>
            <w:tcBorders>
              <w:left w:val="single" w:color="000000" w:sz="6" w:space="0"/>
            </w:tcBorders>
            <w:vAlign w:val="center"/>
          </w:tcPr>
          <w:p w14:paraId="7D5B665A">
            <w:pPr>
              <w:jc w:val="center"/>
              <w:rPr>
                <w:color w:val="auto"/>
              </w:rPr>
            </w:pPr>
          </w:p>
        </w:tc>
        <w:tc>
          <w:tcPr>
            <w:tcW w:w="2564" w:type="dxa"/>
            <w:vAlign w:val="center"/>
          </w:tcPr>
          <w:p w14:paraId="36729696">
            <w:pPr>
              <w:jc w:val="center"/>
              <w:rPr>
                <w:color w:val="auto"/>
              </w:rPr>
            </w:pPr>
          </w:p>
        </w:tc>
        <w:tc>
          <w:tcPr>
            <w:tcW w:w="1370" w:type="dxa"/>
            <w:vAlign w:val="center"/>
          </w:tcPr>
          <w:p w14:paraId="6507D720">
            <w:pPr>
              <w:jc w:val="center"/>
              <w:rPr>
                <w:color w:val="auto"/>
              </w:rPr>
            </w:pPr>
          </w:p>
        </w:tc>
        <w:tc>
          <w:tcPr>
            <w:tcW w:w="1371" w:type="dxa"/>
            <w:vAlign w:val="center"/>
          </w:tcPr>
          <w:p w14:paraId="78D4D045">
            <w:pPr>
              <w:jc w:val="center"/>
              <w:rPr>
                <w:color w:val="auto"/>
              </w:rPr>
            </w:pPr>
          </w:p>
        </w:tc>
        <w:tc>
          <w:tcPr>
            <w:tcW w:w="1368" w:type="dxa"/>
            <w:vAlign w:val="center"/>
          </w:tcPr>
          <w:p w14:paraId="1746EB9E">
            <w:pPr>
              <w:jc w:val="center"/>
              <w:rPr>
                <w:color w:val="auto"/>
              </w:rPr>
            </w:pPr>
          </w:p>
        </w:tc>
        <w:tc>
          <w:tcPr>
            <w:tcW w:w="1382" w:type="dxa"/>
            <w:tcBorders>
              <w:right w:val="single" w:color="000000" w:sz="6" w:space="0"/>
            </w:tcBorders>
            <w:vAlign w:val="center"/>
          </w:tcPr>
          <w:p w14:paraId="16C9CC51">
            <w:pPr>
              <w:jc w:val="center"/>
              <w:rPr>
                <w:color w:val="auto"/>
              </w:rPr>
            </w:pPr>
          </w:p>
        </w:tc>
      </w:tr>
      <w:tr w14:paraId="1DEE7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954" w:type="dxa"/>
            <w:tcBorders>
              <w:left w:val="single" w:color="000000" w:sz="6" w:space="0"/>
            </w:tcBorders>
            <w:vAlign w:val="center"/>
          </w:tcPr>
          <w:p w14:paraId="36AD3D9A">
            <w:pPr>
              <w:jc w:val="center"/>
              <w:rPr>
                <w:color w:val="auto"/>
              </w:rPr>
            </w:pPr>
          </w:p>
        </w:tc>
        <w:tc>
          <w:tcPr>
            <w:tcW w:w="2564" w:type="dxa"/>
            <w:vAlign w:val="center"/>
          </w:tcPr>
          <w:p w14:paraId="2F20FCA3">
            <w:pPr>
              <w:jc w:val="center"/>
              <w:rPr>
                <w:color w:val="auto"/>
              </w:rPr>
            </w:pPr>
          </w:p>
        </w:tc>
        <w:tc>
          <w:tcPr>
            <w:tcW w:w="1370" w:type="dxa"/>
            <w:vAlign w:val="center"/>
          </w:tcPr>
          <w:p w14:paraId="1F88BBD4">
            <w:pPr>
              <w:jc w:val="center"/>
              <w:rPr>
                <w:color w:val="auto"/>
              </w:rPr>
            </w:pPr>
          </w:p>
        </w:tc>
        <w:tc>
          <w:tcPr>
            <w:tcW w:w="1371" w:type="dxa"/>
            <w:vAlign w:val="center"/>
          </w:tcPr>
          <w:p w14:paraId="5B9A79D9">
            <w:pPr>
              <w:jc w:val="center"/>
              <w:rPr>
                <w:color w:val="auto"/>
              </w:rPr>
            </w:pPr>
          </w:p>
        </w:tc>
        <w:tc>
          <w:tcPr>
            <w:tcW w:w="1368" w:type="dxa"/>
            <w:vAlign w:val="center"/>
          </w:tcPr>
          <w:p w14:paraId="50415EC3">
            <w:pPr>
              <w:jc w:val="center"/>
              <w:rPr>
                <w:color w:val="auto"/>
              </w:rPr>
            </w:pPr>
          </w:p>
        </w:tc>
        <w:tc>
          <w:tcPr>
            <w:tcW w:w="1382" w:type="dxa"/>
            <w:tcBorders>
              <w:right w:val="single" w:color="000000" w:sz="6" w:space="0"/>
            </w:tcBorders>
            <w:vAlign w:val="center"/>
          </w:tcPr>
          <w:p w14:paraId="76DD2C03">
            <w:pPr>
              <w:jc w:val="center"/>
              <w:rPr>
                <w:color w:val="auto"/>
              </w:rPr>
            </w:pPr>
          </w:p>
        </w:tc>
      </w:tr>
      <w:tr w14:paraId="5FCA1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center"/>
          </w:tcPr>
          <w:p w14:paraId="5FB49C0B">
            <w:pPr>
              <w:spacing w:before="95" w:line="186" w:lineRule="auto"/>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2</w:t>
            </w:r>
          </w:p>
        </w:tc>
        <w:tc>
          <w:tcPr>
            <w:tcW w:w="2564" w:type="dxa"/>
            <w:vAlign w:val="center"/>
          </w:tcPr>
          <w:p w14:paraId="2ED3349A">
            <w:pPr>
              <w:pStyle w:val="21"/>
              <w:spacing w:before="43" w:line="219" w:lineRule="auto"/>
              <w:jc w:val="center"/>
              <w:rPr>
                <w:rFonts w:hint="eastAsia"/>
                <w:color w:val="auto"/>
                <w:sz w:val="24"/>
                <w:szCs w:val="24"/>
              </w:rPr>
            </w:pPr>
            <w:r>
              <w:rPr>
                <w:color w:val="auto"/>
                <w:spacing w:val="-3"/>
                <w:sz w:val="24"/>
                <w:szCs w:val="24"/>
              </w:rPr>
              <w:t>材料</w:t>
            </w:r>
          </w:p>
        </w:tc>
        <w:tc>
          <w:tcPr>
            <w:tcW w:w="1370" w:type="dxa"/>
            <w:vAlign w:val="center"/>
          </w:tcPr>
          <w:p w14:paraId="7795D348">
            <w:pPr>
              <w:jc w:val="center"/>
              <w:rPr>
                <w:color w:val="auto"/>
              </w:rPr>
            </w:pPr>
          </w:p>
        </w:tc>
        <w:tc>
          <w:tcPr>
            <w:tcW w:w="1371" w:type="dxa"/>
            <w:vAlign w:val="center"/>
          </w:tcPr>
          <w:p w14:paraId="49D75B1B">
            <w:pPr>
              <w:jc w:val="center"/>
              <w:rPr>
                <w:color w:val="auto"/>
              </w:rPr>
            </w:pPr>
          </w:p>
        </w:tc>
        <w:tc>
          <w:tcPr>
            <w:tcW w:w="1368" w:type="dxa"/>
            <w:vAlign w:val="center"/>
          </w:tcPr>
          <w:p w14:paraId="65CEEEA7">
            <w:pPr>
              <w:jc w:val="center"/>
              <w:rPr>
                <w:color w:val="auto"/>
              </w:rPr>
            </w:pPr>
          </w:p>
        </w:tc>
        <w:tc>
          <w:tcPr>
            <w:tcW w:w="1382" w:type="dxa"/>
            <w:tcBorders>
              <w:right w:val="single" w:color="000000" w:sz="6" w:space="0"/>
            </w:tcBorders>
            <w:vAlign w:val="center"/>
          </w:tcPr>
          <w:p w14:paraId="4EA66052">
            <w:pPr>
              <w:jc w:val="center"/>
              <w:rPr>
                <w:color w:val="auto"/>
              </w:rPr>
            </w:pPr>
          </w:p>
        </w:tc>
      </w:tr>
      <w:tr w14:paraId="06607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54" w:type="dxa"/>
            <w:tcBorders>
              <w:left w:val="single" w:color="000000" w:sz="6" w:space="0"/>
            </w:tcBorders>
            <w:vAlign w:val="center"/>
          </w:tcPr>
          <w:p w14:paraId="6752A29E">
            <w:pPr>
              <w:jc w:val="center"/>
              <w:rPr>
                <w:color w:val="auto"/>
              </w:rPr>
            </w:pPr>
          </w:p>
        </w:tc>
        <w:tc>
          <w:tcPr>
            <w:tcW w:w="2564" w:type="dxa"/>
            <w:vAlign w:val="center"/>
          </w:tcPr>
          <w:p w14:paraId="683586B3">
            <w:pPr>
              <w:jc w:val="center"/>
              <w:rPr>
                <w:color w:val="auto"/>
              </w:rPr>
            </w:pPr>
          </w:p>
        </w:tc>
        <w:tc>
          <w:tcPr>
            <w:tcW w:w="1370" w:type="dxa"/>
            <w:vAlign w:val="center"/>
          </w:tcPr>
          <w:p w14:paraId="687D722B">
            <w:pPr>
              <w:jc w:val="center"/>
              <w:rPr>
                <w:color w:val="auto"/>
              </w:rPr>
            </w:pPr>
          </w:p>
        </w:tc>
        <w:tc>
          <w:tcPr>
            <w:tcW w:w="1371" w:type="dxa"/>
            <w:vAlign w:val="center"/>
          </w:tcPr>
          <w:p w14:paraId="2F91C01A">
            <w:pPr>
              <w:jc w:val="center"/>
              <w:rPr>
                <w:color w:val="auto"/>
              </w:rPr>
            </w:pPr>
          </w:p>
        </w:tc>
        <w:tc>
          <w:tcPr>
            <w:tcW w:w="1368" w:type="dxa"/>
            <w:vAlign w:val="center"/>
          </w:tcPr>
          <w:p w14:paraId="05836F2E">
            <w:pPr>
              <w:jc w:val="center"/>
              <w:rPr>
                <w:color w:val="auto"/>
              </w:rPr>
            </w:pPr>
          </w:p>
        </w:tc>
        <w:tc>
          <w:tcPr>
            <w:tcW w:w="1382" w:type="dxa"/>
            <w:tcBorders>
              <w:right w:val="single" w:color="000000" w:sz="6" w:space="0"/>
            </w:tcBorders>
            <w:vAlign w:val="center"/>
          </w:tcPr>
          <w:p w14:paraId="1E4CE100">
            <w:pPr>
              <w:jc w:val="center"/>
              <w:rPr>
                <w:color w:val="auto"/>
              </w:rPr>
            </w:pPr>
          </w:p>
        </w:tc>
      </w:tr>
      <w:tr w14:paraId="0533F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54" w:type="dxa"/>
            <w:tcBorders>
              <w:left w:val="single" w:color="000000" w:sz="6" w:space="0"/>
            </w:tcBorders>
            <w:vAlign w:val="center"/>
          </w:tcPr>
          <w:p w14:paraId="3D43646E">
            <w:pPr>
              <w:jc w:val="center"/>
              <w:rPr>
                <w:color w:val="auto"/>
              </w:rPr>
            </w:pPr>
          </w:p>
        </w:tc>
        <w:tc>
          <w:tcPr>
            <w:tcW w:w="2564" w:type="dxa"/>
            <w:vAlign w:val="center"/>
          </w:tcPr>
          <w:p w14:paraId="5D70B7F6">
            <w:pPr>
              <w:jc w:val="center"/>
              <w:rPr>
                <w:color w:val="auto"/>
              </w:rPr>
            </w:pPr>
          </w:p>
        </w:tc>
        <w:tc>
          <w:tcPr>
            <w:tcW w:w="1370" w:type="dxa"/>
            <w:vAlign w:val="center"/>
          </w:tcPr>
          <w:p w14:paraId="484E36B4">
            <w:pPr>
              <w:jc w:val="center"/>
              <w:rPr>
                <w:color w:val="auto"/>
              </w:rPr>
            </w:pPr>
          </w:p>
        </w:tc>
        <w:tc>
          <w:tcPr>
            <w:tcW w:w="1371" w:type="dxa"/>
            <w:vAlign w:val="center"/>
          </w:tcPr>
          <w:p w14:paraId="7B95652A">
            <w:pPr>
              <w:jc w:val="center"/>
              <w:rPr>
                <w:color w:val="auto"/>
              </w:rPr>
            </w:pPr>
          </w:p>
        </w:tc>
        <w:tc>
          <w:tcPr>
            <w:tcW w:w="1368" w:type="dxa"/>
            <w:vAlign w:val="center"/>
          </w:tcPr>
          <w:p w14:paraId="2D56EAEE">
            <w:pPr>
              <w:jc w:val="center"/>
              <w:rPr>
                <w:color w:val="auto"/>
              </w:rPr>
            </w:pPr>
          </w:p>
        </w:tc>
        <w:tc>
          <w:tcPr>
            <w:tcW w:w="1382" w:type="dxa"/>
            <w:tcBorders>
              <w:right w:val="single" w:color="000000" w:sz="6" w:space="0"/>
            </w:tcBorders>
            <w:vAlign w:val="center"/>
          </w:tcPr>
          <w:p w14:paraId="7A7F6ADF">
            <w:pPr>
              <w:jc w:val="center"/>
              <w:rPr>
                <w:color w:val="auto"/>
              </w:rPr>
            </w:pPr>
          </w:p>
        </w:tc>
      </w:tr>
      <w:tr w14:paraId="43CF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954" w:type="dxa"/>
            <w:tcBorders>
              <w:left w:val="single" w:color="000000" w:sz="6" w:space="0"/>
            </w:tcBorders>
            <w:vAlign w:val="center"/>
          </w:tcPr>
          <w:p w14:paraId="35E37459">
            <w:pPr>
              <w:jc w:val="center"/>
              <w:rPr>
                <w:color w:val="auto"/>
              </w:rPr>
            </w:pPr>
          </w:p>
        </w:tc>
        <w:tc>
          <w:tcPr>
            <w:tcW w:w="2564" w:type="dxa"/>
            <w:vAlign w:val="center"/>
          </w:tcPr>
          <w:p w14:paraId="71F358E4">
            <w:pPr>
              <w:jc w:val="center"/>
              <w:rPr>
                <w:color w:val="auto"/>
              </w:rPr>
            </w:pPr>
          </w:p>
        </w:tc>
        <w:tc>
          <w:tcPr>
            <w:tcW w:w="1370" w:type="dxa"/>
            <w:vAlign w:val="center"/>
          </w:tcPr>
          <w:p w14:paraId="1FA60583">
            <w:pPr>
              <w:jc w:val="center"/>
              <w:rPr>
                <w:color w:val="auto"/>
              </w:rPr>
            </w:pPr>
          </w:p>
        </w:tc>
        <w:tc>
          <w:tcPr>
            <w:tcW w:w="1371" w:type="dxa"/>
            <w:vAlign w:val="center"/>
          </w:tcPr>
          <w:p w14:paraId="3F2E2E9C">
            <w:pPr>
              <w:jc w:val="center"/>
              <w:rPr>
                <w:color w:val="auto"/>
              </w:rPr>
            </w:pPr>
          </w:p>
        </w:tc>
        <w:tc>
          <w:tcPr>
            <w:tcW w:w="1368" w:type="dxa"/>
            <w:vAlign w:val="center"/>
          </w:tcPr>
          <w:p w14:paraId="69BEDD1A">
            <w:pPr>
              <w:jc w:val="center"/>
              <w:rPr>
                <w:color w:val="auto"/>
              </w:rPr>
            </w:pPr>
          </w:p>
        </w:tc>
        <w:tc>
          <w:tcPr>
            <w:tcW w:w="1382" w:type="dxa"/>
            <w:tcBorders>
              <w:right w:val="single" w:color="000000" w:sz="6" w:space="0"/>
            </w:tcBorders>
            <w:vAlign w:val="center"/>
          </w:tcPr>
          <w:p w14:paraId="5A3524C1">
            <w:pPr>
              <w:jc w:val="center"/>
              <w:rPr>
                <w:color w:val="auto"/>
              </w:rPr>
            </w:pPr>
          </w:p>
        </w:tc>
      </w:tr>
      <w:tr w14:paraId="27386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954" w:type="dxa"/>
            <w:tcBorders>
              <w:left w:val="single" w:color="000000" w:sz="6" w:space="0"/>
            </w:tcBorders>
            <w:vAlign w:val="center"/>
          </w:tcPr>
          <w:p w14:paraId="1C9221A5">
            <w:pPr>
              <w:jc w:val="center"/>
              <w:rPr>
                <w:color w:val="auto"/>
              </w:rPr>
            </w:pPr>
          </w:p>
        </w:tc>
        <w:tc>
          <w:tcPr>
            <w:tcW w:w="2564" w:type="dxa"/>
            <w:vAlign w:val="center"/>
          </w:tcPr>
          <w:p w14:paraId="2D217A14">
            <w:pPr>
              <w:jc w:val="center"/>
              <w:rPr>
                <w:color w:val="auto"/>
              </w:rPr>
            </w:pPr>
          </w:p>
        </w:tc>
        <w:tc>
          <w:tcPr>
            <w:tcW w:w="1370" w:type="dxa"/>
            <w:vAlign w:val="center"/>
          </w:tcPr>
          <w:p w14:paraId="78552183">
            <w:pPr>
              <w:jc w:val="center"/>
              <w:rPr>
                <w:color w:val="auto"/>
              </w:rPr>
            </w:pPr>
          </w:p>
        </w:tc>
        <w:tc>
          <w:tcPr>
            <w:tcW w:w="1371" w:type="dxa"/>
            <w:vAlign w:val="center"/>
          </w:tcPr>
          <w:p w14:paraId="74F38D08">
            <w:pPr>
              <w:jc w:val="center"/>
              <w:rPr>
                <w:color w:val="auto"/>
              </w:rPr>
            </w:pPr>
          </w:p>
        </w:tc>
        <w:tc>
          <w:tcPr>
            <w:tcW w:w="1368" w:type="dxa"/>
            <w:vAlign w:val="center"/>
          </w:tcPr>
          <w:p w14:paraId="3E766238">
            <w:pPr>
              <w:jc w:val="center"/>
              <w:rPr>
                <w:color w:val="auto"/>
              </w:rPr>
            </w:pPr>
          </w:p>
        </w:tc>
        <w:tc>
          <w:tcPr>
            <w:tcW w:w="1382" w:type="dxa"/>
            <w:tcBorders>
              <w:right w:val="single" w:color="000000" w:sz="6" w:space="0"/>
            </w:tcBorders>
            <w:vAlign w:val="center"/>
          </w:tcPr>
          <w:p w14:paraId="5EA2D0FD">
            <w:pPr>
              <w:jc w:val="center"/>
              <w:rPr>
                <w:color w:val="auto"/>
              </w:rPr>
            </w:pPr>
          </w:p>
        </w:tc>
      </w:tr>
      <w:tr w14:paraId="6BEA0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954" w:type="dxa"/>
            <w:tcBorders>
              <w:left w:val="single" w:color="000000" w:sz="6" w:space="0"/>
            </w:tcBorders>
            <w:vAlign w:val="center"/>
          </w:tcPr>
          <w:p w14:paraId="38F44746">
            <w:pPr>
              <w:jc w:val="center"/>
              <w:rPr>
                <w:color w:val="auto"/>
              </w:rPr>
            </w:pPr>
          </w:p>
        </w:tc>
        <w:tc>
          <w:tcPr>
            <w:tcW w:w="2564" w:type="dxa"/>
            <w:vAlign w:val="center"/>
          </w:tcPr>
          <w:p w14:paraId="0E5F190E">
            <w:pPr>
              <w:jc w:val="center"/>
              <w:rPr>
                <w:color w:val="auto"/>
              </w:rPr>
            </w:pPr>
          </w:p>
        </w:tc>
        <w:tc>
          <w:tcPr>
            <w:tcW w:w="1370" w:type="dxa"/>
            <w:vAlign w:val="center"/>
          </w:tcPr>
          <w:p w14:paraId="7150F2A5">
            <w:pPr>
              <w:jc w:val="center"/>
              <w:rPr>
                <w:color w:val="auto"/>
              </w:rPr>
            </w:pPr>
          </w:p>
        </w:tc>
        <w:tc>
          <w:tcPr>
            <w:tcW w:w="1371" w:type="dxa"/>
            <w:vAlign w:val="center"/>
          </w:tcPr>
          <w:p w14:paraId="4979857F">
            <w:pPr>
              <w:jc w:val="center"/>
              <w:rPr>
                <w:color w:val="auto"/>
              </w:rPr>
            </w:pPr>
          </w:p>
        </w:tc>
        <w:tc>
          <w:tcPr>
            <w:tcW w:w="1368" w:type="dxa"/>
            <w:vAlign w:val="center"/>
          </w:tcPr>
          <w:p w14:paraId="56034628">
            <w:pPr>
              <w:jc w:val="center"/>
              <w:rPr>
                <w:color w:val="auto"/>
              </w:rPr>
            </w:pPr>
          </w:p>
        </w:tc>
        <w:tc>
          <w:tcPr>
            <w:tcW w:w="1382" w:type="dxa"/>
            <w:tcBorders>
              <w:right w:val="single" w:color="000000" w:sz="6" w:space="0"/>
            </w:tcBorders>
            <w:vAlign w:val="center"/>
          </w:tcPr>
          <w:p w14:paraId="56A75162">
            <w:pPr>
              <w:jc w:val="center"/>
              <w:rPr>
                <w:color w:val="auto"/>
              </w:rPr>
            </w:pPr>
          </w:p>
        </w:tc>
      </w:tr>
      <w:tr w14:paraId="05FD2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54" w:type="dxa"/>
            <w:tcBorders>
              <w:left w:val="single" w:color="000000" w:sz="6" w:space="0"/>
            </w:tcBorders>
            <w:vAlign w:val="center"/>
          </w:tcPr>
          <w:p w14:paraId="0C6EBE65">
            <w:pPr>
              <w:jc w:val="center"/>
              <w:rPr>
                <w:color w:val="auto"/>
              </w:rPr>
            </w:pPr>
          </w:p>
        </w:tc>
        <w:tc>
          <w:tcPr>
            <w:tcW w:w="2564" w:type="dxa"/>
            <w:vAlign w:val="center"/>
          </w:tcPr>
          <w:p w14:paraId="0F8AE144">
            <w:pPr>
              <w:jc w:val="center"/>
              <w:rPr>
                <w:color w:val="auto"/>
              </w:rPr>
            </w:pPr>
          </w:p>
        </w:tc>
        <w:tc>
          <w:tcPr>
            <w:tcW w:w="1370" w:type="dxa"/>
            <w:vAlign w:val="center"/>
          </w:tcPr>
          <w:p w14:paraId="5DF0A67F">
            <w:pPr>
              <w:jc w:val="center"/>
              <w:rPr>
                <w:color w:val="auto"/>
              </w:rPr>
            </w:pPr>
          </w:p>
        </w:tc>
        <w:tc>
          <w:tcPr>
            <w:tcW w:w="1371" w:type="dxa"/>
            <w:vAlign w:val="center"/>
          </w:tcPr>
          <w:p w14:paraId="74304A33">
            <w:pPr>
              <w:jc w:val="center"/>
              <w:rPr>
                <w:color w:val="auto"/>
              </w:rPr>
            </w:pPr>
          </w:p>
        </w:tc>
        <w:tc>
          <w:tcPr>
            <w:tcW w:w="1368" w:type="dxa"/>
            <w:vAlign w:val="center"/>
          </w:tcPr>
          <w:p w14:paraId="7B9B6E3A">
            <w:pPr>
              <w:jc w:val="center"/>
              <w:rPr>
                <w:color w:val="auto"/>
              </w:rPr>
            </w:pPr>
          </w:p>
        </w:tc>
        <w:tc>
          <w:tcPr>
            <w:tcW w:w="1382" w:type="dxa"/>
            <w:tcBorders>
              <w:right w:val="single" w:color="000000" w:sz="6" w:space="0"/>
            </w:tcBorders>
            <w:vAlign w:val="center"/>
          </w:tcPr>
          <w:p w14:paraId="14E08FE6">
            <w:pPr>
              <w:jc w:val="center"/>
              <w:rPr>
                <w:color w:val="auto"/>
              </w:rPr>
            </w:pPr>
          </w:p>
        </w:tc>
      </w:tr>
      <w:tr w14:paraId="57AA6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center"/>
          </w:tcPr>
          <w:p w14:paraId="5B2262D1">
            <w:pPr>
              <w:spacing w:before="97" w:line="186" w:lineRule="auto"/>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3</w:t>
            </w:r>
          </w:p>
        </w:tc>
        <w:tc>
          <w:tcPr>
            <w:tcW w:w="2564" w:type="dxa"/>
            <w:vAlign w:val="center"/>
          </w:tcPr>
          <w:p w14:paraId="5135DA98">
            <w:pPr>
              <w:pStyle w:val="21"/>
              <w:spacing w:before="45" w:line="219" w:lineRule="auto"/>
              <w:jc w:val="center"/>
              <w:rPr>
                <w:rFonts w:hint="eastAsia"/>
                <w:color w:val="auto"/>
                <w:sz w:val="24"/>
                <w:szCs w:val="24"/>
              </w:rPr>
            </w:pPr>
            <w:r>
              <w:rPr>
                <w:color w:val="auto"/>
                <w:spacing w:val="-3"/>
                <w:sz w:val="24"/>
                <w:szCs w:val="24"/>
              </w:rPr>
              <w:t>机械</w:t>
            </w:r>
          </w:p>
        </w:tc>
        <w:tc>
          <w:tcPr>
            <w:tcW w:w="1370" w:type="dxa"/>
            <w:vAlign w:val="center"/>
          </w:tcPr>
          <w:p w14:paraId="1A0FDDED">
            <w:pPr>
              <w:jc w:val="center"/>
              <w:rPr>
                <w:color w:val="auto"/>
              </w:rPr>
            </w:pPr>
          </w:p>
        </w:tc>
        <w:tc>
          <w:tcPr>
            <w:tcW w:w="1371" w:type="dxa"/>
            <w:vAlign w:val="center"/>
          </w:tcPr>
          <w:p w14:paraId="6DC1855E">
            <w:pPr>
              <w:jc w:val="center"/>
              <w:rPr>
                <w:color w:val="auto"/>
              </w:rPr>
            </w:pPr>
          </w:p>
        </w:tc>
        <w:tc>
          <w:tcPr>
            <w:tcW w:w="1368" w:type="dxa"/>
            <w:vAlign w:val="center"/>
          </w:tcPr>
          <w:p w14:paraId="342650CC">
            <w:pPr>
              <w:jc w:val="center"/>
              <w:rPr>
                <w:color w:val="auto"/>
              </w:rPr>
            </w:pPr>
          </w:p>
        </w:tc>
        <w:tc>
          <w:tcPr>
            <w:tcW w:w="1382" w:type="dxa"/>
            <w:tcBorders>
              <w:right w:val="single" w:color="000000" w:sz="6" w:space="0"/>
            </w:tcBorders>
            <w:vAlign w:val="center"/>
          </w:tcPr>
          <w:p w14:paraId="3CF68072">
            <w:pPr>
              <w:jc w:val="center"/>
              <w:rPr>
                <w:color w:val="auto"/>
              </w:rPr>
            </w:pPr>
          </w:p>
        </w:tc>
      </w:tr>
      <w:tr w14:paraId="7B30E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54" w:type="dxa"/>
            <w:tcBorders>
              <w:left w:val="single" w:color="000000" w:sz="6" w:space="0"/>
            </w:tcBorders>
            <w:vAlign w:val="center"/>
          </w:tcPr>
          <w:p w14:paraId="3EAC171B">
            <w:pPr>
              <w:jc w:val="center"/>
              <w:rPr>
                <w:color w:val="auto"/>
              </w:rPr>
            </w:pPr>
          </w:p>
        </w:tc>
        <w:tc>
          <w:tcPr>
            <w:tcW w:w="2564" w:type="dxa"/>
            <w:vAlign w:val="center"/>
          </w:tcPr>
          <w:p w14:paraId="6AFF4B83">
            <w:pPr>
              <w:jc w:val="center"/>
              <w:rPr>
                <w:color w:val="auto"/>
              </w:rPr>
            </w:pPr>
          </w:p>
        </w:tc>
        <w:tc>
          <w:tcPr>
            <w:tcW w:w="1370" w:type="dxa"/>
            <w:vAlign w:val="center"/>
          </w:tcPr>
          <w:p w14:paraId="5F00BF39">
            <w:pPr>
              <w:jc w:val="center"/>
              <w:rPr>
                <w:color w:val="auto"/>
              </w:rPr>
            </w:pPr>
          </w:p>
        </w:tc>
        <w:tc>
          <w:tcPr>
            <w:tcW w:w="1371" w:type="dxa"/>
            <w:vAlign w:val="center"/>
          </w:tcPr>
          <w:p w14:paraId="3AB4D76E">
            <w:pPr>
              <w:jc w:val="center"/>
              <w:rPr>
                <w:color w:val="auto"/>
              </w:rPr>
            </w:pPr>
          </w:p>
        </w:tc>
        <w:tc>
          <w:tcPr>
            <w:tcW w:w="1368" w:type="dxa"/>
            <w:vAlign w:val="center"/>
          </w:tcPr>
          <w:p w14:paraId="46B97C1D">
            <w:pPr>
              <w:jc w:val="center"/>
              <w:rPr>
                <w:color w:val="auto"/>
              </w:rPr>
            </w:pPr>
          </w:p>
        </w:tc>
        <w:tc>
          <w:tcPr>
            <w:tcW w:w="1382" w:type="dxa"/>
            <w:tcBorders>
              <w:right w:val="single" w:color="000000" w:sz="6" w:space="0"/>
            </w:tcBorders>
            <w:vAlign w:val="center"/>
          </w:tcPr>
          <w:p w14:paraId="54DB469E">
            <w:pPr>
              <w:jc w:val="center"/>
              <w:rPr>
                <w:color w:val="auto"/>
              </w:rPr>
            </w:pPr>
          </w:p>
        </w:tc>
      </w:tr>
      <w:tr w14:paraId="46856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954" w:type="dxa"/>
            <w:tcBorders>
              <w:left w:val="single" w:color="000000" w:sz="6" w:space="0"/>
            </w:tcBorders>
            <w:vAlign w:val="center"/>
          </w:tcPr>
          <w:p w14:paraId="1EE6E639">
            <w:pPr>
              <w:jc w:val="center"/>
              <w:rPr>
                <w:color w:val="auto"/>
              </w:rPr>
            </w:pPr>
          </w:p>
        </w:tc>
        <w:tc>
          <w:tcPr>
            <w:tcW w:w="2564" w:type="dxa"/>
            <w:vAlign w:val="center"/>
          </w:tcPr>
          <w:p w14:paraId="1B1AE9DB">
            <w:pPr>
              <w:jc w:val="center"/>
              <w:rPr>
                <w:color w:val="auto"/>
              </w:rPr>
            </w:pPr>
          </w:p>
        </w:tc>
        <w:tc>
          <w:tcPr>
            <w:tcW w:w="1370" w:type="dxa"/>
            <w:vAlign w:val="center"/>
          </w:tcPr>
          <w:p w14:paraId="728A4588">
            <w:pPr>
              <w:jc w:val="center"/>
              <w:rPr>
                <w:color w:val="auto"/>
              </w:rPr>
            </w:pPr>
          </w:p>
        </w:tc>
        <w:tc>
          <w:tcPr>
            <w:tcW w:w="1371" w:type="dxa"/>
            <w:vAlign w:val="center"/>
          </w:tcPr>
          <w:p w14:paraId="3D9A5D7B">
            <w:pPr>
              <w:jc w:val="center"/>
              <w:rPr>
                <w:color w:val="auto"/>
              </w:rPr>
            </w:pPr>
          </w:p>
        </w:tc>
        <w:tc>
          <w:tcPr>
            <w:tcW w:w="1368" w:type="dxa"/>
            <w:vAlign w:val="center"/>
          </w:tcPr>
          <w:p w14:paraId="660100E3">
            <w:pPr>
              <w:jc w:val="center"/>
              <w:rPr>
                <w:color w:val="auto"/>
              </w:rPr>
            </w:pPr>
          </w:p>
        </w:tc>
        <w:tc>
          <w:tcPr>
            <w:tcW w:w="1382" w:type="dxa"/>
            <w:tcBorders>
              <w:right w:val="single" w:color="000000" w:sz="6" w:space="0"/>
            </w:tcBorders>
            <w:vAlign w:val="center"/>
          </w:tcPr>
          <w:p w14:paraId="4F8BF010">
            <w:pPr>
              <w:jc w:val="center"/>
              <w:rPr>
                <w:color w:val="auto"/>
              </w:rPr>
            </w:pPr>
          </w:p>
        </w:tc>
      </w:tr>
      <w:tr w14:paraId="41B221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954" w:type="dxa"/>
            <w:tcBorders>
              <w:left w:val="single" w:color="000000" w:sz="6" w:space="0"/>
            </w:tcBorders>
            <w:vAlign w:val="center"/>
          </w:tcPr>
          <w:p w14:paraId="0727B635">
            <w:pPr>
              <w:jc w:val="center"/>
              <w:rPr>
                <w:color w:val="auto"/>
              </w:rPr>
            </w:pPr>
          </w:p>
        </w:tc>
        <w:tc>
          <w:tcPr>
            <w:tcW w:w="2564" w:type="dxa"/>
            <w:vAlign w:val="center"/>
          </w:tcPr>
          <w:p w14:paraId="1985C32F">
            <w:pPr>
              <w:jc w:val="center"/>
              <w:rPr>
                <w:color w:val="auto"/>
              </w:rPr>
            </w:pPr>
          </w:p>
        </w:tc>
        <w:tc>
          <w:tcPr>
            <w:tcW w:w="1370" w:type="dxa"/>
            <w:vAlign w:val="center"/>
          </w:tcPr>
          <w:p w14:paraId="3B9D90D4">
            <w:pPr>
              <w:jc w:val="center"/>
              <w:rPr>
                <w:color w:val="auto"/>
              </w:rPr>
            </w:pPr>
          </w:p>
        </w:tc>
        <w:tc>
          <w:tcPr>
            <w:tcW w:w="1371" w:type="dxa"/>
            <w:vAlign w:val="center"/>
          </w:tcPr>
          <w:p w14:paraId="26C9FC0B">
            <w:pPr>
              <w:jc w:val="center"/>
              <w:rPr>
                <w:color w:val="auto"/>
              </w:rPr>
            </w:pPr>
          </w:p>
        </w:tc>
        <w:tc>
          <w:tcPr>
            <w:tcW w:w="1368" w:type="dxa"/>
            <w:vAlign w:val="center"/>
          </w:tcPr>
          <w:p w14:paraId="2DD70278">
            <w:pPr>
              <w:jc w:val="center"/>
              <w:rPr>
                <w:color w:val="auto"/>
              </w:rPr>
            </w:pPr>
          </w:p>
        </w:tc>
        <w:tc>
          <w:tcPr>
            <w:tcW w:w="1382" w:type="dxa"/>
            <w:tcBorders>
              <w:right w:val="single" w:color="000000" w:sz="6" w:space="0"/>
            </w:tcBorders>
            <w:vAlign w:val="center"/>
          </w:tcPr>
          <w:p w14:paraId="2C869295">
            <w:pPr>
              <w:jc w:val="center"/>
              <w:rPr>
                <w:color w:val="auto"/>
              </w:rPr>
            </w:pPr>
          </w:p>
        </w:tc>
      </w:tr>
      <w:tr w14:paraId="45883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954" w:type="dxa"/>
            <w:tcBorders>
              <w:left w:val="single" w:color="000000" w:sz="6" w:space="0"/>
            </w:tcBorders>
            <w:vAlign w:val="center"/>
          </w:tcPr>
          <w:p w14:paraId="69BE7D6F">
            <w:pPr>
              <w:jc w:val="center"/>
              <w:rPr>
                <w:color w:val="auto"/>
              </w:rPr>
            </w:pPr>
          </w:p>
        </w:tc>
        <w:tc>
          <w:tcPr>
            <w:tcW w:w="2564" w:type="dxa"/>
            <w:vAlign w:val="center"/>
          </w:tcPr>
          <w:p w14:paraId="4BDEE949">
            <w:pPr>
              <w:jc w:val="center"/>
              <w:rPr>
                <w:color w:val="auto"/>
              </w:rPr>
            </w:pPr>
          </w:p>
        </w:tc>
        <w:tc>
          <w:tcPr>
            <w:tcW w:w="1370" w:type="dxa"/>
            <w:vAlign w:val="center"/>
          </w:tcPr>
          <w:p w14:paraId="41A866D1">
            <w:pPr>
              <w:jc w:val="center"/>
              <w:rPr>
                <w:color w:val="auto"/>
              </w:rPr>
            </w:pPr>
          </w:p>
        </w:tc>
        <w:tc>
          <w:tcPr>
            <w:tcW w:w="1371" w:type="dxa"/>
            <w:vAlign w:val="center"/>
          </w:tcPr>
          <w:p w14:paraId="747D3CD6">
            <w:pPr>
              <w:jc w:val="center"/>
              <w:rPr>
                <w:color w:val="auto"/>
              </w:rPr>
            </w:pPr>
          </w:p>
        </w:tc>
        <w:tc>
          <w:tcPr>
            <w:tcW w:w="1368" w:type="dxa"/>
            <w:vAlign w:val="center"/>
          </w:tcPr>
          <w:p w14:paraId="0393C094">
            <w:pPr>
              <w:jc w:val="center"/>
              <w:rPr>
                <w:color w:val="auto"/>
              </w:rPr>
            </w:pPr>
          </w:p>
        </w:tc>
        <w:tc>
          <w:tcPr>
            <w:tcW w:w="1382" w:type="dxa"/>
            <w:tcBorders>
              <w:right w:val="single" w:color="000000" w:sz="6" w:space="0"/>
            </w:tcBorders>
            <w:vAlign w:val="center"/>
          </w:tcPr>
          <w:p w14:paraId="564F915B">
            <w:pPr>
              <w:jc w:val="center"/>
              <w:rPr>
                <w:color w:val="auto"/>
              </w:rPr>
            </w:pPr>
          </w:p>
        </w:tc>
      </w:tr>
      <w:tr w14:paraId="49CB2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954" w:type="dxa"/>
            <w:tcBorders>
              <w:left w:val="single" w:color="000000" w:sz="6" w:space="0"/>
            </w:tcBorders>
            <w:vAlign w:val="center"/>
          </w:tcPr>
          <w:p w14:paraId="15573BBC">
            <w:pPr>
              <w:jc w:val="center"/>
              <w:rPr>
                <w:color w:val="auto"/>
              </w:rPr>
            </w:pPr>
          </w:p>
        </w:tc>
        <w:tc>
          <w:tcPr>
            <w:tcW w:w="2564" w:type="dxa"/>
            <w:vAlign w:val="center"/>
          </w:tcPr>
          <w:p w14:paraId="4E9B66D3">
            <w:pPr>
              <w:jc w:val="center"/>
              <w:rPr>
                <w:color w:val="auto"/>
              </w:rPr>
            </w:pPr>
          </w:p>
        </w:tc>
        <w:tc>
          <w:tcPr>
            <w:tcW w:w="1370" w:type="dxa"/>
            <w:vAlign w:val="center"/>
          </w:tcPr>
          <w:p w14:paraId="3AC48A17">
            <w:pPr>
              <w:jc w:val="center"/>
              <w:rPr>
                <w:color w:val="auto"/>
              </w:rPr>
            </w:pPr>
          </w:p>
        </w:tc>
        <w:tc>
          <w:tcPr>
            <w:tcW w:w="1371" w:type="dxa"/>
            <w:vAlign w:val="center"/>
          </w:tcPr>
          <w:p w14:paraId="20F25B3D">
            <w:pPr>
              <w:jc w:val="center"/>
              <w:rPr>
                <w:color w:val="auto"/>
              </w:rPr>
            </w:pPr>
          </w:p>
        </w:tc>
        <w:tc>
          <w:tcPr>
            <w:tcW w:w="1368" w:type="dxa"/>
            <w:vAlign w:val="center"/>
          </w:tcPr>
          <w:p w14:paraId="0CA3068F">
            <w:pPr>
              <w:jc w:val="center"/>
              <w:rPr>
                <w:color w:val="auto"/>
              </w:rPr>
            </w:pPr>
          </w:p>
        </w:tc>
        <w:tc>
          <w:tcPr>
            <w:tcW w:w="1382" w:type="dxa"/>
            <w:tcBorders>
              <w:right w:val="single" w:color="000000" w:sz="6" w:space="0"/>
            </w:tcBorders>
            <w:vAlign w:val="center"/>
          </w:tcPr>
          <w:p w14:paraId="653F55CB">
            <w:pPr>
              <w:jc w:val="center"/>
              <w:rPr>
                <w:color w:val="auto"/>
              </w:rPr>
            </w:pPr>
          </w:p>
        </w:tc>
      </w:tr>
      <w:tr w14:paraId="6C9CFC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954" w:type="dxa"/>
            <w:tcBorders>
              <w:left w:val="single" w:color="000000" w:sz="6" w:space="0"/>
            </w:tcBorders>
            <w:vAlign w:val="center"/>
          </w:tcPr>
          <w:p w14:paraId="12E18B2A">
            <w:pPr>
              <w:jc w:val="center"/>
              <w:rPr>
                <w:color w:val="auto"/>
              </w:rPr>
            </w:pPr>
          </w:p>
        </w:tc>
        <w:tc>
          <w:tcPr>
            <w:tcW w:w="2564" w:type="dxa"/>
            <w:vAlign w:val="center"/>
          </w:tcPr>
          <w:p w14:paraId="71A491F6">
            <w:pPr>
              <w:jc w:val="center"/>
              <w:rPr>
                <w:color w:val="auto"/>
              </w:rPr>
            </w:pPr>
          </w:p>
        </w:tc>
        <w:tc>
          <w:tcPr>
            <w:tcW w:w="1370" w:type="dxa"/>
            <w:vAlign w:val="center"/>
          </w:tcPr>
          <w:p w14:paraId="5180840D">
            <w:pPr>
              <w:jc w:val="center"/>
              <w:rPr>
                <w:color w:val="auto"/>
              </w:rPr>
            </w:pPr>
          </w:p>
        </w:tc>
        <w:tc>
          <w:tcPr>
            <w:tcW w:w="1371" w:type="dxa"/>
            <w:vAlign w:val="center"/>
          </w:tcPr>
          <w:p w14:paraId="4A56BFF6">
            <w:pPr>
              <w:jc w:val="center"/>
              <w:rPr>
                <w:color w:val="auto"/>
              </w:rPr>
            </w:pPr>
          </w:p>
        </w:tc>
        <w:tc>
          <w:tcPr>
            <w:tcW w:w="1368" w:type="dxa"/>
            <w:vAlign w:val="center"/>
          </w:tcPr>
          <w:p w14:paraId="7D0F2704">
            <w:pPr>
              <w:jc w:val="center"/>
              <w:rPr>
                <w:color w:val="auto"/>
              </w:rPr>
            </w:pPr>
          </w:p>
        </w:tc>
        <w:tc>
          <w:tcPr>
            <w:tcW w:w="1382" w:type="dxa"/>
            <w:tcBorders>
              <w:right w:val="single" w:color="000000" w:sz="6" w:space="0"/>
            </w:tcBorders>
            <w:vAlign w:val="center"/>
          </w:tcPr>
          <w:p w14:paraId="4958BED0">
            <w:pPr>
              <w:jc w:val="center"/>
              <w:rPr>
                <w:color w:val="auto"/>
              </w:rPr>
            </w:pPr>
          </w:p>
        </w:tc>
      </w:tr>
      <w:tr w14:paraId="4866D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954" w:type="dxa"/>
            <w:tcBorders>
              <w:left w:val="single" w:color="000000" w:sz="6" w:space="0"/>
            </w:tcBorders>
            <w:vAlign w:val="center"/>
          </w:tcPr>
          <w:p w14:paraId="5D9D992D">
            <w:pPr>
              <w:jc w:val="center"/>
              <w:rPr>
                <w:color w:val="auto"/>
              </w:rPr>
            </w:pPr>
          </w:p>
        </w:tc>
        <w:tc>
          <w:tcPr>
            <w:tcW w:w="2564" w:type="dxa"/>
            <w:vAlign w:val="center"/>
          </w:tcPr>
          <w:p w14:paraId="020A4CF6">
            <w:pPr>
              <w:jc w:val="center"/>
              <w:rPr>
                <w:color w:val="auto"/>
              </w:rPr>
            </w:pPr>
          </w:p>
        </w:tc>
        <w:tc>
          <w:tcPr>
            <w:tcW w:w="1370" w:type="dxa"/>
            <w:vAlign w:val="center"/>
          </w:tcPr>
          <w:p w14:paraId="60372546">
            <w:pPr>
              <w:jc w:val="center"/>
              <w:rPr>
                <w:color w:val="auto"/>
              </w:rPr>
            </w:pPr>
          </w:p>
        </w:tc>
        <w:tc>
          <w:tcPr>
            <w:tcW w:w="1371" w:type="dxa"/>
            <w:vAlign w:val="center"/>
          </w:tcPr>
          <w:p w14:paraId="3E9DD935">
            <w:pPr>
              <w:jc w:val="center"/>
              <w:rPr>
                <w:color w:val="auto"/>
              </w:rPr>
            </w:pPr>
          </w:p>
        </w:tc>
        <w:tc>
          <w:tcPr>
            <w:tcW w:w="1368" w:type="dxa"/>
            <w:vAlign w:val="center"/>
          </w:tcPr>
          <w:p w14:paraId="48A28A83">
            <w:pPr>
              <w:jc w:val="center"/>
              <w:rPr>
                <w:color w:val="auto"/>
              </w:rPr>
            </w:pPr>
          </w:p>
        </w:tc>
        <w:tc>
          <w:tcPr>
            <w:tcW w:w="1382" w:type="dxa"/>
            <w:tcBorders>
              <w:right w:val="single" w:color="000000" w:sz="6" w:space="0"/>
            </w:tcBorders>
            <w:vAlign w:val="center"/>
          </w:tcPr>
          <w:p w14:paraId="1EA8AFA4">
            <w:pPr>
              <w:jc w:val="center"/>
              <w:rPr>
                <w:color w:val="auto"/>
              </w:rPr>
            </w:pPr>
          </w:p>
        </w:tc>
      </w:tr>
      <w:tr w14:paraId="169D21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Borders>
              <w:left w:val="single" w:color="000000" w:sz="6" w:space="0"/>
              <w:bottom w:val="single" w:color="000000" w:sz="6" w:space="0"/>
            </w:tcBorders>
            <w:vAlign w:val="center"/>
          </w:tcPr>
          <w:p w14:paraId="2C5AE1AC">
            <w:pPr>
              <w:jc w:val="center"/>
              <w:rPr>
                <w:color w:val="auto"/>
              </w:rPr>
            </w:pPr>
          </w:p>
        </w:tc>
        <w:tc>
          <w:tcPr>
            <w:tcW w:w="2564" w:type="dxa"/>
            <w:tcBorders>
              <w:bottom w:val="single" w:color="000000" w:sz="6" w:space="0"/>
            </w:tcBorders>
            <w:vAlign w:val="center"/>
          </w:tcPr>
          <w:p w14:paraId="35906006">
            <w:pPr>
              <w:jc w:val="center"/>
              <w:rPr>
                <w:color w:val="auto"/>
              </w:rPr>
            </w:pPr>
          </w:p>
        </w:tc>
        <w:tc>
          <w:tcPr>
            <w:tcW w:w="1370" w:type="dxa"/>
            <w:tcBorders>
              <w:bottom w:val="single" w:color="000000" w:sz="6" w:space="0"/>
            </w:tcBorders>
            <w:vAlign w:val="center"/>
          </w:tcPr>
          <w:p w14:paraId="7EC0862A">
            <w:pPr>
              <w:jc w:val="center"/>
              <w:rPr>
                <w:color w:val="auto"/>
              </w:rPr>
            </w:pPr>
          </w:p>
        </w:tc>
        <w:tc>
          <w:tcPr>
            <w:tcW w:w="1371" w:type="dxa"/>
            <w:tcBorders>
              <w:bottom w:val="single" w:color="000000" w:sz="6" w:space="0"/>
            </w:tcBorders>
            <w:vAlign w:val="center"/>
          </w:tcPr>
          <w:p w14:paraId="3AE7FE1B">
            <w:pPr>
              <w:jc w:val="center"/>
              <w:rPr>
                <w:color w:val="auto"/>
              </w:rPr>
            </w:pPr>
          </w:p>
        </w:tc>
        <w:tc>
          <w:tcPr>
            <w:tcW w:w="1368" w:type="dxa"/>
            <w:tcBorders>
              <w:bottom w:val="single" w:color="000000" w:sz="6" w:space="0"/>
            </w:tcBorders>
            <w:vAlign w:val="center"/>
          </w:tcPr>
          <w:p w14:paraId="710C2D98">
            <w:pPr>
              <w:jc w:val="center"/>
              <w:rPr>
                <w:color w:val="auto"/>
              </w:rPr>
            </w:pPr>
          </w:p>
        </w:tc>
        <w:tc>
          <w:tcPr>
            <w:tcW w:w="1382" w:type="dxa"/>
            <w:tcBorders>
              <w:bottom w:val="single" w:color="000000" w:sz="6" w:space="0"/>
              <w:right w:val="single" w:color="000000" w:sz="6" w:space="0"/>
            </w:tcBorders>
            <w:vAlign w:val="center"/>
          </w:tcPr>
          <w:p w14:paraId="7B3E0D9C">
            <w:pPr>
              <w:jc w:val="center"/>
              <w:rPr>
                <w:color w:val="auto"/>
              </w:rPr>
            </w:pPr>
          </w:p>
        </w:tc>
      </w:tr>
    </w:tbl>
    <w:p w14:paraId="2515EB31">
      <w:pPr>
        <w:pStyle w:val="8"/>
        <w:spacing w:line="370" w:lineRule="auto"/>
        <w:rPr>
          <w:color w:val="auto"/>
        </w:rPr>
      </w:pPr>
    </w:p>
    <w:p w14:paraId="54EC7AAF">
      <w:pPr>
        <w:spacing w:before="79" w:line="219" w:lineRule="auto"/>
        <w:ind w:left="478"/>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法定代表人或委托代理人</w:t>
      </w:r>
      <w:r>
        <w:rPr>
          <w:rFonts w:ascii="宋体" w:hAnsi="宋体" w:eastAsia="宋体" w:cs="宋体"/>
          <w:color w:val="auto"/>
          <w:spacing w:val="-11"/>
          <w:sz w:val="24"/>
          <w:szCs w:val="24"/>
          <w:lang w:eastAsia="zh-CN"/>
        </w:rPr>
        <w:t>：</w:t>
      </w:r>
      <w:r>
        <w:rPr>
          <w:rFonts w:hint="eastAsia" w:ascii="宋体" w:hAnsi="宋体" w:eastAsia="宋体" w:cs="宋体"/>
          <w:color w:val="auto"/>
          <w:spacing w:val="30"/>
          <w:sz w:val="24"/>
          <w:szCs w:val="24"/>
          <w:u w:val="single"/>
          <w:lang w:eastAsia="zh-CN"/>
        </w:rPr>
        <w:t>　　</w:t>
      </w:r>
      <w:r>
        <w:rPr>
          <w:rFonts w:ascii="宋体" w:hAnsi="宋体" w:eastAsia="宋体" w:cs="宋体"/>
          <w:color w:val="auto"/>
          <w:spacing w:val="-11"/>
          <w:sz w:val="24"/>
          <w:szCs w:val="24"/>
          <w:u w:val="single"/>
          <w:lang w:eastAsia="zh-CN"/>
        </w:rPr>
        <w:t>（</w:t>
      </w:r>
      <w:r>
        <w:rPr>
          <w:rFonts w:ascii="宋体" w:hAnsi="宋体" w:eastAsia="宋体" w:cs="宋体"/>
          <w:color w:val="auto"/>
          <w:spacing w:val="1"/>
          <w:sz w:val="24"/>
          <w:szCs w:val="24"/>
          <w:u w:val="single"/>
          <w:lang w:eastAsia="zh-CN"/>
        </w:rPr>
        <w:t>签字或盖章）</w:t>
      </w:r>
      <w:r>
        <w:rPr>
          <w:rFonts w:hint="eastAsia" w:ascii="宋体" w:hAnsi="宋体" w:eastAsia="宋体" w:cs="宋体"/>
          <w:color w:val="auto"/>
          <w:sz w:val="24"/>
          <w:szCs w:val="24"/>
          <w:u w:val="single"/>
          <w:lang w:eastAsia="zh-CN"/>
        </w:rPr>
        <w:t>　　　</w:t>
      </w:r>
    </w:p>
    <w:p w14:paraId="0F2B7B25">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121FFFAE">
      <w:pPr>
        <w:spacing w:before="91" w:line="219" w:lineRule="auto"/>
        <w:ind w:left="3023"/>
        <w:rPr>
          <w:rFonts w:hint="eastAsia"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工程量清单单价组合表</w:t>
      </w:r>
    </w:p>
    <w:p w14:paraId="70A06364">
      <w:pPr>
        <w:spacing w:before="206" w:line="220" w:lineRule="auto"/>
        <w:ind w:left="3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z w:val="24"/>
          <w:szCs w:val="24"/>
          <w:lang w:eastAsia="zh-CN"/>
        </w:rPr>
        <w:t>　　　　　　　　　　</w:t>
      </w:r>
      <w:r>
        <w:rPr>
          <w:rFonts w:ascii="宋体" w:hAnsi="宋体" w:eastAsia="宋体" w:cs="宋体"/>
          <w:color w:val="auto"/>
          <w:spacing w:val="-1"/>
          <w:sz w:val="24"/>
          <w:szCs w:val="24"/>
          <w:lang w:eastAsia="zh-CN"/>
        </w:rPr>
        <w:t>第</w:t>
      </w:r>
      <w:r>
        <w:rPr>
          <w:rFonts w:hint="eastAsia" w:ascii="宋体" w:hAnsi="宋体" w:eastAsia="宋体" w:cs="宋体"/>
          <w:color w:val="auto"/>
          <w:spacing w:val="1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7"/>
          <w:sz w:val="24"/>
          <w:szCs w:val="24"/>
          <w:lang w:eastAsia="zh-CN"/>
        </w:rPr>
        <w:t>　</w:t>
      </w:r>
      <w:r>
        <w:rPr>
          <w:rFonts w:ascii="宋体" w:hAnsi="宋体" w:eastAsia="宋体" w:cs="宋体"/>
          <w:color w:val="auto"/>
          <w:spacing w:val="-2"/>
          <w:sz w:val="24"/>
          <w:szCs w:val="24"/>
          <w:lang w:eastAsia="zh-CN"/>
        </w:rPr>
        <w:t>页</w:t>
      </w:r>
    </w:p>
    <w:p w14:paraId="5411E179">
      <w:pPr>
        <w:spacing w:line="143" w:lineRule="exact"/>
        <w:rPr>
          <w:color w:val="auto"/>
          <w:lang w:eastAsia="zh-CN"/>
        </w:rPr>
      </w:pPr>
    </w:p>
    <w:tbl>
      <w:tblPr>
        <w:tblStyle w:val="20"/>
        <w:tblW w:w="8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3"/>
        <w:gridCol w:w="2830"/>
        <w:gridCol w:w="1890"/>
        <w:gridCol w:w="807"/>
        <w:gridCol w:w="1076"/>
        <w:gridCol w:w="1466"/>
      </w:tblGrid>
      <w:tr w14:paraId="37214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7" w:hRule="atLeast"/>
          <w:jc w:val="center"/>
        </w:trPr>
        <w:tc>
          <w:tcPr>
            <w:tcW w:w="743" w:type="dxa"/>
            <w:tcBorders>
              <w:top w:val="single" w:color="000000" w:sz="6" w:space="0"/>
              <w:left w:val="single" w:color="000000" w:sz="6" w:space="0"/>
            </w:tcBorders>
            <w:vAlign w:val="center"/>
          </w:tcPr>
          <w:p w14:paraId="4D03B965">
            <w:pPr>
              <w:pStyle w:val="21"/>
              <w:jc w:val="center"/>
              <w:rPr>
                <w:rFonts w:hint="eastAsia"/>
                <w:color w:val="auto"/>
                <w:spacing w:val="-3"/>
                <w:sz w:val="24"/>
                <w:szCs w:val="24"/>
              </w:rPr>
            </w:pPr>
            <w:r>
              <w:rPr>
                <w:color w:val="auto"/>
                <w:spacing w:val="-3"/>
                <w:sz w:val="24"/>
                <w:szCs w:val="24"/>
              </w:rPr>
              <w:t>序号</w:t>
            </w:r>
          </w:p>
        </w:tc>
        <w:tc>
          <w:tcPr>
            <w:tcW w:w="2830" w:type="dxa"/>
            <w:tcBorders>
              <w:top w:val="single" w:color="000000" w:sz="6" w:space="0"/>
            </w:tcBorders>
            <w:vAlign w:val="center"/>
          </w:tcPr>
          <w:p w14:paraId="22EC3AC0">
            <w:pPr>
              <w:pStyle w:val="21"/>
              <w:jc w:val="center"/>
              <w:rPr>
                <w:rFonts w:hint="eastAsia"/>
                <w:color w:val="auto"/>
                <w:spacing w:val="-3"/>
                <w:sz w:val="24"/>
                <w:szCs w:val="24"/>
              </w:rPr>
            </w:pPr>
            <w:r>
              <w:rPr>
                <w:color w:val="auto"/>
                <w:spacing w:val="-3"/>
                <w:sz w:val="24"/>
                <w:szCs w:val="24"/>
              </w:rPr>
              <w:t>清单编号</w:t>
            </w:r>
          </w:p>
        </w:tc>
        <w:tc>
          <w:tcPr>
            <w:tcW w:w="1890" w:type="dxa"/>
            <w:tcBorders>
              <w:top w:val="single" w:color="000000" w:sz="6" w:space="0"/>
            </w:tcBorders>
            <w:vAlign w:val="center"/>
          </w:tcPr>
          <w:p w14:paraId="5B96902B">
            <w:pPr>
              <w:pStyle w:val="21"/>
              <w:jc w:val="center"/>
              <w:rPr>
                <w:rFonts w:hint="eastAsia"/>
                <w:color w:val="auto"/>
                <w:spacing w:val="-3"/>
                <w:sz w:val="24"/>
                <w:szCs w:val="24"/>
              </w:rPr>
            </w:pPr>
            <w:r>
              <w:rPr>
                <w:color w:val="auto"/>
                <w:spacing w:val="-3"/>
                <w:sz w:val="24"/>
                <w:szCs w:val="24"/>
              </w:rPr>
              <w:t>项目名称</w:t>
            </w:r>
          </w:p>
        </w:tc>
        <w:tc>
          <w:tcPr>
            <w:tcW w:w="807" w:type="dxa"/>
            <w:tcBorders>
              <w:top w:val="single" w:color="000000" w:sz="6" w:space="0"/>
            </w:tcBorders>
            <w:vAlign w:val="center"/>
          </w:tcPr>
          <w:p w14:paraId="3A25B935">
            <w:pPr>
              <w:pStyle w:val="21"/>
              <w:jc w:val="center"/>
              <w:rPr>
                <w:rFonts w:hint="eastAsia"/>
                <w:color w:val="auto"/>
                <w:spacing w:val="-3"/>
                <w:sz w:val="24"/>
                <w:szCs w:val="24"/>
              </w:rPr>
            </w:pPr>
            <w:r>
              <w:rPr>
                <w:color w:val="auto"/>
                <w:spacing w:val="-3"/>
                <w:sz w:val="24"/>
                <w:szCs w:val="24"/>
              </w:rPr>
              <w:t>计量</w:t>
            </w:r>
          </w:p>
          <w:p w14:paraId="543EFC32">
            <w:pPr>
              <w:pStyle w:val="21"/>
              <w:jc w:val="center"/>
              <w:rPr>
                <w:rFonts w:hint="eastAsia"/>
                <w:color w:val="auto"/>
                <w:spacing w:val="-3"/>
                <w:sz w:val="24"/>
                <w:szCs w:val="24"/>
              </w:rPr>
            </w:pPr>
            <w:r>
              <w:rPr>
                <w:color w:val="auto"/>
                <w:spacing w:val="-3"/>
                <w:sz w:val="24"/>
                <w:szCs w:val="24"/>
              </w:rPr>
              <w:t>单位</w:t>
            </w:r>
          </w:p>
        </w:tc>
        <w:tc>
          <w:tcPr>
            <w:tcW w:w="1076" w:type="dxa"/>
            <w:tcBorders>
              <w:top w:val="single" w:color="000000" w:sz="6" w:space="0"/>
            </w:tcBorders>
            <w:vAlign w:val="center"/>
          </w:tcPr>
          <w:p w14:paraId="0F5DF11E">
            <w:pPr>
              <w:pStyle w:val="21"/>
              <w:jc w:val="center"/>
              <w:rPr>
                <w:rFonts w:hint="eastAsia"/>
                <w:color w:val="auto"/>
                <w:spacing w:val="-3"/>
                <w:sz w:val="24"/>
                <w:szCs w:val="24"/>
              </w:rPr>
            </w:pPr>
            <w:r>
              <w:rPr>
                <w:color w:val="auto"/>
                <w:spacing w:val="-3"/>
                <w:sz w:val="24"/>
                <w:szCs w:val="24"/>
              </w:rPr>
              <w:t>单价</w:t>
            </w:r>
          </w:p>
          <w:p w14:paraId="21F7D568">
            <w:pPr>
              <w:pStyle w:val="21"/>
              <w:jc w:val="center"/>
              <w:rPr>
                <w:rFonts w:hint="eastAsia"/>
                <w:color w:val="auto"/>
                <w:spacing w:val="-3"/>
                <w:sz w:val="24"/>
                <w:szCs w:val="24"/>
              </w:rPr>
            </w:pPr>
            <w:r>
              <w:rPr>
                <w:color w:val="auto"/>
                <w:spacing w:val="-3"/>
                <w:sz w:val="24"/>
                <w:szCs w:val="24"/>
              </w:rPr>
              <w:t>（元）</w:t>
            </w:r>
          </w:p>
        </w:tc>
        <w:tc>
          <w:tcPr>
            <w:tcW w:w="1466" w:type="dxa"/>
            <w:tcBorders>
              <w:top w:val="single" w:color="000000" w:sz="6" w:space="0"/>
              <w:right w:val="single" w:color="000000" w:sz="6" w:space="0"/>
            </w:tcBorders>
            <w:vAlign w:val="center"/>
          </w:tcPr>
          <w:p w14:paraId="3BC2B187">
            <w:pPr>
              <w:pStyle w:val="21"/>
              <w:jc w:val="center"/>
              <w:rPr>
                <w:rFonts w:hint="eastAsia"/>
                <w:color w:val="auto"/>
                <w:spacing w:val="-3"/>
                <w:sz w:val="24"/>
                <w:szCs w:val="24"/>
              </w:rPr>
            </w:pPr>
            <w:r>
              <w:rPr>
                <w:color w:val="auto"/>
                <w:spacing w:val="-3"/>
                <w:sz w:val="24"/>
                <w:szCs w:val="24"/>
              </w:rPr>
              <w:t>单价组合</w:t>
            </w:r>
          </w:p>
        </w:tc>
      </w:tr>
      <w:tr w14:paraId="2D449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134B1417">
            <w:pPr>
              <w:rPr>
                <w:color w:val="auto"/>
              </w:rPr>
            </w:pPr>
          </w:p>
        </w:tc>
        <w:tc>
          <w:tcPr>
            <w:tcW w:w="2830" w:type="dxa"/>
          </w:tcPr>
          <w:p w14:paraId="424E828F">
            <w:pPr>
              <w:rPr>
                <w:color w:val="auto"/>
              </w:rPr>
            </w:pPr>
          </w:p>
        </w:tc>
        <w:tc>
          <w:tcPr>
            <w:tcW w:w="1890" w:type="dxa"/>
          </w:tcPr>
          <w:p w14:paraId="58F3775F">
            <w:pPr>
              <w:rPr>
                <w:color w:val="auto"/>
              </w:rPr>
            </w:pPr>
          </w:p>
        </w:tc>
        <w:tc>
          <w:tcPr>
            <w:tcW w:w="807" w:type="dxa"/>
          </w:tcPr>
          <w:p w14:paraId="0F376609">
            <w:pPr>
              <w:rPr>
                <w:color w:val="auto"/>
              </w:rPr>
            </w:pPr>
          </w:p>
        </w:tc>
        <w:tc>
          <w:tcPr>
            <w:tcW w:w="1076" w:type="dxa"/>
          </w:tcPr>
          <w:p w14:paraId="5B5217AC">
            <w:pPr>
              <w:rPr>
                <w:color w:val="auto"/>
              </w:rPr>
            </w:pPr>
          </w:p>
        </w:tc>
        <w:tc>
          <w:tcPr>
            <w:tcW w:w="1466" w:type="dxa"/>
            <w:tcBorders>
              <w:right w:val="single" w:color="000000" w:sz="6" w:space="0"/>
            </w:tcBorders>
          </w:tcPr>
          <w:p w14:paraId="7763085C">
            <w:pPr>
              <w:rPr>
                <w:color w:val="auto"/>
              </w:rPr>
            </w:pPr>
          </w:p>
        </w:tc>
      </w:tr>
      <w:tr w14:paraId="03580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743" w:type="dxa"/>
            <w:tcBorders>
              <w:left w:val="single" w:color="000000" w:sz="6" w:space="0"/>
            </w:tcBorders>
          </w:tcPr>
          <w:p w14:paraId="3BE12105">
            <w:pPr>
              <w:rPr>
                <w:color w:val="auto"/>
              </w:rPr>
            </w:pPr>
          </w:p>
        </w:tc>
        <w:tc>
          <w:tcPr>
            <w:tcW w:w="2830" w:type="dxa"/>
          </w:tcPr>
          <w:p w14:paraId="46BC7F81">
            <w:pPr>
              <w:rPr>
                <w:color w:val="auto"/>
              </w:rPr>
            </w:pPr>
          </w:p>
        </w:tc>
        <w:tc>
          <w:tcPr>
            <w:tcW w:w="1890" w:type="dxa"/>
          </w:tcPr>
          <w:p w14:paraId="487444AA">
            <w:pPr>
              <w:rPr>
                <w:color w:val="auto"/>
              </w:rPr>
            </w:pPr>
          </w:p>
        </w:tc>
        <w:tc>
          <w:tcPr>
            <w:tcW w:w="807" w:type="dxa"/>
          </w:tcPr>
          <w:p w14:paraId="2F7B0E91">
            <w:pPr>
              <w:rPr>
                <w:color w:val="auto"/>
              </w:rPr>
            </w:pPr>
          </w:p>
        </w:tc>
        <w:tc>
          <w:tcPr>
            <w:tcW w:w="1076" w:type="dxa"/>
          </w:tcPr>
          <w:p w14:paraId="1EEA9E3B">
            <w:pPr>
              <w:rPr>
                <w:color w:val="auto"/>
              </w:rPr>
            </w:pPr>
          </w:p>
        </w:tc>
        <w:tc>
          <w:tcPr>
            <w:tcW w:w="1466" w:type="dxa"/>
            <w:tcBorders>
              <w:right w:val="single" w:color="000000" w:sz="6" w:space="0"/>
            </w:tcBorders>
          </w:tcPr>
          <w:p w14:paraId="29C4F0D6">
            <w:pPr>
              <w:rPr>
                <w:color w:val="auto"/>
              </w:rPr>
            </w:pPr>
          </w:p>
        </w:tc>
      </w:tr>
      <w:tr w14:paraId="44679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63E24EEC">
            <w:pPr>
              <w:rPr>
                <w:color w:val="auto"/>
              </w:rPr>
            </w:pPr>
          </w:p>
        </w:tc>
        <w:tc>
          <w:tcPr>
            <w:tcW w:w="2830" w:type="dxa"/>
          </w:tcPr>
          <w:p w14:paraId="7BFAA7F2">
            <w:pPr>
              <w:rPr>
                <w:color w:val="auto"/>
              </w:rPr>
            </w:pPr>
          </w:p>
        </w:tc>
        <w:tc>
          <w:tcPr>
            <w:tcW w:w="1890" w:type="dxa"/>
          </w:tcPr>
          <w:p w14:paraId="5A09E48D">
            <w:pPr>
              <w:rPr>
                <w:color w:val="auto"/>
              </w:rPr>
            </w:pPr>
          </w:p>
        </w:tc>
        <w:tc>
          <w:tcPr>
            <w:tcW w:w="807" w:type="dxa"/>
          </w:tcPr>
          <w:p w14:paraId="4891D5F4">
            <w:pPr>
              <w:rPr>
                <w:color w:val="auto"/>
              </w:rPr>
            </w:pPr>
          </w:p>
        </w:tc>
        <w:tc>
          <w:tcPr>
            <w:tcW w:w="1076" w:type="dxa"/>
          </w:tcPr>
          <w:p w14:paraId="1DC9DE97">
            <w:pPr>
              <w:rPr>
                <w:color w:val="auto"/>
              </w:rPr>
            </w:pPr>
          </w:p>
        </w:tc>
        <w:tc>
          <w:tcPr>
            <w:tcW w:w="1466" w:type="dxa"/>
            <w:tcBorders>
              <w:right w:val="single" w:color="000000" w:sz="6" w:space="0"/>
            </w:tcBorders>
          </w:tcPr>
          <w:p w14:paraId="646CFE60">
            <w:pPr>
              <w:rPr>
                <w:color w:val="auto"/>
              </w:rPr>
            </w:pPr>
          </w:p>
        </w:tc>
      </w:tr>
      <w:tr w14:paraId="033DB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jc w:val="center"/>
        </w:trPr>
        <w:tc>
          <w:tcPr>
            <w:tcW w:w="743" w:type="dxa"/>
            <w:tcBorders>
              <w:left w:val="single" w:color="000000" w:sz="6" w:space="0"/>
            </w:tcBorders>
          </w:tcPr>
          <w:p w14:paraId="557B30B5">
            <w:pPr>
              <w:rPr>
                <w:color w:val="auto"/>
              </w:rPr>
            </w:pPr>
          </w:p>
        </w:tc>
        <w:tc>
          <w:tcPr>
            <w:tcW w:w="2830" w:type="dxa"/>
          </w:tcPr>
          <w:p w14:paraId="72087235">
            <w:pPr>
              <w:rPr>
                <w:color w:val="auto"/>
              </w:rPr>
            </w:pPr>
          </w:p>
        </w:tc>
        <w:tc>
          <w:tcPr>
            <w:tcW w:w="1890" w:type="dxa"/>
          </w:tcPr>
          <w:p w14:paraId="49124F05">
            <w:pPr>
              <w:rPr>
                <w:color w:val="auto"/>
              </w:rPr>
            </w:pPr>
          </w:p>
        </w:tc>
        <w:tc>
          <w:tcPr>
            <w:tcW w:w="807" w:type="dxa"/>
          </w:tcPr>
          <w:p w14:paraId="5E6E3EB8">
            <w:pPr>
              <w:rPr>
                <w:color w:val="auto"/>
              </w:rPr>
            </w:pPr>
          </w:p>
        </w:tc>
        <w:tc>
          <w:tcPr>
            <w:tcW w:w="1076" w:type="dxa"/>
          </w:tcPr>
          <w:p w14:paraId="4668F2C2">
            <w:pPr>
              <w:rPr>
                <w:color w:val="auto"/>
              </w:rPr>
            </w:pPr>
          </w:p>
        </w:tc>
        <w:tc>
          <w:tcPr>
            <w:tcW w:w="1466" w:type="dxa"/>
            <w:tcBorders>
              <w:right w:val="single" w:color="000000" w:sz="6" w:space="0"/>
            </w:tcBorders>
          </w:tcPr>
          <w:p w14:paraId="4335D51E">
            <w:pPr>
              <w:rPr>
                <w:color w:val="auto"/>
              </w:rPr>
            </w:pPr>
          </w:p>
        </w:tc>
      </w:tr>
      <w:tr w14:paraId="67E4F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715C0138">
            <w:pPr>
              <w:rPr>
                <w:color w:val="auto"/>
              </w:rPr>
            </w:pPr>
          </w:p>
        </w:tc>
        <w:tc>
          <w:tcPr>
            <w:tcW w:w="2830" w:type="dxa"/>
          </w:tcPr>
          <w:p w14:paraId="71A7AFF0">
            <w:pPr>
              <w:rPr>
                <w:color w:val="auto"/>
              </w:rPr>
            </w:pPr>
          </w:p>
        </w:tc>
        <w:tc>
          <w:tcPr>
            <w:tcW w:w="1890" w:type="dxa"/>
          </w:tcPr>
          <w:p w14:paraId="49157F00">
            <w:pPr>
              <w:rPr>
                <w:color w:val="auto"/>
              </w:rPr>
            </w:pPr>
          </w:p>
        </w:tc>
        <w:tc>
          <w:tcPr>
            <w:tcW w:w="807" w:type="dxa"/>
          </w:tcPr>
          <w:p w14:paraId="58B603BB">
            <w:pPr>
              <w:rPr>
                <w:color w:val="auto"/>
              </w:rPr>
            </w:pPr>
          </w:p>
        </w:tc>
        <w:tc>
          <w:tcPr>
            <w:tcW w:w="1076" w:type="dxa"/>
          </w:tcPr>
          <w:p w14:paraId="59BA09E1">
            <w:pPr>
              <w:rPr>
                <w:color w:val="auto"/>
              </w:rPr>
            </w:pPr>
          </w:p>
        </w:tc>
        <w:tc>
          <w:tcPr>
            <w:tcW w:w="1466" w:type="dxa"/>
            <w:tcBorders>
              <w:right w:val="single" w:color="000000" w:sz="6" w:space="0"/>
            </w:tcBorders>
          </w:tcPr>
          <w:p w14:paraId="5119DA9F">
            <w:pPr>
              <w:rPr>
                <w:color w:val="auto"/>
              </w:rPr>
            </w:pPr>
          </w:p>
        </w:tc>
      </w:tr>
      <w:tr w14:paraId="656410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55CFA12C">
            <w:pPr>
              <w:rPr>
                <w:color w:val="auto"/>
              </w:rPr>
            </w:pPr>
          </w:p>
        </w:tc>
        <w:tc>
          <w:tcPr>
            <w:tcW w:w="2830" w:type="dxa"/>
          </w:tcPr>
          <w:p w14:paraId="1966F771">
            <w:pPr>
              <w:rPr>
                <w:color w:val="auto"/>
              </w:rPr>
            </w:pPr>
          </w:p>
        </w:tc>
        <w:tc>
          <w:tcPr>
            <w:tcW w:w="1890" w:type="dxa"/>
          </w:tcPr>
          <w:p w14:paraId="1E2F7774">
            <w:pPr>
              <w:rPr>
                <w:color w:val="auto"/>
              </w:rPr>
            </w:pPr>
          </w:p>
        </w:tc>
        <w:tc>
          <w:tcPr>
            <w:tcW w:w="807" w:type="dxa"/>
          </w:tcPr>
          <w:p w14:paraId="1E0668F8">
            <w:pPr>
              <w:rPr>
                <w:color w:val="auto"/>
              </w:rPr>
            </w:pPr>
          </w:p>
        </w:tc>
        <w:tc>
          <w:tcPr>
            <w:tcW w:w="1076" w:type="dxa"/>
          </w:tcPr>
          <w:p w14:paraId="76F5C509">
            <w:pPr>
              <w:rPr>
                <w:color w:val="auto"/>
              </w:rPr>
            </w:pPr>
          </w:p>
        </w:tc>
        <w:tc>
          <w:tcPr>
            <w:tcW w:w="1466" w:type="dxa"/>
            <w:tcBorders>
              <w:right w:val="single" w:color="000000" w:sz="6" w:space="0"/>
            </w:tcBorders>
          </w:tcPr>
          <w:p w14:paraId="4D94ED65">
            <w:pPr>
              <w:rPr>
                <w:color w:val="auto"/>
              </w:rPr>
            </w:pPr>
          </w:p>
        </w:tc>
      </w:tr>
      <w:tr w14:paraId="55DFA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jc w:val="center"/>
        </w:trPr>
        <w:tc>
          <w:tcPr>
            <w:tcW w:w="743" w:type="dxa"/>
            <w:tcBorders>
              <w:left w:val="single" w:color="000000" w:sz="6" w:space="0"/>
            </w:tcBorders>
          </w:tcPr>
          <w:p w14:paraId="4AE2DC5B">
            <w:pPr>
              <w:rPr>
                <w:color w:val="auto"/>
              </w:rPr>
            </w:pPr>
          </w:p>
        </w:tc>
        <w:tc>
          <w:tcPr>
            <w:tcW w:w="2830" w:type="dxa"/>
          </w:tcPr>
          <w:p w14:paraId="7C2C63A6">
            <w:pPr>
              <w:rPr>
                <w:color w:val="auto"/>
              </w:rPr>
            </w:pPr>
          </w:p>
        </w:tc>
        <w:tc>
          <w:tcPr>
            <w:tcW w:w="1890" w:type="dxa"/>
          </w:tcPr>
          <w:p w14:paraId="4DF7DA47">
            <w:pPr>
              <w:rPr>
                <w:color w:val="auto"/>
              </w:rPr>
            </w:pPr>
          </w:p>
        </w:tc>
        <w:tc>
          <w:tcPr>
            <w:tcW w:w="807" w:type="dxa"/>
          </w:tcPr>
          <w:p w14:paraId="387DC31D">
            <w:pPr>
              <w:rPr>
                <w:color w:val="auto"/>
              </w:rPr>
            </w:pPr>
          </w:p>
        </w:tc>
        <w:tc>
          <w:tcPr>
            <w:tcW w:w="1076" w:type="dxa"/>
          </w:tcPr>
          <w:p w14:paraId="4BB309E6">
            <w:pPr>
              <w:rPr>
                <w:color w:val="auto"/>
              </w:rPr>
            </w:pPr>
          </w:p>
        </w:tc>
        <w:tc>
          <w:tcPr>
            <w:tcW w:w="1466" w:type="dxa"/>
            <w:tcBorders>
              <w:right w:val="single" w:color="000000" w:sz="6" w:space="0"/>
            </w:tcBorders>
          </w:tcPr>
          <w:p w14:paraId="2E8F98A5">
            <w:pPr>
              <w:rPr>
                <w:color w:val="auto"/>
              </w:rPr>
            </w:pPr>
          </w:p>
        </w:tc>
      </w:tr>
      <w:tr w14:paraId="380D2A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01359BE6">
            <w:pPr>
              <w:rPr>
                <w:color w:val="auto"/>
              </w:rPr>
            </w:pPr>
          </w:p>
        </w:tc>
        <w:tc>
          <w:tcPr>
            <w:tcW w:w="2830" w:type="dxa"/>
          </w:tcPr>
          <w:p w14:paraId="00AA79A9">
            <w:pPr>
              <w:rPr>
                <w:color w:val="auto"/>
              </w:rPr>
            </w:pPr>
          </w:p>
        </w:tc>
        <w:tc>
          <w:tcPr>
            <w:tcW w:w="1890" w:type="dxa"/>
          </w:tcPr>
          <w:p w14:paraId="2709F73A">
            <w:pPr>
              <w:rPr>
                <w:color w:val="auto"/>
              </w:rPr>
            </w:pPr>
          </w:p>
        </w:tc>
        <w:tc>
          <w:tcPr>
            <w:tcW w:w="807" w:type="dxa"/>
          </w:tcPr>
          <w:p w14:paraId="445E3F33">
            <w:pPr>
              <w:rPr>
                <w:color w:val="auto"/>
              </w:rPr>
            </w:pPr>
          </w:p>
        </w:tc>
        <w:tc>
          <w:tcPr>
            <w:tcW w:w="1076" w:type="dxa"/>
          </w:tcPr>
          <w:p w14:paraId="6EAB71E3">
            <w:pPr>
              <w:rPr>
                <w:color w:val="auto"/>
              </w:rPr>
            </w:pPr>
          </w:p>
        </w:tc>
        <w:tc>
          <w:tcPr>
            <w:tcW w:w="1466" w:type="dxa"/>
            <w:tcBorders>
              <w:right w:val="single" w:color="000000" w:sz="6" w:space="0"/>
            </w:tcBorders>
          </w:tcPr>
          <w:p w14:paraId="423CF844">
            <w:pPr>
              <w:rPr>
                <w:color w:val="auto"/>
              </w:rPr>
            </w:pPr>
          </w:p>
        </w:tc>
      </w:tr>
      <w:tr w14:paraId="3A6AB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jc w:val="center"/>
        </w:trPr>
        <w:tc>
          <w:tcPr>
            <w:tcW w:w="743" w:type="dxa"/>
            <w:tcBorders>
              <w:left w:val="single" w:color="000000" w:sz="6" w:space="0"/>
            </w:tcBorders>
          </w:tcPr>
          <w:p w14:paraId="6C297233">
            <w:pPr>
              <w:rPr>
                <w:color w:val="auto"/>
              </w:rPr>
            </w:pPr>
          </w:p>
        </w:tc>
        <w:tc>
          <w:tcPr>
            <w:tcW w:w="2830" w:type="dxa"/>
          </w:tcPr>
          <w:p w14:paraId="0D0EF735">
            <w:pPr>
              <w:rPr>
                <w:color w:val="auto"/>
              </w:rPr>
            </w:pPr>
          </w:p>
        </w:tc>
        <w:tc>
          <w:tcPr>
            <w:tcW w:w="1890" w:type="dxa"/>
          </w:tcPr>
          <w:p w14:paraId="122E564B">
            <w:pPr>
              <w:rPr>
                <w:color w:val="auto"/>
              </w:rPr>
            </w:pPr>
          </w:p>
        </w:tc>
        <w:tc>
          <w:tcPr>
            <w:tcW w:w="807" w:type="dxa"/>
          </w:tcPr>
          <w:p w14:paraId="16B12AE7">
            <w:pPr>
              <w:rPr>
                <w:color w:val="auto"/>
              </w:rPr>
            </w:pPr>
          </w:p>
        </w:tc>
        <w:tc>
          <w:tcPr>
            <w:tcW w:w="1076" w:type="dxa"/>
          </w:tcPr>
          <w:p w14:paraId="25C7A77A">
            <w:pPr>
              <w:rPr>
                <w:color w:val="auto"/>
              </w:rPr>
            </w:pPr>
          </w:p>
        </w:tc>
        <w:tc>
          <w:tcPr>
            <w:tcW w:w="1466" w:type="dxa"/>
            <w:tcBorders>
              <w:right w:val="single" w:color="000000" w:sz="6" w:space="0"/>
            </w:tcBorders>
          </w:tcPr>
          <w:p w14:paraId="7770B8B3">
            <w:pPr>
              <w:rPr>
                <w:color w:val="auto"/>
              </w:rPr>
            </w:pPr>
          </w:p>
        </w:tc>
      </w:tr>
      <w:tr w14:paraId="5FEAC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2A5CFAFE">
            <w:pPr>
              <w:rPr>
                <w:color w:val="auto"/>
              </w:rPr>
            </w:pPr>
          </w:p>
        </w:tc>
        <w:tc>
          <w:tcPr>
            <w:tcW w:w="2830" w:type="dxa"/>
          </w:tcPr>
          <w:p w14:paraId="4C159DEA">
            <w:pPr>
              <w:rPr>
                <w:color w:val="auto"/>
              </w:rPr>
            </w:pPr>
          </w:p>
        </w:tc>
        <w:tc>
          <w:tcPr>
            <w:tcW w:w="1890" w:type="dxa"/>
          </w:tcPr>
          <w:p w14:paraId="74580A53">
            <w:pPr>
              <w:rPr>
                <w:color w:val="auto"/>
              </w:rPr>
            </w:pPr>
          </w:p>
        </w:tc>
        <w:tc>
          <w:tcPr>
            <w:tcW w:w="807" w:type="dxa"/>
          </w:tcPr>
          <w:p w14:paraId="7090F6B4">
            <w:pPr>
              <w:rPr>
                <w:color w:val="auto"/>
              </w:rPr>
            </w:pPr>
          </w:p>
        </w:tc>
        <w:tc>
          <w:tcPr>
            <w:tcW w:w="1076" w:type="dxa"/>
          </w:tcPr>
          <w:p w14:paraId="04554E9B">
            <w:pPr>
              <w:rPr>
                <w:color w:val="auto"/>
              </w:rPr>
            </w:pPr>
          </w:p>
        </w:tc>
        <w:tc>
          <w:tcPr>
            <w:tcW w:w="1466" w:type="dxa"/>
            <w:tcBorders>
              <w:right w:val="single" w:color="000000" w:sz="6" w:space="0"/>
            </w:tcBorders>
          </w:tcPr>
          <w:p w14:paraId="57B5437C">
            <w:pPr>
              <w:rPr>
                <w:color w:val="auto"/>
              </w:rPr>
            </w:pPr>
          </w:p>
        </w:tc>
      </w:tr>
      <w:tr w14:paraId="0EA96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4D0F8321">
            <w:pPr>
              <w:rPr>
                <w:color w:val="auto"/>
              </w:rPr>
            </w:pPr>
          </w:p>
        </w:tc>
        <w:tc>
          <w:tcPr>
            <w:tcW w:w="2830" w:type="dxa"/>
          </w:tcPr>
          <w:p w14:paraId="672655B6">
            <w:pPr>
              <w:rPr>
                <w:color w:val="auto"/>
              </w:rPr>
            </w:pPr>
          </w:p>
        </w:tc>
        <w:tc>
          <w:tcPr>
            <w:tcW w:w="1890" w:type="dxa"/>
          </w:tcPr>
          <w:p w14:paraId="44B32752">
            <w:pPr>
              <w:rPr>
                <w:color w:val="auto"/>
              </w:rPr>
            </w:pPr>
          </w:p>
        </w:tc>
        <w:tc>
          <w:tcPr>
            <w:tcW w:w="807" w:type="dxa"/>
          </w:tcPr>
          <w:p w14:paraId="27F84676">
            <w:pPr>
              <w:rPr>
                <w:color w:val="auto"/>
              </w:rPr>
            </w:pPr>
          </w:p>
        </w:tc>
        <w:tc>
          <w:tcPr>
            <w:tcW w:w="1076" w:type="dxa"/>
          </w:tcPr>
          <w:p w14:paraId="7AB3F641">
            <w:pPr>
              <w:rPr>
                <w:color w:val="auto"/>
              </w:rPr>
            </w:pPr>
          </w:p>
        </w:tc>
        <w:tc>
          <w:tcPr>
            <w:tcW w:w="1466" w:type="dxa"/>
            <w:tcBorders>
              <w:right w:val="single" w:color="000000" w:sz="6" w:space="0"/>
            </w:tcBorders>
          </w:tcPr>
          <w:p w14:paraId="64FB1033">
            <w:pPr>
              <w:rPr>
                <w:color w:val="auto"/>
              </w:rPr>
            </w:pPr>
          </w:p>
        </w:tc>
      </w:tr>
      <w:tr w14:paraId="09D97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jc w:val="center"/>
        </w:trPr>
        <w:tc>
          <w:tcPr>
            <w:tcW w:w="743" w:type="dxa"/>
            <w:tcBorders>
              <w:left w:val="single" w:color="000000" w:sz="6" w:space="0"/>
            </w:tcBorders>
          </w:tcPr>
          <w:p w14:paraId="13D393EC">
            <w:pPr>
              <w:rPr>
                <w:color w:val="auto"/>
              </w:rPr>
            </w:pPr>
          </w:p>
        </w:tc>
        <w:tc>
          <w:tcPr>
            <w:tcW w:w="2830" w:type="dxa"/>
          </w:tcPr>
          <w:p w14:paraId="36DE7F41">
            <w:pPr>
              <w:rPr>
                <w:color w:val="auto"/>
              </w:rPr>
            </w:pPr>
          </w:p>
        </w:tc>
        <w:tc>
          <w:tcPr>
            <w:tcW w:w="1890" w:type="dxa"/>
          </w:tcPr>
          <w:p w14:paraId="10C4B523">
            <w:pPr>
              <w:rPr>
                <w:color w:val="auto"/>
              </w:rPr>
            </w:pPr>
          </w:p>
        </w:tc>
        <w:tc>
          <w:tcPr>
            <w:tcW w:w="807" w:type="dxa"/>
          </w:tcPr>
          <w:p w14:paraId="6565AEFE">
            <w:pPr>
              <w:rPr>
                <w:color w:val="auto"/>
              </w:rPr>
            </w:pPr>
          </w:p>
        </w:tc>
        <w:tc>
          <w:tcPr>
            <w:tcW w:w="1076" w:type="dxa"/>
          </w:tcPr>
          <w:p w14:paraId="08F737B8">
            <w:pPr>
              <w:rPr>
                <w:color w:val="auto"/>
              </w:rPr>
            </w:pPr>
          </w:p>
        </w:tc>
        <w:tc>
          <w:tcPr>
            <w:tcW w:w="1466" w:type="dxa"/>
            <w:tcBorders>
              <w:right w:val="single" w:color="000000" w:sz="6" w:space="0"/>
            </w:tcBorders>
          </w:tcPr>
          <w:p w14:paraId="0F214179">
            <w:pPr>
              <w:rPr>
                <w:color w:val="auto"/>
              </w:rPr>
            </w:pPr>
          </w:p>
        </w:tc>
      </w:tr>
      <w:tr w14:paraId="3F1C5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76E53409">
            <w:pPr>
              <w:rPr>
                <w:color w:val="auto"/>
              </w:rPr>
            </w:pPr>
          </w:p>
        </w:tc>
        <w:tc>
          <w:tcPr>
            <w:tcW w:w="2830" w:type="dxa"/>
          </w:tcPr>
          <w:p w14:paraId="520A329B">
            <w:pPr>
              <w:rPr>
                <w:color w:val="auto"/>
              </w:rPr>
            </w:pPr>
          </w:p>
        </w:tc>
        <w:tc>
          <w:tcPr>
            <w:tcW w:w="1890" w:type="dxa"/>
          </w:tcPr>
          <w:p w14:paraId="6C444F87">
            <w:pPr>
              <w:rPr>
                <w:color w:val="auto"/>
              </w:rPr>
            </w:pPr>
          </w:p>
        </w:tc>
        <w:tc>
          <w:tcPr>
            <w:tcW w:w="807" w:type="dxa"/>
          </w:tcPr>
          <w:p w14:paraId="13ABEB7A">
            <w:pPr>
              <w:rPr>
                <w:color w:val="auto"/>
              </w:rPr>
            </w:pPr>
          </w:p>
        </w:tc>
        <w:tc>
          <w:tcPr>
            <w:tcW w:w="1076" w:type="dxa"/>
          </w:tcPr>
          <w:p w14:paraId="45755D7E">
            <w:pPr>
              <w:rPr>
                <w:color w:val="auto"/>
              </w:rPr>
            </w:pPr>
          </w:p>
        </w:tc>
        <w:tc>
          <w:tcPr>
            <w:tcW w:w="1466" w:type="dxa"/>
            <w:tcBorders>
              <w:right w:val="single" w:color="000000" w:sz="6" w:space="0"/>
            </w:tcBorders>
          </w:tcPr>
          <w:p w14:paraId="42909120">
            <w:pPr>
              <w:rPr>
                <w:color w:val="auto"/>
              </w:rPr>
            </w:pPr>
          </w:p>
        </w:tc>
      </w:tr>
      <w:tr w14:paraId="3D018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jc w:val="center"/>
        </w:trPr>
        <w:tc>
          <w:tcPr>
            <w:tcW w:w="743" w:type="dxa"/>
            <w:tcBorders>
              <w:left w:val="single" w:color="000000" w:sz="6" w:space="0"/>
            </w:tcBorders>
          </w:tcPr>
          <w:p w14:paraId="3D46A8E2">
            <w:pPr>
              <w:rPr>
                <w:color w:val="auto"/>
              </w:rPr>
            </w:pPr>
          </w:p>
        </w:tc>
        <w:tc>
          <w:tcPr>
            <w:tcW w:w="2830" w:type="dxa"/>
          </w:tcPr>
          <w:p w14:paraId="5AC9CC87">
            <w:pPr>
              <w:rPr>
                <w:color w:val="auto"/>
              </w:rPr>
            </w:pPr>
          </w:p>
        </w:tc>
        <w:tc>
          <w:tcPr>
            <w:tcW w:w="1890" w:type="dxa"/>
          </w:tcPr>
          <w:p w14:paraId="0AB83C80">
            <w:pPr>
              <w:rPr>
                <w:color w:val="auto"/>
              </w:rPr>
            </w:pPr>
          </w:p>
        </w:tc>
        <w:tc>
          <w:tcPr>
            <w:tcW w:w="807" w:type="dxa"/>
          </w:tcPr>
          <w:p w14:paraId="58F5ABBA">
            <w:pPr>
              <w:rPr>
                <w:color w:val="auto"/>
              </w:rPr>
            </w:pPr>
          </w:p>
        </w:tc>
        <w:tc>
          <w:tcPr>
            <w:tcW w:w="1076" w:type="dxa"/>
          </w:tcPr>
          <w:p w14:paraId="63C9E55F">
            <w:pPr>
              <w:rPr>
                <w:color w:val="auto"/>
              </w:rPr>
            </w:pPr>
          </w:p>
        </w:tc>
        <w:tc>
          <w:tcPr>
            <w:tcW w:w="1466" w:type="dxa"/>
            <w:tcBorders>
              <w:right w:val="single" w:color="000000" w:sz="6" w:space="0"/>
            </w:tcBorders>
          </w:tcPr>
          <w:p w14:paraId="53714F71">
            <w:pPr>
              <w:rPr>
                <w:color w:val="auto"/>
              </w:rPr>
            </w:pPr>
          </w:p>
        </w:tc>
      </w:tr>
      <w:tr w14:paraId="77F78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7F4DB0BA">
            <w:pPr>
              <w:rPr>
                <w:color w:val="auto"/>
              </w:rPr>
            </w:pPr>
          </w:p>
        </w:tc>
        <w:tc>
          <w:tcPr>
            <w:tcW w:w="2830" w:type="dxa"/>
          </w:tcPr>
          <w:p w14:paraId="6281C641">
            <w:pPr>
              <w:rPr>
                <w:color w:val="auto"/>
              </w:rPr>
            </w:pPr>
          </w:p>
        </w:tc>
        <w:tc>
          <w:tcPr>
            <w:tcW w:w="1890" w:type="dxa"/>
          </w:tcPr>
          <w:p w14:paraId="279FA107">
            <w:pPr>
              <w:rPr>
                <w:color w:val="auto"/>
              </w:rPr>
            </w:pPr>
          </w:p>
        </w:tc>
        <w:tc>
          <w:tcPr>
            <w:tcW w:w="807" w:type="dxa"/>
          </w:tcPr>
          <w:p w14:paraId="31F15539">
            <w:pPr>
              <w:rPr>
                <w:color w:val="auto"/>
              </w:rPr>
            </w:pPr>
          </w:p>
        </w:tc>
        <w:tc>
          <w:tcPr>
            <w:tcW w:w="1076" w:type="dxa"/>
          </w:tcPr>
          <w:p w14:paraId="125F30B8">
            <w:pPr>
              <w:rPr>
                <w:color w:val="auto"/>
              </w:rPr>
            </w:pPr>
          </w:p>
        </w:tc>
        <w:tc>
          <w:tcPr>
            <w:tcW w:w="1466" w:type="dxa"/>
            <w:tcBorders>
              <w:right w:val="single" w:color="000000" w:sz="6" w:space="0"/>
            </w:tcBorders>
          </w:tcPr>
          <w:p w14:paraId="68DCC17B">
            <w:pPr>
              <w:rPr>
                <w:color w:val="auto"/>
              </w:rPr>
            </w:pPr>
          </w:p>
        </w:tc>
      </w:tr>
      <w:tr w14:paraId="30AFB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jc w:val="center"/>
        </w:trPr>
        <w:tc>
          <w:tcPr>
            <w:tcW w:w="743" w:type="dxa"/>
            <w:tcBorders>
              <w:left w:val="single" w:color="000000" w:sz="6" w:space="0"/>
            </w:tcBorders>
          </w:tcPr>
          <w:p w14:paraId="6DE3DEF7">
            <w:pPr>
              <w:rPr>
                <w:color w:val="auto"/>
              </w:rPr>
            </w:pPr>
          </w:p>
        </w:tc>
        <w:tc>
          <w:tcPr>
            <w:tcW w:w="2830" w:type="dxa"/>
          </w:tcPr>
          <w:p w14:paraId="59ED8990">
            <w:pPr>
              <w:rPr>
                <w:color w:val="auto"/>
              </w:rPr>
            </w:pPr>
          </w:p>
        </w:tc>
        <w:tc>
          <w:tcPr>
            <w:tcW w:w="1890" w:type="dxa"/>
          </w:tcPr>
          <w:p w14:paraId="08C33F72">
            <w:pPr>
              <w:rPr>
                <w:color w:val="auto"/>
              </w:rPr>
            </w:pPr>
          </w:p>
        </w:tc>
        <w:tc>
          <w:tcPr>
            <w:tcW w:w="807" w:type="dxa"/>
          </w:tcPr>
          <w:p w14:paraId="45659BA1">
            <w:pPr>
              <w:rPr>
                <w:color w:val="auto"/>
              </w:rPr>
            </w:pPr>
          </w:p>
        </w:tc>
        <w:tc>
          <w:tcPr>
            <w:tcW w:w="1076" w:type="dxa"/>
          </w:tcPr>
          <w:p w14:paraId="66105790">
            <w:pPr>
              <w:rPr>
                <w:color w:val="auto"/>
              </w:rPr>
            </w:pPr>
          </w:p>
        </w:tc>
        <w:tc>
          <w:tcPr>
            <w:tcW w:w="1466" w:type="dxa"/>
            <w:tcBorders>
              <w:right w:val="single" w:color="000000" w:sz="6" w:space="0"/>
            </w:tcBorders>
          </w:tcPr>
          <w:p w14:paraId="1BFC149E">
            <w:pPr>
              <w:rPr>
                <w:color w:val="auto"/>
              </w:rPr>
            </w:pPr>
          </w:p>
        </w:tc>
      </w:tr>
      <w:tr w14:paraId="2659C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743" w:type="dxa"/>
            <w:tcBorders>
              <w:left w:val="single" w:color="000000" w:sz="6" w:space="0"/>
            </w:tcBorders>
          </w:tcPr>
          <w:p w14:paraId="60A7D0C4">
            <w:pPr>
              <w:rPr>
                <w:color w:val="auto"/>
              </w:rPr>
            </w:pPr>
          </w:p>
        </w:tc>
        <w:tc>
          <w:tcPr>
            <w:tcW w:w="2830" w:type="dxa"/>
          </w:tcPr>
          <w:p w14:paraId="2100D063">
            <w:pPr>
              <w:rPr>
                <w:color w:val="auto"/>
              </w:rPr>
            </w:pPr>
          </w:p>
        </w:tc>
        <w:tc>
          <w:tcPr>
            <w:tcW w:w="1890" w:type="dxa"/>
          </w:tcPr>
          <w:p w14:paraId="37472FFF">
            <w:pPr>
              <w:rPr>
                <w:color w:val="auto"/>
              </w:rPr>
            </w:pPr>
          </w:p>
        </w:tc>
        <w:tc>
          <w:tcPr>
            <w:tcW w:w="807" w:type="dxa"/>
          </w:tcPr>
          <w:p w14:paraId="41090ECC">
            <w:pPr>
              <w:rPr>
                <w:color w:val="auto"/>
              </w:rPr>
            </w:pPr>
          </w:p>
        </w:tc>
        <w:tc>
          <w:tcPr>
            <w:tcW w:w="1076" w:type="dxa"/>
          </w:tcPr>
          <w:p w14:paraId="138974B0">
            <w:pPr>
              <w:rPr>
                <w:color w:val="auto"/>
              </w:rPr>
            </w:pPr>
          </w:p>
        </w:tc>
        <w:tc>
          <w:tcPr>
            <w:tcW w:w="1466" w:type="dxa"/>
            <w:tcBorders>
              <w:right w:val="single" w:color="000000" w:sz="6" w:space="0"/>
            </w:tcBorders>
          </w:tcPr>
          <w:p w14:paraId="1B4E4FD8">
            <w:pPr>
              <w:rPr>
                <w:color w:val="auto"/>
              </w:rPr>
            </w:pPr>
          </w:p>
        </w:tc>
      </w:tr>
      <w:tr w14:paraId="3923B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743" w:type="dxa"/>
            <w:tcBorders>
              <w:left w:val="single" w:color="000000" w:sz="6" w:space="0"/>
              <w:bottom w:val="single" w:color="000000" w:sz="6" w:space="0"/>
            </w:tcBorders>
          </w:tcPr>
          <w:p w14:paraId="5CE82975">
            <w:pPr>
              <w:rPr>
                <w:color w:val="auto"/>
              </w:rPr>
            </w:pPr>
          </w:p>
        </w:tc>
        <w:tc>
          <w:tcPr>
            <w:tcW w:w="2830" w:type="dxa"/>
            <w:tcBorders>
              <w:bottom w:val="single" w:color="000000" w:sz="6" w:space="0"/>
            </w:tcBorders>
          </w:tcPr>
          <w:p w14:paraId="518B42C6">
            <w:pPr>
              <w:rPr>
                <w:color w:val="auto"/>
              </w:rPr>
            </w:pPr>
          </w:p>
        </w:tc>
        <w:tc>
          <w:tcPr>
            <w:tcW w:w="1890" w:type="dxa"/>
            <w:tcBorders>
              <w:bottom w:val="single" w:color="000000" w:sz="6" w:space="0"/>
            </w:tcBorders>
          </w:tcPr>
          <w:p w14:paraId="668D7487">
            <w:pPr>
              <w:rPr>
                <w:color w:val="auto"/>
              </w:rPr>
            </w:pPr>
          </w:p>
        </w:tc>
        <w:tc>
          <w:tcPr>
            <w:tcW w:w="807" w:type="dxa"/>
            <w:tcBorders>
              <w:bottom w:val="single" w:color="000000" w:sz="6" w:space="0"/>
            </w:tcBorders>
          </w:tcPr>
          <w:p w14:paraId="5BBC4DA3">
            <w:pPr>
              <w:rPr>
                <w:color w:val="auto"/>
              </w:rPr>
            </w:pPr>
          </w:p>
        </w:tc>
        <w:tc>
          <w:tcPr>
            <w:tcW w:w="1076" w:type="dxa"/>
            <w:tcBorders>
              <w:bottom w:val="single" w:color="000000" w:sz="6" w:space="0"/>
            </w:tcBorders>
          </w:tcPr>
          <w:p w14:paraId="61FB43F3">
            <w:pPr>
              <w:rPr>
                <w:color w:val="auto"/>
              </w:rPr>
            </w:pPr>
          </w:p>
        </w:tc>
        <w:tc>
          <w:tcPr>
            <w:tcW w:w="1466" w:type="dxa"/>
            <w:tcBorders>
              <w:bottom w:val="single" w:color="000000" w:sz="6" w:space="0"/>
              <w:right w:val="single" w:color="000000" w:sz="6" w:space="0"/>
            </w:tcBorders>
          </w:tcPr>
          <w:p w14:paraId="7F6AA407">
            <w:pPr>
              <w:rPr>
                <w:color w:val="auto"/>
              </w:rPr>
            </w:pPr>
          </w:p>
        </w:tc>
      </w:tr>
    </w:tbl>
    <w:p w14:paraId="292AB67E">
      <w:pPr>
        <w:pStyle w:val="8"/>
        <w:rPr>
          <w:color w:val="auto"/>
        </w:rPr>
      </w:pPr>
    </w:p>
    <w:p w14:paraId="66A7DB2F">
      <w:pPr>
        <w:rPr>
          <w:color w:val="auto"/>
        </w:rPr>
      </w:pPr>
      <w:r>
        <w:rPr>
          <w:color w:val="auto"/>
        </w:rPr>
        <w:br w:type="page"/>
      </w:r>
    </w:p>
    <w:p w14:paraId="50908AFE">
      <w:pPr>
        <w:pStyle w:val="8"/>
        <w:spacing w:line="246" w:lineRule="auto"/>
        <w:rPr>
          <w:color w:val="auto"/>
        </w:rPr>
      </w:pPr>
    </w:p>
    <w:p w14:paraId="543101D9">
      <w:pPr>
        <w:spacing w:before="91" w:line="219" w:lineRule="auto"/>
        <w:ind w:left="2446"/>
        <w:rPr>
          <w:rFonts w:hint="eastAsia" w:ascii="宋体" w:hAnsi="宋体" w:eastAsia="宋体" w:cs="宋体"/>
          <w:color w:val="auto"/>
          <w:sz w:val="28"/>
          <w:szCs w:val="28"/>
          <w:lang w:eastAsia="zh-CN"/>
        </w:rPr>
      </w:pPr>
      <w:r>
        <w:rPr>
          <w:rFonts w:ascii="宋体" w:hAnsi="宋体" w:eastAsia="宋体" w:cs="宋体"/>
          <w:b/>
          <w:bCs/>
          <w:color w:val="auto"/>
          <w:spacing w:val="-5"/>
          <w:sz w:val="28"/>
          <w:szCs w:val="28"/>
          <w:lang w:eastAsia="zh-CN"/>
        </w:rPr>
        <w:t>电、风、水、砂石基础单价汇总表</w:t>
      </w:r>
    </w:p>
    <w:p w14:paraId="7720B7EC">
      <w:pPr>
        <w:spacing w:before="206" w:line="220" w:lineRule="auto"/>
        <w:ind w:left="13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z w:val="24"/>
          <w:szCs w:val="24"/>
          <w:lang w:eastAsia="zh-CN"/>
        </w:rPr>
        <w:t>　　　　　　　　　　</w:t>
      </w:r>
      <w:r>
        <w:rPr>
          <w:rFonts w:ascii="宋体" w:hAnsi="宋体" w:eastAsia="宋体" w:cs="宋体"/>
          <w:color w:val="auto"/>
          <w:spacing w:val="-1"/>
          <w:sz w:val="24"/>
          <w:szCs w:val="24"/>
          <w:lang w:eastAsia="zh-CN"/>
        </w:rPr>
        <w:t>第</w:t>
      </w:r>
      <w:r>
        <w:rPr>
          <w:rFonts w:hint="eastAsia" w:ascii="宋体" w:hAnsi="宋体" w:eastAsia="宋体" w:cs="宋体"/>
          <w:color w:val="auto"/>
          <w:spacing w:val="1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7"/>
          <w:sz w:val="24"/>
          <w:szCs w:val="24"/>
          <w:lang w:eastAsia="zh-CN"/>
        </w:rPr>
        <w:t>　</w:t>
      </w:r>
      <w:r>
        <w:rPr>
          <w:rFonts w:ascii="宋体" w:hAnsi="宋体" w:eastAsia="宋体" w:cs="宋体"/>
          <w:color w:val="auto"/>
          <w:spacing w:val="-2"/>
          <w:sz w:val="24"/>
          <w:szCs w:val="24"/>
          <w:lang w:eastAsia="zh-CN"/>
        </w:rPr>
        <w:t>页</w:t>
      </w:r>
    </w:p>
    <w:p w14:paraId="3D3CCD9F">
      <w:pPr>
        <w:spacing w:line="143" w:lineRule="exact"/>
        <w:rPr>
          <w:color w:val="auto"/>
          <w:lang w:eastAsia="zh-CN"/>
        </w:rPr>
      </w:pPr>
    </w:p>
    <w:tbl>
      <w:tblPr>
        <w:tblStyle w:val="20"/>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6"/>
        <w:gridCol w:w="3129"/>
        <w:gridCol w:w="1078"/>
        <w:gridCol w:w="1893"/>
        <w:gridCol w:w="1903"/>
      </w:tblGrid>
      <w:tr w14:paraId="48A10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006" w:type="dxa"/>
            <w:tcBorders>
              <w:top w:val="single" w:color="000000" w:sz="6" w:space="0"/>
              <w:left w:val="single" w:color="000000" w:sz="6" w:space="0"/>
            </w:tcBorders>
            <w:vAlign w:val="center"/>
          </w:tcPr>
          <w:p w14:paraId="60A93463">
            <w:pPr>
              <w:pStyle w:val="21"/>
              <w:jc w:val="center"/>
              <w:rPr>
                <w:rFonts w:hint="eastAsia"/>
                <w:color w:val="auto"/>
                <w:sz w:val="24"/>
                <w:szCs w:val="24"/>
              </w:rPr>
            </w:pPr>
            <w:r>
              <w:rPr>
                <w:color w:val="auto"/>
                <w:spacing w:val="-3"/>
                <w:sz w:val="24"/>
                <w:szCs w:val="24"/>
              </w:rPr>
              <w:t>序号</w:t>
            </w:r>
          </w:p>
        </w:tc>
        <w:tc>
          <w:tcPr>
            <w:tcW w:w="3129" w:type="dxa"/>
            <w:tcBorders>
              <w:top w:val="single" w:color="000000" w:sz="6" w:space="0"/>
            </w:tcBorders>
            <w:vAlign w:val="center"/>
          </w:tcPr>
          <w:p w14:paraId="564B9BD2">
            <w:pPr>
              <w:pStyle w:val="21"/>
              <w:jc w:val="center"/>
              <w:rPr>
                <w:rFonts w:hint="eastAsia"/>
                <w:color w:val="auto"/>
                <w:sz w:val="24"/>
                <w:szCs w:val="24"/>
              </w:rPr>
            </w:pPr>
            <w:r>
              <w:rPr>
                <w:color w:val="auto"/>
                <w:spacing w:val="-7"/>
                <w:sz w:val="24"/>
                <w:szCs w:val="24"/>
              </w:rPr>
              <w:t>名</w:t>
            </w:r>
            <w:r>
              <w:rPr>
                <w:rFonts w:hint="eastAsia"/>
                <w:color w:val="auto"/>
                <w:spacing w:val="1"/>
                <w:sz w:val="24"/>
                <w:szCs w:val="24"/>
                <w:lang w:eastAsia="zh-CN"/>
              </w:rPr>
              <w:t>　　　</w:t>
            </w:r>
            <w:r>
              <w:rPr>
                <w:color w:val="auto"/>
                <w:spacing w:val="-7"/>
                <w:sz w:val="24"/>
                <w:szCs w:val="24"/>
              </w:rPr>
              <w:t>称</w:t>
            </w:r>
          </w:p>
        </w:tc>
        <w:tc>
          <w:tcPr>
            <w:tcW w:w="1078" w:type="dxa"/>
            <w:tcBorders>
              <w:top w:val="single" w:color="000000" w:sz="6" w:space="0"/>
            </w:tcBorders>
            <w:vAlign w:val="center"/>
          </w:tcPr>
          <w:p w14:paraId="2DA5A9AC">
            <w:pPr>
              <w:pStyle w:val="21"/>
              <w:jc w:val="center"/>
              <w:rPr>
                <w:rFonts w:hint="eastAsia"/>
                <w:color w:val="auto"/>
                <w:sz w:val="24"/>
                <w:szCs w:val="24"/>
              </w:rPr>
            </w:pPr>
            <w:r>
              <w:rPr>
                <w:color w:val="auto"/>
                <w:spacing w:val="-3"/>
                <w:sz w:val="24"/>
                <w:szCs w:val="24"/>
              </w:rPr>
              <w:t>计量</w:t>
            </w:r>
          </w:p>
          <w:p w14:paraId="476AF1EB">
            <w:pPr>
              <w:pStyle w:val="21"/>
              <w:jc w:val="center"/>
              <w:rPr>
                <w:rFonts w:hint="eastAsia"/>
                <w:color w:val="auto"/>
                <w:sz w:val="24"/>
                <w:szCs w:val="24"/>
              </w:rPr>
            </w:pPr>
            <w:r>
              <w:rPr>
                <w:color w:val="auto"/>
                <w:spacing w:val="-3"/>
                <w:sz w:val="24"/>
                <w:szCs w:val="24"/>
              </w:rPr>
              <w:t>单位</w:t>
            </w:r>
          </w:p>
        </w:tc>
        <w:tc>
          <w:tcPr>
            <w:tcW w:w="1893" w:type="dxa"/>
            <w:tcBorders>
              <w:top w:val="single" w:color="000000" w:sz="6" w:space="0"/>
            </w:tcBorders>
            <w:vAlign w:val="center"/>
          </w:tcPr>
          <w:p w14:paraId="6CCF9451">
            <w:pPr>
              <w:pStyle w:val="21"/>
              <w:jc w:val="center"/>
              <w:rPr>
                <w:rFonts w:hint="eastAsia"/>
                <w:color w:val="auto"/>
                <w:sz w:val="24"/>
                <w:szCs w:val="24"/>
              </w:rPr>
            </w:pPr>
            <w:r>
              <w:rPr>
                <w:color w:val="auto"/>
                <w:spacing w:val="-5"/>
                <w:sz w:val="24"/>
                <w:szCs w:val="24"/>
              </w:rPr>
              <w:t>单价（元）</w:t>
            </w:r>
          </w:p>
        </w:tc>
        <w:tc>
          <w:tcPr>
            <w:tcW w:w="1903" w:type="dxa"/>
            <w:tcBorders>
              <w:top w:val="single" w:color="000000" w:sz="6" w:space="0"/>
              <w:right w:val="single" w:color="000000" w:sz="6" w:space="0"/>
            </w:tcBorders>
            <w:vAlign w:val="center"/>
          </w:tcPr>
          <w:p w14:paraId="7279E05B">
            <w:pPr>
              <w:pStyle w:val="21"/>
              <w:jc w:val="center"/>
              <w:rPr>
                <w:rFonts w:hint="eastAsia"/>
                <w:color w:val="auto"/>
                <w:sz w:val="24"/>
                <w:szCs w:val="24"/>
              </w:rPr>
            </w:pPr>
            <w:r>
              <w:rPr>
                <w:color w:val="auto"/>
                <w:spacing w:val="-4"/>
                <w:sz w:val="24"/>
                <w:szCs w:val="24"/>
              </w:rPr>
              <w:t>备注</w:t>
            </w:r>
          </w:p>
        </w:tc>
      </w:tr>
      <w:tr w14:paraId="438A1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6503E7B4">
            <w:pPr>
              <w:rPr>
                <w:color w:val="auto"/>
              </w:rPr>
            </w:pPr>
          </w:p>
        </w:tc>
        <w:tc>
          <w:tcPr>
            <w:tcW w:w="3129" w:type="dxa"/>
          </w:tcPr>
          <w:p w14:paraId="61DCD9BA">
            <w:pPr>
              <w:rPr>
                <w:color w:val="auto"/>
              </w:rPr>
            </w:pPr>
          </w:p>
        </w:tc>
        <w:tc>
          <w:tcPr>
            <w:tcW w:w="1078" w:type="dxa"/>
          </w:tcPr>
          <w:p w14:paraId="70999FA4">
            <w:pPr>
              <w:rPr>
                <w:color w:val="auto"/>
              </w:rPr>
            </w:pPr>
          </w:p>
        </w:tc>
        <w:tc>
          <w:tcPr>
            <w:tcW w:w="1893" w:type="dxa"/>
          </w:tcPr>
          <w:p w14:paraId="508E4612">
            <w:pPr>
              <w:rPr>
                <w:color w:val="auto"/>
              </w:rPr>
            </w:pPr>
          </w:p>
        </w:tc>
        <w:tc>
          <w:tcPr>
            <w:tcW w:w="1903" w:type="dxa"/>
            <w:tcBorders>
              <w:right w:val="single" w:color="000000" w:sz="6" w:space="0"/>
            </w:tcBorders>
          </w:tcPr>
          <w:p w14:paraId="7D23052A">
            <w:pPr>
              <w:rPr>
                <w:color w:val="auto"/>
              </w:rPr>
            </w:pPr>
          </w:p>
        </w:tc>
      </w:tr>
      <w:tr w14:paraId="6C307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006" w:type="dxa"/>
            <w:tcBorders>
              <w:left w:val="single" w:color="000000" w:sz="6" w:space="0"/>
            </w:tcBorders>
          </w:tcPr>
          <w:p w14:paraId="241F5071">
            <w:pPr>
              <w:rPr>
                <w:color w:val="auto"/>
              </w:rPr>
            </w:pPr>
          </w:p>
        </w:tc>
        <w:tc>
          <w:tcPr>
            <w:tcW w:w="3129" w:type="dxa"/>
          </w:tcPr>
          <w:p w14:paraId="605DC46F">
            <w:pPr>
              <w:rPr>
                <w:color w:val="auto"/>
              </w:rPr>
            </w:pPr>
          </w:p>
        </w:tc>
        <w:tc>
          <w:tcPr>
            <w:tcW w:w="1078" w:type="dxa"/>
          </w:tcPr>
          <w:p w14:paraId="0845B7CF">
            <w:pPr>
              <w:rPr>
                <w:color w:val="auto"/>
              </w:rPr>
            </w:pPr>
          </w:p>
        </w:tc>
        <w:tc>
          <w:tcPr>
            <w:tcW w:w="1893" w:type="dxa"/>
          </w:tcPr>
          <w:p w14:paraId="75A93FBC">
            <w:pPr>
              <w:rPr>
                <w:color w:val="auto"/>
              </w:rPr>
            </w:pPr>
          </w:p>
        </w:tc>
        <w:tc>
          <w:tcPr>
            <w:tcW w:w="1903" w:type="dxa"/>
            <w:tcBorders>
              <w:right w:val="single" w:color="000000" w:sz="6" w:space="0"/>
            </w:tcBorders>
          </w:tcPr>
          <w:p w14:paraId="78FF10B2">
            <w:pPr>
              <w:rPr>
                <w:color w:val="auto"/>
              </w:rPr>
            </w:pPr>
          </w:p>
        </w:tc>
      </w:tr>
      <w:tr w14:paraId="37BB9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1972B693">
            <w:pPr>
              <w:rPr>
                <w:color w:val="auto"/>
              </w:rPr>
            </w:pPr>
          </w:p>
        </w:tc>
        <w:tc>
          <w:tcPr>
            <w:tcW w:w="3129" w:type="dxa"/>
          </w:tcPr>
          <w:p w14:paraId="60D2D62E">
            <w:pPr>
              <w:rPr>
                <w:color w:val="auto"/>
              </w:rPr>
            </w:pPr>
          </w:p>
        </w:tc>
        <w:tc>
          <w:tcPr>
            <w:tcW w:w="1078" w:type="dxa"/>
          </w:tcPr>
          <w:p w14:paraId="136F8612">
            <w:pPr>
              <w:rPr>
                <w:color w:val="auto"/>
              </w:rPr>
            </w:pPr>
          </w:p>
        </w:tc>
        <w:tc>
          <w:tcPr>
            <w:tcW w:w="1893" w:type="dxa"/>
          </w:tcPr>
          <w:p w14:paraId="38770E79">
            <w:pPr>
              <w:rPr>
                <w:color w:val="auto"/>
              </w:rPr>
            </w:pPr>
          </w:p>
        </w:tc>
        <w:tc>
          <w:tcPr>
            <w:tcW w:w="1903" w:type="dxa"/>
            <w:tcBorders>
              <w:right w:val="single" w:color="000000" w:sz="6" w:space="0"/>
            </w:tcBorders>
          </w:tcPr>
          <w:p w14:paraId="4A72F8B2">
            <w:pPr>
              <w:rPr>
                <w:color w:val="auto"/>
              </w:rPr>
            </w:pPr>
          </w:p>
        </w:tc>
      </w:tr>
      <w:tr w14:paraId="505B4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tcPr>
          <w:p w14:paraId="336090AD">
            <w:pPr>
              <w:rPr>
                <w:color w:val="auto"/>
              </w:rPr>
            </w:pPr>
          </w:p>
        </w:tc>
        <w:tc>
          <w:tcPr>
            <w:tcW w:w="3129" w:type="dxa"/>
          </w:tcPr>
          <w:p w14:paraId="1A9B00A9">
            <w:pPr>
              <w:rPr>
                <w:color w:val="auto"/>
              </w:rPr>
            </w:pPr>
          </w:p>
        </w:tc>
        <w:tc>
          <w:tcPr>
            <w:tcW w:w="1078" w:type="dxa"/>
          </w:tcPr>
          <w:p w14:paraId="477515A2">
            <w:pPr>
              <w:rPr>
                <w:color w:val="auto"/>
              </w:rPr>
            </w:pPr>
          </w:p>
        </w:tc>
        <w:tc>
          <w:tcPr>
            <w:tcW w:w="1893" w:type="dxa"/>
          </w:tcPr>
          <w:p w14:paraId="71CBB134">
            <w:pPr>
              <w:rPr>
                <w:color w:val="auto"/>
              </w:rPr>
            </w:pPr>
          </w:p>
        </w:tc>
        <w:tc>
          <w:tcPr>
            <w:tcW w:w="1903" w:type="dxa"/>
            <w:tcBorders>
              <w:right w:val="single" w:color="000000" w:sz="6" w:space="0"/>
            </w:tcBorders>
          </w:tcPr>
          <w:p w14:paraId="2E5A116D">
            <w:pPr>
              <w:rPr>
                <w:color w:val="auto"/>
              </w:rPr>
            </w:pPr>
          </w:p>
        </w:tc>
      </w:tr>
      <w:tr w14:paraId="3679F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59CE1F30">
            <w:pPr>
              <w:rPr>
                <w:color w:val="auto"/>
              </w:rPr>
            </w:pPr>
          </w:p>
        </w:tc>
        <w:tc>
          <w:tcPr>
            <w:tcW w:w="3129" w:type="dxa"/>
          </w:tcPr>
          <w:p w14:paraId="538F65CE">
            <w:pPr>
              <w:rPr>
                <w:color w:val="auto"/>
              </w:rPr>
            </w:pPr>
          </w:p>
        </w:tc>
        <w:tc>
          <w:tcPr>
            <w:tcW w:w="1078" w:type="dxa"/>
          </w:tcPr>
          <w:p w14:paraId="3F4162DB">
            <w:pPr>
              <w:rPr>
                <w:color w:val="auto"/>
              </w:rPr>
            </w:pPr>
          </w:p>
        </w:tc>
        <w:tc>
          <w:tcPr>
            <w:tcW w:w="1893" w:type="dxa"/>
          </w:tcPr>
          <w:p w14:paraId="4A7A4F4A">
            <w:pPr>
              <w:rPr>
                <w:color w:val="auto"/>
              </w:rPr>
            </w:pPr>
          </w:p>
        </w:tc>
        <w:tc>
          <w:tcPr>
            <w:tcW w:w="1903" w:type="dxa"/>
            <w:tcBorders>
              <w:right w:val="single" w:color="000000" w:sz="6" w:space="0"/>
            </w:tcBorders>
          </w:tcPr>
          <w:p w14:paraId="51409AA8">
            <w:pPr>
              <w:rPr>
                <w:color w:val="auto"/>
              </w:rPr>
            </w:pPr>
          </w:p>
        </w:tc>
      </w:tr>
      <w:tr w14:paraId="6B6DB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7F33A15B">
            <w:pPr>
              <w:rPr>
                <w:color w:val="auto"/>
              </w:rPr>
            </w:pPr>
          </w:p>
        </w:tc>
        <w:tc>
          <w:tcPr>
            <w:tcW w:w="3129" w:type="dxa"/>
          </w:tcPr>
          <w:p w14:paraId="7AC20DAD">
            <w:pPr>
              <w:rPr>
                <w:color w:val="auto"/>
              </w:rPr>
            </w:pPr>
          </w:p>
        </w:tc>
        <w:tc>
          <w:tcPr>
            <w:tcW w:w="1078" w:type="dxa"/>
          </w:tcPr>
          <w:p w14:paraId="01939C2A">
            <w:pPr>
              <w:rPr>
                <w:color w:val="auto"/>
              </w:rPr>
            </w:pPr>
          </w:p>
        </w:tc>
        <w:tc>
          <w:tcPr>
            <w:tcW w:w="1893" w:type="dxa"/>
          </w:tcPr>
          <w:p w14:paraId="16DAA38B">
            <w:pPr>
              <w:rPr>
                <w:color w:val="auto"/>
              </w:rPr>
            </w:pPr>
          </w:p>
        </w:tc>
        <w:tc>
          <w:tcPr>
            <w:tcW w:w="1903" w:type="dxa"/>
            <w:tcBorders>
              <w:right w:val="single" w:color="000000" w:sz="6" w:space="0"/>
            </w:tcBorders>
          </w:tcPr>
          <w:p w14:paraId="5CC0CC62">
            <w:pPr>
              <w:rPr>
                <w:color w:val="auto"/>
              </w:rPr>
            </w:pPr>
          </w:p>
        </w:tc>
      </w:tr>
      <w:tr w14:paraId="3E954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tcPr>
          <w:p w14:paraId="6BE499FD">
            <w:pPr>
              <w:rPr>
                <w:color w:val="auto"/>
              </w:rPr>
            </w:pPr>
          </w:p>
        </w:tc>
        <w:tc>
          <w:tcPr>
            <w:tcW w:w="3129" w:type="dxa"/>
          </w:tcPr>
          <w:p w14:paraId="3BF480E9">
            <w:pPr>
              <w:rPr>
                <w:color w:val="auto"/>
              </w:rPr>
            </w:pPr>
          </w:p>
        </w:tc>
        <w:tc>
          <w:tcPr>
            <w:tcW w:w="1078" w:type="dxa"/>
          </w:tcPr>
          <w:p w14:paraId="2E024A2E">
            <w:pPr>
              <w:rPr>
                <w:color w:val="auto"/>
              </w:rPr>
            </w:pPr>
          </w:p>
        </w:tc>
        <w:tc>
          <w:tcPr>
            <w:tcW w:w="1893" w:type="dxa"/>
          </w:tcPr>
          <w:p w14:paraId="28E490E4">
            <w:pPr>
              <w:rPr>
                <w:color w:val="auto"/>
              </w:rPr>
            </w:pPr>
          </w:p>
        </w:tc>
        <w:tc>
          <w:tcPr>
            <w:tcW w:w="1903" w:type="dxa"/>
            <w:tcBorders>
              <w:right w:val="single" w:color="000000" w:sz="6" w:space="0"/>
            </w:tcBorders>
          </w:tcPr>
          <w:p w14:paraId="63974DEC">
            <w:pPr>
              <w:rPr>
                <w:color w:val="auto"/>
              </w:rPr>
            </w:pPr>
          </w:p>
        </w:tc>
      </w:tr>
      <w:tr w14:paraId="14167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7EFC0BF9">
            <w:pPr>
              <w:rPr>
                <w:color w:val="auto"/>
              </w:rPr>
            </w:pPr>
          </w:p>
        </w:tc>
        <w:tc>
          <w:tcPr>
            <w:tcW w:w="3129" w:type="dxa"/>
          </w:tcPr>
          <w:p w14:paraId="266448B1">
            <w:pPr>
              <w:rPr>
                <w:color w:val="auto"/>
              </w:rPr>
            </w:pPr>
          </w:p>
        </w:tc>
        <w:tc>
          <w:tcPr>
            <w:tcW w:w="1078" w:type="dxa"/>
          </w:tcPr>
          <w:p w14:paraId="7045843E">
            <w:pPr>
              <w:rPr>
                <w:color w:val="auto"/>
              </w:rPr>
            </w:pPr>
          </w:p>
        </w:tc>
        <w:tc>
          <w:tcPr>
            <w:tcW w:w="1893" w:type="dxa"/>
          </w:tcPr>
          <w:p w14:paraId="35EF257A">
            <w:pPr>
              <w:rPr>
                <w:color w:val="auto"/>
              </w:rPr>
            </w:pPr>
          </w:p>
        </w:tc>
        <w:tc>
          <w:tcPr>
            <w:tcW w:w="1903" w:type="dxa"/>
            <w:tcBorders>
              <w:right w:val="single" w:color="000000" w:sz="6" w:space="0"/>
            </w:tcBorders>
          </w:tcPr>
          <w:p w14:paraId="327D82FA">
            <w:pPr>
              <w:rPr>
                <w:color w:val="auto"/>
              </w:rPr>
            </w:pPr>
          </w:p>
        </w:tc>
      </w:tr>
      <w:tr w14:paraId="0EECF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tcPr>
          <w:p w14:paraId="3D4004AF">
            <w:pPr>
              <w:rPr>
                <w:color w:val="auto"/>
              </w:rPr>
            </w:pPr>
          </w:p>
        </w:tc>
        <w:tc>
          <w:tcPr>
            <w:tcW w:w="3129" w:type="dxa"/>
          </w:tcPr>
          <w:p w14:paraId="5C00779A">
            <w:pPr>
              <w:rPr>
                <w:color w:val="auto"/>
              </w:rPr>
            </w:pPr>
          </w:p>
        </w:tc>
        <w:tc>
          <w:tcPr>
            <w:tcW w:w="1078" w:type="dxa"/>
          </w:tcPr>
          <w:p w14:paraId="18F93A78">
            <w:pPr>
              <w:rPr>
                <w:color w:val="auto"/>
              </w:rPr>
            </w:pPr>
          </w:p>
        </w:tc>
        <w:tc>
          <w:tcPr>
            <w:tcW w:w="1893" w:type="dxa"/>
          </w:tcPr>
          <w:p w14:paraId="2C44DA2C">
            <w:pPr>
              <w:rPr>
                <w:color w:val="auto"/>
              </w:rPr>
            </w:pPr>
          </w:p>
        </w:tc>
        <w:tc>
          <w:tcPr>
            <w:tcW w:w="1903" w:type="dxa"/>
            <w:tcBorders>
              <w:right w:val="single" w:color="000000" w:sz="6" w:space="0"/>
            </w:tcBorders>
          </w:tcPr>
          <w:p w14:paraId="687295E2">
            <w:pPr>
              <w:rPr>
                <w:color w:val="auto"/>
              </w:rPr>
            </w:pPr>
          </w:p>
        </w:tc>
      </w:tr>
      <w:tr w14:paraId="65488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350E04E1">
            <w:pPr>
              <w:rPr>
                <w:color w:val="auto"/>
              </w:rPr>
            </w:pPr>
          </w:p>
        </w:tc>
        <w:tc>
          <w:tcPr>
            <w:tcW w:w="3129" w:type="dxa"/>
          </w:tcPr>
          <w:p w14:paraId="75DE0101">
            <w:pPr>
              <w:rPr>
                <w:color w:val="auto"/>
              </w:rPr>
            </w:pPr>
          </w:p>
        </w:tc>
        <w:tc>
          <w:tcPr>
            <w:tcW w:w="1078" w:type="dxa"/>
          </w:tcPr>
          <w:p w14:paraId="60D97853">
            <w:pPr>
              <w:rPr>
                <w:color w:val="auto"/>
              </w:rPr>
            </w:pPr>
          </w:p>
        </w:tc>
        <w:tc>
          <w:tcPr>
            <w:tcW w:w="1893" w:type="dxa"/>
          </w:tcPr>
          <w:p w14:paraId="11E9F6D3">
            <w:pPr>
              <w:rPr>
                <w:color w:val="auto"/>
              </w:rPr>
            </w:pPr>
          </w:p>
        </w:tc>
        <w:tc>
          <w:tcPr>
            <w:tcW w:w="1903" w:type="dxa"/>
            <w:tcBorders>
              <w:right w:val="single" w:color="000000" w:sz="6" w:space="0"/>
            </w:tcBorders>
          </w:tcPr>
          <w:p w14:paraId="57AEBAFE">
            <w:pPr>
              <w:rPr>
                <w:color w:val="auto"/>
              </w:rPr>
            </w:pPr>
          </w:p>
        </w:tc>
      </w:tr>
      <w:tr w14:paraId="5102A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29862DEF">
            <w:pPr>
              <w:rPr>
                <w:color w:val="auto"/>
              </w:rPr>
            </w:pPr>
          </w:p>
        </w:tc>
        <w:tc>
          <w:tcPr>
            <w:tcW w:w="3129" w:type="dxa"/>
          </w:tcPr>
          <w:p w14:paraId="1B9CE1A6">
            <w:pPr>
              <w:rPr>
                <w:color w:val="auto"/>
              </w:rPr>
            </w:pPr>
          </w:p>
        </w:tc>
        <w:tc>
          <w:tcPr>
            <w:tcW w:w="1078" w:type="dxa"/>
          </w:tcPr>
          <w:p w14:paraId="6C895D24">
            <w:pPr>
              <w:rPr>
                <w:color w:val="auto"/>
              </w:rPr>
            </w:pPr>
          </w:p>
        </w:tc>
        <w:tc>
          <w:tcPr>
            <w:tcW w:w="1893" w:type="dxa"/>
          </w:tcPr>
          <w:p w14:paraId="6CC724FD">
            <w:pPr>
              <w:rPr>
                <w:color w:val="auto"/>
              </w:rPr>
            </w:pPr>
          </w:p>
        </w:tc>
        <w:tc>
          <w:tcPr>
            <w:tcW w:w="1903" w:type="dxa"/>
            <w:tcBorders>
              <w:right w:val="single" w:color="000000" w:sz="6" w:space="0"/>
            </w:tcBorders>
          </w:tcPr>
          <w:p w14:paraId="2EE2E1F1">
            <w:pPr>
              <w:rPr>
                <w:color w:val="auto"/>
              </w:rPr>
            </w:pPr>
          </w:p>
        </w:tc>
      </w:tr>
      <w:tr w14:paraId="201B77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tcPr>
          <w:p w14:paraId="6CE3D39F">
            <w:pPr>
              <w:rPr>
                <w:color w:val="auto"/>
              </w:rPr>
            </w:pPr>
          </w:p>
        </w:tc>
        <w:tc>
          <w:tcPr>
            <w:tcW w:w="3129" w:type="dxa"/>
          </w:tcPr>
          <w:p w14:paraId="7B3A77D0">
            <w:pPr>
              <w:rPr>
                <w:color w:val="auto"/>
              </w:rPr>
            </w:pPr>
          </w:p>
        </w:tc>
        <w:tc>
          <w:tcPr>
            <w:tcW w:w="1078" w:type="dxa"/>
          </w:tcPr>
          <w:p w14:paraId="0D136CEA">
            <w:pPr>
              <w:rPr>
                <w:color w:val="auto"/>
              </w:rPr>
            </w:pPr>
          </w:p>
        </w:tc>
        <w:tc>
          <w:tcPr>
            <w:tcW w:w="1893" w:type="dxa"/>
          </w:tcPr>
          <w:p w14:paraId="3D45F458">
            <w:pPr>
              <w:rPr>
                <w:color w:val="auto"/>
              </w:rPr>
            </w:pPr>
          </w:p>
        </w:tc>
        <w:tc>
          <w:tcPr>
            <w:tcW w:w="1903" w:type="dxa"/>
            <w:tcBorders>
              <w:right w:val="single" w:color="000000" w:sz="6" w:space="0"/>
            </w:tcBorders>
          </w:tcPr>
          <w:p w14:paraId="3FBBBBAB">
            <w:pPr>
              <w:rPr>
                <w:color w:val="auto"/>
              </w:rPr>
            </w:pPr>
          </w:p>
        </w:tc>
      </w:tr>
      <w:tr w14:paraId="4BCF2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58D55D2C">
            <w:pPr>
              <w:rPr>
                <w:color w:val="auto"/>
              </w:rPr>
            </w:pPr>
          </w:p>
        </w:tc>
        <w:tc>
          <w:tcPr>
            <w:tcW w:w="3129" w:type="dxa"/>
          </w:tcPr>
          <w:p w14:paraId="0C644E29">
            <w:pPr>
              <w:rPr>
                <w:color w:val="auto"/>
              </w:rPr>
            </w:pPr>
          </w:p>
        </w:tc>
        <w:tc>
          <w:tcPr>
            <w:tcW w:w="1078" w:type="dxa"/>
          </w:tcPr>
          <w:p w14:paraId="7F1720F4">
            <w:pPr>
              <w:rPr>
                <w:color w:val="auto"/>
              </w:rPr>
            </w:pPr>
          </w:p>
        </w:tc>
        <w:tc>
          <w:tcPr>
            <w:tcW w:w="1893" w:type="dxa"/>
          </w:tcPr>
          <w:p w14:paraId="35583B55">
            <w:pPr>
              <w:rPr>
                <w:color w:val="auto"/>
              </w:rPr>
            </w:pPr>
          </w:p>
        </w:tc>
        <w:tc>
          <w:tcPr>
            <w:tcW w:w="1903" w:type="dxa"/>
            <w:tcBorders>
              <w:right w:val="single" w:color="000000" w:sz="6" w:space="0"/>
            </w:tcBorders>
          </w:tcPr>
          <w:p w14:paraId="14E90E1D">
            <w:pPr>
              <w:rPr>
                <w:color w:val="auto"/>
              </w:rPr>
            </w:pPr>
          </w:p>
        </w:tc>
      </w:tr>
      <w:tr w14:paraId="24AD1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tcPr>
          <w:p w14:paraId="65193618">
            <w:pPr>
              <w:rPr>
                <w:color w:val="auto"/>
              </w:rPr>
            </w:pPr>
          </w:p>
        </w:tc>
        <w:tc>
          <w:tcPr>
            <w:tcW w:w="3129" w:type="dxa"/>
          </w:tcPr>
          <w:p w14:paraId="133D2EE8">
            <w:pPr>
              <w:rPr>
                <w:color w:val="auto"/>
              </w:rPr>
            </w:pPr>
          </w:p>
        </w:tc>
        <w:tc>
          <w:tcPr>
            <w:tcW w:w="1078" w:type="dxa"/>
          </w:tcPr>
          <w:p w14:paraId="2D3D3B3F">
            <w:pPr>
              <w:rPr>
                <w:color w:val="auto"/>
              </w:rPr>
            </w:pPr>
          </w:p>
        </w:tc>
        <w:tc>
          <w:tcPr>
            <w:tcW w:w="1893" w:type="dxa"/>
          </w:tcPr>
          <w:p w14:paraId="2116A5DF">
            <w:pPr>
              <w:rPr>
                <w:color w:val="auto"/>
              </w:rPr>
            </w:pPr>
          </w:p>
        </w:tc>
        <w:tc>
          <w:tcPr>
            <w:tcW w:w="1903" w:type="dxa"/>
            <w:tcBorders>
              <w:right w:val="single" w:color="000000" w:sz="6" w:space="0"/>
            </w:tcBorders>
          </w:tcPr>
          <w:p w14:paraId="7CE62883">
            <w:pPr>
              <w:rPr>
                <w:color w:val="auto"/>
              </w:rPr>
            </w:pPr>
          </w:p>
        </w:tc>
      </w:tr>
      <w:tr w14:paraId="37D10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1F072681">
            <w:pPr>
              <w:rPr>
                <w:color w:val="auto"/>
              </w:rPr>
            </w:pPr>
          </w:p>
        </w:tc>
        <w:tc>
          <w:tcPr>
            <w:tcW w:w="3129" w:type="dxa"/>
          </w:tcPr>
          <w:p w14:paraId="705CD4C3">
            <w:pPr>
              <w:rPr>
                <w:color w:val="auto"/>
              </w:rPr>
            </w:pPr>
          </w:p>
        </w:tc>
        <w:tc>
          <w:tcPr>
            <w:tcW w:w="1078" w:type="dxa"/>
          </w:tcPr>
          <w:p w14:paraId="345B3BFF">
            <w:pPr>
              <w:rPr>
                <w:color w:val="auto"/>
              </w:rPr>
            </w:pPr>
          </w:p>
        </w:tc>
        <w:tc>
          <w:tcPr>
            <w:tcW w:w="1893" w:type="dxa"/>
          </w:tcPr>
          <w:p w14:paraId="2B19628E">
            <w:pPr>
              <w:rPr>
                <w:color w:val="auto"/>
              </w:rPr>
            </w:pPr>
          </w:p>
        </w:tc>
        <w:tc>
          <w:tcPr>
            <w:tcW w:w="1903" w:type="dxa"/>
            <w:tcBorders>
              <w:right w:val="single" w:color="000000" w:sz="6" w:space="0"/>
            </w:tcBorders>
          </w:tcPr>
          <w:p w14:paraId="07E6AEEA">
            <w:pPr>
              <w:rPr>
                <w:color w:val="auto"/>
              </w:rPr>
            </w:pPr>
          </w:p>
        </w:tc>
      </w:tr>
      <w:tr w14:paraId="67FD4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tcPr>
          <w:p w14:paraId="69C11AB6">
            <w:pPr>
              <w:rPr>
                <w:color w:val="auto"/>
              </w:rPr>
            </w:pPr>
          </w:p>
        </w:tc>
        <w:tc>
          <w:tcPr>
            <w:tcW w:w="3129" w:type="dxa"/>
          </w:tcPr>
          <w:p w14:paraId="302ABADE">
            <w:pPr>
              <w:rPr>
                <w:color w:val="auto"/>
              </w:rPr>
            </w:pPr>
          </w:p>
        </w:tc>
        <w:tc>
          <w:tcPr>
            <w:tcW w:w="1078" w:type="dxa"/>
          </w:tcPr>
          <w:p w14:paraId="724FAF10">
            <w:pPr>
              <w:rPr>
                <w:color w:val="auto"/>
              </w:rPr>
            </w:pPr>
          </w:p>
        </w:tc>
        <w:tc>
          <w:tcPr>
            <w:tcW w:w="1893" w:type="dxa"/>
          </w:tcPr>
          <w:p w14:paraId="75FBDF89">
            <w:pPr>
              <w:rPr>
                <w:color w:val="auto"/>
              </w:rPr>
            </w:pPr>
          </w:p>
        </w:tc>
        <w:tc>
          <w:tcPr>
            <w:tcW w:w="1903" w:type="dxa"/>
            <w:tcBorders>
              <w:right w:val="single" w:color="000000" w:sz="6" w:space="0"/>
            </w:tcBorders>
          </w:tcPr>
          <w:p w14:paraId="5ABB8C2B">
            <w:pPr>
              <w:rPr>
                <w:color w:val="auto"/>
              </w:rPr>
            </w:pPr>
          </w:p>
        </w:tc>
      </w:tr>
      <w:tr w14:paraId="2657B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tcPr>
          <w:p w14:paraId="79DEFD7F">
            <w:pPr>
              <w:rPr>
                <w:color w:val="auto"/>
              </w:rPr>
            </w:pPr>
          </w:p>
        </w:tc>
        <w:tc>
          <w:tcPr>
            <w:tcW w:w="3129" w:type="dxa"/>
          </w:tcPr>
          <w:p w14:paraId="7AAFE798">
            <w:pPr>
              <w:rPr>
                <w:color w:val="auto"/>
              </w:rPr>
            </w:pPr>
          </w:p>
        </w:tc>
        <w:tc>
          <w:tcPr>
            <w:tcW w:w="1078" w:type="dxa"/>
          </w:tcPr>
          <w:p w14:paraId="4954B92A">
            <w:pPr>
              <w:rPr>
                <w:color w:val="auto"/>
              </w:rPr>
            </w:pPr>
          </w:p>
        </w:tc>
        <w:tc>
          <w:tcPr>
            <w:tcW w:w="1893" w:type="dxa"/>
          </w:tcPr>
          <w:p w14:paraId="52505F57">
            <w:pPr>
              <w:rPr>
                <w:color w:val="auto"/>
              </w:rPr>
            </w:pPr>
          </w:p>
        </w:tc>
        <w:tc>
          <w:tcPr>
            <w:tcW w:w="1903" w:type="dxa"/>
            <w:tcBorders>
              <w:right w:val="single" w:color="000000" w:sz="6" w:space="0"/>
            </w:tcBorders>
          </w:tcPr>
          <w:p w14:paraId="706679B3">
            <w:pPr>
              <w:rPr>
                <w:color w:val="auto"/>
              </w:rPr>
            </w:pPr>
          </w:p>
        </w:tc>
      </w:tr>
      <w:tr w14:paraId="4A169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006" w:type="dxa"/>
            <w:tcBorders>
              <w:left w:val="single" w:color="000000" w:sz="6" w:space="0"/>
              <w:bottom w:val="single" w:color="000000" w:sz="6" w:space="0"/>
            </w:tcBorders>
          </w:tcPr>
          <w:p w14:paraId="0D9B745C">
            <w:pPr>
              <w:rPr>
                <w:color w:val="auto"/>
              </w:rPr>
            </w:pPr>
          </w:p>
        </w:tc>
        <w:tc>
          <w:tcPr>
            <w:tcW w:w="3129" w:type="dxa"/>
            <w:tcBorders>
              <w:bottom w:val="single" w:color="000000" w:sz="6" w:space="0"/>
            </w:tcBorders>
          </w:tcPr>
          <w:p w14:paraId="1FCBAFD0">
            <w:pPr>
              <w:rPr>
                <w:color w:val="auto"/>
              </w:rPr>
            </w:pPr>
          </w:p>
        </w:tc>
        <w:tc>
          <w:tcPr>
            <w:tcW w:w="1078" w:type="dxa"/>
            <w:tcBorders>
              <w:bottom w:val="single" w:color="000000" w:sz="6" w:space="0"/>
            </w:tcBorders>
          </w:tcPr>
          <w:p w14:paraId="64246F7D">
            <w:pPr>
              <w:rPr>
                <w:color w:val="auto"/>
              </w:rPr>
            </w:pPr>
          </w:p>
        </w:tc>
        <w:tc>
          <w:tcPr>
            <w:tcW w:w="1893" w:type="dxa"/>
            <w:tcBorders>
              <w:bottom w:val="single" w:color="000000" w:sz="6" w:space="0"/>
            </w:tcBorders>
          </w:tcPr>
          <w:p w14:paraId="64D5FFB3">
            <w:pPr>
              <w:rPr>
                <w:color w:val="auto"/>
              </w:rPr>
            </w:pPr>
          </w:p>
        </w:tc>
        <w:tc>
          <w:tcPr>
            <w:tcW w:w="1903" w:type="dxa"/>
            <w:tcBorders>
              <w:bottom w:val="single" w:color="000000" w:sz="6" w:space="0"/>
              <w:right w:val="single" w:color="000000" w:sz="6" w:space="0"/>
            </w:tcBorders>
          </w:tcPr>
          <w:p w14:paraId="00BF6872">
            <w:pPr>
              <w:rPr>
                <w:color w:val="auto"/>
              </w:rPr>
            </w:pPr>
          </w:p>
        </w:tc>
      </w:tr>
    </w:tbl>
    <w:p w14:paraId="60DAD451">
      <w:pPr>
        <w:pStyle w:val="8"/>
        <w:rPr>
          <w:color w:val="auto"/>
        </w:rPr>
      </w:pPr>
    </w:p>
    <w:p w14:paraId="461008E8">
      <w:pPr>
        <w:rPr>
          <w:color w:val="auto"/>
        </w:rPr>
        <w:sectPr>
          <w:footerReference r:id="rId22" w:type="default"/>
          <w:pgSz w:w="11907" w:h="16841"/>
          <w:pgMar w:top="1417" w:right="1411" w:bottom="1254" w:left="1471" w:header="0" w:footer="1093" w:gutter="0"/>
          <w:pgNumType w:fmt="numberInDash"/>
          <w:cols w:space="720" w:num="1"/>
        </w:sectPr>
      </w:pPr>
    </w:p>
    <w:p w14:paraId="7032922E">
      <w:pPr>
        <w:spacing w:before="91" w:line="219" w:lineRule="auto"/>
        <w:ind w:left="5025"/>
        <w:rPr>
          <w:rFonts w:hint="eastAsia" w:ascii="宋体" w:hAnsi="宋体" w:eastAsia="宋体" w:cs="宋体"/>
          <w:color w:val="auto"/>
          <w:sz w:val="28"/>
          <w:szCs w:val="28"/>
          <w:lang w:eastAsia="zh-CN"/>
        </w:rPr>
      </w:pPr>
      <w:r>
        <w:rPr>
          <w:rFonts w:ascii="宋体" w:hAnsi="宋体" w:eastAsia="宋体" w:cs="宋体"/>
          <w:b/>
          <w:bCs/>
          <w:color w:val="auto"/>
          <w:spacing w:val="-3"/>
          <w:sz w:val="28"/>
          <w:szCs w:val="28"/>
          <w:lang w:eastAsia="zh-CN"/>
        </w:rPr>
        <w:t>混凝土（砂浆）配合比材料费表</w:t>
      </w:r>
    </w:p>
    <w:p w14:paraId="5F1EF01C">
      <w:pPr>
        <w:spacing w:before="205" w:line="220" w:lineRule="auto"/>
        <w:ind w:left="1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pacing w:val="-1"/>
          <w:sz w:val="24"/>
          <w:szCs w:val="24"/>
          <w:lang w:eastAsia="zh-CN"/>
        </w:rPr>
        <w:t>　　　　　　　　　　　　　　　　　　　　　　　　　　　</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第</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w:t>
      </w:r>
    </w:p>
    <w:p w14:paraId="40EE56B0">
      <w:pPr>
        <w:spacing w:line="143" w:lineRule="exact"/>
        <w:rPr>
          <w:color w:val="auto"/>
          <w:lang w:eastAsia="zh-CN"/>
        </w:rPr>
      </w:pPr>
    </w:p>
    <w:tbl>
      <w:tblPr>
        <w:tblStyle w:val="20"/>
        <w:tblW w:w="140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2"/>
        <w:gridCol w:w="1230"/>
        <w:gridCol w:w="837"/>
        <w:gridCol w:w="810"/>
        <w:gridCol w:w="868"/>
        <w:gridCol w:w="1342"/>
        <w:gridCol w:w="1242"/>
        <w:gridCol w:w="1163"/>
        <w:gridCol w:w="1187"/>
        <w:gridCol w:w="995"/>
        <w:gridCol w:w="1311"/>
        <w:gridCol w:w="1316"/>
        <w:gridCol w:w="1062"/>
      </w:tblGrid>
      <w:tr w14:paraId="7550D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jc w:val="center"/>
        </w:trPr>
        <w:tc>
          <w:tcPr>
            <w:tcW w:w="642" w:type="dxa"/>
            <w:vMerge w:val="restart"/>
            <w:tcBorders>
              <w:top w:val="single" w:color="000000" w:sz="6" w:space="0"/>
              <w:left w:val="single" w:color="000000" w:sz="6" w:space="0"/>
              <w:bottom w:val="nil"/>
            </w:tcBorders>
            <w:vAlign w:val="center"/>
          </w:tcPr>
          <w:p w14:paraId="128062BA">
            <w:pPr>
              <w:pStyle w:val="21"/>
              <w:widowControl w:val="0"/>
              <w:kinsoku/>
              <w:topLinePunct/>
              <w:autoSpaceDE/>
              <w:jc w:val="center"/>
              <w:rPr>
                <w:rFonts w:hint="eastAsia"/>
                <w:color w:val="auto"/>
                <w:sz w:val="24"/>
                <w:szCs w:val="24"/>
              </w:rPr>
            </w:pPr>
            <w:r>
              <w:rPr>
                <w:rFonts w:hint="eastAsia"/>
                <w:color w:val="auto"/>
                <w:spacing w:val="-5"/>
                <w:sz w:val="24"/>
                <w:szCs w:val="24"/>
                <w:lang w:eastAsia="zh-CN"/>
              </w:rPr>
              <w:t>序号</w:t>
            </w:r>
          </w:p>
        </w:tc>
        <w:tc>
          <w:tcPr>
            <w:tcW w:w="1230" w:type="dxa"/>
            <w:vMerge w:val="restart"/>
            <w:tcBorders>
              <w:top w:val="single" w:color="000000" w:sz="6" w:space="0"/>
              <w:bottom w:val="nil"/>
            </w:tcBorders>
            <w:vAlign w:val="center"/>
          </w:tcPr>
          <w:p w14:paraId="6258234E">
            <w:pPr>
              <w:pStyle w:val="21"/>
              <w:widowControl w:val="0"/>
              <w:kinsoku/>
              <w:topLinePunct/>
              <w:autoSpaceDE/>
              <w:jc w:val="center"/>
              <w:rPr>
                <w:rFonts w:hint="eastAsia"/>
                <w:color w:val="auto"/>
                <w:spacing w:val="-5"/>
                <w:sz w:val="24"/>
                <w:szCs w:val="24"/>
                <w:lang w:eastAsia="zh-CN"/>
              </w:rPr>
            </w:pPr>
            <w:r>
              <w:rPr>
                <w:color w:val="auto"/>
                <w:spacing w:val="-5"/>
                <w:sz w:val="24"/>
                <w:szCs w:val="24"/>
                <w:lang w:eastAsia="zh-CN"/>
              </w:rPr>
              <w:t>混凝土</w:t>
            </w:r>
          </w:p>
          <w:p w14:paraId="6A4F47D7">
            <w:pPr>
              <w:pStyle w:val="21"/>
              <w:widowControl w:val="0"/>
              <w:kinsoku/>
              <w:topLinePunct/>
              <w:autoSpaceDE/>
              <w:jc w:val="center"/>
              <w:rPr>
                <w:rFonts w:hint="eastAsia"/>
                <w:color w:val="auto"/>
                <w:spacing w:val="-8"/>
                <w:sz w:val="24"/>
                <w:szCs w:val="24"/>
                <w:lang w:eastAsia="zh-CN"/>
              </w:rPr>
            </w:pPr>
            <w:r>
              <w:rPr>
                <w:color w:val="auto"/>
                <w:spacing w:val="-8"/>
                <w:sz w:val="24"/>
                <w:szCs w:val="24"/>
                <w:lang w:eastAsia="zh-CN"/>
              </w:rPr>
              <w:t>（砂浆）</w:t>
            </w:r>
          </w:p>
          <w:p w14:paraId="7E840182">
            <w:pPr>
              <w:pStyle w:val="21"/>
              <w:widowControl w:val="0"/>
              <w:kinsoku/>
              <w:topLinePunct/>
              <w:autoSpaceDE/>
              <w:jc w:val="center"/>
              <w:rPr>
                <w:rFonts w:hint="eastAsia"/>
                <w:color w:val="auto"/>
                <w:sz w:val="24"/>
                <w:szCs w:val="24"/>
                <w:lang w:eastAsia="zh-CN"/>
              </w:rPr>
            </w:pPr>
            <w:r>
              <w:rPr>
                <w:color w:val="auto"/>
                <w:spacing w:val="-4"/>
                <w:sz w:val="24"/>
                <w:szCs w:val="24"/>
                <w:lang w:eastAsia="zh-CN"/>
              </w:rPr>
              <w:t>强度等级</w:t>
            </w:r>
          </w:p>
        </w:tc>
        <w:tc>
          <w:tcPr>
            <w:tcW w:w="837" w:type="dxa"/>
            <w:vMerge w:val="restart"/>
            <w:tcBorders>
              <w:top w:val="single" w:color="000000" w:sz="6" w:space="0"/>
              <w:bottom w:val="nil"/>
            </w:tcBorders>
            <w:vAlign w:val="center"/>
          </w:tcPr>
          <w:p w14:paraId="293AC27A">
            <w:pPr>
              <w:pStyle w:val="21"/>
              <w:widowControl w:val="0"/>
              <w:kinsoku/>
              <w:topLinePunct/>
              <w:autoSpaceDE/>
              <w:jc w:val="center"/>
              <w:rPr>
                <w:rFonts w:hint="eastAsia"/>
                <w:color w:val="auto"/>
                <w:sz w:val="24"/>
                <w:szCs w:val="24"/>
              </w:rPr>
            </w:pPr>
            <w:r>
              <w:rPr>
                <w:color w:val="auto"/>
                <w:spacing w:val="-7"/>
                <w:sz w:val="24"/>
                <w:szCs w:val="24"/>
              </w:rPr>
              <w:t>水泥</w:t>
            </w:r>
            <w:r>
              <w:rPr>
                <w:color w:val="auto"/>
                <w:spacing w:val="-8"/>
                <w:sz w:val="24"/>
                <w:szCs w:val="24"/>
              </w:rPr>
              <w:t>强度</w:t>
            </w:r>
            <w:r>
              <w:rPr>
                <w:color w:val="auto"/>
                <w:spacing w:val="-3"/>
                <w:sz w:val="24"/>
                <w:szCs w:val="24"/>
              </w:rPr>
              <w:t>等级</w:t>
            </w:r>
          </w:p>
        </w:tc>
        <w:tc>
          <w:tcPr>
            <w:tcW w:w="810" w:type="dxa"/>
            <w:vMerge w:val="restart"/>
            <w:tcBorders>
              <w:top w:val="single" w:color="000000" w:sz="6" w:space="0"/>
              <w:bottom w:val="nil"/>
            </w:tcBorders>
            <w:vAlign w:val="center"/>
          </w:tcPr>
          <w:p w14:paraId="4E438BAD">
            <w:pPr>
              <w:pStyle w:val="21"/>
              <w:widowControl w:val="0"/>
              <w:kinsoku/>
              <w:topLinePunct/>
              <w:autoSpaceDE/>
              <w:jc w:val="center"/>
              <w:rPr>
                <w:rFonts w:hint="eastAsia"/>
                <w:color w:val="auto"/>
                <w:sz w:val="24"/>
                <w:szCs w:val="24"/>
              </w:rPr>
            </w:pPr>
            <w:r>
              <w:rPr>
                <w:color w:val="auto"/>
                <w:spacing w:val="-4"/>
                <w:sz w:val="24"/>
                <w:szCs w:val="24"/>
              </w:rPr>
              <w:t>级配</w:t>
            </w:r>
          </w:p>
        </w:tc>
        <w:tc>
          <w:tcPr>
            <w:tcW w:w="868" w:type="dxa"/>
            <w:vMerge w:val="restart"/>
            <w:tcBorders>
              <w:top w:val="single" w:color="000000" w:sz="6" w:space="0"/>
              <w:bottom w:val="nil"/>
            </w:tcBorders>
            <w:vAlign w:val="center"/>
          </w:tcPr>
          <w:p w14:paraId="10523F05">
            <w:pPr>
              <w:pStyle w:val="21"/>
              <w:widowControl w:val="0"/>
              <w:kinsoku/>
              <w:topLinePunct/>
              <w:autoSpaceDE/>
              <w:jc w:val="center"/>
              <w:rPr>
                <w:rFonts w:hint="eastAsia"/>
                <w:color w:val="auto"/>
                <w:sz w:val="24"/>
                <w:szCs w:val="24"/>
              </w:rPr>
            </w:pPr>
            <w:r>
              <w:rPr>
                <w:color w:val="auto"/>
                <w:spacing w:val="-7"/>
                <w:sz w:val="24"/>
                <w:szCs w:val="24"/>
              </w:rPr>
              <w:t>水灰</w:t>
            </w:r>
            <w:r>
              <w:rPr>
                <w:color w:val="auto"/>
                <w:sz w:val="24"/>
                <w:szCs w:val="24"/>
              </w:rPr>
              <w:t>比</w:t>
            </w:r>
          </w:p>
        </w:tc>
        <w:tc>
          <w:tcPr>
            <w:tcW w:w="5929" w:type="dxa"/>
            <w:gridSpan w:val="5"/>
            <w:tcBorders>
              <w:top w:val="single" w:color="000000" w:sz="6" w:space="0"/>
            </w:tcBorders>
            <w:vAlign w:val="center"/>
          </w:tcPr>
          <w:p w14:paraId="3E486E1F">
            <w:pPr>
              <w:pStyle w:val="21"/>
              <w:widowControl w:val="0"/>
              <w:kinsoku/>
              <w:topLinePunct/>
              <w:autoSpaceDE/>
              <w:jc w:val="center"/>
              <w:rPr>
                <w:rFonts w:hint="eastAsia"/>
                <w:color w:val="auto"/>
                <w:sz w:val="24"/>
                <w:szCs w:val="24"/>
                <w:lang w:eastAsia="zh-CN"/>
              </w:rPr>
            </w:pPr>
            <w:r>
              <w:rPr>
                <w:color w:val="auto"/>
                <w:spacing w:val="-1"/>
                <w:sz w:val="24"/>
                <w:szCs w:val="24"/>
                <w:lang w:eastAsia="zh-CN"/>
              </w:rPr>
              <w:t>每</w:t>
            </w:r>
            <w:r>
              <w:rPr>
                <w:rFonts w:ascii="Times New Roman" w:hAnsi="Times New Roman" w:eastAsia="Times New Roman" w:cs="Times New Roman"/>
                <w:color w:val="auto"/>
                <w:spacing w:val="-1"/>
                <w:sz w:val="24"/>
                <w:szCs w:val="24"/>
                <w:lang w:eastAsia="zh-CN"/>
              </w:rPr>
              <w:t>m</w:t>
            </w:r>
            <w:r>
              <w:rPr>
                <w:rFonts w:ascii="Times New Roman" w:hAnsi="Times New Roman" w:eastAsia="Times New Roman" w:cs="Times New Roman"/>
                <w:color w:val="auto"/>
                <w:spacing w:val="-1"/>
                <w:position w:val="8"/>
                <w:sz w:val="16"/>
                <w:szCs w:val="16"/>
                <w:lang w:eastAsia="zh-CN"/>
              </w:rPr>
              <w:t>3</w:t>
            </w:r>
            <w:r>
              <w:rPr>
                <w:color w:val="auto"/>
                <w:spacing w:val="-1"/>
                <w:sz w:val="24"/>
                <w:szCs w:val="24"/>
                <w:lang w:eastAsia="zh-CN"/>
              </w:rPr>
              <w:t>混凝土材料预算量</w:t>
            </w:r>
          </w:p>
        </w:tc>
        <w:tc>
          <w:tcPr>
            <w:tcW w:w="1311" w:type="dxa"/>
            <w:vMerge w:val="restart"/>
            <w:tcBorders>
              <w:top w:val="single" w:color="000000" w:sz="6" w:space="0"/>
              <w:bottom w:val="nil"/>
            </w:tcBorders>
            <w:vAlign w:val="center"/>
          </w:tcPr>
          <w:p w14:paraId="7BB563CA">
            <w:pPr>
              <w:pStyle w:val="21"/>
              <w:widowControl w:val="0"/>
              <w:kinsoku/>
              <w:topLinePunct/>
              <w:autoSpaceDE/>
              <w:jc w:val="center"/>
              <w:rPr>
                <w:rFonts w:hint="eastAsia"/>
                <w:color w:val="auto"/>
                <w:spacing w:val="-7"/>
                <w:sz w:val="24"/>
                <w:szCs w:val="24"/>
              </w:rPr>
            </w:pPr>
            <w:r>
              <w:rPr>
                <w:color w:val="auto"/>
                <w:spacing w:val="-7"/>
                <w:sz w:val="24"/>
                <w:szCs w:val="24"/>
              </w:rPr>
              <w:t>单价</w:t>
            </w:r>
          </w:p>
          <w:p w14:paraId="78C235FD">
            <w:pPr>
              <w:pStyle w:val="21"/>
              <w:widowControl w:val="0"/>
              <w:kinsoku/>
              <w:topLinePunct/>
              <w:autoSpaceDE/>
              <w:jc w:val="center"/>
              <w:rPr>
                <w:rFonts w:hint="eastAsia"/>
                <w:color w:val="auto"/>
                <w:spacing w:val="-7"/>
                <w:sz w:val="24"/>
                <w:szCs w:val="24"/>
              </w:rPr>
            </w:pPr>
            <w:r>
              <w:rPr>
                <w:color w:val="auto"/>
                <w:spacing w:val="-7"/>
                <w:sz w:val="24"/>
                <w:szCs w:val="24"/>
              </w:rPr>
              <w:t>（元/m</w:t>
            </w:r>
            <w:r>
              <w:rPr>
                <w:rFonts w:ascii="Times New Roman" w:hAnsi="Times New Roman" w:eastAsia="Times New Roman" w:cs="Times New Roman"/>
                <w:color w:val="auto"/>
                <w:spacing w:val="-1"/>
                <w:position w:val="8"/>
                <w:sz w:val="16"/>
                <w:szCs w:val="16"/>
              </w:rPr>
              <w:t>3</w:t>
            </w:r>
            <w:r>
              <w:rPr>
                <w:color w:val="auto"/>
                <w:spacing w:val="-7"/>
                <w:sz w:val="24"/>
                <w:szCs w:val="24"/>
              </w:rPr>
              <w:t>）</w:t>
            </w:r>
          </w:p>
        </w:tc>
        <w:tc>
          <w:tcPr>
            <w:tcW w:w="1316" w:type="dxa"/>
            <w:vMerge w:val="restart"/>
            <w:tcBorders>
              <w:top w:val="single" w:color="000000" w:sz="6" w:space="0"/>
              <w:bottom w:val="nil"/>
            </w:tcBorders>
            <w:vAlign w:val="center"/>
          </w:tcPr>
          <w:p w14:paraId="4D9E239E">
            <w:pPr>
              <w:pStyle w:val="21"/>
              <w:widowControl w:val="0"/>
              <w:kinsoku/>
              <w:topLinePunct/>
              <w:autoSpaceDE/>
              <w:jc w:val="center"/>
              <w:rPr>
                <w:rFonts w:hint="eastAsia"/>
                <w:color w:val="auto"/>
                <w:spacing w:val="-7"/>
                <w:sz w:val="24"/>
                <w:szCs w:val="24"/>
              </w:rPr>
            </w:pPr>
            <w:r>
              <w:rPr>
                <w:color w:val="auto"/>
                <w:spacing w:val="-7"/>
                <w:sz w:val="24"/>
                <w:szCs w:val="24"/>
              </w:rPr>
              <w:t>补差</w:t>
            </w:r>
          </w:p>
          <w:p w14:paraId="46C95637">
            <w:pPr>
              <w:pStyle w:val="21"/>
              <w:widowControl w:val="0"/>
              <w:kinsoku/>
              <w:topLinePunct/>
              <w:autoSpaceDE/>
              <w:jc w:val="center"/>
              <w:rPr>
                <w:rFonts w:hint="eastAsia"/>
                <w:color w:val="auto"/>
                <w:spacing w:val="-7"/>
                <w:sz w:val="24"/>
                <w:szCs w:val="24"/>
              </w:rPr>
            </w:pPr>
            <w:r>
              <w:rPr>
                <w:color w:val="auto"/>
                <w:spacing w:val="-7"/>
                <w:sz w:val="24"/>
                <w:szCs w:val="24"/>
              </w:rPr>
              <w:t>（元/m</w:t>
            </w:r>
            <w:r>
              <w:rPr>
                <w:rFonts w:ascii="Times New Roman" w:hAnsi="Times New Roman" w:eastAsia="Times New Roman" w:cs="Times New Roman"/>
                <w:color w:val="auto"/>
                <w:spacing w:val="-1"/>
                <w:position w:val="8"/>
                <w:sz w:val="16"/>
                <w:szCs w:val="16"/>
              </w:rPr>
              <w:t>3</w:t>
            </w:r>
            <w:r>
              <w:rPr>
                <w:color w:val="auto"/>
                <w:spacing w:val="-7"/>
                <w:sz w:val="24"/>
                <w:szCs w:val="24"/>
              </w:rPr>
              <w:t>）</w:t>
            </w:r>
          </w:p>
        </w:tc>
        <w:tc>
          <w:tcPr>
            <w:tcW w:w="1062" w:type="dxa"/>
            <w:vMerge w:val="restart"/>
            <w:tcBorders>
              <w:top w:val="single" w:color="000000" w:sz="6" w:space="0"/>
              <w:bottom w:val="nil"/>
              <w:right w:val="single" w:color="000000" w:sz="6" w:space="0"/>
            </w:tcBorders>
            <w:vAlign w:val="center"/>
          </w:tcPr>
          <w:p w14:paraId="34FD5273">
            <w:pPr>
              <w:pStyle w:val="21"/>
              <w:widowControl w:val="0"/>
              <w:kinsoku/>
              <w:topLinePunct/>
              <w:autoSpaceDE/>
              <w:jc w:val="center"/>
              <w:rPr>
                <w:rFonts w:hint="eastAsia"/>
                <w:color w:val="auto"/>
                <w:sz w:val="24"/>
                <w:szCs w:val="24"/>
              </w:rPr>
            </w:pPr>
            <w:r>
              <w:rPr>
                <w:color w:val="auto"/>
                <w:spacing w:val="-7"/>
                <w:sz w:val="24"/>
                <w:szCs w:val="24"/>
              </w:rPr>
              <w:t>备注</w:t>
            </w:r>
          </w:p>
        </w:tc>
      </w:tr>
      <w:tr w14:paraId="64EB7A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642" w:type="dxa"/>
            <w:vMerge w:val="continue"/>
            <w:tcBorders>
              <w:top w:val="nil"/>
              <w:left w:val="single" w:color="000000" w:sz="6" w:space="0"/>
              <w:bottom w:val="nil"/>
            </w:tcBorders>
            <w:textDirection w:val="tbRlV"/>
            <w:vAlign w:val="center"/>
          </w:tcPr>
          <w:p w14:paraId="38665BAD">
            <w:pPr>
              <w:widowControl w:val="0"/>
              <w:kinsoku/>
              <w:topLinePunct/>
              <w:autoSpaceDE/>
              <w:jc w:val="center"/>
              <w:rPr>
                <w:color w:val="auto"/>
              </w:rPr>
            </w:pPr>
          </w:p>
        </w:tc>
        <w:tc>
          <w:tcPr>
            <w:tcW w:w="1230" w:type="dxa"/>
            <w:vMerge w:val="continue"/>
            <w:tcBorders>
              <w:top w:val="nil"/>
              <w:bottom w:val="nil"/>
            </w:tcBorders>
            <w:vAlign w:val="center"/>
          </w:tcPr>
          <w:p w14:paraId="49D7DF94">
            <w:pPr>
              <w:widowControl w:val="0"/>
              <w:kinsoku/>
              <w:topLinePunct/>
              <w:autoSpaceDE/>
              <w:jc w:val="center"/>
              <w:rPr>
                <w:color w:val="auto"/>
              </w:rPr>
            </w:pPr>
          </w:p>
        </w:tc>
        <w:tc>
          <w:tcPr>
            <w:tcW w:w="837" w:type="dxa"/>
            <w:vMerge w:val="continue"/>
            <w:tcBorders>
              <w:top w:val="nil"/>
              <w:bottom w:val="nil"/>
            </w:tcBorders>
            <w:vAlign w:val="center"/>
          </w:tcPr>
          <w:p w14:paraId="79A90189">
            <w:pPr>
              <w:widowControl w:val="0"/>
              <w:kinsoku/>
              <w:topLinePunct/>
              <w:autoSpaceDE/>
              <w:jc w:val="center"/>
              <w:rPr>
                <w:color w:val="auto"/>
              </w:rPr>
            </w:pPr>
          </w:p>
        </w:tc>
        <w:tc>
          <w:tcPr>
            <w:tcW w:w="810" w:type="dxa"/>
            <w:vMerge w:val="continue"/>
            <w:tcBorders>
              <w:top w:val="nil"/>
              <w:bottom w:val="nil"/>
            </w:tcBorders>
            <w:vAlign w:val="center"/>
          </w:tcPr>
          <w:p w14:paraId="63ACDDA1">
            <w:pPr>
              <w:widowControl w:val="0"/>
              <w:kinsoku/>
              <w:topLinePunct/>
              <w:autoSpaceDE/>
              <w:jc w:val="center"/>
              <w:rPr>
                <w:color w:val="auto"/>
              </w:rPr>
            </w:pPr>
          </w:p>
        </w:tc>
        <w:tc>
          <w:tcPr>
            <w:tcW w:w="868" w:type="dxa"/>
            <w:vMerge w:val="continue"/>
            <w:tcBorders>
              <w:top w:val="nil"/>
              <w:bottom w:val="nil"/>
            </w:tcBorders>
            <w:vAlign w:val="center"/>
          </w:tcPr>
          <w:p w14:paraId="79BF42E0">
            <w:pPr>
              <w:widowControl w:val="0"/>
              <w:kinsoku/>
              <w:topLinePunct/>
              <w:autoSpaceDE/>
              <w:jc w:val="center"/>
              <w:rPr>
                <w:color w:val="auto"/>
              </w:rPr>
            </w:pPr>
          </w:p>
        </w:tc>
        <w:tc>
          <w:tcPr>
            <w:tcW w:w="1342" w:type="dxa"/>
            <w:vAlign w:val="center"/>
          </w:tcPr>
          <w:p w14:paraId="39757FF7">
            <w:pPr>
              <w:pStyle w:val="21"/>
              <w:widowControl w:val="0"/>
              <w:kinsoku/>
              <w:topLinePunct/>
              <w:autoSpaceDE/>
              <w:jc w:val="center"/>
              <w:rPr>
                <w:rFonts w:hint="eastAsia"/>
                <w:color w:val="auto"/>
                <w:sz w:val="24"/>
                <w:szCs w:val="24"/>
              </w:rPr>
            </w:pPr>
            <w:r>
              <w:rPr>
                <w:color w:val="auto"/>
                <w:spacing w:val="-7"/>
                <w:sz w:val="24"/>
                <w:szCs w:val="24"/>
              </w:rPr>
              <w:t>水泥</w:t>
            </w:r>
            <w:r>
              <w:rPr>
                <w:color w:val="auto"/>
                <w:spacing w:val="-8"/>
                <w:sz w:val="24"/>
                <w:szCs w:val="24"/>
              </w:rPr>
              <w:t>（</w:t>
            </w:r>
            <w:r>
              <w:rPr>
                <w:rFonts w:ascii="Times New Roman" w:hAnsi="Times New Roman" w:eastAsia="Times New Roman" w:cs="Times New Roman"/>
                <w:color w:val="auto"/>
                <w:spacing w:val="-8"/>
                <w:sz w:val="24"/>
                <w:szCs w:val="24"/>
              </w:rPr>
              <w:t>kg</w:t>
            </w:r>
            <w:r>
              <w:rPr>
                <w:color w:val="auto"/>
                <w:spacing w:val="-8"/>
                <w:sz w:val="24"/>
                <w:szCs w:val="24"/>
              </w:rPr>
              <w:t>）</w:t>
            </w:r>
          </w:p>
        </w:tc>
        <w:tc>
          <w:tcPr>
            <w:tcW w:w="1242" w:type="dxa"/>
            <w:vAlign w:val="center"/>
          </w:tcPr>
          <w:p w14:paraId="6BBAF27B">
            <w:pPr>
              <w:pStyle w:val="21"/>
              <w:widowControl w:val="0"/>
              <w:kinsoku/>
              <w:topLinePunct/>
              <w:autoSpaceDE/>
              <w:jc w:val="center"/>
              <w:rPr>
                <w:rFonts w:hint="eastAsia"/>
                <w:color w:val="auto"/>
                <w:spacing w:val="-6"/>
                <w:sz w:val="24"/>
                <w:szCs w:val="24"/>
              </w:rPr>
            </w:pPr>
            <w:r>
              <w:rPr>
                <w:color w:val="auto"/>
                <w:spacing w:val="-6"/>
                <w:sz w:val="24"/>
                <w:szCs w:val="24"/>
              </w:rPr>
              <w:t>砂（m</w:t>
            </w:r>
            <w:r>
              <w:rPr>
                <w:rFonts w:ascii="Times New Roman" w:hAnsi="Times New Roman" w:eastAsia="Times New Roman" w:cs="Times New Roman"/>
                <w:color w:val="auto"/>
                <w:spacing w:val="-1"/>
                <w:position w:val="8"/>
                <w:sz w:val="16"/>
                <w:szCs w:val="16"/>
              </w:rPr>
              <w:t>3</w:t>
            </w:r>
            <w:r>
              <w:rPr>
                <w:color w:val="auto"/>
                <w:spacing w:val="-6"/>
                <w:sz w:val="24"/>
                <w:szCs w:val="24"/>
              </w:rPr>
              <w:t>）</w:t>
            </w:r>
          </w:p>
        </w:tc>
        <w:tc>
          <w:tcPr>
            <w:tcW w:w="1163" w:type="dxa"/>
            <w:vAlign w:val="center"/>
          </w:tcPr>
          <w:p w14:paraId="7DF54B05">
            <w:pPr>
              <w:pStyle w:val="21"/>
              <w:widowControl w:val="0"/>
              <w:kinsoku/>
              <w:topLinePunct/>
              <w:autoSpaceDE/>
              <w:jc w:val="center"/>
              <w:rPr>
                <w:rFonts w:hint="eastAsia"/>
                <w:color w:val="auto"/>
                <w:spacing w:val="-6"/>
                <w:sz w:val="24"/>
                <w:szCs w:val="24"/>
              </w:rPr>
            </w:pPr>
            <w:r>
              <w:rPr>
                <w:color w:val="auto"/>
                <w:spacing w:val="-6"/>
                <w:sz w:val="24"/>
                <w:szCs w:val="24"/>
              </w:rPr>
              <w:t>石（m</w:t>
            </w:r>
            <w:r>
              <w:rPr>
                <w:rFonts w:ascii="Times New Roman" w:hAnsi="Times New Roman" w:eastAsia="Times New Roman" w:cs="Times New Roman"/>
                <w:color w:val="auto"/>
                <w:spacing w:val="-1"/>
                <w:position w:val="8"/>
                <w:sz w:val="16"/>
                <w:szCs w:val="16"/>
              </w:rPr>
              <w:t>3</w:t>
            </w:r>
            <w:r>
              <w:rPr>
                <w:color w:val="auto"/>
                <w:spacing w:val="-6"/>
                <w:sz w:val="24"/>
                <w:szCs w:val="24"/>
              </w:rPr>
              <w:t>）</w:t>
            </w:r>
          </w:p>
        </w:tc>
        <w:tc>
          <w:tcPr>
            <w:tcW w:w="1187" w:type="dxa"/>
            <w:vAlign w:val="center"/>
          </w:tcPr>
          <w:p w14:paraId="464C0636">
            <w:pPr>
              <w:pStyle w:val="21"/>
              <w:widowControl w:val="0"/>
              <w:kinsoku/>
              <w:topLinePunct/>
              <w:autoSpaceDE/>
              <w:jc w:val="center"/>
              <w:rPr>
                <w:rFonts w:hint="eastAsia"/>
                <w:color w:val="auto"/>
                <w:spacing w:val="-6"/>
                <w:sz w:val="24"/>
                <w:szCs w:val="24"/>
              </w:rPr>
            </w:pPr>
            <w:r>
              <w:rPr>
                <w:color w:val="auto"/>
                <w:spacing w:val="-6"/>
                <w:sz w:val="24"/>
                <w:szCs w:val="24"/>
              </w:rPr>
              <w:t>水（m</w:t>
            </w:r>
            <w:r>
              <w:rPr>
                <w:rFonts w:ascii="Times New Roman" w:hAnsi="Times New Roman" w:eastAsia="Times New Roman" w:cs="Times New Roman"/>
                <w:color w:val="auto"/>
                <w:spacing w:val="-1"/>
                <w:position w:val="8"/>
                <w:sz w:val="16"/>
                <w:szCs w:val="16"/>
              </w:rPr>
              <w:t>3</w:t>
            </w:r>
            <w:r>
              <w:rPr>
                <w:color w:val="auto"/>
                <w:spacing w:val="-6"/>
                <w:sz w:val="24"/>
                <w:szCs w:val="24"/>
              </w:rPr>
              <w:t>）</w:t>
            </w:r>
          </w:p>
        </w:tc>
        <w:tc>
          <w:tcPr>
            <w:tcW w:w="995" w:type="dxa"/>
            <w:vAlign w:val="center"/>
          </w:tcPr>
          <w:p w14:paraId="6D972825">
            <w:pPr>
              <w:widowControl w:val="0"/>
              <w:kinsoku/>
              <w:topLinePunct/>
              <w:autoSpaceDE/>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7"/>
                <w:position w:val="-1"/>
                <w:sz w:val="24"/>
                <w:szCs w:val="24"/>
                <w:lang w:eastAsia="zh-CN"/>
              </w:rPr>
              <w:t>……</w:t>
            </w:r>
          </w:p>
        </w:tc>
        <w:tc>
          <w:tcPr>
            <w:tcW w:w="1311" w:type="dxa"/>
            <w:vMerge w:val="continue"/>
            <w:tcBorders>
              <w:top w:val="nil"/>
              <w:bottom w:val="nil"/>
            </w:tcBorders>
            <w:vAlign w:val="center"/>
          </w:tcPr>
          <w:p w14:paraId="5AEC0E2C">
            <w:pPr>
              <w:widowControl w:val="0"/>
              <w:kinsoku/>
              <w:topLinePunct/>
              <w:autoSpaceDE/>
              <w:jc w:val="center"/>
              <w:rPr>
                <w:color w:val="auto"/>
              </w:rPr>
            </w:pPr>
          </w:p>
        </w:tc>
        <w:tc>
          <w:tcPr>
            <w:tcW w:w="1316" w:type="dxa"/>
            <w:vMerge w:val="continue"/>
            <w:tcBorders>
              <w:top w:val="nil"/>
              <w:bottom w:val="nil"/>
            </w:tcBorders>
            <w:vAlign w:val="center"/>
          </w:tcPr>
          <w:p w14:paraId="2CE89C35">
            <w:pPr>
              <w:widowControl w:val="0"/>
              <w:kinsoku/>
              <w:topLinePunct/>
              <w:autoSpaceDE/>
              <w:jc w:val="center"/>
              <w:rPr>
                <w:color w:val="auto"/>
              </w:rPr>
            </w:pPr>
          </w:p>
        </w:tc>
        <w:tc>
          <w:tcPr>
            <w:tcW w:w="1062" w:type="dxa"/>
            <w:vMerge w:val="continue"/>
            <w:tcBorders>
              <w:top w:val="nil"/>
              <w:bottom w:val="nil"/>
              <w:right w:val="single" w:color="000000" w:sz="6" w:space="0"/>
            </w:tcBorders>
            <w:vAlign w:val="center"/>
          </w:tcPr>
          <w:p w14:paraId="72BD5825">
            <w:pPr>
              <w:widowControl w:val="0"/>
              <w:kinsoku/>
              <w:topLinePunct/>
              <w:autoSpaceDE/>
              <w:jc w:val="center"/>
              <w:rPr>
                <w:color w:val="auto"/>
              </w:rPr>
            </w:pPr>
          </w:p>
        </w:tc>
      </w:tr>
      <w:tr w14:paraId="6800C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642" w:type="dxa"/>
            <w:vMerge w:val="continue"/>
            <w:tcBorders>
              <w:top w:val="nil"/>
              <w:left w:val="single" w:color="000000" w:sz="6" w:space="0"/>
              <w:bottom w:val="nil"/>
            </w:tcBorders>
            <w:textDirection w:val="tbRlV"/>
            <w:vAlign w:val="center"/>
          </w:tcPr>
          <w:p w14:paraId="38D2F1F3">
            <w:pPr>
              <w:widowControl w:val="0"/>
              <w:kinsoku/>
              <w:topLinePunct/>
              <w:autoSpaceDE/>
              <w:jc w:val="center"/>
              <w:rPr>
                <w:color w:val="auto"/>
              </w:rPr>
            </w:pPr>
          </w:p>
        </w:tc>
        <w:tc>
          <w:tcPr>
            <w:tcW w:w="1230" w:type="dxa"/>
            <w:vMerge w:val="continue"/>
            <w:tcBorders>
              <w:top w:val="nil"/>
              <w:bottom w:val="nil"/>
            </w:tcBorders>
            <w:vAlign w:val="center"/>
          </w:tcPr>
          <w:p w14:paraId="0F98CB33">
            <w:pPr>
              <w:widowControl w:val="0"/>
              <w:kinsoku/>
              <w:topLinePunct/>
              <w:autoSpaceDE/>
              <w:jc w:val="center"/>
              <w:rPr>
                <w:color w:val="auto"/>
              </w:rPr>
            </w:pPr>
          </w:p>
        </w:tc>
        <w:tc>
          <w:tcPr>
            <w:tcW w:w="837" w:type="dxa"/>
            <w:vMerge w:val="continue"/>
            <w:tcBorders>
              <w:top w:val="nil"/>
              <w:bottom w:val="nil"/>
            </w:tcBorders>
            <w:vAlign w:val="center"/>
          </w:tcPr>
          <w:p w14:paraId="73B827C9">
            <w:pPr>
              <w:widowControl w:val="0"/>
              <w:kinsoku/>
              <w:topLinePunct/>
              <w:autoSpaceDE/>
              <w:jc w:val="center"/>
              <w:rPr>
                <w:color w:val="auto"/>
              </w:rPr>
            </w:pPr>
          </w:p>
        </w:tc>
        <w:tc>
          <w:tcPr>
            <w:tcW w:w="810" w:type="dxa"/>
            <w:vMerge w:val="continue"/>
            <w:tcBorders>
              <w:top w:val="nil"/>
              <w:bottom w:val="nil"/>
            </w:tcBorders>
            <w:vAlign w:val="center"/>
          </w:tcPr>
          <w:p w14:paraId="7ADB3610">
            <w:pPr>
              <w:widowControl w:val="0"/>
              <w:kinsoku/>
              <w:topLinePunct/>
              <w:autoSpaceDE/>
              <w:jc w:val="center"/>
              <w:rPr>
                <w:color w:val="auto"/>
              </w:rPr>
            </w:pPr>
          </w:p>
        </w:tc>
        <w:tc>
          <w:tcPr>
            <w:tcW w:w="868" w:type="dxa"/>
            <w:vMerge w:val="continue"/>
            <w:tcBorders>
              <w:top w:val="nil"/>
              <w:bottom w:val="nil"/>
            </w:tcBorders>
            <w:vAlign w:val="center"/>
          </w:tcPr>
          <w:p w14:paraId="46B60151">
            <w:pPr>
              <w:widowControl w:val="0"/>
              <w:kinsoku/>
              <w:topLinePunct/>
              <w:autoSpaceDE/>
              <w:jc w:val="center"/>
              <w:rPr>
                <w:color w:val="auto"/>
              </w:rPr>
            </w:pPr>
          </w:p>
        </w:tc>
        <w:tc>
          <w:tcPr>
            <w:tcW w:w="1342" w:type="dxa"/>
            <w:vAlign w:val="center"/>
          </w:tcPr>
          <w:p w14:paraId="4F5D63DB">
            <w:pPr>
              <w:pStyle w:val="21"/>
              <w:widowControl w:val="0"/>
              <w:kinsoku/>
              <w:topLinePunct/>
              <w:autoSpaceDE/>
              <w:jc w:val="center"/>
              <w:rPr>
                <w:rFonts w:hint="eastAsia"/>
                <w:color w:val="auto"/>
                <w:sz w:val="24"/>
                <w:szCs w:val="24"/>
              </w:rPr>
            </w:pPr>
            <w:r>
              <w:rPr>
                <w:color w:val="auto"/>
                <w:spacing w:val="-6"/>
                <w:sz w:val="24"/>
                <w:szCs w:val="24"/>
              </w:rPr>
              <w:t>（单价）</w:t>
            </w:r>
          </w:p>
        </w:tc>
        <w:tc>
          <w:tcPr>
            <w:tcW w:w="1242" w:type="dxa"/>
            <w:vAlign w:val="center"/>
          </w:tcPr>
          <w:p w14:paraId="4CCCA3D2">
            <w:pPr>
              <w:pStyle w:val="21"/>
              <w:widowControl w:val="0"/>
              <w:kinsoku/>
              <w:topLinePunct/>
              <w:autoSpaceDE/>
              <w:jc w:val="center"/>
              <w:rPr>
                <w:rFonts w:hint="eastAsia"/>
                <w:color w:val="auto"/>
                <w:spacing w:val="-6"/>
                <w:sz w:val="24"/>
                <w:szCs w:val="24"/>
              </w:rPr>
            </w:pPr>
            <w:r>
              <w:rPr>
                <w:color w:val="auto"/>
                <w:spacing w:val="-6"/>
                <w:sz w:val="24"/>
                <w:szCs w:val="24"/>
              </w:rPr>
              <w:t>（单价）</w:t>
            </w:r>
          </w:p>
        </w:tc>
        <w:tc>
          <w:tcPr>
            <w:tcW w:w="1163" w:type="dxa"/>
            <w:vAlign w:val="center"/>
          </w:tcPr>
          <w:p w14:paraId="61B59245">
            <w:pPr>
              <w:pStyle w:val="21"/>
              <w:widowControl w:val="0"/>
              <w:kinsoku/>
              <w:topLinePunct/>
              <w:autoSpaceDE/>
              <w:jc w:val="center"/>
              <w:rPr>
                <w:rFonts w:hint="eastAsia"/>
                <w:color w:val="auto"/>
                <w:spacing w:val="-6"/>
                <w:sz w:val="24"/>
                <w:szCs w:val="24"/>
              </w:rPr>
            </w:pPr>
            <w:r>
              <w:rPr>
                <w:color w:val="auto"/>
                <w:spacing w:val="-6"/>
                <w:sz w:val="24"/>
                <w:szCs w:val="24"/>
              </w:rPr>
              <w:t>（单价）</w:t>
            </w:r>
          </w:p>
        </w:tc>
        <w:tc>
          <w:tcPr>
            <w:tcW w:w="1187" w:type="dxa"/>
            <w:vAlign w:val="center"/>
          </w:tcPr>
          <w:p w14:paraId="0DB938E3">
            <w:pPr>
              <w:pStyle w:val="21"/>
              <w:widowControl w:val="0"/>
              <w:kinsoku/>
              <w:topLinePunct/>
              <w:autoSpaceDE/>
              <w:jc w:val="center"/>
              <w:rPr>
                <w:rFonts w:hint="eastAsia"/>
                <w:color w:val="auto"/>
                <w:spacing w:val="-6"/>
                <w:sz w:val="24"/>
                <w:szCs w:val="24"/>
              </w:rPr>
            </w:pPr>
            <w:r>
              <w:rPr>
                <w:color w:val="auto"/>
                <w:spacing w:val="-6"/>
                <w:sz w:val="24"/>
                <w:szCs w:val="24"/>
              </w:rPr>
              <w:t>（单价）</w:t>
            </w:r>
          </w:p>
        </w:tc>
        <w:tc>
          <w:tcPr>
            <w:tcW w:w="995" w:type="dxa"/>
            <w:vAlign w:val="center"/>
          </w:tcPr>
          <w:p w14:paraId="15C80B73">
            <w:pPr>
              <w:widowControl w:val="0"/>
              <w:kinsoku/>
              <w:topLinePunct/>
              <w:autoSpaceDE/>
              <w:jc w:val="center"/>
              <w:rPr>
                <w:color w:val="auto"/>
              </w:rPr>
            </w:pPr>
          </w:p>
        </w:tc>
        <w:tc>
          <w:tcPr>
            <w:tcW w:w="1311" w:type="dxa"/>
            <w:vMerge w:val="continue"/>
            <w:tcBorders>
              <w:top w:val="nil"/>
              <w:bottom w:val="nil"/>
            </w:tcBorders>
            <w:vAlign w:val="center"/>
          </w:tcPr>
          <w:p w14:paraId="366BE9FC">
            <w:pPr>
              <w:widowControl w:val="0"/>
              <w:kinsoku/>
              <w:topLinePunct/>
              <w:autoSpaceDE/>
              <w:jc w:val="center"/>
              <w:rPr>
                <w:color w:val="auto"/>
              </w:rPr>
            </w:pPr>
          </w:p>
        </w:tc>
        <w:tc>
          <w:tcPr>
            <w:tcW w:w="1316" w:type="dxa"/>
            <w:vMerge w:val="continue"/>
            <w:tcBorders>
              <w:top w:val="nil"/>
              <w:bottom w:val="nil"/>
            </w:tcBorders>
            <w:vAlign w:val="center"/>
          </w:tcPr>
          <w:p w14:paraId="64FC2CA8">
            <w:pPr>
              <w:widowControl w:val="0"/>
              <w:kinsoku/>
              <w:topLinePunct/>
              <w:autoSpaceDE/>
              <w:jc w:val="center"/>
              <w:rPr>
                <w:color w:val="auto"/>
              </w:rPr>
            </w:pPr>
          </w:p>
        </w:tc>
        <w:tc>
          <w:tcPr>
            <w:tcW w:w="1062" w:type="dxa"/>
            <w:vMerge w:val="continue"/>
            <w:tcBorders>
              <w:top w:val="nil"/>
              <w:bottom w:val="nil"/>
              <w:right w:val="single" w:color="000000" w:sz="6" w:space="0"/>
            </w:tcBorders>
            <w:vAlign w:val="center"/>
          </w:tcPr>
          <w:p w14:paraId="394A0724">
            <w:pPr>
              <w:widowControl w:val="0"/>
              <w:kinsoku/>
              <w:topLinePunct/>
              <w:autoSpaceDE/>
              <w:jc w:val="center"/>
              <w:rPr>
                <w:color w:val="auto"/>
              </w:rPr>
            </w:pPr>
          </w:p>
        </w:tc>
      </w:tr>
      <w:tr w14:paraId="439E1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642" w:type="dxa"/>
            <w:vMerge w:val="continue"/>
            <w:tcBorders>
              <w:top w:val="nil"/>
              <w:left w:val="single" w:color="000000" w:sz="6" w:space="0"/>
            </w:tcBorders>
            <w:textDirection w:val="tbRlV"/>
            <w:vAlign w:val="center"/>
          </w:tcPr>
          <w:p w14:paraId="021E04BC">
            <w:pPr>
              <w:widowControl w:val="0"/>
              <w:kinsoku/>
              <w:topLinePunct/>
              <w:autoSpaceDE/>
              <w:jc w:val="center"/>
              <w:rPr>
                <w:color w:val="auto"/>
              </w:rPr>
            </w:pPr>
          </w:p>
        </w:tc>
        <w:tc>
          <w:tcPr>
            <w:tcW w:w="1230" w:type="dxa"/>
            <w:vMerge w:val="continue"/>
            <w:tcBorders>
              <w:top w:val="nil"/>
            </w:tcBorders>
            <w:vAlign w:val="center"/>
          </w:tcPr>
          <w:p w14:paraId="54A85D83">
            <w:pPr>
              <w:widowControl w:val="0"/>
              <w:kinsoku/>
              <w:topLinePunct/>
              <w:autoSpaceDE/>
              <w:jc w:val="center"/>
              <w:rPr>
                <w:color w:val="auto"/>
              </w:rPr>
            </w:pPr>
          </w:p>
        </w:tc>
        <w:tc>
          <w:tcPr>
            <w:tcW w:w="837" w:type="dxa"/>
            <w:vMerge w:val="continue"/>
            <w:tcBorders>
              <w:top w:val="nil"/>
            </w:tcBorders>
            <w:vAlign w:val="center"/>
          </w:tcPr>
          <w:p w14:paraId="5A1853CA">
            <w:pPr>
              <w:widowControl w:val="0"/>
              <w:kinsoku/>
              <w:topLinePunct/>
              <w:autoSpaceDE/>
              <w:jc w:val="center"/>
              <w:rPr>
                <w:color w:val="auto"/>
              </w:rPr>
            </w:pPr>
          </w:p>
        </w:tc>
        <w:tc>
          <w:tcPr>
            <w:tcW w:w="810" w:type="dxa"/>
            <w:vMerge w:val="continue"/>
            <w:tcBorders>
              <w:top w:val="nil"/>
            </w:tcBorders>
            <w:vAlign w:val="center"/>
          </w:tcPr>
          <w:p w14:paraId="72535E1F">
            <w:pPr>
              <w:widowControl w:val="0"/>
              <w:kinsoku/>
              <w:topLinePunct/>
              <w:autoSpaceDE/>
              <w:jc w:val="center"/>
              <w:rPr>
                <w:color w:val="auto"/>
              </w:rPr>
            </w:pPr>
          </w:p>
        </w:tc>
        <w:tc>
          <w:tcPr>
            <w:tcW w:w="868" w:type="dxa"/>
            <w:vMerge w:val="continue"/>
            <w:tcBorders>
              <w:top w:val="nil"/>
            </w:tcBorders>
            <w:vAlign w:val="center"/>
          </w:tcPr>
          <w:p w14:paraId="034EC121">
            <w:pPr>
              <w:widowControl w:val="0"/>
              <w:kinsoku/>
              <w:topLinePunct/>
              <w:autoSpaceDE/>
              <w:jc w:val="center"/>
              <w:rPr>
                <w:color w:val="auto"/>
              </w:rPr>
            </w:pPr>
          </w:p>
        </w:tc>
        <w:tc>
          <w:tcPr>
            <w:tcW w:w="1342" w:type="dxa"/>
            <w:vAlign w:val="center"/>
          </w:tcPr>
          <w:p w14:paraId="7F53B7D2">
            <w:pPr>
              <w:pStyle w:val="21"/>
              <w:widowControl w:val="0"/>
              <w:kinsoku/>
              <w:topLinePunct/>
              <w:autoSpaceDE/>
              <w:jc w:val="center"/>
              <w:rPr>
                <w:rFonts w:hint="eastAsia"/>
                <w:color w:val="auto"/>
                <w:sz w:val="24"/>
                <w:szCs w:val="24"/>
              </w:rPr>
            </w:pPr>
            <w:r>
              <w:rPr>
                <w:color w:val="auto"/>
                <w:spacing w:val="-6"/>
                <w:sz w:val="24"/>
                <w:szCs w:val="24"/>
              </w:rPr>
              <w:t>（价差）</w:t>
            </w:r>
          </w:p>
        </w:tc>
        <w:tc>
          <w:tcPr>
            <w:tcW w:w="1242" w:type="dxa"/>
            <w:vAlign w:val="center"/>
          </w:tcPr>
          <w:p w14:paraId="49BFF345">
            <w:pPr>
              <w:pStyle w:val="21"/>
              <w:widowControl w:val="0"/>
              <w:kinsoku/>
              <w:topLinePunct/>
              <w:autoSpaceDE/>
              <w:jc w:val="center"/>
              <w:rPr>
                <w:rFonts w:hint="eastAsia"/>
                <w:color w:val="auto"/>
                <w:sz w:val="24"/>
                <w:szCs w:val="24"/>
              </w:rPr>
            </w:pPr>
            <w:r>
              <w:rPr>
                <w:color w:val="auto"/>
                <w:spacing w:val="-6"/>
                <w:sz w:val="24"/>
                <w:szCs w:val="24"/>
              </w:rPr>
              <w:t>（价差）</w:t>
            </w:r>
          </w:p>
        </w:tc>
        <w:tc>
          <w:tcPr>
            <w:tcW w:w="1163" w:type="dxa"/>
            <w:vAlign w:val="center"/>
          </w:tcPr>
          <w:p w14:paraId="63E471E9">
            <w:pPr>
              <w:pStyle w:val="21"/>
              <w:widowControl w:val="0"/>
              <w:kinsoku/>
              <w:topLinePunct/>
              <w:autoSpaceDE/>
              <w:jc w:val="center"/>
              <w:rPr>
                <w:rFonts w:hint="eastAsia"/>
                <w:color w:val="auto"/>
                <w:sz w:val="24"/>
                <w:szCs w:val="24"/>
              </w:rPr>
            </w:pPr>
            <w:r>
              <w:rPr>
                <w:color w:val="auto"/>
                <w:spacing w:val="-6"/>
                <w:sz w:val="24"/>
                <w:szCs w:val="24"/>
              </w:rPr>
              <w:t>（价差）</w:t>
            </w:r>
          </w:p>
        </w:tc>
        <w:tc>
          <w:tcPr>
            <w:tcW w:w="1187" w:type="dxa"/>
            <w:vAlign w:val="center"/>
          </w:tcPr>
          <w:p w14:paraId="4DF2DB4C">
            <w:pPr>
              <w:widowControl w:val="0"/>
              <w:kinsoku/>
              <w:topLinePunct/>
              <w:autoSpaceDE/>
              <w:jc w:val="center"/>
              <w:rPr>
                <w:color w:val="auto"/>
              </w:rPr>
            </w:pPr>
          </w:p>
        </w:tc>
        <w:tc>
          <w:tcPr>
            <w:tcW w:w="995" w:type="dxa"/>
            <w:vAlign w:val="center"/>
          </w:tcPr>
          <w:p w14:paraId="78D3E2C6">
            <w:pPr>
              <w:widowControl w:val="0"/>
              <w:kinsoku/>
              <w:topLinePunct/>
              <w:autoSpaceDE/>
              <w:jc w:val="center"/>
              <w:rPr>
                <w:color w:val="auto"/>
              </w:rPr>
            </w:pPr>
          </w:p>
        </w:tc>
        <w:tc>
          <w:tcPr>
            <w:tcW w:w="1311" w:type="dxa"/>
            <w:vMerge w:val="continue"/>
            <w:tcBorders>
              <w:top w:val="nil"/>
            </w:tcBorders>
            <w:vAlign w:val="center"/>
          </w:tcPr>
          <w:p w14:paraId="73AFC2E8">
            <w:pPr>
              <w:widowControl w:val="0"/>
              <w:kinsoku/>
              <w:topLinePunct/>
              <w:autoSpaceDE/>
              <w:jc w:val="center"/>
              <w:rPr>
                <w:color w:val="auto"/>
              </w:rPr>
            </w:pPr>
          </w:p>
        </w:tc>
        <w:tc>
          <w:tcPr>
            <w:tcW w:w="1316" w:type="dxa"/>
            <w:vMerge w:val="continue"/>
            <w:tcBorders>
              <w:top w:val="nil"/>
            </w:tcBorders>
            <w:vAlign w:val="center"/>
          </w:tcPr>
          <w:p w14:paraId="38D53D96">
            <w:pPr>
              <w:widowControl w:val="0"/>
              <w:kinsoku/>
              <w:topLinePunct/>
              <w:autoSpaceDE/>
              <w:jc w:val="center"/>
              <w:rPr>
                <w:color w:val="auto"/>
              </w:rPr>
            </w:pPr>
          </w:p>
        </w:tc>
        <w:tc>
          <w:tcPr>
            <w:tcW w:w="1062" w:type="dxa"/>
            <w:vMerge w:val="continue"/>
            <w:tcBorders>
              <w:top w:val="nil"/>
              <w:right w:val="single" w:color="000000" w:sz="6" w:space="0"/>
            </w:tcBorders>
            <w:vAlign w:val="center"/>
          </w:tcPr>
          <w:p w14:paraId="67A86E58">
            <w:pPr>
              <w:widowControl w:val="0"/>
              <w:kinsoku/>
              <w:topLinePunct/>
              <w:autoSpaceDE/>
              <w:jc w:val="center"/>
              <w:rPr>
                <w:color w:val="auto"/>
              </w:rPr>
            </w:pPr>
          </w:p>
        </w:tc>
      </w:tr>
      <w:tr w14:paraId="0A594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642" w:type="dxa"/>
            <w:tcBorders>
              <w:left w:val="single" w:color="000000" w:sz="6" w:space="0"/>
            </w:tcBorders>
            <w:vAlign w:val="center"/>
          </w:tcPr>
          <w:p w14:paraId="220EFB7B">
            <w:pPr>
              <w:widowControl w:val="0"/>
              <w:kinsoku/>
              <w:topLinePunct/>
              <w:autoSpaceDE/>
              <w:jc w:val="center"/>
              <w:rPr>
                <w:color w:val="auto"/>
              </w:rPr>
            </w:pPr>
          </w:p>
        </w:tc>
        <w:tc>
          <w:tcPr>
            <w:tcW w:w="1230" w:type="dxa"/>
            <w:vAlign w:val="center"/>
          </w:tcPr>
          <w:p w14:paraId="33D26DB5">
            <w:pPr>
              <w:widowControl w:val="0"/>
              <w:kinsoku/>
              <w:topLinePunct/>
              <w:autoSpaceDE/>
              <w:jc w:val="center"/>
              <w:rPr>
                <w:color w:val="auto"/>
              </w:rPr>
            </w:pPr>
          </w:p>
        </w:tc>
        <w:tc>
          <w:tcPr>
            <w:tcW w:w="837" w:type="dxa"/>
            <w:vAlign w:val="center"/>
          </w:tcPr>
          <w:p w14:paraId="2AC7924B">
            <w:pPr>
              <w:widowControl w:val="0"/>
              <w:kinsoku/>
              <w:topLinePunct/>
              <w:autoSpaceDE/>
              <w:jc w:val="center"/>
              <w:rPr>
                <w:color w:val="auto"/>
              </w:rPr>
            </w:pPr>
          </w:p>
        </w:tc>
        <w:tc>
          <w:tcPr>
            <w:tcW w:w="810" w:type="dxa"/>
            <w:vAlign w:val="center"/>
          </w:tcPr>
          <w:p w14:paraId="45442368">
            <w:pPr>
              <w:widowControl w:val="0"/>
              <w:kinsoku/>
              <w:topLinePunct/>
              <w:autoSpaceDE/>
              <w:jc w:val="center"/>
              <w:rPr>
                <w:color w:val="auto"/>
              </w:rPr>
            </w:pPr>
          </w:p>
        </w:tc>
        <w:tc>
          <w:tcPr>
            <w:tcW w:w="868" w:type="dxa"/>
            <w:vAlign w:val="center"/>
          </w:tcPr>
          <w:p w14:paraId="620F36A7">
            <w:pPr>
              <w:widowControl w:val="0"/>
              <w:kinsoku/>
              <w:topLinePunct/>
              <w:autoSpaceDE/>
              <w:jc w:val="center"/>
              <w:rPr>
                <w:color w:val="auto"/>
              </w:rPr>
            </w:pPr>
          </w:p>
        </w:tc>
        <w:tc>
          <w:tcPr>
            <w:tcW w:w="1342" w:type="dxa"/>
            <w:vAlign w:val="center"/>
          </w:tcPr>
          <w:p w14:paraId="7CB097C1">
            <w:pPr>
              <w:widowControl w:val="0"/>
              <w:kinsoku/>
              <w:topLinePunct/>
              <w:autoSpaceDE/>
              <w:jc w:val="center"/>
              <w:rPr>
                <w:color w:val="auto"/>
              </w:rPr>
            </w:pPr>
          </w:p>
        </w:tc>
        <w:tc>
          <w:tcPr>
            <w:tcW w:w="1242" w:type="dxa"/>
            <w:vAlign w:val="center"/>
          </w:tcPr>
          <w:p w14:paraId="1DBAC751">
            <w:pPr>
              <w:widowControl w:val="0"/>
              <w:kinsoku/>
              <w:topLinePunct/>
              <w:autoSpaceDE/>
              <w:jc w:val="center"/>
              <w:rPr>
                <w:color w:val="auto"/>
              </w:rPr>
            </w:pPr>
          </w:p>
        </w:tc>
        <w:tc>
          <w:tcPr>
            <w:tcW w:w="1163" w:type="dxa"/>
            <w:vAlign w:val="center"/>
          </w:tcPr>
          <w:p w14:paraId="217D402D">
            <w:pPr>
              <w:widowControl w:val="0"/>
              <w:kinsoku/>
              <w:topLinePunct/>
              <w:autoSpaceDE/>
              <w:jc w:val="center"/>
              <w:rPr>
                <w:color w:val="auto"/>
              </w:rPr>
            </w:pPr>
          </w:p>
        </w:tc>
        <w:tc>
          <w:tcPr>
            <w:tcW w:w="1187" w:type="dxa"/>
            <w:vAlign w:val="center"/>
          </w:tcPr>
          <w:p w14:paraId="5D13B857">
            <w:pPr>
              <w:widowControl w:val="0"/>
              <w:kinsoku/>
              <w:topLinePunct/>
              <w:autoSpaceDE/>
              <w:jc w:val="center"/>
              <w:rPr>
                <w:color w:val="auto"/>
              </w:rPr>
            </w:pPr>
          </w:p>
        </w:tc>
        <w:tc>
          <w:tcPr>
            <w:tcW w:w="995" w:type="dxa"/>
            <w:vAlign w:val="center"/>
          </w:tcPr>
          <w:p w14:paraId="5893D212">
            <w:pPr>
              <w:widowControl w:val="0"/>
              <w:kinsoku/>
              <w:topLinePunct/>
              <w:autoSpaceDE/>
              <w:jc w:val="center"/>
              <w:rPr>
                <w:color w:val="auto"/>
              </w:rPr>
            </w:pPr>
          </w:p>
        </w:tc>
        <w:tc>
          <w:tcPr>
            <w:tcW w:w="1311" w:type="dxa"/>
            <w:vAlign w:val="center"/>
          </w:tcPr>
          <w:p w14:paraId="39EEEF08">
            <w:pPr>
              <w:widowControl w:val="0"/>
              <w:kinsoku/>
              <w:topLinePunct/>
              <w:autoSpaceDE/>
              <w:jc w:val="center"/>
              <w:rPr>
                <w:color w:val="auto"/>
              </w:rPr>
            </w:pPr>
          </w:p>
        </w:tc>
        <w:tc>
          <w:tcPr>
            <w:tcW w:w="1316" w:type="dxa"/>
            <w:vAlign w:val="center"/>
          </w:tcPr>
          <w:p w14:paraId="1E54CE5D">
            <w:pPr>
              <w:widowControl w:val="0"/>
              <w:kinsoku/>
              <w:topLinePunct/>
              <w:autoSpaceDE/>
              <w:jc w:val="center"/>
              <w:rPr>
                <w:color w:val="auto"/>
              </w:rPr>
            </w:pPr>
          </w:p>
        </w:tc>
        <w:tc>
          <w:tcPr>
            <w:tcW w:w="1062" w:type="dxa"/>
            <w:tcBorders>
              <w:right w:val="single" w:color="000000" w:sz="6" w:space="0"/>
            </w:tcBorders>
            <w:vAlign w:val="center"/>
          </w:tcPr>
          <w:p w14:paraId="367D9210">
            <w:pPr>
              <w:widowControl w:val="0"/>
              <w:kinsoku/>
              <w:topLinePunct/>
              <w:autoSpaceDE/>
              <w:jc w:val="center"/>
              <w:rPr>
                <w:color w:val="auto"/>
              </w:rPr>
            </w:pPr>
          </w:p>
        </w:tc>
      </w:tr>
      <w:tr w14:paraId="53A4F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642" w:type="dxa"/>
            <w:tcBorders>
              <w:left w:val="single" w:color="000000" w:sz="6" w:space="0"/>
            </w:tcBorders>
          </w:tcPr>
          <w:p w14:paraId="1DE7234B">
            <w:pPr>
              <w:widowControl w:val="0"/>
              <w:kinsoku/>
              <w:topLinePunct/>
              <w:autoSpaceDE/>
              <w:jc w:val="center"/>
              <w:rPr>
                <w:color w:val="auto"/>
              </w:rPr>
            </w:pPr>
          </w:p>
        </w:tc>
        <w:tc>
          <w:tcPr>
            <w:tcW w:w="1230" w:type="dxa"/>
          </w:tcPr>
          <w:p w14:paraId="4741A506">
            <w:pPr>
              <w:widowControl w:val="0"/>
              <w:kinsoku/>
              <w:topLinePunct/>
              <w:autoSpaceDE/>
              <w:jc w:val="center"/>
              <w:rPr>
                <w:color w:val="auto"/>
              </w:rPr>
            </w:pPr>
          </w:p>
        </w:tc>
        <w:tc>
          <w:tcPr>
            <w:tcW w:w="837" w:type="dxa"/>
          </w:tcPr>
          <w:p w14:paraId="3C64BA89">
            <w:pPr>
              <w:widowControl w:val="0"/>
              <w:kinsoku/>
              <w:topLinePunct/>
              <w:autoSpaceDE/>
              <w:jc w:val="center"/>
              <w:rPr>
                <w:color w:val="auto"/>
              </w:rPr>
            </w:pPr>
          </w:p>
        </w:tc>
        <w:tc>
          <w:tcPr>
            <w:tcW w:w="810" w:type="dxa"/>
          </w:tcPr>
          <w:p w14:paraId="7F54EE0F">
            <w:pPr>
              <w:widowControl w:val="0"/>
              <w:kinsoku/>
              <w:topLinePunct/>
              <w:autoSpaceDE/>
              <w:jc w:val="center"/>
              <w:rPr>
                <w:color w:val="auto"/>
              </w:rPr>
            </w:pPr>
          </w:p>
        </w:tc>
        <w:tc>
          <w:tcPr>
            <w:tcW w:w="868" w:type="dxa"/>
          </w:tcPr>
          <w:p w14:paraId="783DC2E9">
            <w:pPr>
              <w:widowControl w:val="0"/>
              <w:kinsoku/>
              <w:topLinePunct/>
              <w:autoSpaceDE/>
              <w:jc w:val="center"/>
              <w:rPr>
                <w:color w:val="auto"/>
              </w:rPr>
            </w:pPr>
          </w:p>
        </w:tc>
        <w:tc>
          <w:tcPr>
            <w:tcW w:w="1342" w:type="dxa"/>
          </w:tcPr>
          <w:p w14:paraId="746B6272">
            <w:pPr>
              <w:widowControl w:val="0"/>
              <w:kinsoku/>
              <w:topLinePunct/>
              <w:autoSpaceDE/>
              <w:jc w:val="center"/>
              <w:rPr>
                <w:color w:val="auto"/>
              </w:rPr>
            </w:pPr>
          </w:p>
        </w:tc>
        <w:tc>
          <w:tcPr>
            <w:tcW w:w="1242" w:type="dxa"/>
          </w:tcPr>
          <w:p w14:paraId="56ACAEB7">
            <w:pPr>
              <w:widowControl w:val="0"/>
              <w:kinsoku/>
              <w:topLinePunct/>
              <w:autoSpaceDE/>
              <w:jc w:val="center"/>
              <w:rPr>
                <w:color w:val="auto"/>
              </w:rPr>
            </w:pPr>
          </w:p>
        </w:tc>
        <w:tc>
          <w:tcPr>
            <w:tcW w:w="1163" w:type="dxa"/>
          </w:tcPr>
          <w:p w14:paraId="39B793B3">
            <w:pPr>
              <w:widowControl w:val="0"/>
              <w:kinsoku/>
              <w:topLinePunct/>
              <w:autoSpaceDE/>
              <w:jc w:val="center"/>
              <w:rPr>
                <w:color w:val="auto"/>
              </w:rPr>
            </w:pPr>
          </w:p>
        </w:tc>
        <w:tc>
          <w:tcPr>
            <w:tcW w:w="1187" w:type="dxa"/>
          </w:tcPr>
          <w:p w14:paraId="52A9FF1C">
            <w:pPr>
              <w:widowControl w:val="0"/>
              <w:kinsoku/>
              <w:topLinePunct/>
              <w:autoSpaceDE/>
              <w:jc w:val="center"/>
              <w:rPr>
                <w:color w:val="auto"/>
              </w:rPr>
            </w:pPr>
          </w:p>
        </w:tc>
        <w:tc>
          <w:tcPr>
            <w:tcW w:w="995" w:type="dxa"/>
          </w:tcPr>
          <w:p w14:paraId="5EACC124">
            <w:pPr>
              <w:widowControl w:val="0"/>
              <w:kinsoku/>
              <w:topLinePunct/>
              <w:autoSpaceDE/>
              <w:jc w:val="center"/>
              <w:rPr>
                <w:color w:val="auto"/>
              </w:rPr>
            </w:pPr>
          </w:p>
        </w:tc>
        <w:tc>
          <w:tcPr>
            <w:tcW w:w="1311" w:type="dxa"/>
          </w:tcPr>
          <w:p w14:paraId="247A7878">
            <w:pPr>
              <w:widowControl w:val="0"/>
              <w:kinsoku/>
              <w:topLinePunct/>
              <w:autoSpaceDE/>
              <w:jc w:val="center"/>
              <w:rPr>
                <w:color w:val="auto"/>
              </w:rPr>
            </w:pPr>
          </w:p>
        </w:tc>
        <w:tc>
          <w:tcPr>
            <w:tcW w:w="1316" w:type="dxa"/>
          </w:tcPr>
          <w:p w14:paraId="096C46C6">
            <w:pPr>
              <w:widowControl w:val="0"/>
              <w:kinsoku/>
              <w:topLinePunct/>
              <w:autoSpaceDE/>
              <w:jc w:val="center"/>
              <w:rPr>
                <w:color w:val="auto"/>
              </w:rPr>
            </w:pPr>
          </w:p>
        </w:tc>
        <w:tc>
          <w:tcPr>
            <w:tcW w:w="1062" w:type="dxa"/>
            <w:tcBorders>
              <w:right w:val="single" w:color="000000" w:sz="6" w:space="0"/>
            </w:tcBorders>
          </w:tcPr>
          <w:p w14:paraId="19E3CFBB">
            <w:pPr>
              <w:widowControl w:val="0"/>
              <w:kinsoku/>
              <w:topLinePunct/>
              <w:autoSpaceDE/>
              <w:jc w:val="center"/>
              <w:rPr>
                <w:color w:val="auto"/>
              </w:rPr>
            </w:pPr>
          </w:p>
        </w:tc>
      </w:tr>
      <w:tr w14:paraId="0C575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642" w:type="dxa"/>
            <w:tcBorders>
              <w:left w:val="single" w:color="000000" w:sz="6" w:space="0"/>
            </w:tcBorders>
          </w:tcPr>
          <w:p w14:paraId="7B756E23">
            <w:pPr>
              <w:rPr>
                <w:color w:val="auto"/>
              </w:rPr>
            </w:pPr>
          </w:p>
        </w:tc>
        <w:tc>
          <w:tcPr>
            <w:tcW w:w="1230" w:type="dxa"/>
          </w:tcPr>
          <w:p w14:paraId="630F34EA">
            <w:pPr>
              <w:rPr>
                <w:color w:val="auto"/>
              </w:rPr>
            </w:pPr>
          </w:p>
        </w:tc>
        <w:tc>
          <w:tcPr>
            <w:tcW w:w="837" w:type="dxa"/>
          </w:tcPr>
          <w:p w14:paraId="596DED1E">
            <w:pPr>
              <w:rPr>
                <w:color w:val="auto"/>
              </w:rPr>
            </w:pPr>
          </w:p>
        </w:tc>
        <w:tc>
          <w:tcPr>
            <w:tcW w:w="810" w:type="dxa"/>
          </w:tcPr>
          <w:p w14:paraId="692E7841">
            <w:pPr>
              <w:rPr>
                <w:color w:val="auto"/>
              </w:rPr>
            </w:pPr>
          </w:p>
        </w:tc>
        <w:tc>
          <w:tcPr>
            <w:tcW w:w="868" w:type="dxa"/>
          </w:tcPr>
          <w:p w14:paraId="36C84615">
            <w:pPr>
              <w:rPr>
                <w:color w:val="auto"/>
              </w:rPr>
            </w:pPr>
          </w:p>
        </w:tc>
        <w:tc>
          <w:tcPr>
            <w:tcW w:w="1342" w:type="dxa"/>
          </w:tcPr>
          <w:p w14:paraId="3C355FC2">
            <w:pPr>
              <w:rPr>
                <w:color w:val="auto"/>
              </w:rPr>
            </w:pPr>
          </w:p>
        </w:tc>
        <w:tc>
          <w:tcPr>
            <w:tcW w:w="1242" w:type="dxa"/>
          </w:tcPr>
          <w:p w14:paraId="66A75DEE">
            <w:pPr>
              <w:rPr>
                <w:color w:val="auto"/>
              </w:rPr>
            </w:pPr>
          </w:p>
        </w:tc>
        <w:tc>
          <w:tcPr>
            <w:tcW w:w="1163" w:type="dxa"/>
          </w:tcPr>
          <w:p w14:paraId="3DCB661A">
            <w:pPr>
              <w:rPr>
                <w:color w:val="auto"/>
              </w:rPr>
            </w:pPr>
          </w:p>
        </w:tc>
        <w:tc>
          <w:tcPr>
            <w:tcW w:w="1187" w:type="dxa"/>
          </w:tcPr>
          <w:p w14:paraId="3F18C9D7">
            <w:pPr>
              <w:rPr>
                <w:color w:val="auto"/>
              </w:rPr>
            </w:pPr>
          </w:p>
        </w:tc>
        <w:tc>
          <w:tcPr>
            <w:tcW w:w="995" w:type="dxa"/>
          </w:tcPr>
          <w:p w14:paraId="35040124">
            <w:pPr>
              <w:rPr>
                <w:color w:val="auto"/>
              </w:rPr>
            </w:pPr>
          </w:p>
        </w:tc>
        <w:tc>
          <w:tcPr>
            <w:tcW w:w="1311" w:type="dxa"/>
          </w:tcPr>
          <w:p w14:paraId="75AC9937">
            <w:pPr>
              <w:rPr>
                <w:color w:val="auto"/>
              </w:rPr>
            </w:pPr>
          </w:p>
        </w:tc>
        <w:tc>
          <w:tcPr>
            <w:tcW w:w="1316" w:type="dxa"/>
          </w:tcPr>
          <w:p w14:paraId="797EDCB2">
            <w:pPr>
              <w:rPr>
                <w:color w:val="auto"/>
              </w:rPr>
            </w:pPr>
          </w:p>
        </w:tc>
        <w:tc>
          <w:tcPr>
            <w:tcW w:w="1062" w:type="dxa"/>
            <w:tcBorders>
              <w:right w:val="single" w:color="000000" w:sz="6" w:space="0"/>
            </w:tcBorders>
          </w:tcPr>
          <w:p w14:paraId="12E5937A">
            <w:pPr>
              <w:rPr>
                <w:color w:val="auto"/>
              </w:rPr>
            </w:pPr>
          </w:p>
        </w:tc>
      </w:tr>
      <w:tr w14:paraId="1B02E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jc w:val="center"/>
        </w:trPr>
        <w:tc>
          <w:tcPr>
            <w:tcW w:w="642" w:type="dxa"/>
            <w:tcBorders>
              <w:left w:val="single" w:color="000000" w:sz="6" w:space="0"/>
            </w:tcBorders>
          </w:tcPr>
          <w:p w14:paraId="0DCC90ED">
            <w:pPr>
              <w:rPr>
                <w:color w:val="auto"/>
              </w:rPr>
            </w:pPr>
          </w:p>
        </w:tc>
        <w:tc>
          <w:tcPr>
            <w:tcW w:w="1230" w:type="dxa"/>
          </w:tcPr>
          <w:p w14:paraId="7BE08339">
            <w:pPr>
              <w:rPr>
                <w:color w:val="auto"/>
              </w:rPr>
            </w:pPr>
          </w:p>
        </w:tc>
        <w:tc>
          <w:tcPr>
            <w:tcW w:w="837" w:type="dxa"/>
          </w:tcPr>
          <w:p w14:paraId="6F172B93">
            <w:pPr>
              <w:rPr>
                <w:color w:val="auto"/>
              </w:rPr>
            </w:pPr>
          </w:p>
        </w:tc>
        <w:tc>
          <w:tcPr>
            <w:tcW w:w="810" w:type="dxa"/>
          </w:tcPr>
          <w:p w14:paraId="66EF88A2">
            <w:pPr>
              <w:rPr>
                <w:color w:val="auto"/>
              </w:rPr>
            </w:pPr>
          </w:p>
        </w:tc>
        <w:tc>
          <w:tcPr>
            <w:tcW w:w="868" w:type="dxa"/>
          </w:tcPr>
          <w:p w14:paraId="0E598DCA">
            <w:pPr>
              <w:rPr>
                <w:color w:val="auto"/>
              </w:rPr>
            </w:pPr>
          </w:p>
        </w:tc>
        <w:tc>
          <w:tcPr>
            <w:tcW w:w="1342" w:type="dxa"/>
          </w:tcPr>
          <w:p w14:paraId="1CA1372E">
            <w:pPr>
              <w:rPr>
                <w:color w:val="auto"/>
              </w:rPr>
            </w:pPr>
          </w:p>
        </w:tc>
        <w:tc>
          <w:tcPr>
            <w:tcW w:w="1242" w:type="dxa"/>
          </w:tcPr>
          <w:p w14:paraId="6FCEAD69">
            <w:pPr>
              <w:rPr>
                <w:color w:val="auto"/>
              </w:rPr>
            </w:pPr>
          </w:p>
        </w:tc>
        <w:tc>
          <w:tcPr>
            <w:tcW w:w="1163" w:type="dxa"/>
          </w:tcPr>
          <w:p w14:paraId="66DF7CD8">
            <w:pPr>
              <w:rPr>
                <w:color w:val="auto"/>
              </w:rPr>
            </w:pPr>
          </w:p>
        </w:tc>
        <w:tc>
          <w:tcPr>
            <w:tcW w:w="1187" w:type="dxa"/>
          </w:tcPr>
          <w:p w14:paraId="26C5534C">
            <w:pPr>
              <w:rPr>
                <w:color w:val="auto"/>
              </w:rPr>
            </w:pPr>
          </w:p>
        </w:tc>
        <w:tc>
          <w:tcPr>
            <w:tcW w:w="995" w:type="dxa"/>
          </w:tcPr>
          <w:p w14:paraId="7B194281">
            <w:pPr>
              <w:rPr>
                <w:color w:val="auto"/>
              </w:rPr>
            </w:pPr>
          </w:p>
        </w:tc>
        <w:tc>
          <w:tcPr>
            <w:tcW w:w="1311" w:type="dxa"/>
          </w:tcPr>
          <w:p w14:paraId="13193C09">
            <w:pPr>
              <w:rPr>
                <w:color w:val="auto"/>
              </w:rPr>
            </w:pPr>
          </w:p>
        </w:tc>
        <w:tc>
          <w:tcPr>
            <w:tcW w:w="1316" w:type="dxa"/>
          </w:tcPr>
          <w:p w14:paraId="4A20F1C5">
            <w:pPr>
              <w:rPr>
                <w:color w:val="auto"/>
              </w:rPr>
            </w:pPr>
          </w:p>
        </w:tc>
        <w:tc>
          <w:tcPr>
            <w:tcW w:w="1062" w:type="dxa"/>
            <w:tcBorders>
              <w:right w:val="single" w:color="000000" w:sz="6" w:space="0"/>
            </w:tcBorders>
          </w:tcPr>
          <w:p w14:paraId="6CE7FDDC">
            <w:pPr>
              <w:rPr>
                <w:color w:val="auto"/>
              </w:rPr>
            </w:pPr>
          </w:p>
        </w:tc>
      </w:tr>
      <w:tr w14:paraId="455F4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642" w:type="dxa"/>
            <w:tcBorders>
              <w:left w:val="single" w:color="000000" w:sz="6" w:space="0"/>
            </w:tcBorders>
          </w:tcPr>
          <w:p w14:paraId="59245321">
            <w:pPr>
              <w:rPr>
                <w:color w:val="auto"/>
              </w:rPr>
            </w:pPr>
          </w:p>
        </w:tc>
        <w:tc>
          <w:tcPr>
            <w:tcW w:w="1230" w:type="dxa"/>
          </w:tcPr>
          <w:p w14:paraId="6195F8BF">
            <w:pPr>
              <w:rPr>
                <w:color w:val="auto"/>
              </w:rPr>
            </w:pPr>
          </w:p>
        </w:tc>
        <w:tc>
          <w:tcPr>
            <w:tcW w:w="837" w:type="dxa"/>
          </w:tcPr>
          <w:p w14:paraId="51749678">
            <w:pPr>
              <w:rPr>
                <w:color w:val="auto"/>
              </w:rPr>
            </w:pPr>
          </w:p>
        </w:tc>
        <w:tc>
          <w:tcPr>
            <w:tcW w:w="810" w:type="dxa"/>
          </w:tcPr>
          <w:p w14:paraId="00BD66B2">
            <w:pPr>
              <w:rPr>
                <w:color w:val="auto"/>
              </w:rPr>
            </w:pPr>
          </w:p>
        </w:tc>
        <w:tc>
          <w:tcPr>
            <w:tcW w:w="868" w:type="dxa"/>
          </w:tcPr>
          <w:p w14:paraId="7D1959C2">
            <w:pPr>
              <w:rPr>
                <w:color w:val="auto"/>
              </w:rPr>
            </w:pPr>
          </w:p>
        </w:tc>
        <w:tc>
          <w:tcPr>
            <w:tcW w:w="1342" w:type="dxa"/>
          </w:tcPr>
          <w:p w14:paraId="50954FED">
            <w:pPr>
              <w:rPr>
                <w:color w:val="auto"/>
              </w:rPr>
            </w:pPr>
          </w:p>
        </w:tc>
        <w:tc>
          <w:tcPr>
            <w:tcW w:w="1242" w:type="dxa"/>
          </w:tcPr>
          <w:p w14:paraId="0B28246C">
            <w:pPr>
              <w:rPr>
                <w:color w:val="auto"/>
              </w:rPr>
            </w:pPr>
          </w:p>
        </w:tc>
        <w:tc>
          <w:tcPr>
            <w:tcW w:w="1163" w:type="dxa"/>
          </w:tcPr>
          <w:p w14:paraId="1E09F73D">
            <w:pPr>
              <w:rPr>
                <w:color w:val="auto"/>
              </w:rPr>
            </w:pPr>
          </w:p>
        </w:tc>
        <w:tc>
          <w:tcPr>
            <w:tcW w:w="1187" w:type="dxa"/>
          </w:tcPr>
          <w:p w14:paraId="7F5E94E1">
            <w:pPr>
              <w:rPr>
                <w:color w:val="auto"/>
              </w:rPr>
            </w:pPr>
          </w:p>
        </w:tc>
        <w:tc>
          <w:tcPr>
            <w:tcW w:w="995" w:type="dxa"/>
          </w:tcPr>
          <w:p w14:paraId="6A828501">
            <w:pPr>
              <w:rPr>
                <w:color w:val="auto"/>
              </w:rPr>
            </w:pPr>
          </w:p>
        </w:tc>
        <w:tc>
          <w:tcPr>
            <w:tcW w:w="1311" w:type="dxa"/>
          </w:tcPr>
          <w:p w14:paraId="2C356E93">
            <w:pPr>
              <w:rPr>
                <w:color w:val="auto"/>
              </w:rPr>
            </w:pPr>
          </w:p>
        </w:tc>
        <w:tc>
          <w:tcPr>
            <w:tcW w:w="1316" w:type="dxa"/>
          </w:tcPr>
          <w:p w14:paraId="18DFD6DF">
            <w:pPr>
              <w:rPr>
                <w:color w:val="auto"/>
              </w:rPr>
            </w:pPr>
          </w:p>
        </w:tc>
        <w:tc>
          <w:tcPr>
            <w:tcW w:w="1062" w:type="dxa"/>
            <w:tcBorders>
              <w:right w:val="single" w:color="000000" w:sz="6" w:space="0"/>
            </w:tcBorders>
          </w:tcPr>
          <w:p w14:paraId="5E42D7D7">
            <w:pPr>
              <w:rPr>
                <w:color w:val="auto"/>
              </w:rPr>
            </w:pPr>
          </w:p>
        </w:tc>
      </w:tr>
      <w:tr w14:paraId="2B6F2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642" w:type="dxa"/>
            <w:tcBorders>
              <w:left w:val="single" w:color="000000" w:sz="6" w:space="0"/>
            </w:tcBorders>
          </w:tcPr>
          <w:p w14:paraId="72514ECB">
            <w:pPr>
              <w:rPr>
                <w:color w:val="auto"/>
              </w:rPr>
            </w:pPr>
          </w:p>
        </w:tc>
        <w:tc>
          <w:tcPr>
            <w:tcW w:w="1230" w:type="dxa"/>
          </w:tcPr>
          <w:p w14:paraId="3448C579">
            <w:pPr>
              <w:rPr>
                <w:color w:val="auto"/>
              </w:rPr>
            </w:pPr>
          </w:p>
        </w:tc>
        <w:tc>
          <w:tcPr>
            <w:tcW w:w="837" w:type="dxa"/>
          </w:tcPr>
          <w:p w14:paraId="66CC7305">
            <w:pPr>
              <w:rPr>
                <w:color w:val="auto"/>
              </w:rPr>
            </w:pPr>
          </w:p>
        </w:tc>
        <w:tc>
          <w:tcPr>
            <w:tcW w:w="810" w:type="dxa"/>
          </w:tcPr>
          <w:p w14:paraId="4C656C45">
            <w:pPr>
              <w:rPr>
                <w:color w:val="auto"/>
              </w:rPr>
            </w:pPr>
          </w:p>
        </w:tc>
        <w:tc>
          <w:tcPr>
            <w:tcW w:w="868" w:type="dxa"/>
          </w:tcPr>
          <w:p w14:paraId="69F76AA8">
            <w:pPr>
              <w:rPr>
                <w:color w:val="auto"/>
              </w:rPr>
            </w:pPr>
          </w:p>
        </w:tc>
        <w:tc>
          <w:tcPr>
            <w:tcW w:w="1342" w:type="dxa"/>
          </w:tcPr>
          <w:p w14:paraId="53C395D5">
            <w:pPr>
              <w:rPr>
                <w:color w:val="auto"/>
              </w:rPr>
            </w:pPr>
          </w:p>
        </w:tc>
        <w:tc>
          <w:tcPr>
            <w:tcW w:w="1242" w:type="dxa"/>
          </w:tcPr>
          <w:p w14:paraId="1157EE50">
            <w:pPr>
              <w:rPr>
                <w:color w:val="auto"/>
              </w:rPr>
            </w:pPr>
          </w:p>
        </w:tc>
        <w:tc>
          <w:tcPr>
            <w:tcW w:w="1163" w:type="dxa"/>
          </w:tcPr>
          <w:p w14:paraId="755E360C">
            <w:pPr>
              <w:rPr>
                <w:color w:val="auto"/>
              </w:rPr>
            </w:pPr>
          </w:p>
        </w:tc>
        <w:tc>
          <w:tcPr>
            <w:tcW w:w="1187" w:type="dxa"/>
          </w:tcPr>
          <w:p w14:paraId="3A4C5309">
            <w:pPr>
              <w:rPr>
                <w:color w:val="auto"/>
              </w:rPr>
            </w:pPr>
          </w:p>
        </w:tc>
        <w:tc>
          <w:tcPr>
            <w:tcW w:w="995" w:type="dxa"/>
          </w:tcPr>
          <w:p w14:paraId="1D1A50AC">
            <w:pPr>
              <w:rPr>
                <w:color w:val="auto"/>
              </w:rPr>
            </w:pPr>
          </w:p>
        </w:tc>
        <w:tc>
          <w:tcPr>
            <w:tcW w:w="1311" w:type="dxa"/>
          </w:tcPr>
          <w:p w14:paraId="15958624">
            <w:pPr>
              <w:rPr>
                <w:color w:val="auto"/>
              </w:rPr>
            </w:pPr>
          </w:p>
        </w:tc>
        <w:tc>
          <w:tcPr>
            <w:tcW w:w="1316" w:type="dxa"/>
          </w:tcPr>
          <w:p w14:paraId="2447DAA3">
            <w:pPr>
              <w:rPr>
                <w:color w:val="auto"/>
              </w:rPr>
            </w:pPr>
          </w:p>
        </w:tc>
        <w:tc>
          <w:tcPr>
            <w:tcW w:w="1062" w:type="dxa"/>
            <w:tcBorders>
              <w:right w:val="single" w:color="000000" w:sz="6" w:space="0"/>
            </w:tcBorders>
          </w:tcPr>
          <w:p w14:paraId="739B6498">
            <w:pPr>
              <w:rPr>
                <w:color w:val="auto"/>
              </w:rPr>
            </w:pPr>
          </w:p>
        </w:tc>
      </w:tr>
      <w:tr w14:paraId="46199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642" w:type="dxa"/>
            <w:tcBorders>
              <w:left w:val="single" w:color="000000" w:sz="6" w:space="0"/>
            </w:tcBorders>
          </w:tcPr>
          <w:p w14:paraId="61A102CA">
            <w:pPr>
              <w:rPr>
                <w:color w:val="auto"/>
              </w:rPr>
            </w:pPr>
          </w:p>
        </w:tc>
        <w:tc>
          <w:tcPr>
            <w:tcW w:w="1230" w:type="dxa"/>
          </w:tcPr>
          <w:p w14:paraId="78F4E163">
            <w:pPr>
              <w:rPr>
                <w:color w:val="auto"/>
              </w:rPr>
            </w:pPr>
          </w:p>
        </w:tc>
        <w:tc>
          <w:tcPr>
            <w:tcW w:w="837" w:type="dxa"/>
          </w:tcPr>
          <w:p w14:paraId="65778348">
            <w:pPr>
              <w:rPr>
                <w:color w:val="auto"/>
              </w:rPr>
            </w:pPr>
          </w:p>
        </w:tc>
        <w:tc>
          <w:tcPr>
            <w:tcW w:w="810" w:type="dxa"/>
          </w:tcPr>
          <w:p w14:paraId="34F445C9">
            <w:pPr>
              <w:rPr>
                <w:color w:val="auto"/>
              </w:rPr>
            </w:pPr>
          </w:p>
        </w:tc>
        <w:tc>
          <w:tcPr>
            <w:tcW w:w="868" w:type="dxa"/>
          </w:tcPr>
          <w:p w14:paraId="1A2607B0">
            <w:pPr>
              <w:rPr>
                <w:color w:val="auto"/>
              </w:rPr>
            </w:pPr>
          </w:p>
        </w:tc>
        <w:tc>
          <w:tcPr>
            <w:tcW w:w="1342" w:type="dxa"/>
          </w:tcPr>
          <w:p w14:paraId="4001B258">
            <w:pPr>
              <w:rPr>
                <w:color w:val="auto"/>
              </w:rPr>
            </w:pPr>
          </w:p>
        </w:tc>
        <w:tc>
          <w:tcPr>
            <w:tcW w:w="1242" w:type="dxa"/>
          </w:tcPr>
          <w:p w14:paraId="1C23B7C8">
            <w:pPr>
              <w:rPr>
                <w:color w:val="auto"/>
              </w:rPr>
            </w:pPr>
          </w:p>
        </w:tc>
        <w:tc>
          <w:tcPr>
            <w:tcW w:w="1163" w:type="dxa"/>
          </w:tcPr>
          <w:p w14:paraId="214E3705">
            <w:pPr>
              <w:rPr>
                <w:color w:val="auto"/>
              </w:rPr>
            </w:pPr>
          </w:p>
        </w:tc>
        <w:tc>
          <w:tcPr>
            <w:tcW w:w="1187" w:type="dxa"/>
          </w:tcPr>
          <w:p w14:paraId="50A1799B">
            <w:pPr>
              <w:rPr>
                <w:color w:val="auto"/>
              </w:rPr>
            </w:pPr>
          </w:p>
        </w:tc>
        <w:tc>
          <w:tcPr>
            <w:tcW w:w="995" w:type="dxa"/>
          </w:tcPr>
          <w:p w14:paraId="5DC31163">
            <w:pPr>
              <w:rPr>
                <w:color w:val="auto"/>
              </w:rPr>
            </w:pPr>
          </w:p>
        </w:tc>
        <w:tc>
          <w:tcPr>
            <w:tcW w:w="1311" w:type="dxa"/>
          </w:tcPr>
          <w:p w14:paraId="1F7EFA41">
            <w:pPr>
              <w:rPr>
                <w:color w:val="auto"/>
              </w:rPr>
            </w:pPr>
          </w:p>
        </w:tc>
        <w:tc>
          <w:tcPr>
            <w:tcW w:w="1316" w:type="dxa"/>
          </w:tcPr>
          <w:p w14:paraId="655349AE">
            <w:pPr>
              <w:rPr>
                <w:color w:val="auto"/>
              </w:rPr>
            </w:pPr>
          </w:p>
        </w:tc>
        <w:tc>
          <w:tcPr>
            <w:tcW w:w="1062" w:type="dxa"/>
            <w:tcBorders>
              <w:right w:val="single" w:color="000000" w:sz="6" w:space="0"/>
            </w:tcBorders>
          </w:tcPr>
          <w:p w14:paraId="473E8FA6">
            <w:pPr>
              <w:rPr>
                <w:color w:val="auto"/>
              </w:rPr>
            </w:pPr>
          </w:p>
        </w:tc>
      </w:tr>
      <w:tr w14:paraId="6407D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642" w:type="dxa"/>
            <w:tcBorders>
              <w:left w:val="single" w:color="000000" w:sz="6" w:space="0"/>
            </w:tcBorders>
          </w:tcPr>
          <w:p w14:paraId="5F6814E4">
            <w:pPr>
              <w:rPr>
                <w:color w:val="auto"/>
              </w:rPr>
            </w:pPr>
          </w:p>
        </w:tc>
        <w:tc>
          <w:tcPr>
            <w:tcW w:w="1230" w:type="dxa"/>
          </w:tcPr>
          <w:p w14:paraId="36F65DF3">
            <w:pPr>
              <w:rPr>
                <w:color w:val="auto"/>
              </w:rPr>
            </w:pPr>
          </w:p>
        </w:tc>
        <w:tc>
          <w:tcPr>
            <w:tcW w:w="837" w:type="dxa"/>
          </w:tcPr>
          <w:p w14:paraId="247EF511">
            <w:pPr>
              <w:rPr>
                <w:color w:val="auto"/>
              </w:rPr>
            </w:pPr>
          </w:p>
        </w:tc>
        <w:tc>
          <w:tcPr>
            <w:tcW w:w="810" w:type="dxa"/>
          </w:tcPr>
          <w:p w14:paraId="358C5316">
            <w:pPr>
              <w:rPr>
                <w:color w:val="auto"/>
              </w:rPr>
            </w:pPr>
          </w:p>
        </w:tc>
        <w:tc>
          <w:tcPr>
            <w:tcW w:w="868" w:type="dxa"/>
          </w:tcPr>
          <w:p w14:paraId="635C3886">
            <w:pPr>
              <w:rPr>
                <w:color w:val="auto"/>
              </w:rPr>
            </w:pPr>
          </w:p>
        </w:tc>
        <w:tc>
          <w:tcPr>
            <w:tcW w:w="1342" w:type="dxa"/>
          </w:tcPr>
          <w:p w14:paraId="63F15C19">
            <w:pPr>
              <w:rPr>
                <w:color w:val="auto"/>
              </w:rPr>
            </w:pPr>
          </w:p>
        </w:tc>
        <w:tc>
          <w:tcPr>
            <w:tcW w:w="1242" w:type="dxa"/>
          </w:tcPr>
          <w:p w14:paraId="3D6708BE">
            <w:pPr>
              <w:rPr>
                <w:color w:val="auto"/>
              </w:rPr>
            </w:pPr>
          </w:p>
        </w:tc>
        <w:tc>
          <w:tcPr>
            <w:tcW w:w="1163" w:type="dxa"/>
          </w:tcPr>
          <w:p w14:paraId="34C73CD0">
            <w:pPr>
              <w:rPr>
                <w:color w:val="auto"/>
              </w:rPr>
            </w:pPr>
          </w:p>
        </w:tc>
        <w:tc>
          <w:tcPr>
            <w:tcW w:w="1187" w:type="dxa"/>
          </w:tcPr>
          <w:p w14:paraId="5A74BE98">
            <w:pPr>
              <w:rPr>
                <w:color w:val="auto"/>
              </w:rPr>
            </w:pPr>
          </w:p>
        </w:tc>
        <w:tc>
          <w:tcPr>
            <w:tcW w:w="995" w:type="dxa"/>
          </w:tcPr>
          <w:p w14:paraId="4BC0AE8D">
            <w:pPr>
              <w:rPr>
                <w:color w:val="auto"/>
              </w:rPr>
            </w:pPr>
          </w:p>
        </w:tc>
        <w:tc>
          <w:tcPr>
            <w:tcW w:w="1311" w:type="dxa"/>
          </w:tcPr>
          <w:p w14:paraId="39F52F30">
            <w:pPr>
              <w:rPr>
                <w:color w:val="auto"/>
              </w:rPr>
            </w:pPr>
          </w:p>
        </w:tc>
        <w:tc>
          <w:tcPr>
            <w:tcW w:w="1316" w:type="dxa"/>
          </w:tcPr>
          <w:p w14:paraId="0E2027B9">
            <w:pPr>
              <w:rPr>
                <w:color w:val="auto"/>
              </w:rPr>
            </w:pPr>
          </w:p>
        </w:tc>
        <w:tc>
          <w:tcPr>
            <w:tcW w:w="1062" w:type="dxa"/>
            <w:tcBorders>
              <w:right w:val="single" w:color="000000" w:sz="6" w:space="0"/>
            </w:tcBorders>
          </w:tcPr>
          <w:p w14:paraId="02A08B2C">
            <w:pPr>
              <w:rPr>
                <w:color w:val="auto"/>
              </w:rPr>
            </w:pPr>
          </w:p>
        </w:tc>
      </w:tr>
      <w:tr w14:paraId="70DC3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jc w:val="center"/>
        </w:trPr>
        <w:tc>
          <w:tcPr>
            <w:tcW w:w="642" w:type="dxa"/>
            <w:tcBorders>
              <w:left w:val="single" w:color="000000" w:sz="6" w:space="0"/>
              <w:bottom w:val="single" w:color="000000" w:sz="6" w:space="0"/>
            </w:tcBorders>
          </w:tcPr>
          <w:p w14:paraId="1C89C48A">
            <w:pPr>
              <w:rPr>
                <w:color w:val="auto"/>
              </w:rPr>
            </w:pPr>
          </w:p>
        </w:tc>
        <w:tc>
          <w:tcPr>
            <w:tcW w:w="1230" w:type="dxa"/>
            <w:tcBorders>
              <w:bottom w:val="single" w:color="000000" w:sz="6" w:space="0"/>
            </w:tcBorders>
          </w:tcPr>
          <w:p w14:paraId="6C45AF28">
            <w:pPr>
              <w:rPr>
                <w:color w:val="auto"/>
              </w:rPr>
            </w:pPr>
          </w:p>
        </w:tc>
        <w:tc>
          <w:tcPr>
            <w:tcW w:w="837" w:type="dxa"/>
            <w:tcBorders>
              <w:bottom w:val="single" w:color="000000" w:sz="6" w:space="0"/>
            </w:tcBorders>
          </w:tcPr>
          <w:p w14:paraId="485D873E">
            <w:pPr>
              <w:rPr>
                <w:color w:val="auto"/>
              </w:rPr>
            </w:pPr>
          </w:p>
        </w:tc>
        <w:tc>
          <w:tcPr>
            <w:tcW w:w="810" w:type="dxa"/>
            <w:tcBorders>
              <w:bottom w:val="single" w:color="000000" w:sz="6" w:space="0"/>
            </w:tcBorders>
          </w:tcPr>
          <w:p w14:paraId="471A3D26">
            <w:pPr>
              <w:rPr>
                <w:color w:val="auto"/>
              </w:rPr>
            </w:pPr>
          </w:p>
        </w:tc>
        <w:tc>
          <w:tcPr>
            <w:tcW w:w="868" w:type="dxa"/>
            <w:tcBorders>
              <w:bottom w:val="single" w:color="000000" w:sz="6" w:space="0"/>
            </w:tcBorders>
          </w:tcPr>
          <w:p w14:paraId="54A8BCA9">
            <w:pPr>
              <w:rPr>
                <w:color w:val="auto"/>
              </w:rPr>
            </w:pPr>
          </w:p>
        </w:tc>
        <w:tc>
          <w:tcPr>
            <w:tcW w:w="1342" w:type="dxa"/>
            <w:tcBorders>
              <w:bottom w:val="single" w:color="000000" w:sz="6" w:space="0"/>
            </w:tcBorders>
          </w:tcPr>
          <w:p w14:paraId="685A81C6">
            <w:pPr>
              <w:rPr>
                <w:color w:val="auto"/>
              </w:rPr>
            </w:pPr>
          </w:p>
        </w:tc>
        <w:tc>
          <w:tcPr>
            <w:tcW w:w="1242" w:type="dxa"/>
            <w:tcBorders>
              <w:bottom w:val="single" w:color="000000" w:sz="6" w:space="0"/>
            </w:tcBorders>
          </w:tcPr>
          <w:p w14:paraId="733175B9">
            <w:pPr>
              <w:rPr>
                <w:color w:val="auto"/>
              </w:rPr>
            </w:pPr>
          </w:p>
        </w:tc>
        <w:tc>
          <w:tcPr>
            <w:tcW w:w="1163" w:type="dxa"/>
            <w:tcBorders>
              <w:bottom w:val="single" w:color="000000" w:sz="6" w:space="0"/>
            </w:tcBorders>
          </w:tcPr>
          <w:p w14:paraId="4B7E3085">
            <w:pPr>
              <w:rPr>
                <w:color w:val="auto"/>
              </w:rPr>
            </w:pPr>
          </w:p>
        </w:tc>
        <w:tc>
          <w:tcPr>
            <w:tcW w:w="1187" w:type="dxa"/>
            <w:tcBorders>
              <w:bottom w:val="single" w:color="000000" w:sz="6" w:space="0"/>
            </w:tcBorders>
          </w:tcPr>
          <w:p w14:paraId="431830F6">
            <w:pPr>
              <w:rPr>
                <w:color w:val="auto"/>
              </w:rPr>
            </w:pPr>
          </w:p>
        </w:tc>
        <w:tc>
          <w:tcPr>
            <w:tcW w:w="995" w:type="dxa"/>
            <w:tcBorders>
              <w:bottom w:val="single" w:color="000000" w:sz="6" w:space="0"/>
            </w:tcBorders>
          </w:tcPr>
          <w:p w14:paraId="121B349F">
            <w:pPr>
              <w:rPr>
                <w:color w:val="auto"/>
              </w:rPr>
            </w:pPr>
          </w:p>
        </w:tc>
        <w:tc>
          <w:tcPr>
            <w:tcW w:w="1311" w:type="dxa"/>
            <w:tcBorders>
              <w:bottom w:val="single" w:color="000000" w:sz="6" w:space="0"/>
            </w:tcBorders>
          </w:tcPr>
          <w:p w14:paraId="38BE76C7">
            <w:pPr>
              <w:rPr>
                <w:color w:val="auto"/>
              </w:rPr>
            </w:pPr>
          </w:p>
        </w:tc>
        <w:tc>
          <w:tcPr>
            <w:tcW w:w="1316" w:type="dxa"/>
            <w:tcBorders>
              <w:bottom w:val="single" w:color="000000" w:sz="6" w:space="0"/>
            </w:tcBorders>
          </w:tcPr>
          <w:p w14:paraId="7DDF80EA">
            <w:pPr>
              <w:rPr>
                <w:color w:val="auto"/>
              </w:rPr>
            </w:pPr>
          </w:p>
        </w:tc>
        <w:tc>
          <w:tcPr>
            <w:tcW w:w="1062" w:type="dxa"/>
            <w:tcBorders>
              <w:bottom w:val="single" w:color="000000" w:sz="6" w:space="0"/>
              <w:right w:val="single" w:color="000000" w:sz="6" w:space="0"/>
            </w:tcBorders>
          </w:tcPr>
          <w:p w14:paraId="02617BEF">
            <w:pPr>
              <w:rPr>
                <w:color w:val="auto"/>
              </w:rPr>
            </w:pPr>
          </w:p>
        </w:tc>
      </w:tr>
    </w:tbl>
    <w:p w14:paraId="4BD3D532">
      <w:pPr>
        <w:pStyle w:val="8"/>
        <w:rPr>
          <w:color w:val="auto"/>
        </w:rPr>
      </w:pPr>
    </w:p>
    <w:p w14:paraId="18A6C90A">
      <w:pPr>
        <w:rPr>
          <w:color w:val="auto"/>
        </w:rPr>
        <w:sectPr>
          <w:footerReference r:id="rId23" w:type="default"/>
          <w:pgSz w:w="16841" w:h="11907"/>
          <w:pgMar w:top="1417" w:right="1380" w:bottom="1252" w:left="1440" w:header="0" w:footer="1091" w:gutter="0"/>
          <w:pgNumType w:fmt="numberInDash"/>
          <w:cols w:space="720" w:num="1"/>
        </w:sectPr>
      </w:pPr>
    </w:p>
    <w:p w14:paraId="517B515C">
      <w:pPr>
        <w:pStyle w:val="8"/>
        <w:spacing w:line="246" w:lineRule="auto"/>
        <w:rPr>
          <w:color w:val="auto"/>
        </w:rPr>
      </w:pPr>
    </w:p>
    <w:p w14:paraId="02ED1044">
      <w:pPr>
        <w:spacing w:before="91" w:line="219" w:lineRule="auto"/>
        <w:ind w:left="3000"/>
        <w:rPr>
          <w:rFonts w:hint="eastAsia" w:ascii="宋体" w:hAnsi="宋体" w:eastAsia="宋体" w:cs="宋体"/>
          <w:color w:val="auto"/>
          <w:sz w:val="28"/>
          <w:szCs w:val="28"/>
        </w:rPr>
      </w:pPr>
      <w:r>
        <w:rPr>
          <w:rFonts w:ascii="宋体" w:hAnsi="宋体" w:eastAsia="宋体" w:cs="宋体"/>
          <w:b/>
          <w:bCs/>
          <w:color w:val="auto"/>
          <w:spacing w:val="-4"/>
          <w:sz w:val="28"/>
          <w:szCs w:val="28"/>
        </w:rPr>
        <w:t>招标人供应材料价格表</w:t>
      </w:r>
    </w:p>
    <w:p w14:paraId="5B95AC03">
      <w:pPr>
        <w:spacing w:before="206" w:line="220" w:lineRule="auto"/>
        <w:ind w:left="1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z w:val="24"/>
          <w:szCs w:val="24"/>
          <w:lang w:eastAsia="zh-CN"/>
        </w:rPr>
        <w:t>　　　　　　　　　　</w:t>
      </w:r>
      <w:r>
        <w:rPr>
          <w:rFonts w:ascii="宋体" w:hAnsi="宋体" w:eastAsia="宋体" w:cs="宋体"/>
          <w:color w:val="auto"/>
          <w:spacing w:val="-1"/>
          <w:sz w:val="24"/>
          <w:szCs w:val="24"/>
          <w:lang w:eastAsia="zh-CN"/>
        </w:rPr>
        <w:t>第</w:t>
      </w:r>
      <w:r>
        <w:rPr>
          <w:rFonts w:hint="eastAsia" w:ascii="宋体" w:hAnsi="宋体" w:eastAsia="宋体" w:cs="宋体"/>
          <w:color w:val="auto"/>
          <w:spacing w:val="1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7"/>
          <w:sz w:val="24"/>
          <w:szCs w:val="24"/>
          <w:lang w:eastAsia="zh-CN"/>
        </w:rPr>
        <w:t>　</w:t>
      </w:r>
      <w:r>
        <w:rPr>
          <w:rFonts w:ascii="宋体" w:hAnsi="宋体" w:eastAsia="宋体" w:cs="宋体"/>
          <w:color w:val="auto"/>
          <w:spacing w:val="-2"/>
          <w:sz w:val="24"/>
          <w:szCs w:val="24"/>
          <w:lang w:eastAsia="zh-CN"/>
        </w:rPr>
        <w:t>页</w:t>
      </w:r>
    </w:p>
    <w:p w14:paraId="17F4C87C">
      <w:pPr>
        <w:spacing w:line="143" w:lineRule="exact"/>
        <w:rPr>
          <w:color w:val="auto"/>
          <w:lang w:eastAsia="zh-CN"/>
        </w:rPr>
      </w:pPr>
    </w:p>
    <w:tbl>
      <w:tblPr>
        <w:tblStyle w:val="20"/>
        <w:tblW w:w="914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2540"/>
        <w:gridCol w:w="2003"/>
        <w:gridCol w:w="1004"/>
        <w:gridCol w:w="1253"/>
        <w:gridCol w:w="1512"/>
      </w:tblGrid>
      <w:tr w14:paraId="0F75BE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836" w:type="dxa"/>
            <w:tcBorders>
              <w:top w:val="single" w:color="000000" w:sz="6" w:space="0"/>
              <w:left w:val="single" w:color="000000" w:sz="6" w:space="0"/>
            </w:tcBorders>
            <w:vAlign w:val="center"/>
          </w:tcPr>
          <w:p w14:paraId="24BBFBEA">
            <w:pPr>
              <w:pStyle w:val="21"/>
              <w:widowControl w:val="0"/>
              <w:kinsoku/>
              <w:jc w:val="center"/>
              <w:rPr>
                <w:rFonts w:hint="eastAsia"/>
                <w:color w:val="auto"/>
                <w:sz w:val="24"/>
                <w:szCs w:val="24"/>
              </w:rPr>
            </w:pPr>
            <w:r>
              <w:rPr>
                <w:color w:val="auto"/>
                <w:spacing w:val="-3"/>
                <w:sz w:val="24"/>
                <w:szCs w:val="24"/>
              </w:rPr>
              <w:t>序号</w:t>
            </w:r>
          </w:p>
        </w:tc>
        <w:tc>
          <w:tcPr>
            <w:tcW w:w="2540" w:type="dxa"/>
            <w:tcBorders>
              <w:top w:val="single" w:color="000000" w:sz="6" w:space="0"/>
            </w:tcBorders>
            <w:vAlign w:val="center"/>
          </w:tcPr>
          <w:p w14:paraId="5ABC02B1">
            <w:pPr>
              <w:pStyle w:val="21"/>
              <w:widowControl w:val="0"/>
              <w:kinsoku/>
              <w:jc w:val="center"/>
              <w:rPr>
                <w:rFonts w:hint="eastAsia"/>
                <w:color w:val="auto"/>
                <w:sz w:val="24"/>
                <w:szCs w:val="24"/>
              </w:rPr>
            </w:pPr>
            <w:r>
              <w:rPr>
                <w:color w:val="auto"/>
                <w:spacing w:val="-2"/>
                <w:sz w:val="24"/>
                <w:szCs w:val="24"/>
              </w:rPr>
              <w:t>材料名称</w:t>
            </w:r>
          </w:p>
        </w:tc>
        <w:tc>
          <w:tcPr>
            <w:tcW w:w="2003" w:type="dxa"/>
            <w:tcBorders>
              <w:top w:val="single" w:color="000000" w:sz="6" w:space="0"/>
            </w:tcBorders>
            <w:vAlign w:val="center"/>
          </w:tcPr>
          <w:p w14:paraId="79C03376">
            <w:pPr>
              <w:pStyle w:val="21"/>
              <w:widowControl w:val="0"/>
              <w:kinsoku/>
              <w:jc w:val="center"/>
              <w:rPr>
                <w:rFonts w:hint="eastAsia"/>
                <w:color w:val="auto"/>
                <w:sz w:val="24"/>
                <w:szCs w:val="24"/>
              </w:rPr>
            </w:pPr>
            <w:r>
              <w:rPr>
                <w:color w:val="auto"/>
                <w:spacing w:val="-2"/>
                <w:sz w:val="24"/>
                <w:szCs w:val="24"/>
              </w:rPr>
              <w:t>规格型号</w:t>
            </w:r>
          </w:p>
        </w:tc>
        <w:tc>
          <w:tcPr>
            <w:tcW w:w="1004" w:type="dxa"/>
            <w:tcBorders>
              <w:top w:val="single" w:color="000000" w:sz="6" w:space="0"/>
            </w:tcBorders>
            <w:vAlign w:val="center"/>
          </w:tcPr>
          <w:p w14:paraId="5D833D09">
            <w:pPr>
              <w:pStyle w:val="21"/>
              <w:widowControl w:val="0"/>
              <w:kinsoku/>
              <w:jc w:val="center"/>
              <w:rPr>
                <w:rFonts w:hint="eastAsia"/>
                <w:color w:val="auto"/>
                <w:sz w:val="24"/>
                <w:szCs w:val="24"/>
              </w:rPr>
            </w:pPr>
            <w:r>
              <w:rPr>
                <w:color w:val="auto"/>
                <w:spacing w:val="-3"/>
                <w:sz w:val="24"/>
                <w:szCs w:val="24"/>
              </w:rPr>
              <w:t>计量</w:t>
            </w:r>
          </w:p>
          <w:p w14:paraId="0EC97630">
            <w:pPr>
              <w:pStyle w:val="21"/>
              <w:widowControl w:val="0"/>
              <w:kinsoku/>
              <w:jc w:val="center"/>
              <w:rPr>
                <w:rFonts w:hint="eastAsia"/>
                <w:color w:val="auto"/>
                <w:sz w:val="24"/>
                <w:szCs w:val="24"/>
              </w:rPr>
            </w:pPr>
            <w:r>
              <w:rPr>
                <w:color w:val="auto"/>
                <w:spacing w:val="-3"/>
                <w:sz w:val="24"/>
                <w:szCs w:val="24"/>
              </w:rPr>
              <w:t>单位</w:t>
            </w:r>
          </w:p>
        </w:tc>
        <w:tc>
          <w:tcPr>
            <w:tcW w:w="1253" w:type="dxa"/>
            <w:tcBorders>
              <w:top w:val="single" w:color="000000" w:sz="6" w:space="0"/>
            </w:tcBorders>
            <w:vAlign w:val="center"/>
          </w:tcPr>
          <w:p w14:paraId="61C7C2D6">
            <w:pPr>
              <w:pStyle w:val="21"/>
              <w:widowControl w:val="0"/>
              <w:kinsoku/>
              <w:jc w:val="center"/>
              <w:rPr>
                <w:rFonts w:hint="eastAsia"/>
                <w:color w:val="auto"/>
                <w:sz w:val="24"/>
                <w:szCs w:val="24"/>
              </w:rPr>
            </w:pPr>
            <w:r>
              <w:rPr>
                <w:color w:val="auto"/>
                <w:spacing w:val="-3"/>
                <w:sz w:val="24"/>
                <w:szCs w:val="24"/>
              </w:rPr>
              <w:t>供应价</w:t>
            </w:r>
          </w:p>
          <w:p w14:paraId="478A7CCF">
            <w:pPr>
              <w:pStyle w:val="21"/>
              <w:widowControl w:val="0"/>
              <w:kinsoku/>
              <w:jc w:val="center"/>
              <w:rPr>
                <w:rFonts w:hint="eastAsia"/>
                <w:color w:val="auto"/>
                <w:sz w:val="24"/>
                <w:szCs w:val="24"/>
              </w:rPr>
            </w:pPr>
            <w:r>
              <w:rPr>
                <w:color w:val="auto"/>
                <w:spacing w:val="-8"/>
                <w:sz w:val="24"/>
                <w:szCs w:val="24"/>
              </w:rPr>
              <w:t>（元）</w:t>
            </w:r>
          </w:p>
        </w:tc>
        <w:tc>
          <w:tcPr>
            <w:tcW w:w="1512" w:type="dxa"/>
            <w:tcBorders>
              <w:top w:val="single" w:color="000000" w:sz="6" w:space="0"/>
              <w:right w:val="single" w:color="000000" w:sz="6" w:space="0"/>
            </w:tcBorders>
            <w:vAlign w:val="center"/>
          </w:tcPr>
          <w:p w14:paraId="26E2EEB6">
            <w:pPr>
              <w:pStyle w:val="21"/>
              <w:widowControl w:val="0"/>
              <w:kinsoku/>
              <w:jc w:val="center"/>
              <w:rPr>
                <w:rFonts w:hint="eastAsia"/>
                <w:color w:val="auto"/>
                <w:sz w:val="24"/>
                <w:szCs w:val="24"/>
              </w:rPr>
            </w:pPr>
            <w:r>
              <w:rPr>
                <w:color w:val="auto"/>
                <w:spacing w:val="-3"/>
                <w:sz w:val="24"/>
                <w:szCs w:val="24"/>
              </w:rPr>
              <w:t>预算价</w:t>
            </w:r>
          </w:p>
          <w:p w14:paraId="6AEC89F7">
            <w:pPr>
              <w:pStyle w:val="21"/>
              <w:widowControl w:val="0"/>
              <w:kinsoku/>
              <w:jc w:val="center"/>
              <w:rPr>
                <w:rFonts w:hint="eastAsia"/>
                <w:color w:val="auto"/>
                <w:sz w:val="24"/>
                <w:szCs w:val="24"/>
              </w:rPr>
            </w:pPr>
            <w:r>
              <w:rPr>
                <w:color w:val="auto"/>
                <w:spacing w:val="-8"/>
                <w:sz w:val="24"/>
                <w:szCs w:val="24"/>
              </w:rPr>
              <w:t>（元）</w:t>
            </w:r>
          </w:p>
        </w:tc>
      </w:tr>
      <w:tr w14:paraId="54A2B7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3314FCE2">
            <w:pPr>
              <w:rPr>
                <w:color w:val="auto"/>
              </w:rPr>
            </w:pPr>
          </w:p>
        </w:tc>
        <w:tc>
          <w:tcPr>
            <w:tcW w:w="2540" w:type="dxa"/>
          </w:tcPr>
          <w:p w14:paraId="473630AF">
            <w:pPr>
              <w:rPr>
                <w:color w:val="auto"/>
              </w:rPr>
            </w:pPr>
          </w:p>
        </w:tc>
        <w:tc>
          <w:tcPr>
            <w:tcW w:w="2003" w:type="dxa"/>
          </w:tcPr>
          <w:p w14:paraId="04F68777">
            <w:pPr>
              <w:rPr>
                <w:color w:val="auto"/>
              </w:rPr>
            </w:pPr>
          </w:p>
        </w:tc>
        <w:tc>
          <w:tcPr>
            <w:tcW w:w="1004" w:type="dxa"/>
          </w:tcPr>
          <w:p w14:paraId="00B78433">
            <w:pPr>
              <w:rPr>
                <w:color w:val="auto"/>
              </w:rPr>
            </w:pPr>
          </w:p>
        </w:tc>
        <w:tc>
          <w:tcPr>
            <w:tcW w:w="1253" w:type="dxa"/>
          </w:tcPr>
          <w:p w14:paraId="1B575333">
            <w:pPr>
              <w:rPr>
                <w:color w:val="auto"/>
              </w:rPr>
            </w:pPr>
          </w:p>
        </w:tc>
        <w:tc>
          <w:tcPr>
            <w:tcW w:w="1512" w:type="dxa"/>
            <w:tcBorders>
              <w:right w:val="single" w:color="000000" w:sz="6" w:space="0"/>
            </w:tcBorders>
          </w:tcPr>
          <w:p w14:paraId="001F87A0">
            <w:pPr>
              <w:rPr>
                <w:color w:val="auto"/>
              </w:rPr>
            </w:pPr>
          </w:p>
        </w:tc>
      </w:tr>
      <w:tr w14:paraId="3017E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36" w:type="dxa"/>
            <w:tcBorders>
              <w:left w:val="single" w:color="000000" w:sz="6" w:space="0"/>
            </w:tcBorders>
          </w:tcPr>
          <w:p w14:paraId="016CCF3D">
            <w:pPr>
              <w:rPr>
                <w:color w:val="auto"/>
              </w:rPr>
            </w:pPr>
          </w:p>
        </w:tc>
        <w:tc>
          <w:tcPr>
            <w:tcW w:w="2540" w:type="dxa"/>
          </w:tcPr>
          <w:p w14:paraId="46571281">
            <w:pPr>
              <w:rPr>
                <w:color w:val="auto"/>
              </w:rPr>
            </w:pPr>
          </w:p>
        </w:tc>
        <w:tc>
          <w:tcPr>
            <w:tcW w:w="2003" w:type="dxa"/>
          </w:tcPr>
          <w:p w14:paraId="156DB350">
            <w:pPr>
              <w:rPr>
                <w:color w:val="auto"/>
              </w:rPr>
            </w:pPr>
          </w:p>
        </w:tc>
        <w:tc>
          <w:tcPr>
            <w:tcW w:w="1004" w:type="dxa"/>
          </w:tcPr>
          <w:p w14:paraId="2C84B7D7">
            <w:pPr>
              <w:rPr>
                <w:color w:val="auto"/>
              </w:rPr>
            </w:pPr>
          </w:p>
        </w:tc>
        <w:tc>
          <w:tcPr>
            <w:tcW w:w="1253" w:type="dxa"/>
          </w:tcPr>
          <w:p w14:paraId="7A8D7A49">
            <w:pPr>
              <w:rPr>
                <w:color w:val="auto"/>
              </w:rPr>
            </w:pPr>
          </w:p>
        </w:tc>
        <w:tc>
          <w:tcPr>
            <w:tcW w:w="1512" w:type="dxa"/>
            <w:tcBorders>
              <w:right w:val="single" w:color="000000" w:sz="6" w:space="0"/>
            </w:tcBorders>
          </w:tcPr>
          <w:p w14:paraId="209931CA">
            <w:pPr>
              <w:rPr>
                <w:color w:val="auto"/>
              </w:rPr>
            </w:pPr>
          </w:p>
        </w:tc>
      </w:tr>
      <w:tr w14:paraId="2117A1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1F4CE9B6">
            <w:pPr>
              <w:rPr>
                <w:color w:val="auto"/>
              </w:rPr>
            </w:pPr>
          </w:p>
        </w:tc>
        <w:tc>
          <w:tcPr>
            <w:tcW w:w="2540" w:type="dxa"/>
          </w:tcPr>
          <w:p w14:paraId="64AEAD47">
            <w:pPr>
              <w:rPr>
                <w:color w:val="auto"/>
              </w:rPr>
            </w:pPr>
          </w:p>
        </w:tc>
        <w:tc>
          <w:tcPr>
            <w:tcW w:w="2003" w:type="dxa"/>
          </w:tcPr>
          <w:p w14:paraId="1C3A658C">
            <w:pPr>
              <w:rPr>
                <w:color w:val="auto"/>
              </w:rPr>
            </w:pPr>
          </w:p>
        </w:tc>
        <w:tc>
          <w:tcPr>
            <w:tcW w:w="1004" w:type="dxa"/>
          </w:tcPr>
          <w:p w14:paraId="07565CCB">
            <w:pPr>
              <w:rPr>
                <w:color w:val="auto"/>
              </w:rPr>
            </w:pPr>
          </w:p>
        </w:tc>
        <w:tc>
          <w:tcPr>
            <w:tcW w:w="1253" w:type="dxa"/>
          </w:tcPr>
          <w:p w14:paraId="17327C50">
            <w:pPr>
              <w:rPr>
                <w:color w:val="auto"/>
              </w:rPr>
            </w:pPr>
          </w:p>
        </w:tc>
        <w:tc>
          <w:tcPr>
            <w:tcW w:w="1512" w:type="dxa"/>
            <w:tcBorders>
              <w:right w:val="single" w:color="000000" w:sz="6" w:space="0"/>
            </w:tcBorders>
          </w:tcPr>
          <w:p w14:paraId="06D7D51E">
            <w:pPr>
              <w:rPr>
                <w:color w:val="auto"/>
              </w:rPr>
            </w:pPr>
          </w:p>
        </w:tc>
      </w:tr>
      <w:tr w14:paraId="3BCD3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2297235D">
            <w:pPr>
              <w:rPr>
                <w:color w:val="auto"/>
              </w:rPr>
            </w:pPr>
          </w:p>
        </w:tc>
        <w:tc>
          <w:tcPr>
            <w:tcW w:w="2540" w:type="dxa"/>
          </w:tcPr>
          <w:p w14:paraId="1B347CCE">
            <w:pPr>
              <w:rPr>
                <w:color w:val="auto"/>
              </w:rPr>
            </w:pPr>
          </w:p>
        </w:tc>
        <w:tc>
          <w:tcPr>
            <w:tcW w:w="2003" w:type="dxa"/>
          </w:tcPr>
          <w:p w14:paraId="47A4B264">
            <w:pPr>
              <w:rPr>
                <w:color w:val="auto"/>
              </w:rPr>
            </w:pPr>
          </w:p>
        </w:tc>
        <w:tc>
          <w:tcPr>
            <w:tcW w:w="1004" w:type="dxa"/>
          </w:tcPr>
          <w:p w14:paraId="145C9214">
            <w:pPr>
              <w:rPr>
                <w:color w:val="auto"/>
              </w:rPr>
            </w:pPr>
          </w:p>
        </w:tc>
        <w:tc>
          <w:tcPr>
            <w:tcW w:w="1253" w:type="dxa"/>
          </w:tcPr>
          <w:p w14:paraId="3E5CC462">
            <w:pPr>
              <w:rPr>
                <w:color w:val="auto"/>
              </w:rPr>
            </w:pPr>
          </w:p>
        </w:tc>
        <w:tc>
          <w:tcPr>
            <w:tcW w:w="1512" w:type="dxa"/>
            <w:tcBorders>
              <w:right w:val="single" w:color="000000" w:sz="6" w:space="0"/>
            </w:tcBorders>
          </w:tcPr>
          <w:p w14:paraId="07E6C982">
            <w:pPr>
              <w:rPr>
                <w:color w:val="auto"/>
              </w:rPr>
            </w:pPr>
          </w:p>
        </w:tc>
      </w:tr>
      <w:tr w14:paraId="73B4C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36" w:type="dxa"/>
            <w:tcBorders>
              <w:left w:val="single" w:color="000000" w:sz="6" w:space="0"/>
            </w:tcBorders>
          </w:tcPr>
          <w:p w14:paraId="4A734FFE">
            <w:pPr>
              <w:rPr>
                <w:color w:val="auto"/>
              </w:rPr>
            </w:pPr>
          </w:p>
        </w:tc>
        <w:tc>
          <w:tcPr>
            <w:tcW w:w="2540" w:type="dxa"/>
          </w:tcPr>
          <w:p w14:paraId="44D0A774">
            <w:pPr>
              <w:rPr>
                <w:color w:val="auto"/>
              </w:rPr>
            </w:pPr>
          </w:p>
        </w:tc>
        <w:tc>
          <w:tcPr>
            <w:tcW w:w="2003" w:type="dxa"/>
          </w:tcPr>
          <w:p w14:paraId="13B4E15D">
            <w:pPr>
              <w:rPr>
                <w:color w:val="auto"/>
              </w:rPr>
            </w:pPr>
          </w:p>
        </w:tc>
        <w:tc>
          <w:tcPr>
            <w:tcW w:w="1004" w:type="dxa"/>
          </w:tcPr>
          <w:p w14:paraId="1D36668F">
            <w:pPr>
              <w:rPr>
                <w:color w:val="auto"/>
              </w:rPr>
            </w:pPr>
          </w:p>
        </w:tc>
        <w:tc>
          <w:tcPr>
            <w:tcW w:w="1253" w:type="dxa"/>
          </w:tcPr>
          <w:p w14:paraId="4B093126">
            <w:pPr>
              <w:rPr>
                <w:color w:val="auto"/>
              </w:rPr>
            </w:pPr>
          </w:p>
        </w:tc>
        <w:tc>
          <w:tcPr>
            <w:tcW w:w="1512" w:type="dxa"/>
            <w:tcBorders>
              <w:right w:val="single" w:color="000000" w:sz="6" w:space="0"/>
            </w:tcBorders>
          </w:tcPr>
          <w:p w14:paraId="3AAF574C">
            <w:pPr>
              <w:rPr>
                <w:color w:val="auto"/>
              </w:rPr>
            </w:pPr>
          </w:p>
        </w:tc>
      </w:tr>
      <w:tr w14:paraId="0A886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791A8564">
            <w:pPr>
              <w:rPr>
                <w:color w:val="auto"/>
              </w:rPr>
            </w:pPr>
          </w:p>
        </w:tc>
        <w:tc>
          <w:tcPr>
            <w:tcW w:w="2540" w:type="dxa"/>
          </w:tcPr>
          <w:p w14:paraId="097C3B40">
            <w:pPr>
              <w:rPr>
                <w:color w:val="auto"/>
              </w:rPr>
            </w:pPr>
          </w:p>
        </w:tc>
        <w:tc>
          <w:tcPr>
            <w:tcW w:w="2003" w:type="dxa"/>
          </w:tcPr>
          <w:p w14:paraId="7DF9CBB4">
            <w:pPr>
              <w:rPr>
                <w:color w:val="auto"/>
              </w:rPr>
            </w:pPr>
          </w:p>
        </w:tc>
        <w:tc>
          <w:tcPr>
            <w:tcW w:w="1004" w:type="dxa"/>
          </w:tcPr>
          <w:p w14:paraId="7308C733">
            <w:pPr>
              <w:rPr>
                <w:color w:val="auto"/>
              </w:rPr>
            </w:pPr>
          </w:p>
        </w:tc>
        <w:tc>
          <w:tcPr>
            <w:tcW w:w="1253" w:type="dxa"/>
          </w:tcPr>
          <w:p w14:paraId="32CEF7D3">
            <w:pPr>
              <w:rPr>
                <w:color w:val="auto"/>
              </w:rPr>
            </w:pPr>
          </w:p>
        </w:tc>
        <w:tc>
          <w:tcPr>
            <w:tcW w:w="1512" w:type="dxa"/>
            <w:tcBorders>
              <w:right w:val="single" w:color="000000" w:sz="6" w:space="0"/>
            </w:tcBorders>
          </w:tcPr>
          <w:p w14:paraId="49061CB7">
            <w:pPr>
              <w:rPr>
                <w:color w:val="auto"/>
              </w:rPr>
            </w:pPr>
          </w:p>
        </w:tc>
      </w:tr>
      <w:tr w14:paraId="50E09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2D1B420B">
            <w:pPr>
              <w:rPr>
                <w:color w:val="auto"/>
              </w:rPr>
            </w:pPr>
          </w:p>
        </w:tc>
        <w:tc>
          <w:tcPr>
            <w:tcW w:w="2540" w:type="dxa"/>
          </w:tcPr>
          <w:p w14:paraId="09C16F6C">
            <w:pPr>
              <w:rPr>
                <w:color w:val="auto"/>
              </w:rPr>
            </w:pPr>
          </w:p>
        </w:tc>
        <w:tc>
          <w:tcPr>
            <w:tcW w:w="2003" w:type="dxa"/>
          </w:tcPr>
          <w:p w14:paraId="5CDC4A64">
            <w:pPr>
              <w:rPr>
                <w:color w:val="auto"/>
              </w:rPr>
            </w:pPr>
          </w:p>
        </w:tc>
        <w:tc>
          <w:tcPr>
            <w:tcW w:w="1004" w:type="dxa"/>
          </w:tcPr>
          <w:p w14:paraId="0A1EB519">
            <w:pPr>
              <w:rPr>
                <w:color w:val="auto"/>
              </w:rPr>
            </w:pPr>
          </w:p>
        </w:tc>
        <w:tc>
          <w:tcPr>
            <w:tcW w:w="1253" w:type="dxa"/>
          </w:tcPr>
          <w:p w14:paraId="57164098">
            <w:pPr>
              <w:rPr>
                <w:color w:val="auto"/>
              </w:rPr>
            </w:pPr>
          </w:p>
        </w:tc>
        <w:tc>
          <w:tcPr>
            <w:tcW w:w="1512" w:type="dxa"/>
            <w:tcBorders>
              <w:right w:val="single" w:color="000000" w:sz="6" w:space="0"/>
            </w:tcBorders>
          </w:tcPr>
          <w:p w14:paraId="0BB8F01F">
            <w:pPr>
              <w:rPr>
                <w:color w:val="auto"/>
              </w:rPr>
            </w:pPr>
          </w:p>
        </w:tc>
      </w:tr>
      <w:tr w14:paraId="7B5C6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36" w:type="dxa"/>
            <w:tcBorders>
              <w:left w:val="single" w:color="000000" w:sz="6" w:space="0"/>
            </w:tcBorders>
          </w:tcPr>
          <w:p w14:paraId="529F78AC">
            <w:pPr>
              <w:rPr>
                <w:color w:val="auto"/>
              </w:rPr>
            </w:pPr>
          </w:p>
        </w:tc>
        <w:tc>
          <w:tcPr>
            <w:tcW w:w="2540" w:type="dxa"/>
          </w:tcPr>
          <w:p w14:paraId="4AE551A6">
            <w:pPr>
              <w:rPr>
                <w:color w:val="auto"/>
              </w:rPr>
            </w:pPr>
          </w:p>
        </w:tc>
        <w:tc>
          <w:tcPr>
            <w:tcW w:w="2003" w:type="dxa"/>
          </w:tcPr>
          <w:p w14:paraId="5A7A2E1C">
            <w:pPr>
              <w:rPr>
                <w:color w:val="auto"/>
              </w:rPr>
            </w:pPr>
          </w:p>
        </w:tc>
        <w:tc>
          <w:tcPr>
            <w:tcW w:w="1004" w:type="dxa"/>
          </w:tcPr>
          <w:p w14:paraId="1C47DC17">
            <w:pPr>
              <w:rPr>
                <w:color w:val="auto"/>
              </w:rPr>
            </w:pPr>
          </w:p>
        </w:tc>
        <w:tc>
          <w:tcPr>
            <w:tcW w:w="1253" w:type="dxa"/>
          </w:tcPr>
          <w:p w14:paraId="0BD311C3">
            <w:pPr>
              <w:rPr>
                <w:color w:val="auto"/>
              </w:rPr>
            </w:pPr>
          </w:p>
        </w:tc>
        <w:tc>
          <w:tcPr>
            <w:tcW w:w="1512" w:type="dxa"/>
            <w:tcBorders>
              <w:right w:val="single" w:color="000000" w:sz="6" w:space="0"/>
            </w:tcBorders>
          </w:tcPr>
          <w:p w14:paraId="3B5D0A2E">
            <w:pPr>
              <w:rPr>
                <w:color w:val="auto"/>
              </w:rPr>
            </w:pPr>
          </w:p>
        </w:tc>
      </w:tr>
      <w:tr w14:paraId="7C35F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227DAC8F">
            <w:pPr>
              <w:rPr>
                <w:color w:val="auto"/>
              </w:rPr>
            </w:pPr>
          </w:p>
        </w:tc>
        <w:tc>
          <w:tcPr>
            <w:tcW w:w="2540" w:type="dxa"/>
          </w:tcPr>
          <w:p w14:paraId="4A51B94C">
            <w:pPr>
              <w:rPr>
                <w:color w:val="auto"/>
              </w:rPr>
            </w:pPr>
          </w:p>
        </w:tc>
        <w:tc>
          <w:tcPr>
            <w:tcW w:w="2003" w:type="dxa"/>
          </w:tcPr>
          <w:p w14:paraId="3C3E8029">
            <w:pPr>
              <w:rPr>
                <w:color w:val="auto"/>
              </w:rPr>
            </w:pPr>
          </w:p>
        </w:tc>
        <w:tc>
          <w:tcPr>
            <w:tcW w:w="1004" w:type="dxa"/>
          </w:tcPr>
          <w:p w14:paraId="44C77FC8">
            <w:pPr>
              <w:rPr>
                <w:color w:val="auto"/>
              </w:rPr>
            </w:pPr>
          </w:p>
        </w:tc>
        <w:tc>
          <w:tcPr>
            <w:tcW w:w="1253" w:type="dxa"/>
          </w:tcPr>
          <w:p w14:paraId="347E0229">
            <w:pPr>
              <w:rPr>
                <w:color w:val="auto"/>
              </w:rPr>
            </w:pPr>
          </w:p>
        </w:tc>
        <w:tc>
          <w:tcPr>
            <w:tcW w:w="1512" w:type="dxa"/>
            <w:tcBorders>
              <w:right w:val="single" w:color="000000" w:sz="6" w:space="0"/>
            </w:tcBorders>
          </w:tcPr>
          <w:p w14:paraId="6125A4F3">
            <w:pPr>
              <w:rPr>
                <w:color w:val="auto"/>
              </w:rPr>
            </w:pPr>
          </w:p>
        </w:tc>
      </w:tr>
      <w:tr w14:paraId="0097D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3D7C3159">
            <w:pPr>
              <w:rPr>
                <w:color w:val="auto"/>
              </w:rPr>
            </w:pPr>
          </w:p>
        </w:tc>
        <w:tc>
          <w:tcPr>
            <w:tcW w:w="2540" w:type="dxa"/>
          </w:tcPr>
          <w:p w14:paraId="607E01D1">
            <w:pPr>
              <w:rPr>
                <w:color w:val="auto"/>
              </w:rPr>
            </w:pPr>
          </w:p>
        </w:tc>
        <w:tc>
          <w:tcPr>
            <w:tcW w:w="2003" w:type="dxa"/>
          </w:tcPr>
          <w:p w14:paraId="5D188AA3">
            <w:pPr>
              <w:rPr>
                <w:color w:val="auto"/>
              </w:rPr>
            </w:pPr>
          </w:p>
        </w:tc>
        <w:tc>
          <w:tcPr>
            <w:tcW w:w="1004" w:type="dxa"/>
          </w:tcPr>
          <w:p w14:paraId="118B75A5">
            <w:pPr>
              <w:rPr>
                <w:color w:val="auto"/>
              </w:rPr>
            </w:pPr>
          </w:p>
        </w:tc>
        <w:tc>
          <w:tcPr>
            <w:tcW w:w="1253" w:type="dxa"/>
          </w:tcPr>
          <w:p w14:paraId="2E2CFA08">
            <w:pPr>
              <w:rPr>
                <w:color w:val="auto"/>
              </w:rPr>
            </w:pPr>
          </w:p>
        </w:tc>
        <w:tc>
          <w:tcPr>
            <w:tcW w:w="1512" w:type="dxa"/>
            <w:tcBorders>
              <w:right w:val="single" w:color="000000" w:sz="6" w:space="0"/>
            </w:tcBorders>
          </w:tcPr>
          <w:p w14:paraId="0E80DC80">
            <w:pPr>
              <w:rPr>
                <w:color w:val="auto"/>
              </w:rPr>
            </w:pPr>
          </w:p>
        </w:tc>
      </w:tr>
      <w:tr w14:paraId="7C456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36" w:type="dxa"/>
            <w:tcBorders>
              <w:left w:val="single" w:color="000000" w:sz="6" w:space="0"/>
            </w:tcBorders>
          </w:tcPr>
          <w:p w14:paraId="5CB70B1E">
            <w:pPr>
              <w:rPr>
                <w:color w:val="auto"/>
              </w:rPr>
            </w:pPr>
          </w:p>
        </w:tc>
        <w:tc>
          <w:tcPr>
            <w:tcW w:w="2540" w:type="dxa"/>
          </w:tcPr>
          <w:p w14:paraId="7532673F">
            <w:pPr>
              <w:rPr>
                <w:color w:val="auto"/>
              </w:rPr>
            </w:pPr>
          </w:p>
        </w:tc>
        <w:tc>
          <w:tcPr>
            <w:tcW w:w="2003" w:type="dxa"/>
          </w:tcPr>
          <w:p w14:paraId="29AFD007">
            <w:pPr>
              <w:rPr>
                <w:color w:val="auto"/>
              </w:rPr>
            </w:pPr>
          </w:p>
        </w:tc>
        <w:tc>
          <w:tcPr>
            <w:tcW w:w="1004" w:type="dxa"/>
          </w:tcPr>
          <w:p w14:paraId="58CC64FF">
            <w:pPr>
              <w:rPr>
                <w:color w:val="auto"/>
              </w:rPr>
            </w:pPr>
          </w:p>
        </w:tc>
        <w:tc>
          <w:tcPr>
            <w:tcW w:w="1253" w:type="dxa"/>
          </w:tcPr>
          <w:p w14:paraId="344B7D47">
            <w:pPr>
              <w:rPr>
                <w:color w:val="auto"/>
              </w:rPr>
            </w:pPr>
          </w:p>
        </w:tc>
        <w:tc>
          <w:tcPr>
            <w:tcW w:w="1512" w:type="dxa"/>
            <w:tcBorders>
              <w:right w:val="single" w:color="000000" w:sz="6" w:space="0"/>
            </w:tcBorders>
          </w:tcPr>
          <w:p w14:paraId="4F11E32F">
            <w:pPr>
              <w:rPr>
                <w:color w:val="auto"/>
              </w:rPr>
            </w:pPr>
          </w:p>
        </w:tc>
      </w:tr>
      <w:tr w14:paraId="7D851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0E5F351A">
            <w:pPr>
              <w:rPr>
                <w:color w:val="auto"/>
              </w:rPr>
            </w:pPr>
          </w:p>
        </w:tc>
        <w:tc>
          <w:tcPr>
            <w:tcW w:w="2540" w:type="dxa"/>
          </w:tcPr>
          <w:p w14:paraId="7584E382">
            <w:pPr>
              <w:rPr>
                <w:color w:val="auto"/>
              </w:rPr>
            </w:pPr>
          </w:p>
        </w:tc>
        <w:tc>
          <w:tcPr>
            <w:tcW w:w="2003" w:type="dxa"/>
          </w:tcPr>
          <w:p w14:paraId="0618F3DB">
            <w:pPr>
              <w:rPr>
                <w:color w:val="auto"/>
              </w:rPr>
            </w:pPr>
          </w:p>
        </w:tc>
        <w:tc>
          <w:tcPr>
            <w:tcW w:w="1004" w:type="dxa"/>
          </w:tcPr>
          <w:p w14:paraId="064FD554">
            <w:pPr>
              <w:rPr>
                <w:color w:val="auto"/>
              </w:rPr>
            </w:pPr>
          </w:p>
        </w:tc>
        <w:tc>
          <w:tcPr>
            <w:tcW w:w="1253" w:type="dxa"/>
          </w:tcPr>
          <w:p w14:paraId="3FB7B6E8">
            <w:pPr>
              <w:rPr>
                <w:color w:val="auto"/>
              </w:rPr>
            </w:pPr>
          </w:p>
        </w:tc>
        <w:tc>
          <w:tcPr>
            <w:tcW w:w="1512" w:type="dxa"/>
            <w:tcBorders>
              <w:right w:val="single" w:color="000000" w:sz="6" w:space="0"/>
            </w:tcBorders>
          </w:tcPr>
          <w:p w14:paraId="05F0AF63">
            <w:pPr>
              <w:rPr>
                <w:color w:val="auto"/>
              </w:rPr>
            </w:pPr>
          </w:p>
        </w:tc>
      </w:tr>
      <w:tr w14:paraId="1248B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7619D2CC">
            <w:pPr>
              <w:rPr>
                <w:color w:val="auto"/>
              </w:rPr>
            </w:pPr>
          </w:p>
        </w:tc>
        <w:tc>
          <w:tcPr>
            <w:tcW w:w="2540" w:type="dxa"/>
          </w:tcPr>
          <w:p w14:paraId="57B8DDCF">
            <w:pPr>
              <w:rPr>
                <w:color w:val="auto"/>
              </w:rPr>
            </w:pPr>
          </w:p>
        </w:tc>
        <w:tc>
          <w:tcPr>
            <w:tcW w:w="2003" w:type="dxa"/>
          </w:tcPr>
          <w:p w14:paraId="6A223838">
            <w:pPr>
              <w:rPr>
                <w:color w:val="auto"/>
              </w:rPr>
            </w:pPr>
          </w:p>
        </w:tc>
        <w:tc>
          <w:tcPr>
            <w:tcW w:w="1004" w:type="dxa"/>
          </w:tcPr>
          <w:p w14:paraId="3DD3BD5F">
            <w:pPr>
              <w:rPr>
                <w:color w:val="auto"/>
              </w:rPr>
            </w:pPr>
          </w:p>
        </w:tc>
        <w:tc>
          <w:tcPr>
            <w:tcW w:w="1253" w:type="dxa"/>
          </w:tcPr>
          <w:p w14:paraId="7F14B71B">
            <w:pPr>
              <w:rPr>
                <w:color w:val="auto"/>
              </w:rPr>
            </w:pPr>
          </w:p>
        </w:tc>
        <w:tc>
          <w:tcPr>
            <w:tcW w:w="1512" w:type="dxa"/>
            <w:tcBorders>
              <w:right w:val="single" w:color="000000" w:sz="6" w:space="0"/>
            </w:tcBorders>
          </w:tcPr>
          <w:p w14:paraId="58C17F98">
            <w:pPr>
              <w:rPr>
                <w:color w:val="auto"/>
              </w:rPr>
            </w:pPr>
          </w:p>
        </w:tc>
      </w:tr>
      <w:tr w14:paraId="6AC95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36" w:type="dxa"/>
            <w:tcBorders>
              <w:left w:val="single" w:color="000000" w:sz="6" w:space="0"/>
            </w:tcBorders>
          </w:tcPr>
          <w:p w14:paraId="0B76D20F">
            <w:pPr>
              <w:rPr>
                <w:color w:val="auto"/>
              </w:rPr>
            </w:pPr>
          </w:p>
        </w:tc>
        <w:tc>
          <w:tcPr>
            <w:tcW w:w="2540" w:type="dxa"/>
          </w:tcPr>
          <w:p w14:paraId="68653295">
            <w:pPr>
              <w:rPr>
                <w:color w:val="auto"/>
              </w:rPr>
            </w:pPr>
          </w:p>
        </w:tc>
        <w:tc>
          <w:tcPr>
            <w:tcW w:w="2003" w:type="dxa"/>
          </w:tcPr>
          <w:p w14:paraId="0D52739F">
            <w:pPr>
              <w:rPr>
                <w:color w:val="auto"/>
              </w:rPr>
            </w:pPr>
          </w:p>
        </w:tc>
        <w:tc>
          <w:tcPr>
            <w:tcW w:w="1004" w:type="dxa"/>
          </w:tcPr>
          <w:p w14:paraId="2F2A470C">
            <w:pPr>
              <w:rPr>
                <w:color w:val="auto"/>
              </w:rPr>
            </w:pPr>
          </w:p>
        </w:tc>
        <w:tc>
          <w:tcPr>
            <w:tcW w:w="1253" w:type="dxa"/>
          </w:tcPr>
          <w:p w14:paraId="03F45840">
            <w:pPr>
              <w:rPr>
                <w:color w:val="auto"/>
              </w:rPr>
            </w:pPr>
          </w:p>
        </w:tc>
        <w:tc>
          <w:tcPr>
            <w:tcW w:w="1512" w:type="dxa"/>
            <w:tcBorders>
              <w:right w:val="single" w:color="000000" w:sz="6" w:space="0"/>
            </w:tcBorders>
          </w:tcPr>
          <w:p w14:paraId="4FEA4E44">
            <w:pPr>
              <w:rPr>
                <w:color w:val="auto"/>
              </w:rPr>
            </w:pPr>
          </w:p>
        </w:tc>
      </w:tr>
      <w:tr w14:paraId="019E2B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4927F613">
            <w:pPr>
              <w:rPr>
                <w:color w:val="auto"/>
              </w:rPr>
            </w:pPr>
          </w:p>
        </w:tc>
        <w:tc>
          <w:tcPr>
            <w:tcW w:w="2540" w:type="dxa"/>
          </w:tcPr>
          <w:p w14:paraId="1D181889">
            <w:pPr>
              <w:rPr>
                <w:color w:val="auto"/>
              </w:rPr>
            </w:pPr>
          </w:p>
        </w:tc>
        <w:tc>
          <w:tcPr>
            <w:tcW w:w="2003" w:type="dxa"/>
          </w:tcPr>
          <w:p w14:paraId="40720D3F">
            <w:pPr>
              <w:rPr>
                <w:color w:val="auto"/>
              </w:rPr>
            </w:pPr>
          </w:p>
        </w:tc>
        <w:tc>
          <w:tcPr>
            <w:tcW w:w="1004" w:type="dxa"/>
          </w:tcPr>
          <w:p w14:paraId="7272FCAE">
            <w:pPr>
              <w:rPr>
                <w:color w:val="auto"/>
              </w:rPr>
            </w:pPr>
          </w:p>
        </w:tc>
        <w:tc>
          <w:tcPr>
            <w:tcW w:w="1253" w:type="dxa"/>
          </w:tcPr>
          <w:p w14:paraId="40549466">
            <w:pPr>
              <w:rPr>
                <w:color w:val="auto"/>
              </w:rPr>
            </w:pPr>
          </w:p>
        </w:tc>
        <w:tc>
          <w:tcPr>
            <w:tcW w:w="1512" w:type="dxa"/>
            <w:tcBorders>
              <w:right w:val="single" w:color="000000" w:sz="6" w:space="0"/>
            </w:tcBorders>
          </w:tcPr>
          <w:p w14:paraId="07CDEA32">
            <w:pPr>
              <w:rPr>
                <w:color w:val="auto"/>
              </w:rPr>
            </w:pPr>
          </w:p>
        </w:tc>
      </w:tr>
      <w:tr w14:paraId="0052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tcPr>
          <w:p w14:paraId="2BEB1ADE">
            <w:pPr>
              <w:rPr>
                <w:color w:val="auto"/>
              </w:rPr>
            </w:pPr>
          </w:p>
        </w:tc>
        <w:tc>
          <w:tcPr>
            <w:tcW w:w="2540" w:type="dxa"/>
          </w:tcPr>
          <w:p w14:paraId="75726EFE">
            <w:pPr>
              <w:rPr>
                <w:color w:val="auto"/>
              </w:rPr>
            </w:pPr>
          </w:p>
        </w:tc>
        <w:tc>
          <w:tcPr>
            <w:tcW w:w="2003" w:type="dxa"/>
          </w:tcPr>
          <w:p w14:paraId="42190264">
            <w:pPr>
              <w:rPr>
                <w:color w:val="auto"/>
              </w:rPr>
            </w:pPr>
          </w:p>
        </w:tc>
        <w:tc>
          <w:tcPr>
            <w:tcW w:w="1004" w:type="dxa"/>
          </w:tcPr>
          <w:p w14:paraId="547D9F27">
            <w:pPr>
              <w:rPr>
                <w:color w:val="auto"/>
              </w:rPr>
            </w:pPr>
          </w:p>
        </w:tc>
        <w:tc>
          <w:tcPr>
            <w:tcW w:w="1253" w:type="dxa"/>
          </w:tcPr>
          <w:p w14:paraId="724F796D">
            <w:pPr>
              <w:rPr>
                <w:color w:val="auto"/>
              </w:rPr>
            </w:pPr>
          </w:p>
        </w:tc>
        <w:tc>
          <w:tcPr>
            <w:tcW w:w="1512" w:type="dxa"/>
            <w:tcBorders>
              <w:right w:val="single" w:color="000000" w:sz="6" w:space="0"/>
            </w:tcBorders>
          </w:tcPr>
          <w:p w14:paraId="6DF237C4">
            <w:pPr>
              <w:rPr>
                <w:color w:val="auto"/>
              </w:rPr>
            </w:pPr>
          </w:p>
        </w:tc>
      </w:tr>
      <w:tr w14:paraId="6967B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36" w:type="dxa"/>
            <w:tcBorders>
              <w:left w:val="single" w:color="000000" w:sz="6" w:space="0"/>
              <w:bottom w:val="single" w:color="000000" w:sz="6" w:space="0"/>
            </w:tcBorders>
          </w:tcPr>
          <w:p w14:paraId="7063708C">
            <w:pPr>
              <w:rPr>
                <w:color w:val="auto"/>
              </w:rPr>
            </w:pPr>
          </w:p>
        </w:tc>
        <w:tc>
          <w:tcPr>
            <w:tcW w:w="2540" w:type="dxa"/>
            <w:tcBorders>
              <w:bottom w:val="single" w:color="000000" w:sz="6" w:space="0"/>
            </w:tcBorders>
          </w:tcPr>
          <w:p w14:paraId="31E18FDE">
            <w:pPr>
              <w:rPr>
                <w:color w:val="auto"/>
              </w:rPr>
            </w:pPr>
          </w:p>
        </w:tc>
        <w:tc>
          <w:tcPr>
            <w:tcW w:w="2003" w:type="dxa"/>
            <w:tcBorders>
              <w:bottom w:val="single" w:color="000000" w:sz="6" w:space="0"/>
            </w:tcBorders>
          </w:tcPr>
          <w:p w14:paraId="3558F3D1">
            <w:pPr>
              <w:rPr>
                <w:color w:val="auto"/>
              </w:rPr>
            </w:pPr>
          </w:p>
        </w:tc>
        <w:tc>
          <w:tcPr>
            <w:tcW w:w="1004" w:type="dxa"/>
            <w:tcBorders>
              <w:bottom w:val="single" w:color="000000" w:sz="6" w:space="0"/>
            </w:tcBorders>
          </w:tcPr>
          <w:p w14:paraId="308E6D4C">
            <w:pPr>
              <w:rPr>
                <w:color w:val="auto"/>
              </w:rPr>
            </w:pPr>
          </w:p>
        </w:tc>
        <w:tc>
          <w:tcPr>
            <w:tcW w:w="1253" w:type="dxa"/>
            <w:tcBorders>
              <w:bottom w:val="single" w:color="000000" w:sz="6" w:space="0"/>
            </w:tcBorders>
          </w:tcPr>
          <w:p w14:paraId="6303C450">
            <w:pPr>
              <w:rPr>
                <w:color w:val="auto"/>
              </w:rPr>
            </w:pPr>
          </w:p>
        </w:tc>
        <w:tc>
          <w:tcPr>
            <w:tcW w:w="1512" w:type="dxa"/>
            <w:tcBorders>
              <w:bottom w:val="single" w:color="000000" w:sz="6" w:space="0"/>
              <w:right w:val="single" w:color="000000" w:sz="6" w:space="0"/>
            </w:tcBorders>
          </w:tcPr>
          <w:p w14:paraId="228F2AC0">
            <w:pPr>
              <w:rPr>
                <w:color w:val="auto"/>
              </w:rPr>
            </w:pPr>
          </w:p>
        </w:tc>
      </w:tr>
    </w:tbl>
    <w:p w14:paraId="4B6F72C7">
      <w:pPr>
        <w:pStyle w:val="8"/>
        <w:rPr>
          <w:color w:val="auto"/>
        </w:rPr>
      </w:pPr>
    </w:p>
    <w:p w14:paraId="0D93104A">
      <w:pPr>
        <w:rPr>
          <w:color w:val="auto"/>
        </w:rPr>
      </w:pPr>
      <w:r>
        <w:rPr>
          <w:color w:val="auto"/>
        </w:rPr>
        <w:br w:type="page"/>
      </w:r>
    </w:p>
    <w:p w14:paraId="5DE4B21C">
      <w:pPr>
        <w:spacing w:before="91" w:line="219" w:lineRule="auto"/>
        <w:ind w:left="2439"/>
        <w:rPr>
          <w:rFonts w:hint="eastAsia" w:ascii="宋体" w:hAnsi="宋体" w:eastAsia="宋体" w:cs="宋体"/>
          <w:color w:val="auto"/>
          <w:sz w:val="28"/>
          <w:szCs w:val="28"/>
          <w:lang w:eastAsia="zh-CN"/>
        </w:rPr>
      </w:pPr>
      <w:r>
        <w:rPr>
          <w:rFonts w:ascii="宋体" w:hAnsi="宋体" w:eastAsia="宋体" w:cs="宋体"/>
          <w:b/>
          <w:bCs/>
          <w:color w:val="auto"/>
          <w:spacing w:val="-3"/>
          <w:sz w:val="28"/>
          <w:szCs w:val="28"/>
          <w:lang w:eastAsia="zh-CN"/>
        </w:rPr>
        <w:t>主要材料用量及预算价格汇总表</w:t>
      </w:r>
    </w:p>
    <w:p w14:paraId="2991C419">
      <w:pPr>
        <w:spacing w:before="206" w:line="220" w:lineRule="auto"/>
        <w:ind w:left="1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z w:val="24"/>
          <w:szCs w:val="24"/>
          <w:lang w:eastAsia="zh-CN"/>
        </w:rPr>
        <w:t>　　　　　　　　　　</w:t>
      </w:r>
      <w:r>
        <w:rPr>
          <w:rFonts w:ascii="宋体" w:hAnsi="宋体" w:eastAsia="宋体" w:cs="宋体"/>
          <w:color w:val="auto"/>
          <w:spacing w:val="-1"/>
          <w:sz w:val="24"/>
          <w:szCs w:val="24"/>
          <w:lang w:eastAsia="zh-CN"/>
        </w:rPr>
        <w:t>第</w:t>
      </w:r>
      <w:r>
        <w:rPr>
          <w:rFonts w:hint="eastAsia" w:ascii="宋体" w:hAnsi="宋体" w:eastAsia="宋体" w:cs="宋体"/>
          <w:color w:val="auto"/>
          <w:spacing w:val="1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7"/>
          <w:sz w:val="24"/>
          <w:szCs w:val="24"/>
          <w:lang w:eastAsia="zh-CN"/>
        </w:rPr>
        <w:t>　</w:t>
      </w:r>
      <w:r>
        <w:rPr>
          <w:rFonts w:ascii="宋体" w:hAnsi="宋体" w:eastAsia="宋体" w:cs="宋体"/>
          <w:color w:val="auto"/>
          <w:spacing w:val="-2"/>
          <w:sz w:val="24"/>
          <w:szCs w:val="24"/>
          <w:lang w:eastAsia="zh-CN"/>
        </w:rPr>
        <w:t>页</w:t>
      </w:r>
    </w:p>
    <w:p w14:paraId="581CCA73">
      <w:pPr>
        <w:spacing w:line="143" w:lineRule="exact"/>
        <w:rPr>
          <w:color w:val="auto"/>
          <w:lang w:eastAsia="zh-CN"/>
        </w:rPr>
      </w:pPr>
    </w:p>
    <w:tbl>
      <w:tblPr>
        <w:tblStyle w:val="20"/>
        <w:tblW w:w="907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4"/>
        <w:gridCol w:w="1608"/>
        <w:gridCol w:w="1557"/>
        <w:gridCol w:w="848"/>
        <w:gridCol w:w="992"/>
        <w:gridCol w:w="1306"/>
        <w:gridCol w:w="1272"/>
        <w:gridCol w:w="719"/>
      </w:tblGrid>
      <w:tr w14:paraId="6C9A9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774" w:type="dxa"/>
            <w:tcBorders>
              <w:top w:val="single" w:color="000000" w:sz="6" w:space="0"/>
              <w:left w:val="single" w:color="000000" w:sz="6" w:space="0"/>
            </w:tcBorders>
            <w:vAlign w:val="center"/>
          </w:tcPr>
          <w:p w14:paraId="638F6FAC">
            <w:pPr>
              <w:pStyle w:val="21"/>
              <w:widowControl w:val="0"/>
              <w:kinsoku/>
              <w:jc w:val="center"/>
              <w:rPr>
                <w:rFonts w:hint="eastAsia"/>
                <w:color w:val="auto"/>
                <w:sz w:val="24"/>
                <w:szCs w:val="24"/>
              </w:rPr>
            </w:pPr>
            <w:r>
              <w:rPr>
                <w:color w:val="auto"/>
                <w:spacing w:val="-3"/>
                <w:sz w:val="24"/>
                <w:szCs w:val="24"/>
              </w:rPr>
              <w:t>序号</w:t>
            </w:r>
          </w:p>
        </w:tc>
        <w:tc>
          <w:tcPr>
            <w:tcW w:w="1608" w:type="dxa"/>
            <w:tcBorders>
              <w:top w:val="single" w:color="000000" w:sz="6" w:space="0"/>
            </w:tcBorders>
            <w:vAlign w:val="center"/>
          </w:tcPr>
          <w:p w14:paraId="10BC07C8">
            <w:pPr>
              <w:pStyle w:val="21"/>
              <w:widowControl w:val="0"/>
              <w:kinsoku/>
              <w:jc w:val="center"/>
              <w:rPr>
                <w:rFonts w:hint="eastAsia"/>
                <w:color w:val="auto"/>
                <w:sz w:val="24"/>
                <w:szCs w:val="24"/>
              </w:rPr>
            </w:pPr>
            <w:r>
              <w:rPr>
                <w:color w:val="auto"/>
                <w:spacing w:val="-2"/>
                <w:sz w:val="24"/>
                <w:szCs w:val="24"/>
              </w:rPr>
              <w:t>材料名称</w:t>
            </w:r>
          </w:p>
        </w:tc>
        <w:tc>
          <w:tcPr>
            <w:tcW w:w="1557" w:type="dxa"/>
            <w:tcBorders>
              <w:top w:val="single" w:color="000000" w:sz="6" w:space="0"/>
            </w:tcBorders>
            <w:vAlign w:val="center"/>
          </w:tcPr>
          <w:p w14:paraId="18834585">
            <w:pPr>
              <w:pStyle w:val="21"/>
              <w:widowControl w:val="0"/>
              <w:kinsoku/>
              <w:jc w:val="center"/>
              <w:rPr>
                <w:rFonts w:hint="eastAsia"/>
                <w:color w:val="auto"/>
                <w:sz w:val="24"/>
                <w:szCs w:val="24"/>
              </w:rPr>
            </w:pPr>
            <w:r>
              <w:rPr>
                <w:color w:val="auto"/>
                <w:spacing w:val="-4"/>
                <w:sz w:val="24"/>
                <w:szCs w:val="24"/>
              </w:rPr>
              <w:t>型号规格</w:t>
            </w:r>
          </w:p>
        </w:tc>
        <w:tc>
          <w:tcPr>
            <w:tcW w:w="848" w:type="dxa"/>
            <w:tcBorders>
              <w:top w:val="single" w:color="000000" w:sz="6" w:space="0"/>
            </w:tcBorders>
            <w:vAlign w:val="center"/>
          </w:tcPr>
          <w:p w14:paraId="7F0ECC30">
            <w:pPr>
              <w:pStyle w:val="21"/>
              <w:widowControl w:val="0"/>
              <w:kinsoku/>
              <w:jc w:val="center"/>
              <w:rPr>
                <w:rFonts w:hint="eastAsia"/>
                <w:color w:val="auto"/>
                <w:sz w:val="24"/>
                <w:szCs w:val="24"/>
              </w:rPr>
            </w:pPr>
            <w:r>
              <w:rPr>
                <w:color w:val="auto"/>
                <w:spacing w:val="-3"/>
                <w:sz w:val="24"/>
                <w:szCs w:val="24"/>
              </w:rPr>
              <w:t>计量</w:t>
            </w:r>
          </w:p>
          <w:p w14:paraId="75BC5B93">
            <w:pPr>
              <w:pStyle w:val="21"/>
              <w:widowControl w:val="0"/>
              <w:kinsoku/>
              <w:jc w:val="center"/>
              <w:rPr>
                <w:rFonts w:hint="eastAsia"/>
                <w:color w:val="auto"/>
                <w:sz w:val="24"/>
                <w:szCs w:val="24"/>
              </w:rPr>
            </w:pPr>
            <w:r>
              <w:rPr>
                <w:color w:val="auto"/>
                <w:spacing w:val="-3"/>
                <w:sz w:val="24"/>
                <w:szCs w:val="24"/>
              </w:rPr>
              <w:t>单位</w:t>
            </w:r>
          </w:p>
        </w:tc>
        <w:tc>
          <w:tcPr>
            <w:tcW w:w="992" w:type="dxa"/>
            <w:tcBorders>
              <w:top w:val="single" w:color="000000" w:sz="6" w:space="0"/>
            </w:tcBorders>
            <w:vAlign w:val="center"/>
          </w:tcPr>
          <w:p w14:paraId="56120645">
            <w:pPr>
              <w:pStyle w:val="21"/>
              <w:widowControl w:val="0"/>
              <w:kinsoku/>
              <w:jc w:val="center"/>
              <w:rPr>
                <w:rFonts w:hint="eastAsia"/>
                <w:color w:val="auto"/>
                <w:sz w:val="24"/>
                <w:szCs w:val="24"/>
              </w:rPr>
            </w:pPr>
            <w:r>
              <w:rPr>
                <w:color w:val="auto"/>
                <w:spacing w:val="-3"/>
                <w:sz w:val="24"/>
                <w:szCs w:val="24"/>
              </w:rPr>
              <w:t>数量</w:t>
            </w:r>
          </w:p>
        </w:tc>
        <w:tc>
          <w:tcPr>
            <w:tcW w:w="1306" w:type="dxa"/>
            <w:tcBorders>
              <w:top w:val="single" w:color="000000" w:sz="6" w:space="0"/>
            </w:tcBorders>
            <w:vAlign w:val="center"/>
          </w:tcPr>
          <w:p w14:paraId="0C876640">
            <w:pPr>
              <w:pStyle w:val="21"/>
              <w:widowControl w:val="0"/>
              <w:kinsoku/>
              <w:jc w:val="center"/>
              <w:rPr>
                <w:rFonts w:hint="eastAsia"/>
                <w:color w:val="auto"/>
                <w:sz w:val="24"/>
                <w:szCs w:val="24"/>
              </w:rPr>
            </w:pPr>
            <w:r>
              <w:rPr>
                <w:color w:val="auto"/>
                <w:spacing w:val="-3"/>
                <w:sz w:val="24"/>
                <w:szCs w:val="24"/>
              </w:rPr>
              <w:t>预算价</w:t>
            </w:r>
          </w:p>
          <w:p w14:paraId="416A6F48">
            <w:pPr>
              <w:pStyle w:val="21"/>
              <w:widowControl w:val="0"/>
              <w:kinsoku/>
              <w:jc w:val="center"/>
              <w:rPr>
                <w:rFonts w:hint="eastAsia"/>
                <w:color w:val="auto"/>
                <w:sz w:val="24"/>
                <w:szCs w:val="24"/>
              </w:rPr>
            </w:pPr>
            <w:r>
              <w:rPr>
                <w:color w:val="auto"/>
                <w:spacing w:val="-8"/>
                <w:sz w:val="24"/>
                <w:szCs w:val="24"/>
              </w:rPr>
              <w:t>（元）</w:t>
            </w:r>
          </w:p>
        </w:tc>
        <w:tc>
          <w:tcPr>
            <w:tcW w:w="1272" w:type="dxa"/>
            <w:tcBorders>
              <w:top w:val="single" w:color="000000" w:sz="6" w:space="0"/>
            </w:tcBorders>
            <w:vAlign w:val="center"/>
          </w:tcPr>
          <w:p w14:paraId="2B3BE251">
            <w:pPr>
              <w:pStyle w:val="21"/>
              <w:widowControl w:val="0"/>
              <w:kinsoku/>
              <w:jc w:val="center"/>
              <w:rPr>
                <w:rFonts w:hint="eastAsia"/>
                <w:color w:val="auto"/>
                <w:sz w:val="24"/>
                <w:szCs w:val="24"/>
              </w:rPr>
            </w:pPr>
            <w:r>
              <w:rPr>
                <w:color w:val="auto"/>
                <w:spacing w:val="-3"/>
                <w:sz w:val="24"/>
                <w:szCs w:val="24"/>
              </w:rPr>
              <w:t>材料补差</w:t>
            </w:r>
            <w:r>
              <w:rPr>
                <w:color w:val="auto"/>
                <w:spacing w:val="-8"/>
                <w:sz w:val="24"/>
                <w:szCs w:val="24"/>
              </w:rPr>
              <w:t>（元）</w:t>
            </w:r>
          </w:p>
        </w:tc>
        <w:tc>
          <w:tcPr>
            <w:tcW w:w="719" w:type="dxa"/>
            <w:tcBorders>
              <w:top w:val="single" w:color="000000" w:sz="6" w:space="0"/>
              <w:right w:val="single" w:color="000000" w:sz="6" w:space="0"/>
            </w:tcBorders>
            <w:vAlign w:val="center"/>
          </w:tcPr>
          <w:p w14:paraId="33660A01">
            <w:pPr>
              <w:pStyle w:val="21"/>
              <w:widowControl w:val="0"/>
              <w:kinsoku/>
              <w:jc w:val="center"/>
              <w:rPr>
                <w:rFonts w:hint="eastAsia"/>
                <w:color w:val="auto"/>
                <w:sz w:val="24"/>
                <w:szCs w:val="24"/>
              </w:rPr>
            </w:pPr>
            <w:r>
              <w:rPr>
                <w:color w:val="auto"/>
                <w:spacing w:val="-4"/>
                <w:sz w:val="24"/>
                <w:szCs w:val="24"/>
              </w:rPr>
              <w:t>备注</w:t>
            </w:r>
          </w:p>
        </w:tc>
      </w:tr>
      <w:tr w14:paraId="22068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0136CE9F">
            <w:pPr>
              <w:rPr>
                <w:color w:val="auto"/>
              </w:rPr>
            </w:pPr>
          </w:p>
        </w:tc>
        <w:tc>
          <w:tcPr>
            <w:tcW w:w="1608" w:type="dxa"/>
          </w:tcPr>
          <w:p w14:paraId="2EA15C0A">
            <w:pPr>
              <w:rPr>
                <w:color w:val="auto"/>
              </w:rPr>
            </w:pPr>
          </w:p>
        </w:tc>
        <w:tc>
          <w:tcPr>
            <w:tcW w:w="1557" w:type="dxa"/>
          </w:tcPr>
          <w:p w14:paraId="7F54C0E6">
            <w:pPr>
              <w:rPr>
                <w:color w:val="auto"/>
              </w:rPr>
            </w:pPr>
          </w:p>
        </w:tc>
        <w:tc>
          <w:tcPr>
            <w:tcW w:w="848" w:type="dxa"/>
          </w:tcPr>
          <w:p w14:paraId="71793804">
            <w:pPr>
              <w:rPr>
                <w:color w:val="auto"/>
              </w:rPr>
            </w:pPr>
          </w:p>
        </w:tc>
        <w:tc>
          <w:tcPr>
            <w:tcW w:w="992" w:type="dxa"/>
          </w:tcPr>
          <w:p w14:paraId="5266EECF">
            <w:pPr>
              <w:rPr>
                <w:color w:val="auto"/>
              </w:rPr>
            </w:pPr>
          </w:p>
        </w:tc>
        <w:tc>
          <w:tcPr>
            <w:tcW w:w="1306" w:type="dxa"/>
          </w:tcPr>
          <w:p w14:paraId="51E450B1">
            <w:pPr>
              <w:rPr>
                <w:color w:val="auto"/>
              </w:rPr>
            </w:pPr>
          </w:p>
        </w:tc>
        <w:tc>
          <w:tcPr>
            <w:tcW w:w="1272" w:type="dxa"/>
          </w:tcPr>
          <w:p w14:paraId="3EF879CE">
            <w:pPr>
              <w:rPr>
                <w:color w:val="auto"/>
              </w:rPr>
            </w:pPr>
          </w:p>
        </w:tc>
        <w:tc>
          <w:tcPr>
            <w:tcW w:w="719" w:type="dxa"/>
            <w:tcBorders>
              <w:right w:val="single" w:color="000000" w:sz="6" w:space="0"/>
            </w:tcBorders>
          </w:tcPr>
          <w:p w14:paraId="5D65B611">
            <w:pPr>
              <w:rPr>
                <w:color w:val="auto"/>
              </w:rPr>
            </w:pPr>
          </w:p>
        </w:tc>
      </w:tr>
      <w:tr w14:paraId="2CA35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6FC3F675">
            <w:pPr>
              <w:rPr>
                <w:color w:val="auto"/>
              </w:rPr>
            </w:pPr>
          </w:p>
        </w:tc>
        <w:tc>
          <w:tcPr>
            <w:tcW w:w="1608" w:type="dxa"/>
          </w:tcPr>
          <w:p w14:paraId="4BD2DEB0">
            <w:pPr>
              <w:rPr>
                <w:color w:val="auto"/>
              </w:rPr>
            </w:pPr>
          </w:p>
        </w:tc>
        <w:tc>
          <w:tcPr>
            <w:tcW w:w="1557" w:type="dxa"/>
          </w:tcPr>
          <w:p w14:paraId="73B5ED43">
            <w:pPr>
              <w:rPr>
                <w:color w:val="auto"/>
              </w:rPr>
            </w:pPr>
          </w:p>
        </w:tc>
        <w:tc>
          <w:tcPr>
            <w:tcW w:w="848" w:type="dxa"/>
          </w:tcPr>
          <w:p w14:paraId="255C0FB0">
            <w:pPr>
              <w:rPr>
                <w:color w:val="auto"/>
              </w:rPr>
            </w:pPr>
          </w:p>
        </w:tc>
        <w:tc>
          <w:tcPr>
            <w:tcW w:w="992" w:type="dxa"/>
          </w:tcPr>
          <w:p w14:paraId="57D29F97">
            <w:pPr>
              <w:rPr>
                <w:color w:val="auto"/>
              </w:rPr>
            </w:pPr>
          </w:p>
        </w:tc>
        <w:tc>
          <w:tcPr>
            <w:tcW w:w="1306" w:type="dxa"/>
          </w:tcPr>
          <w:p w14:paraId="464136BA">
            <w:pPr>
              <w:rPr>
                <w:color w:val="auto"/>
              </w:rPr>
            </w:pPr>
          </w:p>
        </w:tc>
        <w:tc>
          <w:tcPr>
            <w:tcW w:w="1272" w:type="dxa"/>
          </w:tcPr>
          <w:p w14:paraId="4EDD535D">
            <w:pPr>
              <w:rPr>
                <w:color w:val="auto"/>
              </w:rPr>
            </w:pPr>
          </w:p>
        </w:tc>
        <w:tc>
          <w:tcPr>
            <w:tcW w:w="719" w:type="dxa"/>
            <w:tcBorders>
              <w:right w:val="single" w:color="000000" w:sz="6" w:space="0"/>
            </w:tcBorders>
          </w:tcPr>
          <w:p w14:paraId="1BD3EFCD">
            <w:pPr>
              <w:rPr>
                <w:color w:val="auto"/>
              </w:rPr>
            </w:pPr>
          </w:p>
        </w:tc>
      </w:tr>
      <w:tr w14:paraId="03C40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123C0DB4">
            <w:pPr>
              <w:rPr>
                <w:color w:val="auto"/>
              </w:rPr>
            </w:pPr>
          </w:p>
        </w:tc>
        <w:tc>
          <w:tcPr>
            <w:tcW w:w="1608" w:type="dxa"/>
          </w:tcPr>
          <w:p w14:paraId="24E67C7F">
            <w:pPr>
              <w:rPr>
                <w:color w:val="auto"/>
              </w:rPr>
            </w:pPr>
          </w:p>
        </w:tc>
        <w:tc>
          <w:tcPr>
            <w:tcW w:w="1557" w:type="dxa"/>
          </w:tcPr>
          <w:p w14:paraId="3942E044">
            <w:pPr>
              <w:rPr>
                <w:color w:val="auto"/>
              </w:rPr>
            </w:pPr>
          </w:p>
        </w:tc>
        <w:tc>
          <w:tcPr>
            <w:tcW w:w="848" w:type="dxa"/>
          </w:tcPr>
          <w:p w14:paraId="55A25928">
            <w:pPr>
              <w:rPr>
                <w:color w:val="auto"/>
              </w:rPr>
            </w:pPr>
          </w:p>
        </w:tc>
        <w:tc>
          <w:tcPr>
            <w:tcW w:w="992" w:type="dxa"/>
          </w:tcPr>
          <w:p w14:paraId="5043462C">
            <w:pPr>
              <w:rPr>
                <w:color w:val="auto"/>
              </w:rPr>
            </w:pPr>
          </w:p>
        </w:tc>
        <w:tc>
          <w:tcPr>
            <w:tcW w:w="1306" w:type="dxa"/>
          </w:tcPr>
          <w:p w14:paraId="3FE7DC61">
            <w:pPr>
              <w:rPr>
                <w:color w:val="auto"/>
              </w:rPr>
            </w:pPr>
          </w:p>
        </w:tc>
        <w:tc>
          <w:tcPr>
            <w:tcW w:w="1272" w:type="dxa"/>
          </w:tcPr>
          <w:p w14:paraId="3CFE3946">
            <w:pPr>
              <w:rPr>
                <w:color w:val="auto"/>
              </w:rPr>
            </w:pPr>
          </w:p>
        </w:tc>
        <w:tc>
          <w:tcPr>
            <w:tcW w:w="719" w:type="dxa"/>
            <w:tcBorders>
              <w:right w:val="single" w:color="000000" w:sz="6" w:space="0"/>
            </w:tcBorders>
          </w:tcPr>
          <w:p w14:paraId="7FE80991">
            <w:pPr>
              <w:rPr>
                <w:color w:val="auto"/>
              </w:rPr>
            </w:pPr>
          </w:p>
        </w:tc>
      </w:tr>
      <w:tr w14:paraId="5CB0A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12A93C24">
            <w:pPr>
              <w:rPr>
                <w:color w:val="auto"/>
              </w:rPr>
            </w:pPr>
          </w:p>
        </w:tc>
        <w:tc>
          <w:tcPr>
            <w:tcW w:w="1608" w:type="dxa"/>
          </w:tcPr>
          <w:p w14:paraId="0174D965">
            <w:pPr>
              <w:rPr>
                <w:color w:val="auto"/>
              </w:rPr>
            </w:pPr>
          </w:p>
        </w:tc>
        <w:tc>
          <w:tcPr>
            <w:tcW w:w="1557" w:type="dxa"/>
          </w:tcPr>
          <w:p w14:paraId="7AC4A086">
            <w:pPr>
              <w:rPr>
                <w:color w:val="auto"/>
              </w:rPr>
            </w:pPr>
          </w:p>
        </w:tc>
        <w:tc>
          <w:tcPr>
            <w:tcW w:w="848" w:type="dxa"/>
          </w:tcPr>
          <w:p w14:paraId="644F34A8">
            <w:pPr>
              <w:rPr>
                <w:color w:val="auto"/>
              </w:rPr>
            </w:pPr>
          </w:p>
        </w:tc>
        <w:tc>
          <w:tcPr>
            <w:tcW w:w="992" w:type="dxa"/>
          </w:tcPr>
          <w:p w14:paraId="4DA3FFB3">
            <w:pPr>
              <w:rPr>
                <w:color w:val="auto"/>
              </w:rPr>
            </w:pPr>
          </w:p>
        </w:tc>
        <w:tc>
          <w:tcPr>
            <w:tcW w:w="1306" w:type="dxa"/>
          </w:tcPr>
          <w:p w14:paraId="27955ABC">
            <w:pPr>
              <w:rPr>
                <w:color w:val="auto"/>
              </w:rPr>
            </w:pPr>
          </w:p>
        </w:tc>
        <w:tc>
          <w:tcPr>
            <w:tcW w:w="1272" w:type="dxa"/>
          </w:tcPr>
          <w:p w14:paraId="27C69692">
            <w:pPr>
              <w:rPr>
                <w:color w:val="auto"/>
              </w:rPr>
            </w:pPr>
          </w:p>
        </w:tc>
        <w:tc>
          <w:tcPr>
            <w:tcW w:w="719" w:type="dxa"/>
            <w:tcBorders>
              <w:right w:val="single" w:color="000000" w:sz="6" w:space="0"/>
            </w:tcBorders>
          </w:tcPr>
          <w:p w14:paraId="088B2254">
            <w:pPr>
              <w:rPr>
                <w:color w:val="auto"/>
              </w:rPr>
            </w:pPr>
          </w:p>
        </w:tc>
      </w:tr>
      <w:tr w14:paraId="5D497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774" w:type="dxa"/>
            <w:tcBorders>
              <w:left w:val="single" w:color="000000" w:sz="6" w:space="0"/>
            </w:tcBorders>
          </w:tcPr>
          <w:p w14:paraId="0036D173">
            <w:pPr>
              <w:rPr>
                <w:color w:val="auto"/>
              </w:rPr>
            </w:pPr>
          </w:p>
        </w:tc>
        <w:tc>
          <w:tcPr>
            <w:tcW w:w="1608" w:type="dxa"/>
          </w:tcPr>
          <w:p w14:paraId="520DD2F6">
            <w:pPr>
              <w:rPr>
                <w:color w:val="auto"/>
              </w:rPr>
            </w:pPr>
          </w:p>
        </w:tc>
        <w:tc>
          <w:tcPr>
            <w:tcW w:w="1557" w:type="dxa"/>
          </w:tcPr>
          <w:p w14:paraId="77630B52">
            <w:pPr>
              <w:rPr>
                <w:color w:val="auto"/>
              </w:rPr>
            </w:pPr>
          </w:p>
        </w:tc>
        <w:tc>
          <w:tcPr>
            <w:tcW w:w="848" w:type="dxa"/>
          </w:tcPr>
          <w:p w14:paraId="2DB63CDB">
            <w:pPr>
              <w:rPr>
                <w:color w:val="auto"/>
              </w:rPr>
            </w:pPr>
          </w:p>
        </w:tc>
        <w:tc>
          <w:tcPr>
            <w:tcW w:w="992" w:type="dxa"/>
          </w:tcPr>
          <w:p w14:paraId="43495EF9">
            <w:pPr>
              <w:rPr>
                <w:color w:val="auto"/>
              </w:rPr>
            </w:pPr>
          </w:p>
        </w:tc>
        <w:tc>
          <w:tcPr>
            <w:tcW w:w="1306" w:type="dxa"/>
          </w:tcPr>
          <w:p w14:paraId="70CD3FE2">
            <w:pPr>
              <w:rPr>
                <w:color w:val="auto"/>
              </w:rPr>
            </w:pPr>
          </w:p>
        </w:tc>
        <w:tc>
          <w:tcPr>
            <w:tcW w:w="1272" w:type="dxa"/>
          </w:tcPr>
          <w:p w14:paraId="0D18C19B">
            <w:pPr>
              <w:rPr>
                <w:color w:val="auto"/>
              </w:rPr>
            </w:pPr>
          </w:p>
        </w:tc>
        <w:tc>
          <w:tcPr>
            <w:tcW w:w="719" w:type="dxa"/>
            <w:tcBorders>
              <w:right w:val="single" w:color="000000" w:sz="6" w:space="0"/>
            </w:tcBorders>
          </w:tcPr>
          <w:p w14:paraId="09C81E92">
            <w:pPr>
              <w:rPr>
                <w:color w:val="auto"/>
              </w:rPr>
            </w:pPr>
          </w:p>
        </w:tc>
      </w:tr>
      <w:tr w14:paraId="45384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656F9CD3">
            <w:pPr>
              <w:rPr>
                <w:color w:val="auto"/>
              </w:rPr>
            </w:pPr>
          </w:p>
        </w:tc>
        <w:tc>
          <w:tcPr>
            <w:tcW w:w="1608" w:type="dxa"/>
          </w:tcPr>
          <w:p w14:paraId="05E02F0F">
            <w:pPr>
              <w:rPr>
                <w:color w:val="auto"/>
              </w:rPr>
            </w:pPr>
          </w:p>
        </w:tc>
        <w:tc>
          <w:tcPr>
            <w:tcW w:w="1557" w:type="dxa"/>
          </w:tcPr>
          <w:p w14:paraId="047A1537">
            <w:pPr>
              <w:rPr>
                <w:color w:val="auto"/>
              </w:rPr>
            </w:pPr>
          </w:p>
        </w:tc>
        <w:tc>
          <w:tcPr>
            <w:tcW w:w="848" w:type="dxa"/>
          </w:tcPr>
          <w:p w14:paraId="5A8C8C63">
            <w:pPr>
              <w:rPr>
                <w:color w:val="auto"/>
              </w:rPr>
            </w:pPr>
          </w:p>
        </w:tc>
        <w:tc>
          <w:tcPr>
            <w:tcW w:w="992" w:type="dxa"/>
          </w:tcPr>
          <w:p w14:paraId="5CF28EA6">
            <w:pPr>
              <w:rPr>
                <w:color w:val="auto"/>
              </w:rPr>
            </w:pPr>
          </w:p>
        </w:tc>
        <w:tc>
          <w:tcPr>
            <w:tcW w:w="1306" w:type="dxa"/>
          </w:tcPr>
          <w:p w14:paraId="60576A97">
            <w:pPr>
              <w:rPr>
                <w:color w:val="auto"/>
              </w:rPr>
            </w:pPr>
          </w:p>
        </w:tc>
        <w:tc>
          <w:tcPr>
            <w:tcW w:w="1272" w:type="dxa"/>
          </w:tcPr>
          <w:p w14:paraId="14A11F77">
            <w:pPr>
              <w:rPr>
                <w:color w:val="auto"/>
              </w:rPr>
            </w:pPr>
          </w:p>
        </w:tc>
        <w:tc>
          <w:tcPr>
            <w:tcW w:w="719" w:type="dxa"/>
            <w:tcBorders>
              <w:right w:val="single" w:color="000000" w:sz="6" w:space="0"/>
            </w:tcBorders>
          </w:tcPr>
          <w:p w14:paraId="0440CE55">
            <w:pPr>
              <w:rPr>
                <w:color w:val="auto"/>
              </w:rPr>
            </w:pPr>
          </w:p>
        </w:tc>
      </w:tr>
      <w:tr w14:paraId="4F10D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1BC4992A">
            <w:pPr>
              <w:rPr>
                <w:color w:val="auto"/>
              </w:rPr>
            </w:pPr>
          </w:p>
        </w:tc>
        <w:tc>
          <w:tcPr>
            <w:tcW w:w="1608" w:type="dxa"/>
          </w:tcPr>
          <w:p w14:paraId="6034953B">
            <w:pPr>
              <w:rPr>
                <w:color w:val="auto"/>
              </w:rPr>
            </w:pPr>
          </w:p>
        </w:tc>
        <w:tc>
          <w:tcPr>
            <w:tcW w:w="1557" w:type="dxa"/>
          </w:tcPr>
          <w:p w14:paraId="5C4DE261">
            <w:pPr>
              <w:rPr>
                <w:color w:val="auto"/>
              </w:rPr>
            </w:pPr>
          </w:p>
        </w:tc>
        <w:tc>
          <w:tcPr>
            <w:tcW w:w="848" w:type="dxa"/>
          </w:tcPr>
          <w:p w14:paraId="32F29D4C">
            <w:pPr>
              <w:rPr>
                <w:color w:val="auto"/>
              </w:rPr>
            </w:pPr>
          </w:p>
        </w:tc>
        <w:tc>
          <w:tcPr>
            <w:tcW w:w="992" w:type="dxa"/>
          </w:tcPr>
          <w:p w14:paraId="20894254">
            <w:pPr>
              <w:rPr>
                <w:color w:val="auto"/>
              </w:rPr>
            </w:pPr>
          </w:p>
        </w:tc>
        <w:tc>
          <w:tcPr>
            <w:tcW w:w="1306" w:type="dxa"/>
          </w:tcPr>
          <w:p w14:paraId="4CC26290">
            <w:pPr>
              <w:rPr>
                <w:color w:val="auto"/>
              </w:rPr>
            </w:pPr>
          </w:p>
        </w:tc>
        <w:tc>
          <w:tcPr>
            <w:tcW w:w="1272" w:type="dxa"/>
          </w:tcPr>
          <w:p w14:paraId="584C042E">
            <w:pPr>
              <w:rPr>
                <w:color w:val="auto"/>
              </w:rPr>
            </w:pPr>
          </w:p>
        </w:tc>
        <w:tc>
          <w:tcPr>
            <w:tcW w:w="719" w:type="dxa"/>
            <w:tcBorders>
              <w:right w:val="single" w:color="000000" w:sz="6" w:space="0"/>
            </w:tcBorders>
          </w:tcPr>
          <w:p w14:paraId="774938B1">
            <w:pPr>
              <w:rPr>
                <w:color w:val="auto"/>
              </w:rPr>
            </w:pPr>
          </w:p>
        </w:tc>
      </w:tr>
      <w:tr w14:paraId="21CF6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5360419D">
            <w:pPr>
              <w:rPr>
                <w:color w:val="auto"/>
              </w:rPr>
            </w:pPr>
          </w:p>
        </w:tc>
        <w:tc>
          <w:tcPr>
            <w:tcW w:w="1608" w:type="dxa"/>
          </w:tcPr>
          <w:p w14:paraId="2EC210FB">
            <w:pPr>
              <w:rPr>
                <w:color w:val="auto"/>
              </w:rPr>
            </w:pPr>
          </w:p>
        </w:tc>
        <w:tc>
          <w:tcPr>
            <w:tcW w:w="1557" w:type="dxa"/>
          </w:tcPr>
          <w:p w14:paraId="66124B11">
            <w:pPr>
              <w:rPr>
                <w:color w:val="auto"/>
              </w:rPr>
            </w:pPr>
          </w:p>
        </w:tc>
        <w:tc>
          <w:tcPr>
            <w:tcW w:w="848" w:type="dxa"/>
          </w:tcPr>
          <w:p w14:paraId="66D6BBDE">
            <w:pPr>
              <w:rPr>
                <w:color w:val="auto"/>
              </w:rPr>
            </w:pPr>
          </w:p>
        </w:tc>
        <w:tc>
          <w:tcPr>
            <w:tcW w:w="992" w:type="dxa"/>
          </w:tcPr>
          <w:p w14:paraId="56F214AE">
            <w:pPr>
              <w:rPr>
                <w:color w:val="auto"/>
              </w:rPr>
            </w:pPr>
          </w:p>
        </w:tc>
        <w:tc>
          <w:tcPr>
            <w:tcW w:w="1306" w:type="dxa"/>
          </w:tcPr>
          <w:p w14:paraId="201039AB">
            <w:pPr>
              <w:rPr>
                <w:color w:val="auto"/>
              </w:rPr>
            </w:pPr>
          </w:p>
        </w:tc>
        <w:tc>
          <w:tcPr>
            <w:tcW w:w="1272" w:type="dxa"/>
          </w:tcPr>
          <w:p w14:paraId="29812286">
            <w:pPr>
              <w:rPr>
                <w:color w:val="auto"/>
              </w:rPr>
            </w:pPr>
          </w:p>
        </w:tc>
        <w:tc>
          <w:tcPr>
            <w:tcW w:w="719" w:type="dxa"/>
            <w:tcBorders>
              <w:right w:val="single" w:color="000000" w:sz="6" w:space="0"/>
            </w:tcBorders>
          </w:tcPr>
          <w:p w14:paraId="5A163A81">
            <w:pPr>
              <w:rPr>
                <w:color w:val="auto"/>
              </w:rPr>
            </w:pPr>
          </w:p>
        </w:tc>
      </w:tr>
      <w:tr w14:paraId="76134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2BA954BF">
            <w:pPr>
              <w:rPr>
                <w:color w:val="auto"/>
              </w:rPr>
            </w:pPr>
          </w:p>
        </w:tc>
        <w:tc>
          <w:tcPr>
            <w:tcW w:w="1608" w:type="dxa"/>
          </w:tcPr>
          <w:p w14:paraId="1A24F848">
            <w:pPr>
              <w:rPr>
                <w:color w:val="auto"/>
              </w:rPr>
            </w:pPr>
          </w:p>
        </w:tc>
        <w:tc>
          <w:tcPr>
            <w:tcW w:w="1557" w:type="dxa"/>
          </w:tcPr>
          <w:p w14:paraId="1755B448">
            <w:pPr>
              <w:rPr>
                <w:color w:val="auto"/>
              </w:rPr>
            </w:pPr>
          </w:p>
        </w:tc>
        <w:tc>
          <w:tcPr>
            <w:tcW w:w="848" w:type="dxa"/>
          </w:tcPr>
          <w:p w14:paraId="4DF1E4A1">
            <w:pPr>
              <w:rPr>
                <w:color w:val="auto"/>
              </w:rPr>
            </w:pPr>
          </w:p>
        </w:tc>
        <w:tc>
          <w:tcPr>
            <w:tcW w:w="992" w:type="dxa"/>
          </w:tcPr>
          <w:p w14:paraId="53DCD059">
            <w:pPr>
              <w:rPr>
                <w:color w:val="auto"/>
              </w:rPr>
            </w:pPr>
          </w:p>
        </w:tc>
        <w:tc>
          <w:tcPr>
            <w:tcW w:w="1306" w:type="dxa"/>
          </w:tcPr>
          <w:p w14:paraId="5931DAB2">
            <w:pPr>
              <w:rPr>
                <w:color w:val="auto"/>
              </w:rPr>
            </w:pPr>
          </w:p>
        </w:tc>
        <w:tc>
          <w:tcPr>
            <w:tcW w:w="1272" w:type="dxa"/>
          </w:tcPr>
          <w:p w14:paraId="689FBBDF">
            <w:pPr>
              <w:rPr>
                <w:color w:val="auto"/>
              </w:rPr>
            </w:pPr>
          </w:p>
        </w:tc>
        <w:tc>
          <w:tcPr>
            <w:tcW w:w="719" w:type="dxa"/>
            <w:tcBorders>
              <w:right w:val="single" w:color="000000" w:sz="6" w:space="0"/>
            </w:tcBorders>
          </w:tcPr>
          <w:p w14:paraId="52F758B7">
            <w:pPr>
              <w:rPr>
                <w:color w:val="auto"/>
              </w:rPr>
            </w:pPr>
          </w:p>
        </w:tc>
      </w:tr>
      <w:tr w14:paraId="4B6E3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5C2DB73E">
            <w:pPr>
              <w:rPr>
                <w:color w:val="auto"/>
              </w:rPr>
            </w:pPr>
          </w:p>
        </w:tc>
        <w:tc>
          <w:tcPr>
            <w:tcW w:w="1608" w:type="dxa"/>
          </w:tcPr>
          <w:p w14:paraId="60DBB2B1">
            <w:pPr>
              <w:rPr>
                <w:color w:val="auto"/>
              </w:rPr>
            </w:pPr>
          </w:p>
        </w:tc>
        <w:tc>
          <w:tcPr>
            <w:tcW w:w="1557" w:type="dxa"/>
          </w:tcPr>
          <w:p w14:paraId="67632317">
            <w:pPr>
              <w:rPr>
                <w:color w:val="auto"/>
              </w:rPr>
            </w:pPr>
          </w:p>
        </w:tc>
        <w:tc>
          <w:tcPr>
            <w:tcW w:w="848" w:type="dxa"/>
          </w:tcPr>
          <w:p w14:paraId="61460DAF">
            <w:pPr>
              <w:rPr>
                <w:color w:val="auto"/>
              </w:rPr>
            </w:pPr>
          </w:p>
        </w:tc>
        <w:tc>
          <w:tcPr>
            <w:tcW w:w="992" w:type="dxa"/>
          </w:tcPr>
          <w:p w14:paraId="5787D4BB">
            <w:pPr>
              <w:rPr>
                <w:color w:val="auto"/>
              </w:rPr>
            </w:pPr>
          </w:p>
        </w:tc>
        <w:tc>
          <w:tcPr>
            <w:tcW w:w="1306" w:type="dxa"/>
          </w:tcPr>
          <w:p w14:paraId="10F8E1D4">
            <w:pPr>
              <w:rPr>
                <w:color w:val="auto"/>
              </w:rPr>
            </w:pPr>
          </w:p>
        </w:tc>
        <w:tc>
          <w:tcPr>
            <w:tcW w:w="1272" w:type="dxa"/>
          </w:tcPr>
          <w:p w14:paraId="36FC37F7">
            <w:pPr>
              <w:rPr>
                <w:color w:val="auto"/>
              </w:rPr>
            </w:pPr>
          </w:p>
        </w:tc>
        <w:tc>
          <w:tcPr>
            <w:tcW w:w="719" w:type="dxa"/>
            <w:tcBorders>
              <w:right w:val="single" w:color="000000" w:sz="6" w:space="0"/>
            </w:tcBorders>
          </w:tcPr>
          <w:p w14:paraId="04FBD02E">
            <w:pPr>
              <w:rPr>
                <w:color w:val="auto"/>
              </w:rPr>
            </w:pPr>
          </w:p>
        </w:tc>
      </w:tr>
      <w:tr w14:paraId="44BAC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tcPr>
          <w:p w14:paraId="5E950DC0">
            <w:pPr>
              <w:rPr>
                <w:color w:val="auto"/>
              </w:rPr>
            </w:pPr>
          </w:p>
        </w:tc>
        <w:tc>
          <w:tcPr>
            <w:tcW w:w="1608" w:type="dxa"/>
          </w:tcPr>
          <w:p w14:paraId="173D6FBF">
            <w:pPr>
              <w:rPr>
                <w:color w:val="auto"/>
              </w:rPr>
            </w:pPr>
          </w:p>
        </w:tc>
        <w:tc>
          <w:tcPr>
            <w:tcW w:w="1557" w:type="dxa"/>
          </w:tcPr>
          <w:p w14:paraId="2AF4A291">
            <w:pPr>
              <w:rPr>
                <w:color w:val="auto"/>
              </w:rPr>
            </w:pPr>
          </w:p>
        </w:tc>
        <w:tc>
          <w:tcPr>
            <w:tcW w:w="848" w:type="dxa"/>
          </w:tcPr>
          <w:p w14:paraId="060D66A7">
            <w:pPr>
              <w:rPr>
                <w:color w:val="auto"/>
              </w:rPr>
            </w:pPr>
          </w:p>
        </w:tc>
        <w:tc>
          <w:tcPr>
            <w:tcW w:w="992" w:type="dxa"/>
          </w:tcPr>
          <w:p w14:paraId="4B27BD34">
            <w:pPr>
              <w:rPr>
                <w:color w:val="auto"/>
              </w:rPr>
            </w:pPr>
          </w:p>
        </w:tc>
        <w:tc>
          <w:tcPr>
            <w:tcW w:w="1306" w:type="dxa"/>
          </w:tcPr>
          <w:p w14:paraId="4E9257FF">
            <w:pPr>
              <w:rPr>
                <w:color w:val="auto"/>
              </w:rPr>
            </w:pPr>
          </w:p>
        </w:tc>
        <w:tc>
          <w:tcPr>
            <w:tcW w:w="1272" w:type="dxa"/>
          </w:tcPr>
          <w:p w14:paraId="5F469EE3">
            <w:pPr>
              <w:rPr>
                <w:color w:val="auto"/>
              </w:rPr>
            </w:pPr>
          </w:p>
        </w:tc>
        <w:tc>
          <w:tcPr>
            <w:tcW w:w="719" w:type="dxa"/>
            <w:tcBorders>
              <w:right w:val="single" w:color="000000" w:sz="6" w:space="0"/>
            </w:tcBorders>
          </w:tcPr>
          <w:p w14:paraId="334A4EB8">
            <w:pPr>
              <w:rPr>
                <w:color w:val="auto"/>
              </w:rPr>
            </w:pPr>
          </w:p>
        </w:tc>
      </w:tr>
      <w:tr w14:paraId="76543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tcPr>
          <w:p w14:paraId="4BFF42EB">
            <w:pPr>
              <w:rPr>
                <w:color w:val="auto"/>
              </w:rPr>
            </w:pPr>
          </w:p>
        </w:tc>
        <w:tc>
          <w:tcPr>
            <w:tcW w:w="1608" w:type="dxa"/>
          </w:tcPr>
          <w:p w14:paraId="1AB70D50">
            <w:pPr>
              <w:rPr>
                <w:color w:val="auto"/>
              </w:rPr>
            </w:pPr>
          </w:p>
        </w:tc>
        <w:tc>
          <w:tcPr>
            <w:tcW w:w="1557" w:type="dxa"/>
          </w:tcPr>
          <w:p w14:paraId="7B8664AA">
            <w:pPr>
              <w:rPr>
                <w:color w:val="auto"/>
              </w:rPr>
            </w:pPr>
          </w:p>
        </w:tc>
        <w:tc>
          <w:tcPr>
            <w:tcW w:w="848" w:type="dxa"/>
          </w:tcPr>
          <w:p w14:paraId="6DD0CD35">
            <w:pPr>
              <w:rPr>
                <w:color w:val="auto"/>
              </w:rPr>
            </w:pPr>
          </w:p>
        </w:tc>
        <w:tc>
          <w:tcPr>
            <w:tcW w:w="992" w:type="dxa"/>
          </w:tcPr>
          <w:p w14:paraId="7E5D6967">
            <w:pPr>
              <w:rPr>
                <w:color w:val="auto"/>
              </w:rPr>
            </w:pPr>
          </w:p>
        </w:tc>
        <w:tc>
          <w:tcPr>
            <w:tcW w:w="1306" w:type="dxa"/>
          </w:tcPr>
          <w:p w14:paraId="60A19E0F">
            <w:pPr>
              <w:rPr>
                <w:color w:val="auto"/>
              </w:rPr>
            </w:pPr>
          </w:p>
        </w:tc>
        <w:tc>
          <w:tcPr>
            <w:tcW w:w="1272" w:type="dxa"/>
          </w:tcPr>
          <w:p w14:paraId="33399937">
            <w:pPr>
              <w:rPr>
                <w:color w:val="auto"/>
              </w:rPr>
            </w:pPr>
          </w:p>
        </w:tc>
        <w:tc>
          <w:tcPr>
            <w:tcW w:w="719" w:type="dxa"/>
            <w:tcBorders>
              <w:right w:val="single" w:color="000000" w:sz="6" w:space="0"/>
            </w:tcBorders>
          </w:tcPr>
          <w:p w14:paraId="43B79ECF">
            <w:pPr>
              <w:rPr>
                <w:color w:val="auto"/>
              </w:rPr>
            </w:pPr>
          </w:p>
        </w:tc>
      </w:tr>
      <w:tr w14:paraId="2A51D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tcPr>
          <w:p w14:paraId="18E0EE35">
            <w:pPr>
              <w:rPr>
                <w:color w:val="auto"/>
              </w:rPr>
            </w:pPr>
          </w:p>
        </w:tc>
        <w:tc>
          <w:tcPr>
            <w:tcW w:w="1608" w:type="dxa"/>
          </w:tcPr>
          <w:p w14:paraId="081F15F0">
            <w:pPr>
              <w:rPr>
                <w:color w:val="auto"/>
              </w:rPr>
            </w:pPr>
          </w:p>
        </w:tc>
        <w:tc>
          <w:tcPr>
            <w:tcW w:w="1557" w:type="dxa"/>
          </w:tcPr>
          <w:p w14:paraId="2B9951E2">
            <w:pPr>
              <w:rPr>
                <w:color w:val="auto"/>
              </w:rPr>
            </w:pPr>
          </w:p>
        </w:tc>
        <w:tc>
          <w:tcPr>
            <w:tcW w:w="848" w:type="dxa"/>
          </w:tcPr>
          <w:p w14:paraId="33E71FB2">
            <w:pPr>
              <w:rPr>
                <w:color w:val="auto"/>
              </w:rPr>
            </w:pPr>
          </w:p>
        </w:tc>
        <w:tc>
          <w:tcPr>
            <w:tcW w:w="992" w:type="dxa"/>
          </w:tcPr>
          <w:p w14:paraId="44B7CC47">
            <w:pPr>
              <w:rPr>
                <w:color w:val="auto"/>
              </w:rPr>
            </w:pPr>
          </w:p>
        </w:tc>
        <w:tc>
          <w:tcPr>
            <w:tcW w:w="1306" w:type="dxa"/>
          </w:tcPr>
          <w:p w14:paraId="5A2486C0">
            <w:pPr>
              <w:rPr>
                <w:color w:val="auto"/>
              </w:rPr>
            </w:pPr>
          </w:p>
        </w:tc>
        <w:tc>
          <w:tcPr>
            <w:tcW w:w="1272" w:type="dxa"/>
          </w:tcPr>
          <w:p w14:paraId="46524E1D">
            <w:pPr>
              <w:rPr>
                <w:color w:val="auto"/>
              </w:rPr>
            </w:pPr>
          </w:p>
        </w:tc>
        <w:tc>
          <w:tcPr>
            <w:tcW w:w="719" w:type="dxa"/>
            <w:tcBorders>
              <w:right w:val="single" w:color="000000" w:sz="6" w:space="0"/>
            </w:tcBorders>
          </w:tcPr>
          <w:p w14:paraId="5E8B8A9F">
            <w:pPr>
              <w:rPr>
                <w:color w:val="auto"/>
              </w:rPr>
            </w:pPr>
          </w:p>
        </w:tc>
      </w:tr>
      <w:tr w14:paraId="165FC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tcPr>
          <w:p w14:paraId="20F1E8F9">
            <w:pPr>
              <w:rPr>
                <w:color w:val="auto"/>
              </w:rPr>
            </w:pPr>
          </w:p>
        </w:tc>
        <w:tc>
          <w:tcPr>
            <w:tcW w:w="1608" w:type="dxa"/>
          </w:tcPr>
          <w:p w14:paraId="7B834B8E">
            <w:pPr>
              <w:rPr>
                <w:color w:val="auto"/>
              </w:rPr>
            </w:pPr>
          </w:p>
        </w:tc>
        <w:tc>
          <w:tcPr>
            <w:tcW w:w="1557" w:type="dxa"/>
          </w:tcPr>
          <w:p w14:paraId="76F68224">
            <w:pPr>
              <w:rPr>
                <w:color w:val="auto"/>
              </w:rPr>
            </w:pPr>
          </w:p>
        </w:tc>
        <w:tc>
          <w:tcPr>
            <w:tcW w:w="848" w:type="dxa"/>
          </w:tcPr>
          <w:p w14:paraId="69EB8D25">
            <w:pPr>
              <w:rPr>
                <w:color w:val="auto"/>
              </w:rPr>
            </w:pPr>
          </w:p>
        </w:tc>
        <w:tc>
          <w:tcPr>
            <w:tcW w:w="992" w:type="dxa"/>
          </w:tcPr>
          <w:p w14:paraId="0C92BE34">
            <w:pPr>
              <w:rPr>
                <w:color w:val="auto"/>
              </w:rPr>
            </w:pPr>
          </w:p>
        </w:tc>
        <w:tc>
          <w:tcPr>
            <w:tcW w:w="1306" w:type="dxa"/>
          </w:tcPr>
          <w:p w14:paraId="74978ABB">
            <w:pPr>
              <w:rPr>
                <w:color w:val="auto"/>
              </w:rPr>
            </w:pPr>
          </w:p>
        </w:tc>
        <w:tc>
          <w:tcPr>
            <w:tcW w:w="1272" w:type="dxa"/>
          </w:tcPr>
          <w:p w14:paraId="74B230D3">
            <w:pPr>
              <w:rPr>
                <w:color w:val="auto"/>
              </w:rPr>
            </w:pPr>
          </w:p>
        </w:tc>
        <w:tc>
          <w:tcPr>
            <w:tcW w:w="719" w:type="dxa"/>
            <w:tcBorders>
              <w:right w:val="single" w:color="000000" w:sz="6" w:space="0"/>
            </w:tcBorders>
          </w:tcPr>
          <w:p w14:paraId="73080975">
            <w:pPr>
              <w:rPr>
                <w:color w:val="auto"/>
              </w:rPr>
            </w:pPr>
          </w:p>
        </w:tc>
      </w:tr>
      <w:tr w14:paraId="3C074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tcPr>
          <w:p w14:paraId="72B9FDA3">
            <w:pPr>
              <w:rPr>
                <w:color w:val="auto"/>
              </w:rPr>
            </w:pPr>
          </w:p>
        </w:tc>
        <w:tc>
          <w:tcPr>
            <w:tcW w:w="1608" w:type="dxa"/>
          </w:tcPr>
          <w:p w14:paraId="6444590A">
            <w:pPr>
              <w:rPr>
                <w:color w:val="auto"/>
              </w:rPr>
            </w:pPr>
          </w:p>
        </w:tc>
        <w:tc>
          <w:tcPr>
            <w:tcW w:w="1557" w:type="dxa"/>
          </w:tcPr>
          <w:p w14:paraId="2D18B42B">
            <w:pPr>
              <w:rPr>
                <w:color w:val="auto"/>
              </w:rPr>
            </w:pPr>
          </w:p>
        </w:tc>
        <w:tc>
          <w:tcPr>
            <w:tcW w:w="848" w:type="dxa"/>
          </w:tcPr>
          <w:p w14:paraId="27C49FCD">
            <w:pPr>
              <w:rPr>
                <w:color w:val="auto"/>
              </w:rPr>
            </w:pPr>
          </w:p>
        </w:tc>
        <w:tc>
          <w:tcPr>
            <w:tcW w:w="992" w:type="dxa"/>
          </w:tcPr>
          <w:p w14:paraId="3D334E92">
            <w:pPr>
              <w:rPr>
                <w:color w:val="auto"/>
              </w:rPr>
            </w:pPr>
          </w:p>
        </w:tc>
        <w:tc>
          <w:tcPr>
            <w:tcW w:w="1306" w:type="dxa"/>
          </w:tcPr>
          <w:p w14:paraId="7459FB5F">
            <w:pPr>
              <w:rPr>
                <w:color w:val="auto"/>
              </w:rPr>
            </w:pPr>
          </w:p>
        </w:tc>
        <w:tc>
          <w:tcPr>
            <w:tcW w:w="1272" w:type="dxa"/>
          </w:tcPr>
          <w:p w14:paraId="3B0D5E87">
            <w:pPr>
              <w:rPr>
                <w:color w:val="auto"/>
              </w:rPr>
            </w:pPr>
          </w:p>
        </w:tc>
        <w:tc>
          <w:tcPr>
            <w:tcW w:w="719" w:type="dxa"/>
            <w:tcBorders>
              <w:right w:val="single" w:color="000000" w:sz="6" w:space="0"/>
            </w:tcBorders>
          </w:tcPr>
          <w:p w14:paraId="0AF033FE">
            <w:pPr>
              <w:rPr>
                <w:color w:val="auto"/>
              </w:rPr>
            </w:pPr>
          </w:p>
        </w:tc>
      </w:tr>
      <w:tr w14:paraId="4ECBFA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tcPr>
          <w:p w14:paraId="7F3B9460">
            <w:pPr>
              <w:rPr>
                <w:color w:val="auto"/>
              </w:rPr>
            </w:pPr>
          </w:p>
        </w:tc>
        <w:tc>
          <w:tcPr>
            <w:tcW w:w="1608" w:type="dxa"/>
          </w:tcPr>
          <w:p w14:paraId="2BB81F5C">
            <w:pPr>
              <w:rPr>
                <w:color w:val="auto"/>
              </w:rPr>
            </w:pPr>
          </w:p>
        </w:tc>
        <w:tc>
          <w:tcPr>
            <w:tcW w:w="1557" w:type="dxa"/>
          </w:tcPr>
          <w:p w14:paraId="5197E942">
            <w:pPr>
              <w:rPr>
                <w:color w:val="auto"/>
              </w:rPr>
            </w:pPr>
          </w:p>
        </w:tc>
        <w:tc>
          <w:tcPr>
            <w:tcW w:w="848" w:type="dxa"/>
          </w:tcPr>
          <w:p w14:paraId="4BDC64D7">
            <w:pPr>
              <w:rPr>
                <w:color w:val="auto"/>
              </w:rPr>
            </w:pPr>
          </w:p>
        </w:tc>
        <w:tc>
          <w:tcPr>
            <w:tcW w:w="992" w:type="dxa"/>
          </w:tcPr>
          <w:p w14:paraId="61155A1B">
            <w:pPr>
              <w:rPr>
                <w:color w:val="auto"/>
              </w:rPr>
            </w:pPr>
          </w:p>
        </w:tc>
        <w:tc>
          <w:tcPr>
            <w:tcW w:w="1306" w:type="dxa"/>
          </w:tcPr>
          <w:p w14:paraId="0B2E9B06">
            <w:pPr>
              <w:rPr>
                <w:color w:val="auto"/>
              </w:rPr>
            </w:pPr>
          </w:p>
        </w:tc>
        <w:tc>
          <w:tcPr>
            <w:tcW w:w="1272" w:type="dxa"/>
          </w:tcPr>
          <w:p w14:paraId="15FDE729">
            <w:pPr>
              <w:rPr>
                <w:color w:val="auto"/>
              </w:rPr>
            </w:pPr>
          </w:p>
        </w:tc>
        <w:tc>
          <w:tcPr>
            <w:tcW w:w="719" w:type="dxa"/>
            <w:tcBorders>
              <w:right w:val="single" w:color="000000" w:sz="6" w:space="0"/>
            </w:tcBorders>
          </w:tcPr>
          <w:p w14:paraId="4899C94A">
            <w:pPr>
              <w:rPr>
                <w:color w:val="auto"/>
              </w:rPr>
            </w:pPr>
          </w:p>
        </w:tc>
      </w:tr>
      <w:tr w14:paraId="6D0A4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74" w:type="dxa"/>
            <w:tcBorders>
              <w:left w:val="single" w:color="000000" w:sz="6" w:space="0"/>
              <w:bottom w:val="single" w:color="000000" w:sz="6" w:space="0"/>
            </w:tcBorders>
          </w:tcPr>
          <w:p w14:paraId="0267C2D5">
            <w:pPr>
              <w:rPr>
                <w:color w:val="auto"/>
              </w:rPr>
            </w:pPr>
          </w:p>
        </w:tc>
        <w:tc>
          <w:tcPr>
            <w:tcW w:w="1608" w:type="dxa"/>
            <w:tcBorders>
              <w:bottom w:val="single" w:color="000000" w:sz="6" w:space="0"/>
            </w:tcBorders>
          </w:tcPr>
          <w:p w14:paraId="61AA0479">
            <w:pPr>
              <w:rPr>
                <w:color w:val="auto"/>
              </w:rPr>
            </w:pPr>
          </w:p>
        </w:tc>
        <w:tc>
          <w:tcPr>
            <w:tcW w:w="1557" w:type="dxa"/>
            <w:tcBorders>
              <w:bottom w:val="single" w:color="000000" w:sz="6" w:space="0"/>
            </w:tcBorders>
          </w:tcPr>
          <w:p w14:paraId="527A7E69">
            <w:pPr>
              <w:rPr>
                <w:color w:val="auto"/>
              </w:rPr>
            </w:pPr>
          </w:p>
        </w:tc>
        <w:tc>
          <w:tcPr>
            <w:tcW w:w="848" w:type="dxa"/>
            <w:tcBorders>
              <w:bottom w:val="single" w:color="000000" w:sz="6" w:space="0"/>
            </w:tcBorders>
          </w:tcPr>
          <w:p w14:paraId="40505491">
            <w:pPr>
              <w:rPr>
                <w:color w:val="auto"/>
              </w:rPr>
            </w:pPr>
          </w:p>
        </w:tc>
        <w:tc>
          <w:tcPr>
            <w:tcW w:w="992" w:type="dxa"/>
            <w:tcBorders>
              <w:bottom w:val="single" w:color="000000" w:sz="6" w:space="0"/>
            </w:tcBorders>
          </w:tcPr>
          <w:p w14:paraId="64C91105">
            <w:pPr>
              <w:rPr>
                <w:color w:val="auto"/>
              </w:rPr>
            </w:pPr>
          </w:p>
        </w:tc>
        <w:tc>
          <w:tcPr>
            <w:tcW w:w="1306" w:type="dxa"/>
            <w:tcBorders>
              <w:bottom w:val="single" w:color="000000" w:sz="6" w:space="0"/>
            </w:tcBorders>
          </w:tcPr>
          <w:p w14:paraId="109EDE90">
            <w:pPr>
              <w:rPr>
                <w:color w:val="auto"/>
              </w:rPr>
            </w:pPr>
          </w:p>
        </w:tc>
        <w:tc>
          <w:tcPr>
            <w:tcW w:w="1272" w:type="dxa"/>
            <w:tcBorders>
              <w:bottom w:val="single" w:color="000000" w:sz="6" w:space="0"/>
            </w:tcBorders>
          </w:tcPr>
          <w:p w14:paraId="39CCE373">
            <w:pPr>
              <w:rPr>
                <w:color w:val="auto"/>
              </w:rPr>
            </w:pPr>
          </w:p>
        </w:tc>
        <w:tc>
          <w:tcPr>
            <w:tcW w:w="719" w:type="dxa"/>
            <w:tcBorders>
              <w:bottom w:val="single" w:color="000000" w:sz="6" w:space="0"/>
              <w:right w:val="single" w:color="000000" w:sz="6" w:space="0"/>
            </w:tcBorders>
          </w:tcPr>
          <w:p w14:paraId="043E81E8">
            <w:pPr>
              <w:rPr>
                <w:color w:val="auto"/>
              </w:rPr>
            </w:pPr>
          </w:p>
        </w:tc>
      </w:tr>
    </w:tbl>
    <w:p w14:paraId="3F4E7490">
      <w:pPr>
        <w:pStyle w:val="8"/>
        <w:rPr>
          <w:color w:val="auto"/>
        </w:rPr>
      </w:pPr>
    </w:p>
    <w:p w14:paraId="3FDA9DD7">
      <w:pPr>
        <w:rPr>
          <w:color w:val="auto"/>
        </w:rPr>
        <w:sectPr>
          <w:footerReference r:id="rId24" w:type="default"/>
          <w:pgSz w:w="11907" w:h="16841"/>
          <w:pgMar w:top="1417" w:right="1226" w:bottom="1254" w:left="1588" w:header="0" w:footer="1093" w:gutter="0"/>
          <w:pgNumType w:fmt="numberInDash"/>
          <w:cols w:space="720" w:num="1"/>
        </w:sectPr>
      </w:pPr>
    </w:p>
    <w:p w14:paraId="40E61FAA">
      <w:pPr>
        <w:spacing w:before="91" w:line="219" w:lineRule="auto"/>
        <w:ind w:left="5571"/>
        <w:rPr>
          <w:rFonts w:hint="eastAsia" w:ascii="宋体" w:hAnsi="宋体" w:eastAsia="宋体" w:cs="宋体"/>
          <w:color w:val="auto"/>
          <w:sz w:val="28"/>
          <w:szCs w:val="28"/>
        </w:rPr>
      </w:pPr>
      <w:r>
        <w:rPr>
          <w:rFonts w:ascii="宋体" w:hAnsi="宋体" w:eastAsia="宋体" w:cs="宋体"/>
          <w:b/>
          <w:bCs/>
          <w:color w:val="auto"/>
          <w:spacing w:val="-3"/>
          <w:sz w:val="28"/>
          <w:szCs w:val="28"/>
        </w:rPr>
        <w:t>施工机械台班费汇总表</w:t>
      </w:r>
    </w:p>
    <w:p w14:paraId="57599F70">
      <w:pPr>
        <w:spacing w:before="205" w:line="220" w:lineRule="auto"/>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项目及标段名称：</w:t>
      </w:r>
      <w:r>
        <w:rPr>
          <w:rFonts w:hint="eastAsia" w:ascii="宋体" w:hAnsi="宋体" w:eastAsia="宋体" w:cs="宋体"/>
          <w:color w:val="auto"/>
          <w:spacing w:val="-1"/>
          <w:sz w:val="24"/>
          <w:szCs w:val="24"/>
          <w:u w:val="single"/>
          <w:lang w:eastAsia="zh-CN"/>
        </w:rPr>
        <w:t>　　　　　　　　　　　　</w:t>
      </w:r>
      <w:r>
        <w:rPr>
          <w:rFonts w:hint="eastAsia" w:ascii="宋体" w:hAnsi="宋体" w:eastAsia="宋体" w:cs="宋体"/>
          <w:color w:val="auto"/>
          <w:spacing w:val="-1"/>
          <w:sz w:val="24"/>
          <w:szCs w:val="24"/>
          <w:lang w:eastAsia="zh-CN"/>
        </w:rPr>
        <w:t>　　　　　　　　　　　　　　　　　　　　　　　　　</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第</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页共</w:t>
      </w:r>
      <w:r>
        <w:rPr>
          <w:rFonts w:hint="eastAsia" w:ascii="宋体" w:hAnsi="宋体" w:eastAsia="宋体" w:cs="宋体"/>
          <w:color w:val="auto"/>
          <w:spacing w:val="-2"/>
          <w:sz w:val="24"/>
          <w:szCs w:val="24"/>
          <w:lang w:eastAsia="zh-CN"/>
        </w:rPr>
        <w:t>　</w:t>
      </w:r>
      <w:r>
        <w:rPr>
          <w:rFonts w:ascii="宋体" w:hAnsi="宋体" w:eastAsia="宋体" w:cs="宋体"/>
          <w:color w:val="auto"/>
          <w:spacing w:val="-2"/>
          <w:sz w:val="24"/>
          <w:szCs w:val="24"/>
          <w:lang w:eastAsia="zh-CN"/>
        </w:rPr>
        <w:t>页</w:t>
      </w:r>
    </w:p>
    <w:p w14:paraId="24466DFF">
      <w:pPr>
        <w:spacing w:line="143" w:lineRule="exact"/>
        <w:rPr>
          <w:color w:val="auto"/>
          <w:lang w:eastAsia="zh-CN"/>
        </w:rPr>
      </w:pPr>
    </w:p>
    <w:tbl>
      <w:tblPr>
        <w:tblStyle w:val="20"/>
        <w:tblW w:w="124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5"/>
        <w:gridCol w:w="726"/>
        <w:gridCol w:w="726"/>
        <w:gridCol w:w="856"/>
        <w:gridCol w:w="1131"/>
        <w:gridCol w:w="1134"/>
        <w:gridCol w:w="1131"/>
        <w:gridCol w:w="1134"/>
        <w:gridCol w:w="1131"/>
        <w:gridCol w:w="1134"/>
        <w:gridCol w:w="1132"/>
        <w:gridCol w:w="851"/>
        <w:gridCol w:w="858"/>
      </w:tblGrid>
      <w:tr w14:paraId="485BF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jc w:val="center"/>
        </w:trPr>
        <w:tc>
          <w:tcPr>
            <w:tcW w:w="535" w:type="dxa"/>
            <w:vMerge w:val="restart"/>
            <w:tcBorders>
              <w:top w:val="single" w:color="000000" w:sz="6" w:space="0"/>
              <w:left w:val="single" w:color="000000" w:sz="6" w:space="0"/>
              <w:bottom w:val="nil"/>
            </w:tcBorders>
            <w:vAlign w:val="center"/>
          </w:tcPr>
          <w:p w14:paraId="3CF68F1A">
            <w:pPr>
              <w:pStyle w:val="21"/>
              <w:widowControl w:val="0"/>
              <w:kinsoku/>
              <w:topLinePunct/>
              <w:autoSpaceDE/>
              <w:autoSpaceDN/>
              <w:jc w:val="center"/>
              <w:rPr>
                <w:rFonts w:hint="eastAsia"/>
                <w:color w:val="auto"/>
                <w:sz w:val="24"/>
                <w:szCs w:val="24"/>
              </w:rPr>
            </w:pPr>
            <w:r>
              <w:rPr>
                <w:rFonts w:hint="eastAsia"/>
                <w:color w:val="auto"/>
                <w:sz w:val="24"/>
                <w:szCs w:val="24"/>
              </w:rPr>
              <w:t>序号</w:t>
            </w:r>
          </w:p>
        </w:tc>
        <w:tc>
          <w:tcPr>
            <w:tcW w:w="726" w:type="dxa"/>
            <w:vMerge w:val="restart"/>
            <w:tcBorders>
              <w:top w:val="single" w:color="000000" w:sz="6" w:space="0"/>
              <w:bottom w:val="nil"/>
            </w:tcBorders>
            <w:vAlign w:val="center"/>
          </w:tcPr>
          <w:p w14:paraId="59DCAC83">
            <w:pPr>
              <w:pStyle w:val="21"/>
              <w:widowControl w:val="0"/>
              <w:kinsoku/>
              <w:topLinePunct/>
              <w:autoSpaceDE/>
              <w:autoSpaceDN/>
              <w:jc w:val="center"/>
              <w:rPr>
                <w:rFonts w:hint="eastAsia"/>
                <w:color w:val="auto"/>
                <w:sz w:val="24"/>
                <w:szCs w:val="24"/>
              </w:rPr>
            </w:pPr>
            <w:r>
              <w:rPr>
                <w:rFonts w:hint="eastAsia"/>
                <w:color w:val="auto"/>
                <w:spacing w:val="-5"/>
                <w:sz w:val="24"/>
                <w:szCs w:val="24"/>
              </w:rPr>
              <w:t>机械</w:t>
            </w:r>
            <w:r>
              <w:rPr>
                <w:rFonts w:hint="eastAsia"/>
                <w:color w:val="auto"/>
                <w:spacing w:val="-7"/>
                <w:sz w:val="24"/>
                <w:szCs w:val="24"/>
              </w:rPr>
              <w:t>名称</w:t>
            </w:r>
          </w:p>
        </w:tc>
        <w:tc>
          <w:tcPr>
            <w:tcW w:w="726" w:type="dxa"/>
            <w:vMerge w:val="restart"/>
            <w:tcBorders>
              <w:top w:val="single" w:color="000000" w:sz="6" w:space="0"/>
              <w:bottom w:val="nil"/>
            </w:tcBorders>
            <w:vAlign w:val="center"/>
          </w:tcPr>
          <w:p w14:paraId="01D31627">
            <w:pPr>
              <w:pStyle w:val="21"/>
              <w:widowControl w:val="0"/>
              <w:kinsoku/>
              <w:topLinePunct/>
              <w:autoSpaceDE/>
              <w:autoSpaceDN/>
              <w:jc w:val="center"/>
              <w:rPr>
                <w:rFonts w:hint="eastAsia"/>
                <w:color w:val="auto"/>
                <w:sz w:val="24"/>
                <w:szCs w:val="24"/>
              </w:rPr>
            </w:pPr>
            <w:r>
              <w:rPr>
                <w:rFonts w:hint="eastAsia"/>
                <w:color w:val="auto"/>
                <w:spacing w:val="-9"/>
                <w:sz w:val="24"/>
                <w:szCs w:val="24"/>
              </w:rPr>
              <w:t>型号</w:t>
            </w:r>
            <w:r>
              <w:rPr>
                <w:rFonts w:hint="eastAsia"/>
                <w:color w:val="auto"/>
                <w:spacing w:val="-6"/>
                <w:sz w:val="24"/>
                <w:szCs w:val="24"/>
              </w:rPr>
              <w:t>规格</w:t>
            </w:r>
          </w:p>
        </w:tc>
        <w:tc>
          <w:tcPr>
            <w:tcW w:w="856" w:type="dxa"/>
            <w:vMerge w:val="restart"/>
            <w:tcBorders>
              <w:top w:val="single" w:color="000000" w:sz="6" w:space="0"/>
              <w:bottom w:val="nil"/>
            </w:tcBorders>
            <w:vAlign w:val="center"/>
          </w:tcPr>
          <w:p w14:paraId="1A05939D">
            <w:pPr>
              <w:pStyle w:val="21"/>
              <w:widowControl w:val="0"/>
              <w:kinsoku/>
              <w:topLinePunct/>
              <w:autoSpaceDE/>
              <w:autoSpaceDN/>
              <w:jc w:val="center"/>
              <w:rPr>
                <w:rFonts w:hint="eastAsia"/>
                <w:color w:val="auto"/>
                <w:sz w:val="24"/>
                <w:szCs w:val="24"/>
              </w:rPr>
            </w:pPr>
            <w:r>
              <w:rPr>
                <w:rFonts w:hint="eastAsia"/>
                <w:color w:val="auto"/>
                <w:spacing w:val="-7"/>
                <w:sz w:val="24"/>
                <w:szCs w:val="24"/>
              </w:rPr>
              <w:t>一类</w:t>
            </w:r>
            <w:r>
              <w:rPr>
                <w:rFonts w:hint="eastAsia"/>
                <w:color w:val="auto"/>
                <w:spacing w:val="-12"/>
                <w:sz w:val="24"/>
                <w:szCs w:val="24"/>
              </w:rPr>
              <w:t>费用</w:t>
            </w:r>
          </w:p>
        </w:tc>
        <w:tc>
          <w:tcPr>
            <w:tcW w:w="7927" w:type="dxa"/>
            <w:gridSpan w:val="7"/>
            <w:tcBorders>
              <w:top w:val="single" w:color="000000" w:sz="6" w:space="0"/>
            </w:tcBorders>
            <w:vAlign w:val="center"/>
          </w:tcPr>
          <w:p w14:paraId="62FC9F6A">
            <w:pPr>
              <w:pStyle w:val="21"/>
              <w:widowControl w:val="0"/>
              <w:kinsoku/>
              <w:topLinePunct/>
              <w:autoSpaceDE/>
              <w:autoSpaceDN/>
              <w:jc w:val="center"/>
              <w:rPr>
                <w:rFonts w:hint="eastAsia"/>
                <w:color w:val="auto"/>
                <w:sz w:val="24"/>
                <w:szCs w:val="24"/>
              </w:rPr>
            </w:pPr>
            <w:r>
              <w:rPr>
                <w:rFonts w:hint="eastAsia"/>
                <w:color w:val="auto"/>
                <w:spacing w:val="-3"/>
                <w:sz w:val="24"/>
                <w:szCs w:val="24"/>
              </w:rPr>
              <w:t>二类费用</w:t>
            </w:r>
          </w:p>
        </w:tc>
        <w:tc>
          <w:tcPr>
            <w:tcW w:w="851" w:type="dxa"/>
            <w:vMerge w:val="restart"/>
            <w:tcBorders>
              <w:top w:val="single" w:color="000000" w:sz="6" w:space="0"/>
              <w:bottom w:val="nil"/>
            </w:tcBorders>
            <w:vAlign w:val="center"/>
          </w:tcPr>
          <w:p w14:paraId="107C8AE4">
            <w:pPr>
              <w:pStyle w:val="21"/>
              <w:widowControl w:val="0"/>
              <w:kinsoku/>
              <w:topLinePunct/>
              <w:autoSpaceDE/>
              <w:autoSpaceDN/>
              <w:jc w:val="center"/>
              <w:rPr>
                <w:rFonts w:hint="eastAsia"/>
                <w:color w:val="auto"/>
                <w:sz w:val="24"/>
                <w:szCs w:val="24"/>
              </w:rPr>
            </w:pPr>
            <w:r>
              <w:rPr>
                <w:rFonts w:hint="eastAsia"/>
                <w:color w:val="auto"/>
                <w:spacing w:val="-3"/>
                <w:sz w:val="24"/>
                <w:szCs w:val="24"/>
              </w:rPr>
              <w:t>合计</w:t>
            </w:r>
          </w:p>
        </w:tc>
        <w:tc>
          <w:tcPr>
            <w:tcW w:w="858" w:type="dxa"/>
            <w:vMerge w:val="restart"/>
            <w:tcBorders>
              <w:top w:val="single" w:color="000000" w:sz="6" w:space="0"/>
              <w:bottom w:val="nil"/>
              <w:right w:val="single" w:color="000000" w:sz="6" w:space="0"/>
            </w:tcBorders>
            <w:vAlign w:val="center"/>
          </w:tcPr>
          <w:p w14:paraId="14E8F717">
            <w:pPr>
              <w:pStyle w:val="21"/>
              <w:widowControl w:val="0"/>
              <w:kinsoku/>
              <w:topLinePunct/>
              <w:autoSpaceDE/>
              <w:autoSpaceDN/>
              <w:jc w:val="center"/>
              <w:rPr>
                <w:rFonts w:hint="eastAsia"/>
                <w:color w:val="auto"/>
                <w:sz w:val="24"/>
                <w:szCs w:val="24"/>
              </w:rPr>
            </w:pPr>
            <w:r>
              <w:rPr>
                <w:rFonts w:hint="eastAsia"/>
                <w:color w:val="auto"/>
                <w:spacing w:val="-3"/>
                <w:sz w:val="24"/>
                <w:szCs w:val="24"/>
              </w:rPr>
              <w:t>补差</w:t>
            </w:r>
          </w:p>
        </w:tc>
      </w:tr>
      <w:tr w14:paraId="393BCB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jc w:val="center"/>
        </w:trPr>
        <w:tc>
          <w:tcPr>
            <w:tcW w:w="535" w:type="dxa"/>
            <w:vMerge w:val="continue"/>
            <w:tcBorders>
              <w:top w:val="nil"/>
              <w:left w:val="single" w:color="000000" w:sz="6" w:space="0"/>
              <w:bottom w:val="nil"/>
            </w:tcBorders>
            <w:textDirection w:val="tbRlV"/>
            <w:vAlign w:val="center"/>
          </w:tcPr>
          <w:p w14:paraId="0A5C7F91">
            <w:pPr>
              <w:widowControl w:val="0"/>
              <w:kinsoku/>
              <w:topLinePunct/>
              <w:autoSpaceDE/>
              <w:autoSpaceDN/>
              <w:jc w:val="center"/>
              <w:rPr>
                <w:rFonts w:hint="eastAsia" w:ascii="宋体" w:hAnsi="宋体" w:eastAsia="宋体" w:cs="宋体"/>
                <w:color w:val="auto"/>
              </w:rPr>
            </w:pPr>
          </w:p>
        </w:tc>
        <w:tc>
          <w:tcPr>
            <w:tcW w:w="726" w:type="dxa"/>
            <w:vMerge w:val="continue"/>
            <w:tcBorders>
              <w:top w:val="nil"/>
              <w:bottom w:val="nil"/>
            </w:tcBorders>
            <w:vAlign w:val="center"/>
          </w:tcPr>
          <w:p w14:paraId="1996A430">
            <w:pPr>
              <w:widowControl w:val="0"/>
              <w:kinsoku/>
              <w:topLinePunct/>
              <w:autoSpaceDE/>
              <w:autoSpaceDN/>
              <w:jc w:val="center"/>
              <w:rPr>
                <w:rFonts w:hint="eastAsia" w:ascii="宋体" w:hAnsi="宋体" w:eastAsia="宋体" w:cs="宋体"/>
                <w:color w:val="auto"/>
              </w:rPr>
            </w:pPr>
          </w:p>
        </w:tc>
        <w:tc>
          <w:tcPr>
            <w:tcW w:w="726" w:type="dxa"/>
            <w:vMerge w:val="continue"/>
            <w:tcBorders>
              <w:top w:val="nil"/>
              <w:bottom w:val="nil"/>
            </w:tcBorders>
            <w:vAlign w:val="center"/>
          </w:tcPr>
          <w:p w14:paraId="432575FE">
            <w:pPr>
              <w:widowControl w:val="0"/>
              <w:kinsoku/>
              <w:topLinePunct/>
              <w:autoSpaceDE/>
              <w:autoSpaceDN/>
              <w:jc w:val="center"/>
              <w:rPr>
                <w:rFonts w:hint="eastAsia" w:ascii="宋体" w:hAnsi="宋体" w:eastAsia="宋体" w:cs="宋体"/>
                <w:color w:val="auto"/>
              </w:rPr>
            </w:pPr>
          </w:p>
        </w:tc>
        <w:tc>
          <w:tcPr>
            <w:tcW w:w="856" w:type="dxa"/>
            <w:vMerge w:val="continue"/>
            <w:tcBorders>
              <w:top w:val="nil"/>
              <w:bottom w:val="nil"/>
            </w:tcBorders>
            <w:vAlign w:val="center"/>
          </w:tcPr>
          <w:p w14:paraId="0F2C5FBA">
            <w:pPr>
              <w:widowControl w:val="0"/>
              <w:kinsoku/>
              <w:topLinePunct/>
              <w:autoSpaceDE/>
              <w:autoSpaceDN/>
              <w:jc w:val="center"/>
              <w:rPr>
                <w:rFonts w:hint="eastAsia" w:ascii="宋体" w:hAnsi="宋体" w:eastAsia="宋体" w:cs="宋体"/>
                <w:color w:val="auto"/>
              </w:rPr>
            </w:pPr>
          </w:p>
        </w:tc>
        <w:tc>
          <w:tcPr>
            <w:tcW w:w="1131" w:type="dxa"/>
            <w:vAlign w:val="center"/>
          </w:tcPr>
          <w:p w14:paraId="34611CDE">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人工</w:t>
            </w:r>
          </w:p>
          <w:p w14:paraId="0C9D3044">
            <w:pPr>
              <w:pStyle w:val="21"/>
              <w:widowControl w:val="0"/>
              <w:kinsoku/>
              <w:topLinePunct/>
              <w:autoSpaceDE/>
              <w:autoSpaceDN/>
              <w:jc w:val="center"/>
              <w:rPr>
                <w:rFonts w:hint="eastAsia"/>
                <w:color w:val="auto"/>
                <w:sz w:val="24"/>
                <w:szCs w:val="24"/>
              </w:rPr>
            </w:pPr>
            <w:r>
              <w:rPr>
                <w:rFonts w:hint="eastAsia"/>
                <w:color w:val="auto"/>
                <w:spacing w:val="-8"/>
                <w:sz w:val="24"/>
                <w:szCs w:val="24"/>
              </w:rPr>
              <w:t>（工</w:t>
            </w:r>
            <w:r>
              <w:rPr>
                <w:rFonts w:hint="eastAsia"/>
                <w:color w:val="auto"/>
                <w:spacing w:val="-17"/>
                <w:sz w:val="24"/>
                <w:szCs w:val="24"/>
              </w:rPr>
              <w:t>日）</w:t>
            </w:r>
          </w:p>
        </w:tc>
        <w:tc>
          <w:tcPr>
            <w:tcW w:w="1134" w:type="dxa"/>
            <w:vAlign w:val="center"/>
          </w:tcPr>
          <w:p w14:paraId="05515C5A">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汽油</w:t>
            </w:r>
          </w:p>
          <w:p w14:paraId="1D508C4A">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（kg）</w:t>
            </w:r>
          </w:p>
        </w:tc>
        <w:tc>
          <w:tcPr>
            <w:tcW w:w="1131" w:type="dxa"/>
            <w:vAlign w:val="center"/>
          </w:tcPr>
          <w:p w14:paraId="3622B113">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柴油</w:t>
            </w:r>
          </w:p>
          <w:p w14:paraId="6BEFF699">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（kg）</w:t>
            </w:r>
          </w:p>
        </w:tc>
        <w:tc>
          <w:tcPr>
            <w:tcW w:w="1134" w:type="dxa"/>
            <w:vAlign w:val="center"/>
          </w:tcPr>
          <w:p w14:paraId="6FD43D78">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电</w:t>
            </w:r>
          </w:p>
          <w:p w14:paraId="3C472865">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（kW.h)</w:t>
            </w:r>
          </w:p>
        </w:tc>
        <w:tc>
          <w:tcPr>
            <w:tcW w:w="1131" w:type="dxa"/>
            <w:vAlign w:val="center"/>
          </w:tcPr>
          <w:p w14:paraId="10E571A7">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风</w:t>
            </w:r>
          </w:p>
          <w:p w14:paraId="4D45C7AB">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（m</w:t>
            </w:r>
            <w:r>
              <w:rPr>
                <w:rFonts w:hint="eastAsia"/>
                <w:color w:val="auto"/>
                <w:spacing w:val="-1"/>
                <w:position w:val="8"/>
                <w:sz w:val="16"/>
                <w:szCs w:val="16"/>
              </w:rPr>
              <w:t>3</w:t>
            </w:r>
            <w:r>
              <w:rPr>
                <w:rFonts w:hint="eastAsia"/>
                <w:color w:val="auto"/>
                <w:spacing w:val="-3"/>
                <w:sz w:val="24"/>
                <w:szCs w:val="24"/>
              </w:rPr>
              <w:t>）</w:t>
            </w:r>
          </w:p>
        </w:tc>
        <w:tc>
          <w:tcPr>
            <w:tcW w:w="1134" w:type="dxa"/>
            <w:vAlign w:val="center"/>
          </w:tcPr>
          <w:p w14:paraId="0909C736">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水</w:t>
            </w:r>
          </w:p>
          <w:p w14:paraId="572C1F28">
            <w:pPr>
              <w:pStyle w:val="21"/>
              <w:widowControl w:val="0"/>
              <w:kinsoku/>
              <w:topLinePunct/>
              <w:autoSpaceDE/>
              <w:autoSpaceDN/>
              <w:jc w:val="center"/>
              <w:rPr>
                <w:rFonts w:hint="eastAsia"/>
                <w:color w:val="auto"/>
                <w:spacing w:val="-3"/>
                <w:sz w:val="24"/>
                <w:szCs w:val="24"/>
              </w:rPr>
            </w:pPr>
            <w:r>
              <w:rPr>
                <w:rFonts w:hint="eastAsia"/>
                <w:color w:val="auto"/>
                <w:spacing w:val="-3"/>
                <w:sz w:val="24"/>
                <w:szCs w:val="24"/>
              </w:rPr>
              <w:t>（t）</w:t>
            </w:r>
          </w:p>
        </w:tc>
        <w:tc>
          <w:tcPr>
            <w:tcW w:w="1132" w:type="dxa"/>
            <w:vMerge w:val="restart"/>
            <w:tcBorders>
              <w:bottom w:val="nil"/>
            </w:tcBorders>
            <w:vAlign w:val="center"/>
          </w:tcPr>
          <w:p w14:paraId="52B438BE">
            <w:pPr>
              <w:pStyle w:val="21"/>
              <w:widowControl w:val="0"/>
              <w:kinsoku/>
              <w:topLinePunct/>
              <w:autoSpaceDE/>
              <w:autoSpaceDN/>
              <w:jc w:val="center"/>
              <w:rPr>
                <w:rFonts w:hint="eastAsia"/>
                <w:color w:val="auto"/>
                <w:sz w:val="24"/>
                <w:szCs w:val="24"/>
              </w:rPr>
            </w:pPr>
            <w:r>
              <w:rPr>
                <w:rFonts w:hint="eastAsia"/>
                <w:color w:val="auto"/>
                <w:spacing w:val="-4"/>
                <w:sz w:val="24"/>
                <w:szCs w:val="24"/>
              </w:rPr>
              <w:t>小计</w:t>
            </w:r>
          </w:p>
        </w:tc>
        <w:tc>
          <w:tcPr>
            <w:tcW w:w="851" w:type="dxa"/>
            <w:vMerge w:val="continue"/>
            <w:tcBorders>
              <w:top w:val="nil"/>
              <w:bottom w:val="nil"/>
            </w:tcBorders>
            <w:vAlign w:val="center"/>
          </w:tcPr>
          <w:p w14:paraId="66F1AA7C">
            <w:pPr>
              <w:widowControl w:val="0"/>
              <w:kinsoku/>
              <w:topLinePunct/>
              <w:autoSpaceDE/>
              <w:autoSpaceDN/>
              <w:jc w:val="center"/>
              <w:rPr>
                <w:rFonts w:hint="eastAsia" w:ascii="宋体" w:hAnsi="宋体" w:eastAsia="宋体" w:cs="宋体"/>
                <w:color w:val="auto"/>
              </w:rPr>
            </w:pPr>
          </w:p>
        </w:tc>
        <w:tc>
          <w:tcPr>
            <w:tcW w:w="858" w:type="dxa"/>
            <w:vMerge w:val="continue"/>
            <w:tcBorders>
              <w:top w:val="nil"/>
              <w:bottom w:val="nil"/>
              <w:right w:val="single" w:color="000000" w:sz="6" w:space="0"/>
            </w:tcBorders>
            <w:vAlign w:val="center"/>
          </w:tcPr>
          <w:p w14:paraId="6026529A">
            <w:pPr>
              <w:widowControl w:val="0"/>
              <w:kinsoku/>
              <w:topLinePunct/>
              <w:autoSpaceDE/>
              <w:autoSpaceDN/>
              <w:jc w:val="center"/>
              <w:rPr>
                <w:rFonts w:hint="eastAsia" w:ascii="宋体" w:hAnsi="宋体" w:eastAsia="宋体" w:cs="宋体"/>
                <w:color w:val="auto"/>
              </w:rPr>
            </w:pPr>
          </w:p>
        </w:tc>
      </w:tr>
      <w:tr w14:paraId="0DF3E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535" w:type="dxa"/>
            <w:vMerge w:val="continue"/>
            <w:tcBorders>
              <w:top w:val="nil"/>
              <w:left w:val="single" w:color="000000" w:sz="6" w:space="0"/>
            </w:tcBorders>
            <w:textDirection w:val="tbRlV"/>
            <w:vAlign w:val="center"/>
          </w:tcPr>
          <w:p w14:paraId="460BA8E7">
            <w:pPr>
              <w:widowControl w:val="0"/>
              <w:kinsoku/>
              <w:topLinePunct/>
              <w:autoSpaceDE/>
              <w:autoSpaceDN/>
              <w:jc w:val="center"/>
              <w:rPr>
                <w:rFonts w:hint="eastAsia" w:ascii="宋体" w:hAnsi="宋体" w:eastAsia="宋体" w:cs="宋体"/>
                <w:color w:val="auto"/>
              </w:rPr>
            </w:pPr>
          </w:p>
        </w:tc>
        <w:tc>
          <w:tcPr>
            <w:tcW w:w="726" w:type="dxa"/>
            <w:vMerge w:val="continue"/>
            <w:tcBorders>
              <w:top w:val="nil"/>
            </w:tcBorders>
            <w:vAlign w:val="center"/>
          </w:tcPr>
          <w:p w14:paraId="485B8347">
            <w:pPr>
              <w:widowControl w:val="0"/>
              <w:kinsoku/>
              <w:topLinePunct/>
              <w:autoSpaceDE/>
              <w:autoSpaceDN/>
              <w:jc w:val="center"/>
              <w:rPr>
                <w:rFonts w:hint="eastAsia" w:ascii="宋体" w:hAnsi="宋体" w:eastAsia="宋体" w:cs="宋体"/>
                <w:color w:val="auto"/>
              </w:rPr>
            </w:pPr>
          </w:p>
        </w:tc>
        <w:tc>
          <w:tcPr>
            <w:tcW w:w="726" w:type="dxa"/>
            <w:vMerge w:val="continue"/>
            <w:tcBorders>
              <w:top w:val="nil"/>
            </w:tcBorders>
            <w:vAlign w:val="center"/>
          </w:tcPr>
          <w:p w14:paraId="79C82111">
            <w:pPr>
              <w:widowControl w:val="0"/>
              <w:kinsoku/>
              <w:topLinePunct/>
              <w:autoSpaceDE/>
              <w:autoSpaceDN/>
              <w:jc w:val="center"/>
              <w:rPr>
                <w:rFonts w:hint="eastAsia" w:ascii="宋体" w:hAnsi="宋体" w:eastAsia="宋体" w:cs="宋体"/>
                <w:color w:val="auto"/>
              </w:rPr>
            </w:pPr>
          </w:p>
        </w:tc>
        <w:tc>
          <w:tcPr>
            <w:tcW w:w="856" w:type="dxa"/>
            <w:vMerge w:val="continue"/>
            <w:tcBorders>
              <w:top w:val="nil"/>
            </w:tcBorders>
            <w:vAlign w:val="center"/>
          </w:tcPr>
          <w:p w14:paraId="0DA9870F">
            <w:pPr>
              <w:widowControl w:val="0"/>
              <w:kinsoku/>
              <w:topLinePunct/>
              <w:autoSpaceDE/>
              <w:autoSpaceDN/>
              <w:jc w:val="center"/>
              <w:rPr>
                <w:rFonts w:hint="eastAsia" w:ascii="宋体" w:hAnsi="宋体" w:eastAsia="宋体" w:cs="宋体"/>
                <w:color w:val="auto"/>
              </w:rPr>
            </w:pPr>
          </w:p>
        </w:tc>
        <w:tc>
          <w:tcPr>
            <w:tcW w:w="1131" w:type="dxa"/>
            <w:vAlign w:val="center"/>
          </w:tcPr>
          <w:p w14:paraId="3BAF03EB">
            <w:pPr>
              <w:pStyle w:val="21"/>
              <w:widowControl w:val="0"/>
              <w:kinsoku/>
              <w:topLinePunct/>
              <w:autoSpaceDE/>
              <w:autoSpaceDN/>
              <w:jc w:val="center"/>
              <w:rPr>
                <w:rFonts w:hint="eastAsia"/>
                <w:color w:val="auto"/>
                <w:sz w:val="24"/>
                <w:szCs w:val="24"/>
              </w:rPr>
            </w:pPr>
            <w:r>
              <w:rPr>
                <w:rFonts w:hint="eastAsia"/>
                <w:color w:val="auto"/>
                <w:spacing w:val="-6"/>
                <w:sz w:val="24"/>
                <w:szCs w:val="24"/>
              </w:rPr>
              <w:t>（单价）</w:t>
            </w:r>
          </w:p>
        </w:tc>
        <w:tc>
          <w:tcPr>
            <w:tcW w:w="1134" w:type="dxa"/>
            <w:vAlign w:val="center"/>
          </w:tcPr>
          <w:p w14:paraId="4436346C">
            <w:pPr>
              <w:pStyle w:val="21"/>
              <w:widowControl w:val="0"/>
              <w:kinsoku/>
              <w:topLinePunct/>
              <w:autoSpaceDE/>
              <w:autoSpaceDN/>
              <w:jc w:val="center"/>
              <w:rPr>
                <w:rFonts w:hint="eastAsia"/>
                <w:color w:val="auto"/>
                <w:sz w:val="24"/>
                <w:szCs w:val="24"/>
              </w:rPr>
            </w:pPr>
            <w:r>
              <w:rPr>
                <w:rFonts w:hint="eastAsia"/>
                <w:color w:val="auto"/>
                <w:spacing w:val="-6"/>
                <w:sz w:val="24"/>
                <w:szCs w:val="24"/>
              </w:rPr>
              <w:t>（单价）</w:t>
            </w:r>
          </w:p>
        </w:tc>
        <w:tc>
          <w:tcPr>
            <w:tcW w:w="1131" w:type="dxa"/>
            <w:vAlign w:val="center"/>
          </w:tcPr>
          <w:p w14:paraId="6E85FC35">
            <w:pPr>
              <w:pStyle w:val="21"/>
              <w:widowControl w:val="0"/>
              <w:kinsoku/>
              <w:topLinePunct/>
              <w:autoSpaceDE/>
              <w:autoSpaceDN/>
              <w:jc w:val="center"/>
              <w:rPr>
                <w:rFonts w:hint="eastAsia"/>
                <w:color w:val="auto"/>
                <w:sz w:val="24"/>
                <w:szCs w:val="24"/>
              </w:rPr>
            </w:pPr>
            <w:r>
              <w:rPr>
                <w:rFonts w:hint="eastAsia"/>
                <w:color w:val="auto"/>
                <w:spacing w:val="-6"/>
                <w:sz w:val="24"/>
                <w:szCs w:val="24"/>
              </w:rPr>
              <w:t>（单价）</w:t>
            </w:r>
          </w:p>
        </w:tc>
        <w:tc>
          <w:tcPr>
            <w:tcW w:w="1134" w:type="dxa"/>
            <w:vAlign w:val="center"/>
          </w:tcPr>
          <w:p w14:paraId="25296974">
            <w:pPr>
              <w:pStyle w:val="21"/>
              <w:widowControl w:val="0"/>
              <w:kinsoku/>
              <w:topLinePunct/>
              <w:autoSpaceDE/>
              <w:autoSpaceDN/>
              <w:jc w:val="center"/>
              <w:rPr>
                <w:rFonts w:hint="eastAsia"/>
                <w:color w:val="auto"/>
                <w:sz w:val="24"/>
                <w:szCs w:val="24"/>
              </w:rPr>
            </w:pPr>
            <w:r>
              <w:rPr>
                <w:rFonts w:hint="eastAsia"/>
                <w:color w:val="auto"/>
                <w:spacing w:val="-6"/>
                <w:sz w:val="24"/>
                <w:szCs w:val="24"/>
              </w:rPr>
              <w:t>（单价）</w:t>
            </w:r>
          </w:p>
        </w:tc>
        <w:tc>
          <w:tcPr>
            <w:tcW w:w="1131" w:type="dxa"/>
            <w:vAlign w:val="center"/>
          </w:tcPr>
          <w:p w14:paraId="40BF45B5">
            <w:pPr>
              <w:pStyle w:val="21"/>
              <w:widowControl w:val="0"/>
              <w:kinsoku/>
              <w:topLinePunct/>
              <w:autoSpaceDE/>
              <w:autoSpaceDN/>
              <w:jc w:val="center"/>
              <w:rPr>
                <w:rFonts w:hint="eastAsia"/>
                <w:color w:val="auto"/>
                <w:sz w:val="24"/>
                <w:szCs w:val="24"/>
              </w:rPr>
            </w:pPr>
            <w:r>
              <w:rPr>
                <w:rFonts w:hint="eastAsia"/>
                <w:color w:val="auto"/>
                <w:spacing w:val="-6"/>
                <w:sz w:val="24"/>
                <w:szCs w:val="24"/>
              </w:rPr>
              <w:t>（单价）</w:t>
            </w:r>
          </w:p>
        </w:tc>
        <w:tc>
          <w:tcPr>
            <w:tcW w:w="1134" w:type="dxa"/>
            <w:vAlign w:val="center"/>
          </w:tcPr>
          <w:p w14:paraId="04E1FDEF">
            <w:pPr>
              <w:pStyle w:val="21"/>
              <w:widowControl w:val="0"/>
              <w:kinsoku/>
              <w:topLinePunct/>
              <w:autoSpaceDE/>
              <w:autoSpaceDN/>
              <w:jc w:val="center"/>
              <w:rPr>
                <w:rFonts w:hint="eastAsia"/>
                <w:color w:val="auto"/>
                <w:sz w:val="24"/>
                <w:szCs w:val="24"/>
              </w:rPr>
            </w:pPr>
            <w:r>
              <w:rPr>
                <w:rFonts w:hint="eastAsia"/>
                <w:color w:val="auto"/>
                <w:spacing w:val="-6"/>
                <w:sz w:val="24"/>
                <w:szCs w:val="24"/>
              </w:rPr>
              <w:t>（单价）</w:t>
            </w:r>
          </w:p>
        </w:tc>
        <w:tc>
          <w:tcPr>
            <w:tcW w:w="1132" w:type="dxa"/>
            <w:vMerge w:val="continue"/>
            <w:tcBorders>
              <w:top w:val="nil"/>
            </w:tcBorders>
            <w:vAlign w:val="center"/>
          </w:tcPr>
          <w:p w14:paraId="6CD770BF">
            <w:pPr>
              <w:widowControl w:val="0"/>
              <w:kinsoku/>
              <w:topLinePunct/>
              <w:autoSpaceDE/>
              <w:autoSpaceDN/>
              <w:jc w:val="center"/>
              <w:rPr>
                <w:rFonts w:hint="eastAsia" w:ascii="宋体" w:hAnsi="宋体" w:eastAsia="宋体" w:cs="宋体"/>
                <w:color w:val="auto"/>
              </w:rPr>
            </w:pPr>
          </w:p>
        </w:tc>
        <w:tc>
          <w:tcPr>
            <w:tcW w:w="851" w:type="dxa"/>
            <w:vMerge w:val="continue"/>
            <w:tcBorders>
              <w:top w:val="nil"/>
            </w:tcBorders>
            <w:vAlign w:val="center"/>
          </w:tcPr>
          <w:p w14:paraId="200D2EB3">
            <w:pPr>
              <w:widowControl w:val="0"/>
              <w:kinsoku/>
              <w:topLinePunct/>
              <w:autoSpaceDE/>
              <w:autoSpaceDN/>
              <w:jc w:val="center"/>
              <w:rPr>
                <w:rFonts w:hint="eastAsia" w:ascii="宋体" w:hAnsi="宋体" w:eastAsia="宋体" w:cs="宋体"/>
                <w:color w:val="auto"/>
              </w:rPr>
            </w:pPr>
          </w:p>
        </w:tc>
        <w:tc>
          <w:tcPr>
            <w:tcW w:w="858" w:type="dxa"/>
            <w:vMerge w:val="continue"/>
            <w:tcBorders>
              <w:top w:val="nil"/>
              <w:right w:val="single" w:color="000000" w:sz="6" w:space="0"/>
            </w:tcBorders>
            <w:vAlign w:val="center"/>
          </w:tcPr>
          <w:p w14:paraId="34C53E4D">
            <w:pPr>
              <w:widowControl w:val="0"/>
              <w:kinsoku/>
              <w:topLinePunct/>
              <w:autoSpaceDE/>
              <w:autoSpaceDN/>
              <w:jc w:val="center"/>
              <w:rPr>
                <w:rFonts w:hint="eastAsia" w:ascii="宋体" w:hAnsi="宋体" w:eastAsia="宋体" w:cs="宋体"/>
                <w:color w:val="auto"/>
              </w:rPr>
            </w:pPr>
          </w:p>
        </w:tc>
      </w:tr>
      <w:tr w14:paraId="093FF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535" w:type="dxa"/>
            <w:tcBorders>
              <w:left w:val="single" w:color="000000" w:sz="6" w:space="0"/>
            </w:tcBorders>
            <w:vAlign w:val="center"/>
          </w:tcPr>
          <w:p w14:paraId="62353888">
            <w:pPr>
              <w:widowControl w:val="0"/>
              <w:kinsoku/>
              <w:topLinePunct/>
              <w:autoSpaceDE/>
              <w:autoSpaceDN/>
              <w:jc w:val="center"/>
              <w:rPr>
                <w:rFonts w:hint="eastAsia" w:ascii="宋体" w:hAnsi="宋体" w:eastAsia="宋体" w:cs="宋体"/>
                <w:color w:val="auto"/>
              </w:rPr>
            </w:pPr>
          </w:p>
        </w:tc>
        <w:tc>
          <w:tcPr>
            <w:tcW w:w="726" w:type="dxa"/>
            <w:vAlign w:val="center"/>
          </w:tcPr>
          <w:p w14:paraId="2EC6B6FD">
            <w:pPr>
              <w:widowControl w:val="0"/>
              <w:kinsoku/>
              <w:topLinePunct/>
              <w:autoSpaceDE/>
              <w:autoSpaceDN/>
              <w:jc w:val="center"/>
              <w:rPr>
                <w:rFonts w:hint="eastAsia" w:ascii="宋体" w:hAnsi="宋体" w:eastAsia="宋体" w:cs="宋体"/>
                <w:color w:val="auto"/>
              </w:rPr>
            </w:pPr>
          </w:p>
        </w:tc>
        <w:tc>
          <w:tcPr>
            <w:tcW w:w="726" w:type="dxa"/>
            <w:vAlign w:val="center"/>
          </w:tcPr>
          <w:p w14:paraId="1866CBDF">
            <w:pPr>
              <w:widowControl w:val="0"/>
              <w:kinsoku/>
              <w:topLinePunct/>
              <w:autoSpaceDE/>
              <w:autoSpaceDN/>
              <w:jc w:val="center"/>
              <w:rPr>
                <w:rFonts w:hint="eastAsia" w:ascii="宋体" w:hAnsi="宋体" w:eastAsia="宋体" w:cs="宋体"/>
                <w:color w:val="auto"/>
              </w:rPr>
            </w:pPr>
          </w:p>
        </w:tc>
        <w:tc>
          <w:tcPr>
            <w:tcW w:w="856" w:type="dxa"/>
            <w:vAlign w:val="center"/>
          </w:tcPr>
          <w:p w14:paraId="3AA7FA30">
            <w:pPr>
              <w:widowControl w:val="0"/>
              <w:kinsoku/>
              <w:topLinePunct/>
              <w:autoSpaceDE/>
              <w:autoSpaceDN/>
              <w:jc w:val="center"/>
              <w:rPr>
                <w:rFonts w:hint="eastAsia" w:ascii="宋体" w:hAnsi="宋体" w:eastAsia="宋体" w:cs="宋体"/>
                <w:color w:val="auto"/>
              </w:rPr>
            </w:pPr>
          </w:p>
        </w:tc>
        <w:tc>
          <w:tcPr>
            <w:tcW w:w="1131" w:type="dxa"/>
            <w:vAlign w:val="center"/>
          </w:tcPr>
          <w:p w14:paraId="5935C48D">
            <w:pPr>
              <w:widowControl w:val="0"/>
              <w:kinsoku/>
              <w:topLinePunct/>
              <w:autoSpaceDE/>
              <w:autoSpaceDN/>
              <w:jc w:val="center"/>
              <w:rPr>
                <w:rFonts w:hint="eastAsia" w:ascii="宋体" w:hAnsi="宋体" w:eastAsia="宋体" w:cs="宋体"/>
                <w:color w:val="auto"/>
              </w:rPr>
            </w:pPr>
          </w:p>
        </w:tc>
        <w:tc>
          <w:tcPr>
            <w:tcW w:w="1134" w:type="dxa"/>
            <w:vAlign w:val="center"/>
          </w:tcPr>
          <w:p w14:paraId="7EC22924">
            <w:pPr>
              <w:widowControl w:val="0"/>
              <w:kinsoku/>
              <w:topLinePunct/>
              <w:autoSpaceDE/>
              <w:autoSpaceDN/>
              <w:jc w:val="center"/>
              <w:rPr>
                <w:rFonts w:hint="eastAsia" w:ascii="宋体" w:hAnsi="宋体" w:eastAsia="宋体" w:cs="宋体"/>
                <w:color w:val="auto"/>
              </w:rPr>
            </w:pPr>
          </w:p>
        </w:tc>
        <w:tc>
          <w:tcPr>
            <w:tcW w:w="1131" w:type="dxa"/>
            <w:vAlign w:val="center"/>
          </w:tcPr>
          <w:p w14:paraId="79B134B3">
            <w:pPr>
              <w:widowControl w:val="0"/>
              <w:kinsoku/>
              <w:topLinePunct/>
              <w:autoSpaceDE/>
              <w:autoSpaceDN/>
              <w:jc w:val="center"/>
              <w:rPr>
                <w:rFonts w:hint="eastAsia" w:ascii="宋体" w:hAnsi="宋体" w:eastAsia="宋体" w:cs="宋体"/>
                <w:color w:val="auto"/>
              </w:rPr>
            </w:pPr>
          </w:p>
        </w:tc>
        <w:tc>
          <w:tcPr>
            <w:tcW w:w="1134" w:type="dxa"/>
            <w:vAlign w:val="center"/>
          </w:tcPr>
          <w:p w14:paraId="1E3FA327">
            <w:pPr>
              <w:widowControl w:val="0"/>
              <w:kinsoku/>
              <w:topLinePunct/>
              <w:autoSpaceDE/>
              <w:autoSpaceDN/>
              <w:jc w:val="center"/>
              <w:rPr>
                <w:rFonts w:hint="eastAsia" w:ascii="宋体" w:hAnsi="宋体" w:eastAsia="宋体" w:cs="宋体"/>
                <w:color w:val="auto"/>
              </w:rPr>
            </w:pPr>
          </w:p>
        </w:tc>
        <w:tc>
          <w:tcPr>
            <w:tcW w:w="1131" w:type="dxa"/>
            <w:vAlign w:val="center"/>
          </w:tcPr>
          <w:p w14:paraId="0A62C6D8">
            <w:pPr>
              <w:widowControl w:val="0"/>
              <w:kinsoku/>
              <w:topLinePunct/>
              <w:autoSpaceDE/>
              <w:autoSpaceDN/>
              <w:jc w:val="center"/>
              <w:rPr>
                <w:rFonts w:hint="eastAsia" w:ascii="宋体" w:hAnsi="宋体" w:eastAsia="宋体" w:cs="宋体"/>
                <w:color w:val="auto"/>
              </w:rPr>
            </w:pPr>
          </w:p>
        </w:tc>
        <w:tc>
          <w:tcPr>
            <w:tcW w:w="1134" w:type="dxa"/>
            <w:vAlign w:val="center"/>
          </w:tcPr>
          <w:p w14:paraId="0A72FE60">
            <w:pPr>
              <w:widowControl w:val="0"/>
              <w:kinsoku/>
              <w:topLinePunct/>
              <w:autoSpaceDE/>
              <w:autoSpaceDN/>
              <w:jc w:val="center"/>
              <w:rPr>
                <w:rFonts w:hint="eastAsia" w:ascii="宋体" w:hAnsi="宋体" w:eastAsia="宋体" w:cs="宋体"/>
                <w:color w:val="auto"/>
              </w:rPr>
            </w:pPr>
          </w:p>
        </w:tc>
        <w:tc>
          <w:tcPr>
            <w:tcW w:w="1132" w:type="dxa"/>
            <w:vAlign w:val="center"/>
          </w:tcPr>
          <w:p w14:paraId="78955B4C">
            <w:pPr>
              <w:widowControl w:val="0"/>
              <w:kinsoku/>
              <w:topLinePunct/>
              <w:autoSpaceDE/>
              <w:autoSpaceDN/>
              <w:jc w:val="center"/>
              <w:rPr>
                <w:rFonts w:hint="eastAsia" w:ascii="宋体" w:hAnsi="宋体" w:eastAsia="宋体" w:cs="宋体"/>
                <w:color w:val="auto"/>
              </w:rPr>
            </w:pPr>
          </w:p>
        </w:tc>
        <w:tc>
          <w:tcPr>
            <w:tcW w:w="851" w:type="dxa"/>
            <w:vAlign w:val="center"/>
          </w:tcPr>
          <w:p w14:paraId="14DC7C2E">
            <w:pPr>
              <w:widowControl w:val="0"/>
              <w:kinsoku/>
              <w:topLinePunct/>
              <w:autoSpaceDE/>
              <w:autoSpaceDN/>
              <w:jc w:val="center"/>
              <w:rPr>
                <w:rFonts w:hint="eastAsia" w:ascii="宋体" w:hAnsi="宋体" w:eastAsia="宋体" w:cs="宋体"/>
                <w:color w:val="auto"/>
              </w:rPr>
            </w:pPr>
          </w:p>
        </w:tc>
        <w:tc>
          <w:tcPr>
            <w:tcW w:w="858" w:type="dxa"/>
            <w:tcBorders>
              <w:right w:val="single" w:color="000000" w:sz="6" w:space="0"/>
            </w:tcBorders>
            <w:vAlign w:val="center"/>
          </w:tcPr>
          <w:p w14:paraId="6994B711">
            <w:pPr>
              <w:widowControl w:val="0"/>
              <w:kinsoku/>
              <w:topLinePunct/>
              <w:autoSpaceDE/>
              <w:autoSpaceDN/>
              <w:jc w:val="center"/>
              <w:rPr>
                <w:rFonts w:hint="eastAsia" w:ascii="宋体" w:hAnsi="宋体" w:eastAsia="宋体" w:cs="宋体"/>
                <w:color w:val="auto"/>
              </w:rPr>
            </w:pPr>
          </w:p>
        </w:tc>
      </w:tr>
      <w:tr w14:paraId="0C7024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jc w:val="center"/>
        </w:trPr>
        <w:tc>
          <w:tcPr>
            <w:tcW w:w="535" w:type="dxa"/>
            <w:tcBorders>
              <w:left w:val="single" w:color="000000" w:sz="6" w:space="0"/>
            </w:tcBorders>
            <w:vAlign w:val="center"/>
          </w:tcPr>
          <w:p w14:paraId="75E12301">
            <w:pPr>
              <w:widowControl w:val="0"/>
              <w:kinsoku/>
              <w:topLinePunct/>
              <w:autoSpaceDE/>
              <w:autoSpaceDN/>
              <w:jc w:val="center"/>
              <w:rPr>
                <w:rFonts w:hint="eastAsia" w:ascii="宋体" w:hAnsi="宋体" w:eastAsia="宋体" w:cs="宋体"/>
                <w:color w:val="auto"/>
              </w:rPr>
            </w:pPr>
          </w:p>
        </w:tc>
        <w:tc>
          <w:tcPr>
            <w:tcW w:w="726" w:type="dxa"/>
            <w:vAlign w:val="center"/>
          </w:tcPr>
          <w:p w14:paraId="5908E3A2">
            <w:pPr>
              <w:widowControl w:val="0"/>
              <w:kinsoku/>
              <w:topLinePunct/>
              <w:autoSpaceDE/>
              <w:autoSpaceDN/>
              <w:jc w:val="center"/>
              <w:rPr>
                <w:rFonts w:hint="eastAsia" w:ascii="宋体" w:hAnsi="宋体" w:eastAsia="宋体" w:cs="宋体"/>
                <w:color w:val="auto"/>
              </w:rPr>
            </w:pPr>
          </w:p>
        </w:tc>
        <w:tc>
          <w:tcPr>
            <w:tcW w:w="726" w:type="dxa"/>
            <w:vAlign w:val="center"/>
          </w:tcPr>
          <w:p w14:paraId="4511AADF">
            <w:pPr>
              <w:widowControl w:val="0"/>
              <w:kinsoku/>
              <w:topLinePunct/>
              <w:autoSpaceDE/>
              <w:autoSpaceDN/>
              <w:jc w:val="center"/>
              <w:rPr>
                <w:rFonts w:hint="eastAsia" w:ascii="宋体" w:hAnsi="宋体" w:eastAsia="宋体" w:cs="宋体"/>
                <w:color w:val="auto"/>
              </w:rPr>
            </w:pPr>
          </w:p>
        </w:tc>
        <w:tc>
          <w:tcPr>
            <w:tcW w:w="856" w:type="dxa"/>
            <w:vAlign w:val="center"/>
          </w:tcPr>
          <w:p w14:paraId="51D511DD">
            <w:pPr>
              <w:widowControl w:val="0"/>
              <w:kinsoku/>
              <w:topLinePunct/>
              <w:autoSpaceDE/>
              <w:autoSpaceDN/>
              <w:jc w:val="center"/>
              <w:rPr>
                <w:rFonts w:hint="eastAsia" w:ascii="宋体" w:hAnsi="宋体" w:eastAsia="宋体" w:cs="宋体"/>
                <w:color w:val="auto"/>
              </w:rPr>
            </w:pPr>
          </w:p>
        </w:tc>
        <w:tc>
          <w:tcPr>
            <w:tcW w:w="1131" w:type="dxa"/>
            <w:vAlign w:val="center"/>
          </w:tcPr>
          <w:p w14:paraId="761B37DA">
            <w:pPr>
              <w:widowControl w:val="0"/>
              <w:kinsoku/>
              <w:topLinePunct/>
              <w:autoSpaceDE/>
              <w:autoSpaceDN/>
              <w:jc w:val="center"/>
              <w:rPr>
                <w:rFonts w:hint="eastAsia" w:ascii="宋体" w:hAnsi="宋体" w:eastAsia="宋体" w:cs="宋体"/>
                <w:color w:val="auto"/>
              </w:rPr>
            </w:pPr>
          </w:p>
        </w:tc>
        <w:tc>
          <w:tcPr>
            <w:tcW w:w="1134" w:type="dxa"/>
            <w:vAlign w:val="center"/>
          </w:tcPr>
          <w:p w14:paraId="0D3AADF8">
            <w:pPr>
              <w:widowControl w:val="0"/>
              <w:kinsoku/>
              <w:topLinePunct/>
              <w:autoSpaceDE/>
              <w:autoSpaceDN/>
              <w:jc w:val="center"/>
              <w:rPr>
                <w:rFonts w:hint="eastAsia" w:ascii="宋体" w:hAnsi="宋体" w:eastAsia="宋体" w:cs="宋体"/>
                <w:color w:val="auto"/>
              </w:rPr>
            </w:pPr>
          </w:p>
        </w:tc>
        <w:tc>
          <w:tcPr>
            <w:tcW w:w="1131" w:type="dxa"/>
            <w:vAlign w:val="center"/>
          </w:tcPr>
          <w:p w14:paraId="1F30BBAB">
            <w:pPr>
              <w:widowControl w:val="0"/>
              <w:kinsoku/>
              <w:topLinePunct/>
              <w:autoSpaceDE/>
              <w:autoSpaceDN/>
              <w:jc w:val="center"/>
              <w:rPr>
                <w:rFonts w:hint="eastAsia" w:ascii="宋体" w:hAnsi="宋体" w:eastAsia="宋体" w:cs="宋体"/>
                <w:color w:val="auto"/>
              </w:rPr>
            </w:pPr>
          </w:p>
        </w:tc>
        <w:tc>
          <w:tcPr>
            <w:tcW w:w="1134" w:type="dxa"/>
            <w:vAlign w:val="center"/>
          </w:tcPr>
          <w:p w14:paraId="2B9C47EB">
            <w:pPr>
              <w:widowControl w:val="0"/>
              <w:kinsoku/>
              <w:topLinePunct/>
              <w:autoSpaceDE/>
              <w:autoSpaceDN/>
              <w:jc w:val="center"/>
              <w:rPr>
                <w:rFonts w:hint="eastAsia" w:ascii="宋体" w:hAnsi="宋体" w:eastAsia="宋体" w:cs="宋体"/>
                <w:color w:val="auto"/>
              </w:rPr>
            </w:pPr>
          </w:p>
        </w:tc>
        <w:tc>
          <w:tcPr>
            <w:tcW w:w="1131" w:type="dxa"/>
            <w:vAlign w:val="center"/>
          </w:tcPr>
          <w:p w14:paraId="257FD013">
            <w:pPr>
              <w:widowControl w:val="0"/>
              <w:kinsoku/>
              <w:topLinePunct/>
              <w:autoSpaceDE/>
              <w:autoSpaceDN/>
              <w:jc w:val="center"/>
              <w:rPr>
                <w:rFonts w:hint="eastAsia" w:ascii="宋体" w:hAnsi="宋体" w:eastAsia="宋体" w:cs="宋体"/>
                <w:color w:val="auto"/>
              </w:rPr>
            </w:pPr>
          </w:p>
        </w:tc>
        <w:tc>
          <w:tcPr>
            <w:tcW w:w="1134" w:type="dxa"/>
            <w:vAlign w:val="center"/>
          </w:tcPr>
          <w:p w14:paraId="335E2A3E">
            <w:pPr>
              <w:widowControl w:val="0"/>
              <w:kinsoku/>
              <w:topLinePunct/>
              <w:autoSpaceDE/>
              <w:autoSpaceDN/>
              <w:jc w:val="center"/>
              <w:rPr>
                <w:rFonts w:hint="eastAsia" w:ascii="宋体" w:hAnsi="宋体" w:eastAsia="宋体" w:cs="宋体"/>
                <w:color w:val="auto"/>
              </w:rPr>
            </w:pPr>
          </w:p>
        </w:tc>
        <w:tc>
          <w:tcPr>
            <w:tcW w:w="1132" w:type="dxa"/>
            <w:vAlign w:val="center"/>
          </w:tcPr>
          <w:p w14:paraId="3E874EFC">
            <w:pPr>
              <w:widowControl w:val="0"/>
              <w:kinsoku/>
              <w:topLinePunct/>
              <w:autoSpaceDE/>
              <w:autoSpaceDN/>
              <w:jc w:val="center"/>
              <w:rPr>
                <w:rFonts w:hint="eastAsia" w:ascii="宋体" w:hAnsi="宋体" w:eastAsia="宋体" w:cs="宋体"/>
                <w:color w:val="auto"/>
              </w:rPr>
            </w:pPr>
          </w:p>
        </w:tc>
        <w:tc>
          <w:tcPr>
            <w:tcW w:w="851" w:type="dxa"/>
            <w:vAlign w:val="center"/>
          </w:tcPr>
          <w:p w14:paraId="67EDF7CE">
            <w:pPr>
              <w:widowControl w:val="0"/>
              <w:kinsoku/>
              <w:topLinePunct/>
              <w:autoSpaceDE/>
              <w:autoSpaceDN/>
              <w:jc w:val="center"/>
              <w:rPr>
                <w:rFonts w:hint="eastAsia" w:ascii="宋体" w:hAnsi="宋体" w:eastAsia="宋体" w:cs="宋体"/>
                <w:color w:val="auto"/>
              </w:rPr>
            </w:pPr>
          </w:p>
        </w:tc>
        <w:tc>
          <w:tcPr>
            <w:tcW w:w="858" w:type="dxa"/>
            <w:tcBorders>
              <w:right w:val="single" w:color="000000" w:sz="6" w:space="0"/>
            </w:tcBorders>
            <w:vAlign w:val="center"/>
          </w:tcPr>
          <w:p w14:paraId="2F488702">
            <w:pPr>
              <w:widowControl w:val="0"/>
              <w:kinsoku/>
              <w:topLinePunct/>
              <w:autoSpaceDE/>
              <w:autoSpaceDN/>
              <w:jc w:val="center"/>
              <w:rPr>
                <w:rFonts w:hint="eastAsia" w:ascii="宋体" w:hAnsi="宋体" w:eastAsia="宋体" w:cs="宋体"/>
                <w:color w:val="auto"/>
              </w:rPr>
            </w:pPr>
          </w:p>
        </w:tc>
      </w:tr>
      <w:tr w14:paraId="69868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535" w:type="dxa"/>
            <w:tcBorders>
              <w:left w:val="single" w:color="000000" w:sz="6" w:space="0"/>
            </w:tcBorders>
            <w:vAlign w:val="center"/>
          </w:tcPr>
          <w:p w14:paraId="4527D07F">
            <w:pPr>
              <w:widowControl w:val="0"/>
              <w:kinsoku/>
              <w:topLinePunct/>
              <w:autoSpaceDE/>
              <w:autoSpaceDN/>
              <w:jc w:val="center"/>
              <w:rPr>
                <w:rFonts w:hint="eastAsia" w:ascii="宋体" w:hAnsi="宋体" w:eastAsia="宋体" w:cs="宋体"/>
                <w:color w:val="auto"/>
              </w:rPr>
            </w:pPr>
          </w:p>
        </w:tc>
        <w:tc>
          <w:tcPr>
            <w:tcW w:w="726" w:type="dxa"/>
            <w:vAlign w:val="center"/>
          </w:tcPr>
          <w:p w14:paraId="23767A4B">
            <w:pPr>
              <w:widowControl w:val="0"/>
              <w:kinsoku/>
              <w:topLinePunct/>
              <w:autoSpaceDE/>
              <w:autoSpaceDN/>
              <w:jc w:val="center"/>
              <w:rPr>
                <w:rFonts w:hint="eastAsia" w:ascii="宋体" w:hAnsi="宋体" w:eastAsia="宋体" w:cs="宋体"/>
                <w:color w:val="auto"/>
              </w:rPr>
            </w:pPr>
          </w:p>
        </w:tc>
        <w:tc>
          <w:tcPr>
            <w:tcW w:w="726" w:type="dxa"/>
            <w:vAlign w:val="center"/>
          </w:tcPr>
          <w:p w14:paraId="133E6724">
            <w:pPr>
              <w:widowControl w:val="0"/>
              <w:kinsoku/>
              <w:topLinePunct/>
              <w:autoSpaceDE/>
              <w:autoSpaceDN/>
              <w:jc w:val="center"/>
              <w:rPr>
                <w:rFonts w:hint="eastAsia" w:ascii="宋体" w:hAnsi="宋体" w:eastAsia="宋体" w:cs="宋体"/>
                <w:color w:val="auto"/>
              </w:rPr>
            </w:pPr>
          </w:p>
        </w:tc>
        <w:tc>
          <w:tcPr>
            <w:tcW w:w="856" w:type="dxa"/>
            <w:vAlign w:val="center"/>
          </w:tcPr>
          <w:p w14:paraId="5C078606">
            <w:pPr>
              <w:widowControl w:val="0"/>
              <w:kinsoku/>
              <w:topLinePunct/>
              <w:autoSpaceDE/>
              <w:autoSpaceDN/>
              <w:jc w:val="center"/>
              <w:rPr>
                <w:rFonts w:hint="eastAsia" w:ascii="宋体" w:hAnsi="宋体" w:eastAsia="宋体" w:cs="宋体"/>
                <w:color w:val="auto"/>
              </w:rPr>
            </w:pPr>
          </w:p>
        </w:tc>
        <w:tc>
          <w:tcPr>
            <w:tcW w:w="1131" w:type="dxa"/>
            <w:vAlign w:val="center"/>
          </w:tcPr>
          <w:p w14:paraId="27AD8BFE">
            <w:pPr>
              <w:widowControl w:val="0"/>
              <w:kinsoku/>
              <w:topLinePunct/>
              <w:autoSpaceDE/>
              <w:autoSpaceDN/>
              <w:jc w:val="center"/>
              <w:rPr>
                <w:rFonts w:hint="eastAsia" w:ascii="宋体" w:hAnsi="宋体" w:eastAsia="宋体" w:cs="宋体"/>
                <w:color w:val="auto"/>
              </w:rPr>
            </w:pPr>
          </w:p>
        </w:tc>
        <w:tc>
          <w:tcPr>
            <w:tcW w:w="1134" w:type="dxa"/>
            <w:vAlign w:val="center"/>
          </w:tcPr>
          <w:p w14:paraId="47E053C2">
            <w:pPr>
              <w:widowControl w:val="0"/>
              <w:kinsoku/>
              <w:topLinePunct/>
              <w:autoSpaceDE/>
              <w:autoSpaceDN/>
              <w:jc w:val="center"/>
              <w:rPr>
                <w:rFonts w:hint="eastAsia" w:ascii="宋体" w:hAnsi="宋体" w:eastAsia="宋体" w:cs="宋体"/>
                <w:color w:val="auto"/>
              </w:rPr>
            </w:pPr>
          </w:p>
        </w:tc>
        <w:tc>
          <w:tcPr>
            <w:tcW w:w="1131" w:type="dxa"/>
            <w:vAlign w:val="center"/>
          </w:tcPr>
          <w:p w14:paraId="03FA1412">
            <w:pPr>
              <w:widowControl w:val="0"/>
              <w:kinsoku/>
              <w:topLinePunct/>
              <w:autoSpaceDE/>
              <w:autoSpaceDN/>
              <w:jc w:val="center"/>
              <w:rPr>
                <w:rFonts w:hint="eastAsia" w:ascii="宋体" w:hAnsi="宋体" w:eastAsia="宋体" w:cs="宋体"/>
                <w:color w:val="auto"/>
              </w:rPr>
            </w:pPr>
          </w:p>
        </w:tc>
        <w:tc>
          <w:tcPr>
            <w:tcW w:w="1134" w:type="dxa"/>
            <w:vAlign w:val="center"/>
          </w:tcPr>
          <w:p w14:paraId="2BE09ACE">
            <w:pPr>
              <w:widowControl w:val="0"/>
              <w:kinsoku/>
              <w:topLinePunct/>
              <w:autoSpaceDE/>
              <w:autoSpaceDN/>
              <w:jc w:val="center"/>
              <w:rPr>
                <w:rFonts w:hint="eastAsia" w:ascii="宋体" w:hAnsi="宋体" w:eastAsia="宋体" w:cs="宋体"/>
                <w:color w:val="auto"/>
              </w:rPr>
            </w:pPr>
          </w:p>
        </w:tc>
        <w:tc>
          <w:tcPr>
            <w:tcW w:w="1131" w:type="dxa"/>
            <w:vAlign w:val="center"/>
          </w:tcPr>
          <w:p w14:paraId="629FA760">
            <w:pPr>
              <w:widowControl w:val="0"/>
              <w:kinsoku/>
              <w:topLinePunct/>
              <w:autoSpaceDE/>
              <w:autoSpaceDN/>
              <w:jc w:val="center"/>
              <w:rPr>
                <w:rFonts w:hint="eastAsia" w:ascii="宋体" w:hAnsi="宋体" w:eastAsia="宋体" w:cs="宋体"/>
                <w:color w:val="auto"/>
              </w:rPr>
            </w:pPr>
          </w:p>
        </w:tc>
        <w:tc>
          <w:tcPr>
            <w:tcW w:w="1134" w:type="dxa"/>
            <w:vAlign w:val="center"/>
          </w:tcPr>
          <w:p w14:paraId="21E50636">
            <w:pPr>
              <w:widowControl w:val="0"/>
              <w:kinsoku/>
              <w:topLinePunct/>
              <w:autoSpaceDE/>
              <w:autoSpaceDN/>
              <w:jc w:val="center"/>
              <w:rPr>
                <w:rFonts w:hint="eastAsia" w:ascii="宋体" w:hAnsi="宋体" w:eastAsia="宋体" w:cs="宋体"/>
                <w:color w:val="auto"/>
              </w:rPr>
            </w:pPr>
          </w:p>
        </w:tc>
        <w:tc>
          <w:tcPr>
            <w:tcW w:w="1132" w:type="dxa"/>
            <w:vAlign w:val="center"/>
          </w:tcPr>
          <w:p w14:paraId="6A2C1484">
            <w:pPr>
              <w:widowControl w:val="0"/>
              <w:kinsoku/>
              <w:topLinePunct/>
              <w:autoSpaceDE/>
              <w:autoSpaceDN/>
              <w:jc w:val="center"/>
              <w:rPr>
                <w:rFonts w:hint="eastAsia" w:ascii="宋体" w:hAnsi="宋体" w:eastAsia="宋体" w:cs="宋体"/>
                <w:color w:val="auto"/>
              </w:rPr>
            </w:pPr>
          </w:p>
        </w:tc>
        <w:tc>
          <w:tcPr>
            <w:tcW w:w="851" w:type="dxa"/>
            <w:vAlign w:val="center"/>
          </w:tcPr>
          <w:p w14:paraId="381BF00F">
            <w:pPr>
              <w:widowControl w:val="0"/>
              <w:kinsoku/>
              <w:topLinePunct/>
              <w:autoSpaceDE/>
              <w:autoSpaceDN/>
              <w:jc w:val="center"/>
              <w:rPr>
                <w:rFonts w:hint="eastAsia" w:ascii="宋体" w:hAnsi="宋体" w:eastAsia="宋体" w:cs="宋体"/>
                <w:color w:val="auto"/>
              </w:rPr>
            </w:pPr>
          </w:p>
        </w:tc>
        <w:tc>
          <w:tcPr>
            <w:tcW w:w="858" w:type="dxa"/>
            <w:tcBorders>
              <w:right w:val="single" w:color="000000" w:sz="6" w:space="0"/>
            </w:tcBorders>
            <w:vAlign w:val="center"/>
          </w:tcPr>
          <w:p w14:paraId="22D53CB4">
            <w:pPr>
              <w:widowControl w:val="0"/>
              <w:kinsoku/>
              <w:topLinePunct/>
              <w:autoSpaceDE/>
              <w:autoSpaceDN/>
              <w:jc w:val="center"/>
              <w:rPr>
                <w:rFonts w:hint="eastAsia" w:ascii="宋体" w:hAnsi="宋体" w:eastAsia="宋体" w:cs="宋体"/>
                <w:color w:val="auto"/>
              </w:rPr>
            </w:pPr>
          </w:p>
        </w:tc>
      </w:tr>
      <w:tr w14:paraId="1261E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535" w:type="dxa"/>
            <w:tcBorders>
              <w:left w:val="single" w:color="000000" w:sz="6" w:space="0"/>
            </w:tcBorders>
            <w:vAlign w:val="center"/>
          </w:tcPr>
          <w:p w14:paraId="68673C58">
            <w:pPr>
              <w:widowControl w:val="0"/>
              <w:kinsoku/>
              <w:topLinePunct/>
              <w:autoSpaceDE/>
              <w:autoSpaceDN/>
              <w:jc w:val="center"/>
              <w:rPr>
                <w:rFonts w:hint="eastAsia" w:ascii="宋体" w:hAnsi="宋体" w:eastAsia="宋体" w:cs="宋体"/>
                <w:color w:val="auto"/>
              </w:rPr>
            </w:pPr>
          </w:p>
        </w:tc>
        <w:tc>
          <w:tcPr>
            <w:tcW w:w="726" w:type="dxa"/>
            <w:vAlign w:val="center"/>
          </w:tcPr>
          <w:p w14:paraId="5B82D7FB">
            <w:pPr>
              <w:widowControl w:val="0"/>
              <w:kinsoku/>
              <w:topLinePunct/>
              <w:autoSpaceDE/>
              <w:autoSpaceDN/>
              <w:jc w:val="center"/>
              <w:rPr>
                <w:rFonts w:hint="eastAsia" w:ascii="宋体" w:hAnsi="宋体" w:eastAsia="宋体" w:cs="宋体"/>
                <w:color w:val="auto"/>
              </w:rPr>
            </w:pPr>
          </w:p>
        </w:tc>
        <w:tc>
          <w:tcPr>
            <w:tcW w:w="726" w:type="dxa"/>
            <w:vAlign w:val="center"/>
          </w:tcPr>
          <w:p w14:paraId="45A4941F">
            <w:pPr>
              <w:widowControl w:val="0"/>
              <w:kinsoku/>
              <w:topLinePunct/>
              <w:autoSpaceDE/>
              <w:autoSpaceDN/>
              <w:jc w:val="center"/>
              <w:rPr>
                <w:rFonts w:hint="eastAsia" w:ascii="宋体" w:hAnsi="宋体" w:eastAsia="宋体" w:cs="宋体"/>
                <w:color w:val="auto"/>
              </w:rPr>
            </w:pPr>
          </w:p>
        </w:tc>
        <w:tc>
          <w:tcPr>
            <w:tcW w:w="856" w:type="dxa"/>
            <w:vAlign w:val="center"/>
          </w:tcPr>
          <w:p w14:paraId="55D33E3B">
            <w:pPr>
              <w:widowControl w:val="0"/>
              <w:kinsoku/>
              <w:topLinePunct/>
              <w:autoSpaceDE/>
              <w:autoSpaceDN/>
              <w:jc w:val="center"/>
              <w:rPr>
                <w:rFonts w:hint="eastAsia" w:ascii="宋体" w:hAnsi="宋体" w:eastAsia="宋体" w:cs="宋体"/>
                <w:color w:val="auto"/>
              </w:rPr>
            </w:pPr>
          </w:p>
        </w:tc>
        <w:tc>
          <w:tcPr>
            <w:tcW w:w="1131" w:type="dxa"/>
            <w:vAlign w:val="center"/>
          </w:tcPr>
          <w:p w14:paraId="24073686">
            <w:pPr>
              <w:widowControl w:val="0"/>
              <w:kinsoku/>
              <w:topLinePunct/>
              <w:autoSpaceDE/>
              <w:autoSpaceDN/>
              <w:jc w:val="center"/>
              <w:rPr>
                <w:rFonts w:hint="eastAsia" w:ascii="宋体" w:hAnsi="宋体" w:eastAsia="宋体" w:cs="宋体"/>
                <w:color w:val="auto"/>
              </w:rPr>
            </w:pPr>
          </w:p>
        </w:tc>
        <w:tc>
          <w:tcPr>
            <w:tcW w:w="1134" w:type="dxa"/>
            <w:vAlign w:val="center"/>
          </w:tcPr>
          <w:p w14:paraId="43C38B65">
            <w:pPr>
              <w:widowControl w:val="0"/>
              <w:kinsoku/>
              <w:topLinePunct/>
              <w:autoSpaceDE/>
              <w:autoSpaceDN/>
              <w:jc w:val="center"/>
              <w:rPr>
                <w:rFonts w:hint="eastAsia" w:ascii="宋体" w:hAnsi="宋体" w:eastAsia="宋体" w:cs="宋体"/>
                <w:color w:val="auto"/>
              </w:rPr>
            </w:pPr>
          </w:p>
        </w:tc>
        <w:tc>
          <w:tcPr>
            <w:tcW w:w="1131" w:type="dxa"/>
            <w:vAlign w:val="center"/>
          </w:tcPr>
          <w:p w14:paraId="3FC77DEE">
            <w:pPr>
              <w:widowControl w:val="0"/>
              <w:kinsoku/>
              <w:topLinePunct/>
              <w:autoSpaceDE/>
              <w:autoSpaceDN/>
              <w:jc w:val="center"/>
              <w:rPr>
                <w:rFonts w:hint="eastAsia" w:ascii="宋体" w:hAnsi="宋体" w:eastAsia="宋体" w:cs="宋体"/>
                <w:color w:val="auto"/>
              </w:rPr>
            </w:pPr>
          </w:p>
        </w:tc>
        <w:tc>
          <w:tcPr>
            <w:tcW w:w="1134" w:type="dxa"/>
            <w:vAlign w:val="center"/>
          </w:tcPr>
          <w:p w14:paraId="6336DDF0">
            <w:pPr>
              <w:widowControl w:val="0"/>
              <w:kinsoku/>
              <w:topLinePunct/>
              <w:autoSpaceDE/>
              <w:autoSpaceDN/>
              <w:jc w:val="center"/>
              <w:rPr>
                <w:rFonts w:hint="eastAsia" w:ascii="宋体" w:hAnsi="宋体" w:eastAsia="宋体" w:cs="宋体"/>
                <w:color w:val="auto"/>
              </w:rPr>
            </w:pPr>
          </w:p>
        </w:tc>
        <w:tc>
          <w:tcPr>
            <w:tcW w:w="1131" w:type="dxa"/>
            <w:vAlign w:val="center"/>
          </w:tcPr>
          <w:p w14:paraId="4AED2F28">
            <w:pPr>
              <w:widowControl w:val="0"/>
              <w:kinsoku/>
              <w:topLinePunct/>
              <w:autoSpaceDE/>
              <w:autoSpaceDN/>
              <w:jc w:val="center"/>
              <w:rPr>
                <w:rFonts w:hint="eastAsia" w:ascii="宋体" w:hAnsi="宋体" w:eastAsia="宋体" w:cs="宋体"/>
                <w:color w:val="auto"/>
              </w:rPr>
            </w:pPr>
          </w:p>
        </w:tc>
        <w:tc>
          <w:tcPr>
            <w:tcW w:w="1134" w:type="dxa"/>
            <w:vAlign w:val="center"/>
          </w:tcPr>
          <w:p w14:paraId="0836EBC0">
            <w:pPr>
              <w:widowControl w:val="0"/>
              <w:kinsoku/>
              <w:topLinePunct/>
              <w:autoSpaceDE/>
              <w:autoSpaceDN/>
              <w:jc w:val="center"/>
              <w:rPr>
                <w:rFonts w:hint="eastAsia" w:ascii="宋体" w:hAnsi="宋体" w:eastAsia="宋体" w:cs="宋体"/>
                <w:color w:val="auto"/>
              </w:rPr>
            </w:pPr>
          </w:p>
        </w:tc>
        <w:tc>
          <w:tcPr>
            <w:tcW w:w="1132" w:type="dxa"/>
            <w:vAlign w:val="center"/>
          </w:tcPr>
          <w:p w14:paraId="3DFECC8A">
            <w:pPr>
              <w:widowControl w:val="0"/>
              <w:kinsoku/>
              <w:topLinePunct/>
              <w:autoSpaceDE/>
              <w:autoSpaceDN/>
              <w:jc w:val="center"/>
              <w:rPr>
                <w:rFonts w:hint="eastAsia" w:ascii="宋体" w:hAnsi="宋体" w:eastAsia="宋体" w:cs="宋体"/>
                <w:color w:val="auto"/>
              </w:rPr>
            </w:pPr>
          </w:p>
        </w:tc>
        <w:tc>
          <w:tcPr>
            <w:tcW w:w="851" w:type="dxa"/>
            <w:vAlign w:val="center"/>
          </w:tcPr>
          <w:p w14:paraId="72F98EEA">
            <w:pPr>
              <w:widowControl w:val="0"/>
              <w:kinsoku/>
              <w:topLinePunct/>
              <w:autoSpaceDE/>
              <w:autoSpaceDN/>
              <w:jc w:val="center"/>
              <w:rPr>
                <w:rFonts w:hint="eastAsia" w:ascii="宋体" w:hAnsi="宋体" w:eastAsia="宋体" w:cs="宋体"/>
                <w:color w:val="auto"/>
              </w:rPr>
            </w:pPr>
          </w:p>
        </w:tc>
        <w:tc>
          <w:tcPr>
            <w:tcW w:w="858" w:type="dxa"/>
            <w:tcBorders>
              <w:right w:val="single" w:color="000000" w:sz="6" w:space="0"/>
            </w:tcBorders>
            <w:vAlign w:val="center"/>
          </w:tcPr>
          <w:p w14:paraId="6AEC9D78">
            <w:pPr>
              <w:widowControl w:val="0"/>
              <w:kinsoku/>
              <w:topLinePunct/>
              <w:autoSpaceDE/>
              <w:autoSpaceDN/>
              <w:jc w:val="center"/>
              <w:rPr>
                <w:rFonts w:hint="eastAsia" w:ascii="宋体" w:hAnsi="宋体" w:eastAsia="宋体" w:cs="宋体"/>
                <w:color w:val="auto"/>
              </w:rPr>
            </w:pPr>
          </w:p>
        </w:tc>
      </w:tr>
      <w:tr w14:paraId="242E4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jc w:val="center"/>
        </w:trPr>
        <w:tc>
          <w:tcPr>
            <w:tcW w:w="535" w:type="dxa"/>
            <w:tcBorders>
              <w:left w:val="single" w:color="000000" w:sz="6" w:space="0"/>
            </w:tcBorders>
            <w:vAlign w:val="center"/>
          </w:tcPr>
          <w:p w14:paraId="50A1CE6E">
            <w:pPr>
              <w:widowControl w:val="0"/>
              <w:kinsoku/>
              <w:topLinePunct/>
              <w:autoSpaceDE/>
              <w:autoSpaceDN/>
              <w:jc w:val="center"/>
              <w:rPr>
                <w:rFonts w:hint="eastAsia" w:ascii="宋体" w:hAnsi="宋体" w:eastAsia="宋体" w:cs="宋体"/>
                <w:color w:val="auto"/>
              </w:rPr>
            </w:pPr>
          </w:p>
        </w:tc>
        <w:tc>
          <w:tcPr>
            <w:tcW w:w="726" w:type="dxa"/>
            <w:vAlign w:val="center"/>
          </w:tcPr>
          <w:p w14:paraId="6A793F0E">
            <w:pPr>
              <w:widowControl w:val="0"/>
              <w:kinsoku/>
              <w:topLinePunct/>
              <w:autoSpaceDE/>
              <w:autoSpaceDN/>
              <w:jc w:val="center"/>
              <w:rPr>
                <w:rFonts w:hint="eastAsia" w:ascii="宋体" w:hAnsi="宋体" w:eastAsia="宋体" w:cs="宋体"/>
                <w:color w:val="auto"/>
              </w:rPr>
            </w:pPr>
          </w:p>
        </w:tc>
        <w:tc>
          <w:tcPr>
            <w:tcW w:w="726" w:type="dxa"/>
            <w:vAlign w:val="center"/>
          </w:tcPr>
          <w:p w14:paraId="4874E7E8">
            <w:pPr>
              <w:widowControl w:val="0"/>
              <w:kinsoku/>
              <w:topLinePunct/>
              <w:autoSpaceDE/>
              <w:autoSpaceDN/>
              <w:jc w:val="center"/>
              <w:rPr>
                <w:rFonts w:hint="eastAsia" w:ascii="宋体" w:hAnsi="宋体" w:eastAsia="宋体" w:cs="宋体"/>
                <w:color w:val="auto"/>
              </w:rPr>
            </w:pPr>
          </w:p>
        </w:tc>
        <w:tc>
          <w:tcPr>
            <w:tcW w:w="856" w:type="dxa"/>
            <w:vAlign w:val="center"/>
          </w:tcPr>
          <w:p w14:paraId="47F197BB">
            <w:pPr>
              <w:widowControl w:val="0"/>
              <w:kinsoku/>
              <w:topLinePunct/>
              <w:autoSpaceDE/>
              <w:autoSpaceDN/>
              <w:jc w:val="center"/>
              <w:rPr>
                <w:rFonts w:hint="eastAsia" w:ascii="宋体" w:hAnsi="宋体" w:eastAsia="宋体" w:cs="宋体"/>
                <w:color w:val="auto"/>
              </w:rPr>
            </w:pPr>
          </w:p>
        </w:tc>
        <w:tc>
          <w:tcPr>
            <w:tcW w:w="1131" w:type="dxa"/>
            <w:vAlign w:val="center"/>
          </w:tcPr>
          <w:p w14:paraId="1A56C2B8">
            <w:pPr>
              <w:widowControl w:val="0"/>
              <w:kinsoku/>
              <w:topLinePunct/>
              <w:autoSpaceDE/>
              <w:autoSpaceDN/>
              <w:jc w:val="center"/>
              <w:rPr>
                <w:rFonts w:hint="eastAsia" w:ascii="宋体" w:hAnsi="宋体" w:eastAsia="宋体" w:cs="宋体"/>
                <w:color w:val="auto"/>
              </w:rPr>
            </w:pPr>
          </w:p>
        </w:tc>
        <w:tc>
          <w:tcPr>
            <w:tcW w:w="1134" w:type="dxa"/>
            <w:vAlign w:val="center"/>
          </w:tcPr>
          <w:p w14:paraId="0D78C1E5">
            <w:pPr>
              <w:widowControl w:val="0"/>
              <w:kinsoku/>
              <w:topLinePunct/>
              <w:autoSpaceDE/>
              <w:autoSpaceDN/>
              <w:jc w:val="center"/>
              <w:rPr>
                <w:rFonts w:hint="eastAsia" w:ascii="宋体" w:hAnsi="宋体" w:eastAsia="宋体" w:cs="宋体"/>
                <w:color w:val="auto"/>
              </w:rPr>
            </w:pPr>
          </w:p>
        </w:tc>
        <w:tc>
          <w:tcPr>
            <w:tcW w:w="1131" w:type="dxa"/>
            <w:vAlign w:val="center"/>
          </w:tcPr>
          <w:p w14:paraId="6CB338BE">
            <w:pPr>
              <w:widowControl w:val="0"/>
              <w:kinsoku/>
              <w:topLinePunct/>
              <w:autoSpaceDE/>
              <w:autoSpaceDN/>
              <w:jc w:val="center"/>
              <w:rPr>
                <w:rFonts w:hint="eastAsia" w:ascii="宋体" w:hAnsi="宋体" w:eastAsia="宋体" w:cs="宋体"/>
                <w:color w:val="auto"/>
              </w:rPr>
            </w:pPr>
          </w:p>
        </w:tc>
        <w:tc>
          <w:tcPr>
            <w:tcW w:w="1134" w:type="dxa"/>
            <w:vAlign w:val="center"/>
          </w:tcPr>
          <w:p w14:paraId="3294C6F6">
            <w:pPr>
              <w:widowControl w:val="0"/>
              <w:kinsoku/>
              <w:topLinePunct/>
              <w:autoSpaceDE/>
              <w:autoSpaceDN/>
              <w:jc w:val="center"/>
              <w:rPr>
                <w:rFonts w:hint="eastAsia" w:ascii="宋体" w:hAnsi="宋体" w:eastAsia="宋体" w:cs="宋体"/>
                <w:color w:val="auto"/>
              </w:rPr>
            </w:pPr>
          </w:p>
        </w:tc>
        <w:tc>
          <w:tcPr>
            <w:tcW w:w="1131" w:type="dxa"/>
            <w:vAlign w:val="center"/>
          </w:tcPr>
          <w:p w14:paraId="10A1A19D">
            <w:pPr>
              <w:widowControl w:val="0"/>
              <w:kinsoku/>
              <w:topLinePunct/>
              <w:autoSpaceDE/>
              <w:autoSpaceDN/>
              <w:jc w:val="center"/>
              <w:rPr>
                <w:rFonts w:hint="eastAsia" w:ascii="宋体" w:hAnsi="宋体" w:eastAsia="宋体" w:cs="宋体"/>
                <w:color w:val="auto"/>
              </w:rPr>
            </w:pPr>
          </w:p>
        </w:tc>
        <w:tc>
          <w:tcPr>
            <w:tcW w:w="1134" w:type="dxa"/>
            <w:vAlign w:val="center"/>
          </w:tcPr>
          <w:p w14:paraId="23C1BA23">
            <w:pPr>
              <w:widowControl w:val="0"/>
              <w:kinsoku/>
              <w:topLinePunct/>
              <w:autoSpaceDE/>
              <w:autoSpaceDN/>
              <w:jc w:val="center"/>
              <w:rPr>
                <w:rFonts w:hint="eastAsia" w:ascii="宋体" w:hAnsi="宋体" w:eastAsia="宋体" w:cs="宋体"/>
                <w:color w:val="auto"/>
              </w:rPr>
            </w:pPr>
          </w:p>
        </w:tc>
        <w:tc>
          <w:tcPr>
            <w:tcW w:w="1132" w:type="dxa"/>
            <w:vAlign w:val="center"/>
          </w:tcPr>
          <w:p w14:paraId="5A0E89BC">
            <w:pPr>
              <w:widowControl w:val="0"/>
              <w:kinsoku/>
              <w:topLinePunct/>
              <w:autoSpaceDE/>
              <w:autoSpaceDN/>
              <w:jc w:val="center"/>
              <w:rPr>
                <w:rFonts w:hint="eastAsia" w:ascii="宋体" w:hAnsi="宋体" w:eastAsia="宋体" w:cs="宋体"/>
                <w:color w:val="auto"/>
              </w:rPr>
            </w:pPr>
          </w:p>
        </w:tc>
        <w:tc>
          <w:tcPr>
            <w:tcW w:w="851" w:type="dxa"/>
            <w:vAlign w:val="center"/>
          </w:tcPr>
          <w:p w14:paraId="7AC6D3E6">
            <w:pPr>
              <w:widowControl w:val="0"/>
              <w:kinsoku/>
              <w:topLinePunct/>
              <w:autoSpaceDE/>
              <w:autoSpaceDN/>
              <w:jc w:val="center"/>
              <w:rPr>
                <w:rFonts w:hint="eastAsia" w:ascii="宋体" w:hAnsi="宋体" w:eastAsia="宋体" w:cs="宋体"/>
                <w:color w:val="auto"/>
              </w:rPr>
            </w:pPr>
          </w:p>
        </w:tc>
        <w:tc>
          <w:tcPr>
            <w:tcW w:w="858" w:type="dxa"/>
            <w:tcBorders>
              <w:right w:val="single" w:color="000000" w:sz="6" w:space="0"/>
            </w:tcBorders>
            <w:vAlign w:val="center"/>
          </w:tcPr>
          <w:p w14:paraId="38BC2042">
            <w:pPr>
              <w:widowControl w:val="0"/>
              <w:kinsoku/>
              <w:topLinePunct/>
              <w:autoSpaceDE/>
              <w:autoSpaceDN/>
              <w:jc w:val="center"/>
              <w:rPr>
                <w:rFonts w:hint="eastAsia" w:ascii="宋体" w:hAnsi="宋体" w:eastAsia="宋体" w:cs="宋体"/>
                <w:color w:val="auto"/>
              </w:rPr>
            </w:pPr>
          </w:p>
        </w:tc>
      </w:tr>
      <w:tr w14:paraId="0C279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535" w:type="dxa"/>
            <w:tcBorders>
              <w:left w:val="single" w:color="000000" w:sz="6" w:space="0"/>
            </w:tcBorders>
            <w:vAlign w:val="center"/>
          </w:tcPr>
          <w:p w14:paraId="1E7F12E1">
            <w:pPr>
              <w:widowControl w:val="0"/>
              <w:kinsoku/>
              <w:topLinePunct/>
              <w:autoSpaceDE/>
              <w:autoSpaceDN/>
              <w:jc w:val="center"/>
              <w:rPr>
                <w:rFonts w:hint="eastAsia" w:ascii="宋体" w:hAnsi="宋体" w:eastAsia="宋体" w:cs="宋体"/>
                <w:color w:val="auto"/>
              </w:rPr>
            </w:pPr>
          </w:p>
        </w:tc>
        <w:tc>
          <w:tcPr>
            <w:tcW w:w="726" w:type="dxa"/>
            <w:vAlign w:val="center"/>
          </w:tcPr>
          <w:p w14:paraId="0C041357">
            <w:pPr>
              <w:widowControl w:val="0"/>
              <w:kinsoku/>
              <w:topLinePunct/>
              <w:autoSpaceDE/>
              <w:autoSpaceDN/>
              <w:jc w:val="center"/>
              <w:rPr>
                <w:rFonts w:hint="eastAsia" w:ascii="宋体" w:hAnsi="宋体" w:eastAsia="宋体" w:cs="宋体"/>
                <w:color w:val="auto"/>
              </w:rPr>
            </w:pPr>
          </w:p>
        </w:tc>
        <w:tc>
          <w:tcPr>
            <w:tcW w:w="726" w:type="dxa"/>
            <w:vAlign w:val="center"/>
          </w:tcPr>
          <w:p w14:paraId="13669CAB">
            <w:pPr>
              <w:widowControl w:val="0"/>
              <w:kinsoku/>
              <w:topLinePunct/>
              <w:autoSpaceDE/>
              <w:autoSpaceDN/>
              <w:jc w:val="center"/>
              <w:rPr>
                <w:rFonts w:hint="eastAsia" w:ascii="宋体" w:hAnsi="宋体" w:eastAsia="宋体" w:cs="宋体"/>
                <w:color w:val="auto"/>
              </w:rPr>
            </w:pPr>
          </w:p>
        </w:tc>
        <w:tc>
          <w:tcPr>
            <w:tcW w:w="856" w:type="dxa"/>
            <w:vAlign w:val="center"/>
          </w:tcPr>
          <w:p w14:paraId="6294F81A">
            <w:pPr>
              <w:widowControl w:val="0"/>
              <w:kinsoku/>
              <w:topLinePunct/>
              <w:autoSpaceDE/>
              <w:autoSpaceDN/>
              <w:jc w:val="center"/>
              <w:rPr>
                <w:rFonts w:hint="eastAsia" w:ascii="宋体" w:hAnsi="宋体" w:eastAsia="宋体" w:cs="宋体"/>
                <w:color w:val="auto"/>
              </w:rPr>
            </w:pPr>
          </w:p>
        </w:tc>
        <w:tc>
          <w:tcPr>
            <w:tcW w:w="1131" w:type="dxa"/>
            <w:vAlign w:val="center"/>
          </w:tcPr>
          <w:p w14:paraId="07FEEF31">
            <w:pPr>
              <w:widowControl w:val="0"/>
              <w:kinsoku/>
              <w:topLinePunct/>
              <w:autoSpaceDE/>
              <w:autoSpaceDN/>
              <w:jc w:val="center"/>
              <w:rPr>
                <w:rFonts w:hint="eastAsia" w:ascii="宋体" w:hAnsi="宋体" w:eastAsia="宋体" w:cs="宋体"/>
                <w:color w:val="auto"/>
              </w:rPr>
            </w:pPr>
          </w:p>
        </w:tc>
        <w:tc>
          <w:tcPr>
            <w:tcW w:w="1134" w:type="dxa"/>
            <w:vAlign w:val="center"/>
          </w:tcPr>
          <w:p w14:paraId="5A2AD3EF">
            <w:pPr>
              <w:widowControl w:val="0"/>
              <w:kinsoku/>
              <w:topLinePunct/>
              <w:autoSpaceDE/>
              <w:autoSpaceDN/>
              <w:jc w:val="center"/>
              <w:rPr>
                <w:rFonts w:hint="eastAsia" w:ascii="宋体" w:hAnsi="宋体" w:eastAsia="宋体" w:cs="宋体"/>
                <w:color w:val="auto"/>
              </w:rPr>
            </w:pPr>
          </w:p>
        </w:tc>
        <w:tc>
          <w:tcPr>
            <w:tcW w:w="1131" w:type="dxa"/>
            <w:vAlign w:val="center"/>
          </w:tcPr>
          <w:p w14:paraId="38116D50">
            <w:pPr>
              <w:widowControl w:val="0"/>
              <w:kinsoku/>
              <w:topLinePunct/>
              <w:autoSpaceDE/>
              <w:autoSpaceDN/>
              <w:jc w:val="center"/>
              <w:rPr>
                <w:rFonts w:hint="eastAsia" w:ascii="宋体" w:hAnsi="宋体" w:eastAsia="宋体" w:cs="宋体"/>
                <w:color w:val="auto"/>
              </w:rPr>
            </w:pPr>
          </w:p>
        </w:tc>
        <w:tc>
          <w:tcPr>
            <w:tcW w:w="1134" w:type="dxa"/>
            <w:vAlign w:val="center"/>
          </w:tcPr>
          <w:p w14:paraId="0F9B68B6">
            <w:pPr>
              <w:widowControl w:val="0"/>
              <w:kinsoku/>
              <w:topLinePunct/>
              <w:autoSpaceDE/>
              <w:autoSpaceDN/>
              <w:jc w:val="center"/>
              <w:rPr>
                <w:rFonts w:hint="eastAsia" w:ascii="宋体" w:hAnsi="宋体" w:eastAsia="宋体" w:cs="宋体"/>
                <w:color w:val="auto"/>
              </w:rPr>
            </w:pPr>
          </w:p>
        </w:tc>
        <w:tc>
          <w:tcPr>
            <w:tcW w:w="1131" w:type="dxa"/>
            <w:vAlign w:val="center"/>
          </w:tcPr>
          <w:p w14:paraId="580CCF01">
            <w:pPr>
              <w:widowControl w:val="0"/>
              <w:kinsoku/>
              <w:topLinePunct/>
              <w:autoSpaceDE/>
              <w:autoSpaceDN/>
              <w:jc w:val="center"/>
              <w:rPr>
                <w:rFonts w:hint="eastAsia" w:ascii="宋体" w:hAnsi="宋体" w:eastAsia="宋体" w:cs="宋体"/>
                <w:color w:val="auto"/>
              </w:rPr>
            </w:pPr>
          </w:p>
        </w:tc>
        <w:tc>
          <w:tcPr>
            <w:tcW w:w="1134" w:type="dxa"/>
            <w:vAlign w:val="center"/>
          </w:tcPr>
          <w:p w14:paraId="7E6E3EBD">
            <w:pPr>
              <w:widowControl w:val="0"/>
              <w:kinsoku/>
              <w:topLinePunct/>
              <w:autoSpaceDE/>
              <w:autoSpaceDN/>
              <w:jc w:val="center"/>
              <w:rPr>
                <w:rFonts w:hint="eastAsia" w:ascii="宋体" w:hAnsi="宋体" w:eastAsia="宋体" w:cs="宋体"/>
                <w:color w:val="auto"/>
              </w:rPr>
            </w:pPr>
          </w:p>
        </w:tc>
        <w:tc>
          <w:tcPr>
            <w:tcW w:w="1132" w:type="dxa"/>
            <w:vAlign w:val="center"/>
          </w:tcPr>
          <w:p w14:paraId="6669CFA5">
            <w:pPr>
              <w:widowControl w:val="0"/>
              <w:kinsoku/>
              <w:topLinePunct/>
              <w:autoSpaceDE/>
              <w:autoSpaceDN/>
              <w:jc w:val="center"/>
              <w:rPr>
                <w:rFonts w:hint="eastAsia" w:ascii="宋体" w:hAnsi="宋体" w:eastAsia="宋体" w:cs="宋体"/>
                <w:color w:val="auto"/>
              </w:rPr>
            </w:pPr>
          </w:p>
        </w:tc>
        <w:tc>
          <w:tcPr>
            <w:tcW w:w="851" w:type="dxa"/>
            <w:vAlign w:val="center"/>
          </w:tcPr>
          <w:p w14:paraId="044FD7DE">
            <w:pPr>
              <w:widowControl w:val="0"/>
              <w:kinsoku/>
              <w:topLinePunct/>
              <w:autoSpaceDE/>
              <w:autoSpaceDN/>
              <w:jc w:val="center"/>
              <w:rPr>
                <w:rFonts w:hint="eastAsia" w:ascii="宋体" w:hAnsi="宋体" w:eastAsia="宋体" w:cs="宋体"/>
                <w:color w:val="auto"/>
              </w:rPr>
            </w:pPr>
          </w:p>
        </w:tc>
        <w:tc>
          <w:tcPr>
            <w:tcW w:w="858" w:type="dxa"/>
            <w:tcBorders>
              <w:right w:val="single" w:color="000000" w:sz="6" w:space="0"/>
            </w:tcBorders>
            <w:vAlign w:val="center"/>
          </w:tcPr>
          <w:p w14:paraId="06191AD8">
            <w:pPr>
              <w:widowControl w:val="0"/>
              <w:kinsoku/>
              <w:topLinePunct/>
              <w:autoSpaceDE/>
              <w:autoSpaceDN/>
              <w:jc w:val="center"/>
              <w:rPr>
                <w:rFonts w:hint="eastAsia" w:ascii="宋体" w:hAnsi="宋体" w:eastAsia="宋体" w:cs="宋体"/>
                <w:color w:val="auto"/>
              </w:rPr>
            </w:pPr>
          </w:p>
        </w:tc>
      </w:tr>
      <w:tr w14:paraId="7C79A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jc w:val="center"/>
        </w:trPr>
        <w:tc>
          <w:tcPr>
            <w:tcW w:w="535" w:type="dxa"/>
            <w:tcBorders>
              <w:left w:val="single" w:color="000000" w:sz="6" w:space="0"/>
              <w:bottom w:val="single" w:color="000000" w:sz="6" w:space="0"/>
            </w:tcBorders>
            <w:vAlign w:val="center"/>
          </w:tcPr>
          <w:p w14:paraId="65D7CBBC">
            <w:pPr>
              <w:widowControl w:val="0"/>
              <w:kinsoku/>
              <w:topLinePunct/>
              <w:autoSpaceDE/>
              <w:autoSpaceDN/>
              <w:jc w:val="center"/>
              <w:rPr>
                <w:rFonts w:hint="eastAsia" w:ascii="宋体" w:hAnsi="宋体" w:eastAsia="宋体" w:cs="宋体"/>
                <w:color w:val="auto"/>
              </w:rPr>
            </w:pPr>
          </w:p>
        </w:tc>
        <w:tc>
          <w:tcPr>
            <w:tcW w:w="726" w:type="dxa"/>
            <w:tcBorders>
              <w:bottom w:val="single" w:color="000000" w:sz="6" w:space="0"/>
            </w:tcBorders>
            <w:vAlign w:val="center"/>
          </w:tcPr>
          <w:p w14:paraId="22AFE01D">
            <w:pPr>
              <w:widowControl w:val="0"/>
              <w:kinsoku/>
              <w:topLinePunct/>
              <w:autoSpaceDE/>
              <w:autoSpaceDN/>
              <w:jc w:val="center"/>
              <w:rPr>
                <w:rFonts w:hint="eastAsia" w:ascii="宋体" w:hAnsi="宋体" w:eastAsia="宋体" w:cs="宋体"/>
                <w:color w:val="auto"/>
              </w:rPr>
            </w:pPr>
          </w:p>
        </w:tc>
        <w:tc>
          <w:tcPr>
            <w:tcW w:w="726" w:type="dxa"/>
            <w:tcBorders>
              <w:bottom w:val="single" w:color="000000" w:sz="6" w:space="0"/>
            </w:tcBorders>
            <w:vAlign w:val="center"/>
          </w:tcPr>
          <w:p w14:paraId="503572D4">
            <w:pPr>
              <w:widowControl w:val="0"/>
              <w:kinsoku/>
              <w:topLinePunct/>
              <w:autoSpaceDE/>
              <w:autoSpaceDN/>
              <w:jc w:val="center"/>
              <w:rPr>
                <w:rFonts w:hint="eastAsia" w:ascii="宋体" w:hAnsi="宋体" w:eastAsia="宋体" w:cs="宋体"/>
                <w:color w:val="auto"/>
              </w:rPr>
            </w:pPr>
          </w:p>
        </w:tc>
        <w:tc>
          <w:tcPr>
            <w:tcW w:w="856" w:type="dxa"/>
            <w:tcBorders>
              <w:bottom w:val="single" w:color="000000" w:sz="6" w:space="0"/>
            </w:tcBorders>
            <w:vAlign w:val="center"/>
          </w:tcPr>
          <w:p w14:paraId="2D8314FF">
            <w:pPr>
              <w:widowControl w:val="0"/>
              <w:kinsoku/>
              <w:topLinePunct/>
              <w:autoSpaceDE/>
              <w:autoSpaceDN/>
              <w:jc w:val="center"/>
              <w:rPr>
                <w:rFonts w:hint="eastAsia" w:ascii="宋体" w:hAnsi="宋体" w:eastAsia="宋体" w:cs="宋体"/>
                <w:color w:val="auto"/>
              </w:rPr>
            </w:pPr>
          </w:p>
        </w:tc>
        <w:tc>
          <w:tcPr>
            <w:tcW w:w="1131" w:type="dxa"/>
            <w:tcBorders>
              <w:bottom w:val="single" w:color="000000" w:sz="6" w:space="0"/>
            </w:tcBorders>
            <w:vAlign w:val="center"/>
          </w:tcPr>
          <w:p w14:paraId="18C93648">
            <w:pPr>
              <w:widowControl w:val="0"/>
              <w:kinsoku/>
              <w:topLinePunct/>
              <w:autoSpaceDE/>
              <w:autoSpaceDN/>
              <w:jc w:val="center"/>
              <w:rPr>
                <w:rFonts w:hint="eastAsia" w:ascii="宋体" w:hAnsi="宋体" w:eastAsia="宋体" w:cs="宋体"/>
                <w:color w:val="auto"/>
              </w:rPr>
            </w:pPr>
          </w:p>
        </w:tc>
        <w:tc>
          <w:tcPr>
            <w:tcW w:w="1134" w:type="dxa"/>
            <w:tcBorders>
              <w:bottom w:val="single" w:color="000000" w:sz="6" w:space="0"/>
            </w:tcBorders>
            <w:vAlign w:val="center"/>
          </w:tcPr>
          <w:p w14:paraId="7A34321B">
            <w:pPr>
              <w:widowControl w:val="0"/>
              <w:kinsoku/>
              <w:topLinePunct/>
              <w:autoSpaceDE/>
              <w:autoSpaceDN/>
              <w:jc w:val="center"/>
              <w:rPr>
                <w:rFonts w:hint="eastAsia" w:ascii="宋体" w:hAnsi="宋体" w:eastAsia="宋体" w:cs="宋体"/>
                <w:color w:val="auto"/>
              </w:rPr>
            </w:pPr>
          </w:p>
        </w:tc>
        <w:tc>
          <w:tcPr>
            <w:tcW w:w="1131" w:type="dxa"/>
            <w:tcBorders>
              <w:bottom w:val="single" w:color="000000" w:sz="6" w:space="0"/>
            </w:tcBorders>
            <w:vAlign w:val="center"/>
          </w:tcPr>
          <w:p w14:paraId="3F7340BA">
            <w:pPr>
              <w:widowControl w:val="0"/>
              <w:kinsoku/>
              <w:topLinePunct/>
              <w:autoSpaceDE/>
              <w:autoSpaceDN/>
              <w:jc w:val="center"/>
              <w:rPr>
                <w:rFonts w:hint="eastAsia" w:ascii="宋体" w:hAnsi="宋体" w:eastAsia="宋体" w:cs="宋体"/>
                <w:color w:val="auto"/>
              </w:rPr>
            </w:pPr>
          </w:p>
        </w:tc>
        <w:tc>
          <w:tcPr>
            <w:tcW w:w="1134" w:type="dxa"/>
            <w:tcBorders>
              <w:bottom w:val="single" w:color="000000" w:sz="6" w:space="0"/>
            </w:tcBorders>
            <w:vAlign w:val="center"/>
          </w:tcPr>
          <w:p w14:paraId="4386F06B">
            <w:pPr>
              <w:widowControl w:val="0"/>
              <w:kinsoku/>
              <w:topLinePunct/>
              <w:autoSpaceDE/>
              <w:autoSpaceDN/>
              <w:jc w:val="center"/>
              <w:rPr>
                <w:rFonts w:hint="eastAsia" w:ascii="宋体" w:hAnsi="宋体" w:eastAsia="宋体" w:cs="宋体"/>
                <w:color w:val="auto"/>
              </w:rPr>
            </w:pPr>
          </w:p>
        </w:tc>
        <w:tc>
          <w:tcPr>
            <w:tcW w:w="1131" w:type="dxa"/>
            <w:tcBorders>
              <w:bottom w:val="single" w:color="000000" w:sz="6" w:space="0"/>
            </w:tcBorders>
            <w:vAlign w:val="center"/>
          </w:tcPr>
          <w:p w14:paraId="2AC21256">
            <w:pPr>
              <w:widowControl w:val="0"/>
              <w:kinsoku/>
              <w:topLinePunct/>
              <w:autoSpaceDE/>
              <w:autoSpaceDN/>
              <w:jc w:val="center"/>
              <w:rPr>
                <w:rFonts w:hint="eastAsia" w:ascii="宋体" w:hAnsi="宋体" w:eastAsia="宋体" w:cs="宋体"/>
                <w:color w:val="auto"/>
              </w:rPr>
            </w:pPr>
          </w:p>
        </w:tc>
        <w:tc>
          <w:tcPr>
            <w:tcW w:w="1134" w:type="dxa"/>
            <w:tcBorders>
              <w:bottom w:val="single" w:color="000000" w:sz="6" w:space="0"/>
            </w:tcBorders>
            <w:vAlign w:val="center"/>
          </w:tcPr>
          <w:p w14:paraId="7246426F">
            <w:pPr>
              <w:widowControl w:val="0"/>
              <w:kinsoku/>
              <w:topLinePunct/>
              <w:autoSpaceDE/>
              <w:autoSpaceDN/>
              <w:jc w:val="center"/>
              <w:rPr>
                <w:rFonts w:hint="eastAsia" w:ascii="宋体" w:hAnsi="宋体" w:eastAsia="宋体" w:cs="宋体"/>
                <w:color w:val="auto"/>
              </w:rPr>
            </w:pPr>
          </w:p>
        </w:tc>
        <w:tc>
          <w:tcPr>
            <w:tcW w:w="1132" w:type="dxa"/>
            <w:tcBorders>
              <w:bottom w:val="single" w:color="000000" w:sz="6" w:space="0"/>
            </w:tcBorders>
            <w:vAlign w:val="center"/>
          </w:tcPr>
          <w:p w14:paraId="0C6F8A53">
            <w:pPr>
              <w:widowControl w:val="0"/>
              <w:kinsoku/>
              <w:topLinePunct/>
              <w:autoSpaceDE/>
              <w:autoSpaceDN/>
              <w:jc w:val="center"/>
              <w:rPr>
                <w:rFonts w:hint="eastAsia" w:ascii="宋体" w:hAnsi="宋体" w:eastAsia="宋体" w:cs="宋体"/>
                <w:color w:val="auto"/>
              </w:rPr>
            </w:pPr>
          </w:p>
        </w:tc>
        <w:tc>
          <w:tcPr>
            <w:tcW w:w="851" w:type="dxa"/>
            <w:tcBorders>
              <w:bottom w:val="single" w:color="000000" w:sz="6" w:space="0"/>
            </w:tcBorders>
            <w:vAlign w:val="center"/>
          </w:tcPr>
          <w:p w14:paraId="2E1A3824">
            <w:pPr>
              <w:widowControl w:val="0"/>
              <w:kinsoku/>
              <w:topLinePunct/>
              <w:autoSpaceDE/>
              <w:autoSpaceDN/>
              <w:jc w:val="center"/>
              <w:rPr>
                <w:rFonts w:hint="eastAsia" w:ascii="宋体" w:hAnsi="宋体" w:eastAsia="宋体" w:cs="宋体"/>
                <w:color w:val="auto"/>
              </w:rPr>
            </w:pPr>
          </w:p>
        </w:tc>
        <w:tc>
          <w:tcPr>
            <w:tcW w:w="858" w:type="dxa"/>
            <w:tcBorders>
              <w:bottom w:val="single" w:color="000000" w:sz="6" w:space="0"/>
              <w:right w:val="single" w:color="000000" w:sz="6" w:space="0"/>
            </w:tcBorders>
            <w:vAlign w:val="center"/>
          </w:tcPr>
          <w:p w14:paraId="3EE89A70">
            <w:pPr>
              <w:widowControl w:val="0"/>
              <w:kinsoku/>
              <w:topLinePunct/>
              <w:autoSpaceDE/>
              <w:autoSpaceDN/>
              <w:jc w:val="center"/>
              <w:rPr>
                <w:rFonts w:hint="eastAsia" w:ascii="宋体" w:hAnsi="宋体" w:eastAsia="宋体" w:cs="宋体"/>
                <w:color w:val="auto"/>
              </w:rPr>
            </w:pPr>
          </w:p>
        </w:tc>
      </w:tr>
    </w:tbl>
    <w:p w14:paraId="6120FB3F">
      <w:pPr>
        <w:pStyle w:val="8"/>
        <w:rPr>
          <w:color w:val="auto"/>
        </w:rPr>
      </w:pPr>
    </w:p>
    <w:p w14:paraId="49537FB8">
      <w:pPr>
        <w:rPr>
          <w:color w:val="auto"/>
        </w:rPr>
        <w:sectPr>
          <w:footerReference r:id="rId25" w:type="default"/>
          <w:pgSz w:w="16841" w:h="11907"/>
          <w:pgMar w:top="1417" w:right="1438" w:bottom="1252" w:left="1453" w:header="0" w:footer="1091" w:gutter="0"/>
          <w:pgNumType w:fmt="numberInDash"/>
          <w:cols w:space="720" w:num="1"/>
        </w:sectPr>
      </w:pPr>
    </w:p>
    <w:p w14:paraId="23579BE6">
      <w:pPr>
        <w:pStyle w:val="8"/>
        <w:spacing w:line="246" w:lineRule="auto"/>
        <w:rPr>
          <w:color w:val="auto"/>
        </w:rPr>
      </w:pPr>
    </w:p>
    <w:p w14:paraId="7304892A">
      <w:pPr>
        <w:spacing w:before="91" w:line="219" w:lineRule="auto"/>
        <w:ind w:left="2570"/>
        <w:rPr>
          <w:rFonts w:hint="eastAsia"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总价项目分类分项工程分解表</w:t>
      </w:r>
    </w:p>
    <w:p w14:paraId="100EFC75">
      <w:pPr>
        <w:pStyle w:val="8"/>
        <w:spacing w:line="270" w:lineRule="auto"/>
        <w:rPr>
          <w:color w:val="auto"/>
          <w:lang w:eastAsia="zh-CN"/>
        </w:rPr>
      </w:pPr>
    </w:p>
    <w:p w14:paraId="29F7D312">
      <w:pPr>
        <w:pStyle w:val="8"/>
        <w:spacing w:line="270" w:lineRule="auto"/>
        <w:rPr>
          <w:color w:val="auto"/>
          <w:lang w:eastAsia="zh-CN"/>
        </w:rPr>
      </w:pPr>
    </w:p>
    <w:p w14:paraId="236926B8">
      <w:pPr>
        <w:spacing w:before="78" w:line="362" w:lineRule="auto"/>
        <w:ind w:right="3" w:firstLine="484"/>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若招标人要求对总价项目进行分解的，可按分类分项工程量清</w:t>
      </w:r>
      <w:r>
        <w:rPr>
          <w:rFonts w:ascii="宋体" w:hAnsi="宋体" w:eastAsia="宋体" w:cs="宋体"/>
          <w:color w:val="auto"/>
          <w:spacing w:val="-4"/>
          <w:sz w:val="24"/>
          <w:szCs w:val="24"/>
          <w:lang w:eastAsia="zh-CN"/>
        </w:rPr>
        <w:t>单计价表的格式进</w:t>
      </w:r>
      <w:r>
        <w:rPr>
          <w:rFonts w:ascii="宋体" w:hAnsi="宋体" w:eastAsia="宋体" w:cs="宋体"/>
          <w:color w:val="auto"/>
          <w:spacing w:val="-10"/>
          <w:sz w:val="24"/>
          <w:szCs w:val="24"/>
          <w:lang w:eastAsia="zh-CN"/>
        </w:rPr>
        <w:t>行分解。</w:t>
      </w:r>
    </w:p>
    <w:p w14:paraId="13FF17C5">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3C3F9983">
      <w:pPr>
        <w:spacing w:before="91" w:line="219" w:lineRule="auto"/>
        <w:ind w:left="3821"/>
        <w:rPr>
          <w:rFonts w:hint="eastAsia" w:ascii="宋体" w:hAnsi="宋体" w:eastAsia="宋体" w:cs="宋体"/>
          <w:b/>
          <w:bCs/>
          <w:color w:val="auto"/>
          <w:spacing w:val="-5"/>
          <w:sz w:val="28"/>
          <w:szCs w:val="28"/>
          <w:lang w:eastAsia="zh-CN"/>
        </w:rPr>
      </w:pPr>
    </w:p>
    <w:p w14:paraId="6EF11239">
      <w:pPr>
        <w:spacing w:before="91" w:line="219" w:lineRule="auto"/>
        <w:ind w:left="3821"/>
        <w:rPr>
          <w:rFonts w:hint="eastAsia" w:ascii="宋体" w:hAnsi="宋体" w:eastAsia="宋体" w:cs="宋体"/>
          <w:color w:val="auto"/>
          <w:sz w:val="28"/>
          <w:szCs w:val="28"/>
        </w:rPr>
      </w:pPr>
      <w:r>
        <w:rPr>
          <w:rFonts w:ascii="宋体" w:hAnsi="宋体" w:eastAsia="宋体" w:cs="宋体"/>
          <w:b/>
          <w:bCs/>
          <w:color w:val="auto"/>
          <w:spacing w:val="-5"/>
          <w:sz w:val="28"/>
          <w:szCs w:val="28"/>
        </w:rPr>
        <w:t>单价计算表</w:t>
      </w:r>
    </w:p>
    <w:p w14:paraId="31551A88">
      <w:pPr>
        <w:spacing w:line="171" w:lineRule="exact"/>
        <w:rPr>
          <w:color w:val="auto"/>
        </w:rPr>
      </w:pPr>
    </w:p>
    <w:tbl>
      <w:tblPr>
        <w:tblStyle w:val="20"/>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5"/>
        <w:gridCol w:w="2760"/>
        <w:gridCol w:w="990"/>
        <w:gridCol w:w="1557"/>
        <w:gridCol w:w="1414"/>
        <w:gridCol w:w="1533"/>
      </w:tblGrid>
      <w:tr w14:paraId="411FF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4505" w:type="dxa"/>
            <w:gridSpan w:val="3"/>
            <w:tcBorders>
              <w:top w:val="single" w:color="000000" w:sz="6" w:space="0"/>
              <w:left w:val="single" w:color="000000" w:sz="6" w:space="0"/>
            </w:tcBorders>
            <w:vAlign w:val="center"/>
          </w:tcPr>
          <w:p w14:paraId="28E796C5">
            <w:pPr>
              <w:pStyle w:val="21"/>
              <w:kinsoku/>
              <w:autoSpaceDE/>
              <w:autoSpaceDN/>
              <w:jc w:val="center"/>
              <w:rPr>
                <w:rFonts w:hint="eastAsia"/>
                <w:color w:val="auto"/>
                <w:sz w:val="24"/>
                <w:szCs w:val="24"/>
              </w:rPr>
            </w:pPr>
            <w:r>
              <w:rPr>
                <w:color w:val="auto"/>
                <w:spacing w:val="-3"/>
                <w:sz w:val="24"/>
                <w:szCs w:val="24"/>
              </w:rPr>
              <w:t>单价序号</w:t>
            </w:r>
          </w:p>
        </w:tc>
        <w:tc>
          <w:tcPr>
            <w:tcW w:w="4504" w:type="dxa"/>
            <w:gridSpan w:val="3"/>
            <w:tcBorders>
              <w:top w:val="single" w:color="000000" w:sz="6" w:space="0"/>
              <w:right w:val="single" w:color="000000" w:sz="6" w:space="0"/>
            </w:tcBorders>
            <w:vAlign w:val="center"/>
          </w:tcPr>
          <w:p w14:paraId="578FC25B">
            <w:pPr>
              <w:kinsoku/>
              <w:autoSpaceDE/>
              <w:autoSpaceDN/>
              <w:jc w:val="center"/>
              <w:rPr>
                <w:color w:val="auto"/>
              </w:rPr>
            </w:pPr>
          </w:p>
        </w:tc>
      </w:tr>
      <w:tr w14:paraId="470D3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4505" w:type="dxa"/>
            <w:gridSpan w:val="3"/>
            <w:tcBorders>
              <w:left w:val="single" w:color="000000" w:sz="6" w:space="0"/>
            </w:tcBorders>
            <w:vAlign w:val="center"/>
          </w:tcPr>
          <w:p w14:paraId="038BD901">
            <w:pPr>
              <w:pStyle w:val="21"/>
              <w:kinsoku/>
              <w:autoSpaceDE/>
              <w:autoSpaceDN/>
              <w:jc w:val="center"/>
              <w:rPr>
                <w:rFonts w:hint="eastAsia"/>
                <w:color w:val="auto"/>
                <w:sz w:val="24"/>
                <w:szCs w:val="24"/>
              </w:rPr>
            </w:pPr>
            <w:r>
              <w:rPr>
                <w:color w:val="auto"/>
                <w:spacing w:val="-3"/>
                <w:sz w:val="24"/>
                <w:szCs w:val="24"/>
              </w:rPr>
              <w:t>项目名称</w:t>
            </w:r>
          </w:p>
        </w:tc>
        <w:tc>
          <w:tcPr>
            <w:tcW w:w="4504" w:type="dxa"/>
            <w:gridSpan w:val="3"/>
            <w:tcBorders>
              <w:right w:val="single" w:color="000000" w:sz="6" w:space="0"/>
            </w:tcBorders>
            <w:vAlign w:val="center"/>
          </w:tcPr>
          <w:p w14:paraId="2710B56F">
            <w:pPr>
              <w:kinsoku/>
              <w:autoSpaceDE/>
              <w:autoSpaceDN/>
              <w:jc w:val="center"/>
              <w:rPr>
                <w:color w:val="auto"/>
              </w:rPr>
            </w:pPr>
          </w:p>
        </w:tc>
      </w:tr>
      <w:tr w14:paraId="70F59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505" w:type="dxa"/>
            <w:gridSpan w:val="3"/>
            <w:tcBorders>
              <w:left w:val="single" w:color="000000" w:sz="6" w:space="0"/>
            </w:tcBorders>
            <w:vAlign w:val="center"/>
          </w:tcPr>
          <w:p w14:paraId="609FF50F">
            <w:pPr>
              <w:pStyle w:val="21"/>
              <w:kinsoku/>
              <w:autoSpaceDE/>
              <w:autoSpaceDN/>
              <w:jc w:val="center"/>
              <w:rPr>
                <w:rFonts w:hint="eastAsia"/>
                <w:color w:val="auto"/>
                <w:sz w:val="24"/>
                <w:szCs w:val="24"/>
              </w:rPr>
            </w:pPr>
            <w:r>
              <w:rPr>
                <w:color w:val="auto"/>
                <w:spacing w:val="-3"/>
                <w:sz w:val="24"/>
                <w:szCs w:val="24"/>
              </w:rPr>
              <w:t>定额编号</w:t>
            </w:r>
          </w:p>
        </w:tc>
        <w:tc>
          <w:tcPr>
            <w:tcW w:w="4504" w:type="dxa"/>
            <w:gridSpan w:val="3"/>
            <w:tcBorders>
              <w:right w:val="single" w:color="000000" w:sz="6" w:space="0"/>
            </w:tcBorders>
            <w:vAlign w:val="center"/>
          </w:tcPr>
          <w:p w14:paraId="73892FA4">
            <w:pPr>
              <w:kinsoku/>
              <w:autoSpaceDE/>
              <w:autoSpaceDN/>
              <w:jc w:val="center"/>
              <w:rPr>
                <w:color w:val="auto"/>
              </w:rPr>
            </w:pPr>
          </w:p>
        </w:tc>
      </w:tr>
      <w:tr w14:paraId="4A6F9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505" w:type="dxa"/>
            <w:gridSpan w:val="3"/>
            <w:tcBorders>
              <w:left w:val="single" w:color="000000" w:sz="6" w:space="0"/>
            </w:tcBorders>
            <w:vAlign w:val="center"/>
          </w:tcPr>
          <w:p w14:paraId="187CB5E4">
            <w:pPr>
              <w:pStyle w:val="21"/>
              <w:kinsoku/>
              <w:autoSpaceDE/>
              <w:autoSpaceDN/>
              <w:jc w:val="center"/>
              <w:rPr>
                <w:rFonts w:hint="eastAsia"/>
                <w:color w:val="auto"/>
                <w:sz w:val="24"/>
                <w:szCs w:val="24"/>
              </w:rPr>
            </w:pPr>
            <w:r>
              <w:rPr>
                <w:color w:val="auto"/>
                <w:spacing w:val="-2"/>
                <w:sz w:val="24"/>
                <w:szCs w:val="24"/>
              </w:rPr>
              <w:t>施工措施</w:t>
            </w:r>
          </w:p>
        </w:tc>
        <w:tc>
          <w:tcPr>
            <w:tcW w:w="4504" w:type="dxa"/>
            <w:gridSpan w:val="3"/>
            <w:tcBorders>
              <w:right w:val="single" w:color="000000" w:sz="6" w:space="0"/>
            </w:tcBorders>
            <w:vAlign w:val="center"/>
          </w:tcPr>
          <w:p w14:paraId="035AB8C9">
            <w:pPr>
              <w:kinsoku/>
              <w:autoSpaceDE/>
              <w:autoSpaceDN/>
              <w:jc w:val="center"/>
              <w:rPr>
                <w:color w:val="auto"/>
              </w:rPr>
            </w:pPr>
          </w:p>
        </w:tc>
      </w:tr>
      <w:tr w14:paraId="01C6C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4505" w:type="dxa"/>
            <w:gridSpan w:val="3"/>
            <w:tcBorders>
              <w:left w:val="single" w:color="000000" w:sz="6" w:space="0"/>
            </w:tcBorders>
            <w:vAlign w:val="center"/>
          </w:tcPr>
          <w:p w14:paraId="364ED9F1">
            <w:pPr>
              <w:pStyle w:val="21"/>
              <w:kinsoku/>
              <w:autoSpaceDE/>
              <w:autoSpaceDN/>
              <w:jc w:val="center"/>
              <w:rPr>
                <w:rFonts w:hint="eastAsia"/>
                <w:color w:val="auto"/>
                <w:sz w:val="24"/>
                <w:szCs w:val="24"/>
              </w:rPr>
            </w:pPr>
            <w:r>
              <w:rPr>
                <w:color w:val="auto"/>
                <w:spacing w:val="-3"/>
                <w:sz w:val="24"/>
                <w:szCs w:val="24"/>
              </w:rPr>
              <w:t>定额单位</w:t>
            </w:r>
          </w:p>
        </w:tc>
        <w:tc>
          <w:tcPr>
            <w:tcW w:w="4504" w:type="dxa"/>
            <w:gridSpan w:val="3"/>
            <w:tcBorders>
              <w:right w:val="single" w:color="000000" w:sz="6" w:space="0"/>
            </w:tcBorders>
            <w:vAlign w:val="center"/>
          </w:tcPr>
          <w:p w14:paraId="0A0BCD11">
            <w:pPr>
              <w:kinsoku/>
              <w:autoSpaceDE/>
              <w:autoSpaceDN/>
              <w:jc w:val="center"/>
              <w:rPr>
                <w:color w:val="auto"/>
              </w:rPr>
            </w:pPr>
          </w:p>
        </w:tc>
      </w:tr>
      <w:tr w14:paraId="0961D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55" w:type="dxa"/>
            <w:tcBorders>
              <w:left w:val="single" w:color="000000" w:sz="6" w:space="0"/>
            </w:tcBorders>
            <w:vAlign w:val="center"/>
          </w:tcPr>
          <w:p w14:paraId="42139468">
            <w:pPr>
              <w:pStyle w:val="21"/>
              <w:kinsoku/>
              <w:autoSpaceDE/>
              <w:autoSpaceDN/>
              <w:jc w:val="center"/>
              <w:rPr>
                <w:rFonts w:hint="eastAsia"/>
                <w:color w:val="auto"/>
                <w:sz w:val="24"/>
                <w:szCs w:val="24"/>
              </w:rPr>
            </w:pPr>
            <w:r>
              <w:rPr>
                <w:color w:val="auto"/>
                <w:spacing w:val="-3"/>
                <w:sz w:val="24"/>
                <w:szCs w:val="24"/>
              </w:rPr>
              <w:t>编号</w:t>
            </w:r>
          </w:p>
        </w:tc>
        <w:tc>
          <w:tcPr>
            <w:tcW w:w="2760" w:type="dxa"/>
            <w:vAlign w:val="center"/>
          </w:tcPr>
          <w:p w14:paraId="04312B62">
            <w:pPr>
              <w:pStyle w:val="21"/>
              <w:kinsoku/>
              <w:autoSpaceDE/>
              <w:autoSpaceDN/>
              <w:jc w:val="center"/>
              <w:rPr>
                <w:rFonts w:hint="eastAsia"/>
                <w:color w:val="auto"/>
                <w:sz w:val="24"/>
                <w:szCs w:val="24"/>
              </w:rPr>
            </w:pPr>
            <w:r>
              <w:rPr>
                <w:color w:val="auto"/>
                <w:spacing w:val="-3"/>
                <w:sz w:val="24"/>
                <w:szCs w:val="24"/>
              </w:rPr>
              <w:t>工料名称</w:t>
            </w:r>
          </w:p>
        </w:tc>
        <w:tc>
          <w:tcPr>
            <w:tcW w:w="990" w:type="dxa"/>
            <w:vAlign w:val="center"/>
          </w:tcPr>
          <w:p w14:paraId="6D5A11A9">
            <w:pPr>
              <w:pStyle w:val="21"/>
              <w:kinsoku/>
              <w:autoSpaceDE/>
              <w:autoSpaceDN/>
              <w:jc w:val="center"/>
              <w:rPr>
                <w:rFonts w:hint="eastAsia"/>
                <w:color w:val="auto"/>
                <w:sz w:val="24"/>
                <w:szCs w:val="24"/>
              </w:rPr>
            </w:pPr>
            <w:r>
              <w:rPr>
                <w:color w:val="auto"/>
                <w:spacing w:val="-3"/>
                <w:sz w:val="24"/>
                <w:szCs w:val="24"/>
              </w:rPr>
              <w:t>单位</w:t>
            </w:r>
          </w:p>
        </w:tc>
        <w:tc>
          <w:tcPr>
            <w:tcW w:w="1557" w:type="dxa"/>
            <w:vAlign w:val="center"/>
          </w:tcPr>
          <w:p w14:paraId="3364700A">
            <w:pPr>
              <w:pStyle w:val="21"/>
              <w:kinsoku/>
              <w:autoSpaceDE/>
              <w:autoSpaceDN/>
              <w:jc w:val="center"/>
              <w:rPr>
                <w:rFonts w:hint="eastAsia"/>
                <w:color w:val="auto"/>
                <w:sz w:val="24"/>
                <w:szCs w:val="24"/>
              </w:rPr>
            </w:pPr>
            <w:r>
              <w:rPr>
                <w:color w:val="auto"/>
                <w:spacing w:val="-5"/>
                <w:sz w:val="24"/>
                <w:szCs w:val="24"/>
              </w:rPr>
              <w:t>单价（元）</w:t>
            </w:r>
          </w:p>
        </w:tc>
        <w:tc>
          <w:tcPr>
            <w:tcW w:w="1414" w:type="dxa"/>
            <w:vAlign w:val="center"/>
          </w:tcPr>
          <w:p w14:paraId="2F2AFBFC">
            <w:pPr>
              <w:pStyle w:val="21"/>
              <w:kinsoku/>
              <w:autoSpaceDE/>
              <w:autoSpaceDN/>
              <w:jc w:val="center"/>
              <w:rPr>
                <w:rFonts w:hint="eastAsia"/>
                <w:color w:val="auto"/>
                <w:sz w:val="24"/>
                <w:szCs w:val="24"/>
              </w:rPr>
            </w:pPr>
            <w:r>
              <w:rPr>
                <w:color w:val="auto"/>
                <w:spacing w:val="-3"/>
                <w:sz w:val="24"/>
                <w:szCs w:val="24"/>
              </w:rPr>
              <w:t>工料定额</w:t>
            </w:r>
          </w:p>
        </w:tc>
        <w:tc>
          <w:tcPr>
            <w:tcW w:w="1533" w:type="dxa"/>
            <w:tcBorders>
              <w:right w:val="single" w:color="000000" w:sz="6" w:space="0"/>
            </w:tcBorders>
            <w:vAlign w:val="center"/>
          </w:tcPr>
          <w:p w14:paraId="1F11CFE9">
            <w:pPr>
              <w:pStyle w:val="21"/>
              <w:kinsoku/>
              <w:autoSpaceDE/>
              <w:autoSpaceDN/>
              <w:jc w:val="center"/>
              <w:rPr>
                <w:rFonts w:hint="eastAsia"/>
                <w:color w:val="auto"/>
                <w:sz w:val="24"/>
                <w:szCs w:val="24"/>
              </w:rPr>
            </w:pPr>
            <w:r>
              <w:rPr>
                <w:color w:val="auto"/>
                <w:spacing w:val="-5"/>
                <w:sz w:val="24"/>
                <w:szCs w:val="24"/>
              </w:rPr>
              <w:t>合价（元）</w:t>
            </w:r>
          </w:p>
        </w:tc>
      </w:tr>
      <w:tr w14:paraId="01290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center"/>
          </w:tcPr>
          <w:p w14:paraId="0A7D8E78">
            <w:pPr>
              <w:kinsoku/>
              <w:autoSpaceDE/>
              <w:autoSpaceDN/>
              <w:jc w:val="center"/>
              <w:rPr>
                <w:color w:val="auto"/>
              </w:rPr>
            </w:pPr>
          </w:p>
        </w:tc>
        <w:tc>
          <w:tcPr>
            <w:tcW w:w="2760" w:type="dxa"/>
            <w:vAlign w:val="center"/>
          </w:tcPr>
          <w:p w14:paraId="0DCF4B11">
            <w:pPr>
              <w:kinsoku/>
              <w:autoSpaceDE/>
              <w:autoSpaceDN/>
              <w:jc w:val="center"/>
              <w:rPr>
                <w:color w:val="auto"/>
              </w:rPr>
            </w:pPr>
          </w:p>
        </w:tc>
        <w:tc>
          <w:tcPr>
            <w:tcW w:w="990" w:type="dxa"/>
            <w:vAlign w:val="center"/>
          </w:tcPr>
          <w:p w14:paraId="647F8ADD">
            <w:pPr>
              <w:kinsoku/>
              <w:autoSpaceDE/>
              <w:autoSpaceDN/>
              <w:jc w:val="center"/>
              <w:rPr>
                <w:color w:val="auto"/>
              </w:rPr>
            </w:pPr>
          </w:p>
        </w:tc>
        <w:tc>
          <w:tcPr>
            <w:tcW w:w="1557" w:type="dxa"/>
            <w:vAlign w:val="center"/>
          </w:tcPr>
          <w:p w14:paraId="0BFF2943">
            <w:pPr>
              <w:kinsoku/>
              <w:autoSpaceDE/>
              <w:autoSpaceDN/>
              <w:jc w:val="center"/>
              <w:rPr>
                <w:color w:val="auto"/>
              </w:rPr>
            </w:pPr>
          </w:p>
        </w:tc>
        <w:tc>
          <w:tcPr>
            <w:tcW w:w="1414" w:type="dxa"/>
            <w:vAlign w:val="center"/>
          </w:tcPr>
          <w:p w14:paraId="56DEB52C">
            <w:pPr>
              <w:kinsoku/>
              <w:autoSpaceDE/>
              <w:autoSpaceDN/>
              <w:jc w:val="center"/>
              <w:rPr>
                <w:color w:val="auto"/>
              </w:rPr>
            </w:pPr>
          </w:p>
        </w:tc>
        <w:tc>
          <w:tcPr>
            <w:tcW w:w="1533" w:type="dxa"/>
            <w:tcBorders>
              <w:right w:val="single" w:color="000000" w:sz="6" w:space="0"/>
            </w:tcBorders>
            <w:vAlign w:val="center"/>
          </w:tcPr>
          <w:p w14:paraId="38D93DEA">
            <w:pPr>
              <w:kinsoku/>
              <w:autoSpaceDE/>
              <w:autoSpaceDN/>
              <w:jc w:val="center"/>
              <w:rPr>
                <w:color w:val="auto"/>
              </w:rPr>
            </w:pPr>
          </w:p>
        </w:tc>
      </w:tr>
      <w:tr w14:paraId="7AAFC8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center"/>
          </w:tcPr>
          <w:p w14:paraId="1E05735D">
            <w:pPr>
              <w:kinsoku/>
              <w:autoSpaceDE/>
              <w:autoSpaceDN/>
              <w:jc w:val="center"/>
              <w:rPr>
                <w:color w:val="auto"/>
              </w:rPr>
            </w:pPr>
          </w:p>
        </w:tc>
        <w:tc>
          <w:tcPr>
            <w:tcW w:w="2760" w:type="dxa"/>
            <w:vAlign w:val="center"/>
          </w:tcPr>
          <w:p w14:paraId="52276FBB">
            <w:pPr>
              <w:kinsoku/>
              <w:autoSpaceDE/>
              <w:autoSpaceDN/>
              <w:jc w:val="center"/>
              <w:rPr>
                <w:color w:val="auto"/>
              </w:rPr>
            </w:pPr>
          </w:p>
        </w:tc>
        <w:tc>
          <w:tcPr>
            <w:tcW w:w="990" w:type="dxa"/>
            <w:vAlign w:val="center"/>
          </w:tcPr>
          <w:p w14:paraId="4DF64012">
            <w:pPr>
              <w:kinsoku/>
              <w:autoSpaceDE/>
              <w:autoSpaceDN/>
              <w:jc w:val="center"/>
              <w:rPr>
                <w:color w:val="auto"/>
              </w:rPr>
            </w:pPr>
          </w:p>
        </w:tc>
        <w:tc>
          <w:tcPr>
            <w:tcW w:w="1557" w:type="dxa"/>
            <w:vAlign w:val="center"/>
          </w:tcPr>
          <w:p w14:paraId="7B04E0AE">
            <w:pPr>
              <w:kinsoku/>
              <w:autoSpaceDE/>
              <w:autoSpaceDN/>
              <w:jc w:val="center"/>
              <w:rPr>
                <w:color w:val="auto"/>
              </w:rPr>
            </w:pPr>
          </w:p>
        </w:tc>
        <w:tc>
          <w:tcPr>
            <w:tcW w:w="1414" w:type="dxa"/>
            <w:vAlign w:val="center"/>
          </w:tcPr>
          <w:p w14:paraId="052C73DE">
            <w:pPr>
              <w:kinsoku/>
              <w:autoSpaceDE/>
              <w:autoSpaceDN/>
              <w:jc w:val="center"/>
              <w:rPr>
                <w:color w:val="auto"/>
              </w:rPr>
            </w:pPr>
          </w:p>
        </w:tc>
        <w:tc>
          <w:tcPr>
            <w:tcW w:w="1533" w:type="dxa"/>
            <w:tcBorders>
              <w:right w:val="single" w:color="000000" w:sz="6" w:space="0"/>
            </w:tcBorders>
            <w:vAlign w:val="center"/>
          </w:tcPr>
          <w:p w14:paraId="1565BA7B">
            <w:pPr>
              <w:kinsoku/>
              <w:autoSpaceDE/>
              <w:autoSpaceDN/>
              <w:jc w:val="center"/>
              <w:rPr>
                <w:color w:val="auto"/>
              </w:rPr>
            </w:pPr>
          </w:p>
        </w:tc>
      </w:tr>
      <w:tr w14:paraId="76EA3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44A497C7">
            <w:pPr>
              <w:kinsoku/>
              <w:autoSpaceDE/>
              <w:autoSpaceDN/>
              <w:jc w:val="center"/>
              <w:rPr>
                <w:color w:val="auto"/>
              </w:rPr>
            </w:pPr>
          </w:p>
        </w:tc>
        <w:tc>
          <w:tcPr>
            <w:tcW w:w="2760" w:type="dxa"/>
            <w:vAlign w:val="center"/>
          </w:tcPr>
          <w:p w14:paraId="795F8ABA">
            <w:pPr>
              <w:kinsoku/>
              <w:autoSpaceDE/>
              <w:autoSpaceDN/>
              <w:jc w:val="center"/>
              <w:rPr>
                <w:color w:val="auto"/>
              </w:rPr>
            </w:pPr>
          </w:p>
        </w:tc>
        <w:tc>
          <w:tcPr>
            <w:tcW w:w="990" w:type="dxa"/>
            <w:vAlign w:val="center"/>
          </w:tcPr>
          <w:p w14:paraId="6159EED0">
            <w:pPr>
              <w:kinsoku/>
              <w:autoSpaceDE/>
              <w:autoSpaceDN/>
              <w:jc w:val="center"/>
              <w:rPr>
                <w:color w:val="auto"/>
              </w:rPr>
            </w:pPr>
          </w:p>
        </w:tc>
        <w:tc>
          <w:tcPr>
            <w:tcW w:w="1557" w:type="dxa"/>
            <w:vAlign w:val="center"/>
          </w:tcPr>
          <w:p w14:paraId="522B9B78">
            <w:pPr>
              <w:kinsoku/>
              <w:autoSpaceDE/>
              <w:autoSpaceDN/>
              <w:jc w:val="center"/>
              <w:rPr>
                <w:color w:val="auto"/>
              </w:rPr>
            </w:pPr>
          </w:p>
        </w:tc>
        <w:tc>
          <w:tcPr>
            <w:tcW w:w="1414" w:type="dxa"/>
            <w:vAlign w:val="center"/>
          </w:tcPr>
          <w:p w14:paraId="6DF838BC">
            <w:pPr>
              <w:kinsoku/>
              <w:autoSpaceDE/>
              <w:autoSpaceDN/>
              <w:jc w:val="center"/>
              <w:rPr>
                <w:color w:val="auto"/>
              </w:rPr>
            </w:pPr>
          </w:p>
        </w:tc>
        <w:tc>
          <w:tcPr>
            <w:tcW w:w="1533" w:type="dxa"/>
            <w:tcBorders>
              <w:right w:val="single" w:color="000000" w:sz="6" w:space="0"/>
            </w:tcBorders>
            <w:vAlign w:val="center"/>
          </w:tcPr>
          <w:p w14:paraId="66A584F2">
            <w:pPr>
              <w:kinsoku/>
              <w:autoSpaceDE/>
              <w:autoSpaceDN/>
              <w:jc w:val="center"/>
              <w:rPr>
                <w:color w:val="auto"/>
              </w:rPr>
            </w:pPr>
          </w:p>
        </w:tc>
      </w:tr>
      <w:tr w14:paraId="1363F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11C57097">
            <w:pPr>
              <w:kinsoku/>
              <w:autoSpaceDE/>
              <w:autoSpaceDN/>
              <w:jc w:val="center"/>
              <w:rPr>
                <w:color w:val="auto"/>
              </w:rPr>
            </w:pPr>
          </w:p>
        </w:tc>
        <w:tc>
          <w:tcPr>
            <w:tcW w:w="2760" w:type="dxa"/>
            <w:vAlign w:val="center"/>
          </w:tcPr>
          <w:p w14:paraId="5E7D1D35">
            <w:pPr>
              <w:kinsoku/>
              <w:autoSpaceDE/>
              <w:autoSpaceDN/>
              <w:jc w:val="center"/>
              <w:rPr>
                <w:color w:val="auto"/>
              </w:rPr>
            </w:pPr>
          </w:p>
        </w:tc>
        <w:tc>
          <w:tcPr>
            <w:tcW w:w="990" w:type="dxa"/>
            <w:vAlign w:val="center"/>
          </w:tcPr>
          <w:p w14:paraId="00D6579E">
            <w:pPr>
              <w:kinsoku/>
              <w:autoSpaceDE/>
              <w:autoSpaceDN/>
              <w:jc w:val="center"/>
              <w:rPr>
                <w:color w:val="auto"/>
              </w:rPr>
            </w:pPr>
          </w:p>
        </w:tc>
        <w:tc>
          <w:tcPr>
            <w:tcW w:w="1557" w:type="dxa"/>
            <w:vAlign w:val="center"/>
          </w:tcPr>
          <w:p w14:paraId="39EC0850">
            <w:pPr>
              <w:kinsoku/>
              <w:autoSpaceDE/>
              <w:autoSpaceDN/>
              <w:jc w:val="center"/>
              <w:rPr>
                <w:color w:val="auto"/>
              </w:rPr>
            </w:pPr>
          </w:p>
        </w:tc>
        <w:tc>
          <w:tcPr>
            <w:tcW w:w="1414" w:type="dxa"/>
            <w:vAlign w:val="center"/>
          </w:tcPr>
          <w:p w14:paraId="2F07BC95">
            <w:pPr>
              <w:kinsoku/>
              <w:autoSpaceDE/>
              <w:autoSpaceDN/>
              <w:jc w:val="center"/>
              <w:rPr>
                <w:color w:val="auto"/>
              </w:rPr>
            </w:pPr>
          </w:p>
        </w:tc>
        <w:tc>
          <w:tcPr>
            <w:tcW w:w="1533" w:type="dxa"/>
            <w:tcBorders>
              <w:right w:val="single" w:color="000000" w:sz="6" w:space="0"/>
            </w:tcBorders>
            <w:vAlign w:val="center"/>
          </w:tcPr>
          <w:p w14:paraId="56DA6510">
            <w:pPr>
              <w:kinsoku/>
              <w:autoSpaceDE/>
              <w:autoSpaceDN/>
              <w:jc w:val="center"/>
              <w:rPr>
                <w:color w:val="auto"/>
              </w:rPr>
            </w:pPr>
          </w:p>
        </w:tc>
      </w:tr>
      <w:tr w14:paraId="4CF51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7CB50118">
            <w:pPr>
              <w:kinsoku/>
              <w:autoSpaceDE/>
              <w:autoSpaceDN/>
              <w:jc w:val="center"/>
              <w:rPr>
                <w:color w:val="auto"/>
              </w:rPr>
            </w:pPr>
          </w:p>
        </w:tc>
        <w:tc>
          <w:tcPr>
            <w:tcW w:w="2760" w:type="dxa"/>
            <w:vAlign w:val="center"/>
          </w:tcPr>
          <w:p w14:paraId="46F7F4DF">
            <w:pPr>
              <w:kinsoku/>
              <w:autoSpaceDE/>
              <w:autoSpaceDN/>
              <w:jc w:val="center"/>
              <w:rPr>
                <w:color w:val="auto"/>
              </w:rPr>
            </w:pPr>
          </w:p>
        </w:tc>
        <w:tc>
          <w:tcPr>
            <w:tcW w:w="990" w:type="dxa"/>
            <w:vAlign w:val="center"/>
          </w:tcPr>
          <w:p w14:paraId="3179F24B">
            <w:pPr>
              <w:kinsoku/>
              <w:autoSpaceDE/>
              <w:autoSpaceDN/>
              <w:jc w:val="center"/>
              <w:rPr>
                <w:color w:val="auto"/>
              </w:rPr>
            </w:pPr>
          </w:p>
        </w:tc>
        <w:tc>
          <w:tcPr>
            <w:tcW w:w="1557" w:type="dxa"/>
            <w:vAlign w:val="center"/>
          </w:tcPr>
          <w:p w14:paraId="2E50F493">
            <w:pPr>
              <w:kinsoku/>
              <w:autoSpaceDE/>
              <w:autoSpaceDN/>
              <w:jc w:val="center"/>
              <w:rPr>
                <w:color w:val="auto"/>
              </w:rPr>
            </w:pPr>
          </w:p>
        </w:tc>
        <w:tc>
          <w:tcPr>
            <w:tcW w:w="1414" w:type="dxa"/>
            <w:vAlign w:val="center"/>
          </w:tcPr>
          <w:p w14:paraId="72C37042">
            <w:pPr>
              <w:kinsoku/>
              <w:autoSpaceDE/>
              <w:autoSpaceDN/>
              <w:jc w:val="center"/>
              <w:rPr>
                <w:color w:val="auto"/>
              </w:rPr>
            </w:pPr>
          </w:p>
        </w:tc>
        <w:tc>
          <w:tcPr>
            <w:tcW w:w="1533" w:type="dxa"/>
            <w:tcBorders>
              <w:right w:val="single" w:color="000000" w:sz="6" w:space="0"/>
            </w:tcBorders>
            <w:vAlign w:val="center"/>
          </w:tcPr>
          <w:p w14:paraId="4EB69168">
            <w:pPr>
              <w:kinsoku/>
              <w:autoSpaceDE/>
              <w:autoSpaceDN/>
              <w:jc w:val="center"/>
              <w:rPr>
                <w:color w:val="auto"/>
              </w:rPr>
            </w:pPr>
          </w:p>
        </w:tc>
      </w:tr>
      <w:tr w14:paraId="2935C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755" w:type="dxa"/>
            <w:tcBorders>
              <w:left w:val="single" w:color="000000" w:sz="6" w:space="0"/>
            </w:tcBorders>
            <w:vAlign w:val="center"/>
          </w:tcPr>
          <w:p w14:paraId="72BF4CC6">
            <w:pPr>
              <w:kinsoku/>
              <w:autoSpaceDE/>
              <w:autoSpaceDN/>
              <w:jc w:val="center"/>
              <w:rPr>
                <w:color w:val="auto"/>
              </w:rPr>
            </w:pPr>
          </w:p>
        </w:tc>
        <w:tc>
          <w:tcPr>
            <w:tcW w:w="2760" w:type="dxa"/>
            <w:vAlign w:val="center"/>
          </w:tcPr>
          <w:p w14:paraId="2FF14CC7">
            <w:pPr>
              <w:kinsoku/>
              <w:autoSpaceDE/>
              <w:autoSpaceDN/>
              <w:jc w:val="center"/>
              <w:rPr>
                <w:color w:val="auto"/>
              </w:rPr>
            </w:pPr>
          </w:p>
        </w:tc>
        <w:tc>
          <w:tcPr>
            <w:tcW w:w="990" w:type="dxa"/>
            <w:vAlign w:val="center"/>
          </w:tcPr>
          <w:p w14:paraId="571B4A14">
            <w:pPr>
              <w:kinsoku/>
              <w:autoSpaceDE/>
              <w:autoSpaceDN/>
              <w:jc w:val="center"/>
              <w:rPr>
                <w:color w:val="auto"/>
              </w:rPr>
            </w:pPr>
          </w:p>
        </w:tc>
        <w:tc>
          <w:tcPr>
            <w:tcW w:w="1557" w:type="dxa"/>
            <w:vAlign w:val="center"/>
          </w:tcPr>
          <w:p w14:paraId="4CF5CEA9">
            <w:pPr>
              <w:kinsoku/>
              <w:autoSpaceDE/>
              <w:autoSpaceDN/>
              <w:jc w:val="center"/>
              <w:rPr>
                <w:color w:val="auto"/>
              </w:rPr>
            </w:pPr>
          </w:p>
        </w:tc>
        <w:tc>
          <w:tcPr>
            <w:tcW w:w="1414" w:type="dxa"/>
            <w:vAlign w:val="center"/>
          </w:tcPr>
          <w:p w14:paraId="0D060ABB">
            <w:pPr>
              <w:kinsoku/>
              <w:autoSpaceDE/>
              <w:autoSpaceDN/>
              <w:jc w:val="center"/>
              <w:rPr>
                <w:color w:val="auto"/>
              </w:rPr>
            </w:pPr>
          </w:p>
        </w:tc>
        <w:tc>
          <w:tcPr>
            <w:tcW w:w="1533" w:type="dxa"/>
            <w:tcBorders>
              <w:right w:val="single" w:color="000000" w:sz="6" w:space="0"/>
            </w:tcBorders>
            <w:vAlign w:val="center"/>
          </w:tcPr>
          <w:p w14:paraId="3BD65989">
            <w:pPr>
              <w:kinsoku/>
              <w:autoSpaceDE/>
              <w:autoSpaceDN/>
              <w:jc w:val="center"/>
              <w:rPr>
                <w:color w:val="auto"/>
              </w:rPr>
            </w:pPr>
          </w:p>
        </w:tc>
      </w:tr>
      <w:tr w14:paraId="0A696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0E15800D">
            <w:pPr>
              <w:kinsoku/>
              <w:autoSpaceDE/>
              <w:autoSpaceDN/>
              <w:jc w:val="center"/>
              <w:rPr>
                <w:color w:val="auto"/>
              </w:rPr>
            </w:pPr>
          </w:p>
        </w:tc>
        <w:tc>
          <w:tcPr>
            <w:tcW w:w="2760" w:type="dxa"/>
            <w:vAlign w:val="center"/>
          </w:tcPr>
          <w:p w14:paraId="69DE3794">
            <w:pPr>
              <w:kinsoku/>
              <w:autoSpaceDE/>
              <w:autoSpaceDN/>
              <w:jc w:val="center"/>
              <w:rPr>
                <w:color w:val="auto"/>
              </w:rPr>
            </w:pPr>
          </w:p>
        </w:tc>
        <w:tc>
          <w:tcPr>
            <w:tcW w:w="990" w:type="dxa"/>
            <w:vAlign w:val="center"/>
          </w:tcPr>
          <w:p w14:paraId="0D072633">
            <w:pPr>
              <w:kinsoku/>
              <w:autoSpaceDE/>
              <w:autoSpaceDN/>
              <w:jc w:val="center"/>
              <w:rPr>
                <w:color w:val="auto"/>
              </w:rPr>
            </w:pPr>
          </w:p>
        </w:tc>
        <w:tc>
          <w:tcPr>
            <w:tcW w:w="1557" w:type="dxa"/>
            <w:vAlign w:val="center"/>
          </w:tcPr>
          <w:p w14:paraId="6651288C">
            <w:pPr>
              <w:kinsoku/>
              <w:autoSpaceDE/>
              <w:autoSpaceDN/>
              <w:jc w:val="center"/>
              <w:rPr>
                <w:color w:val="auto"/>
              </w:rPr>
            </w:pPr>
          </w:p>
        </w:tc>
        <w:tc>
          <w:tcPr>
            <w:tcW w:w="1414" w:type="dxa"/>
            <w:vAlign w:val="center"/>
          </w:tcPr>
          <w:p w14:paraId="528D81A3">
            <w:pPr>
              <w:kinsoku/>
              <w:autoSpaceDE/>
              <w:autoSpaceDN/>
              <w:jc w:val="center"/>
              <w:rPr>
                <w:color w:val="auto"/>
              </w:rPr>
            </w:pPr>
          </w:p>
        </w:tc>
        <w:tc>
          <w:tcPr>
            <w:tcW w:w="1533" w:type="dxa"/>
            <w:tcBorders>
              <w:right w:val="single" w:color="000000" w:sz="6" w:space="0"/>
            </w:tcBorders>
            <w:vAlign w:val="center"/>
          </w:tcPr>
          <w:p w14:paraId="19B330F2">
            <w:pPr>
              <w:kinsoku/>
              <w:autoSpaceDE/>
              <w:autoSpaceDN/>
              <w:jc w:val="center"/>
              <w:rPr>
                <w:color w:val="auto"/>
              </w:rPr>
            </w:pPr>
          </w:p>
        </w:tc>
      </w:tr>
      <w:tr w14:paraId="33F85A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08DB5710">
            <w:pPr>
              <w:kinsoku/>
              <w:autoSpaceDE/>
              <w:autoSpaceDN/>
              <w:jc w:val="center"/>
              <w:rPr>
                <w:color w:val="auto"/>
              </w:rPr>
            </w:pPr>
          </w:p>
        </w:tc>
        <w:tc>
          <w:tcPr>
            <w:tcW w:w="2760" w:type="dxa"/>
            <w:vAlign w:val="center"/>
          </w:tcPr>
          <w:p w14:paraId="61A7C2BF">
            <w:pPr>
              <w:kinsoku/>
              <w:autoSpaceDE/>
              <w:autoSpaceDN/>
              <w:jc w:val="center"/>
              <w:rPr>
                <w:color w:val="auto"/>
              </w:rPr>
            </w:pPr>
          </w:p>
        </w:tc>
        <w:tc>
          <w:tcPr>
            <w:tcW w:w="990" w:type="dxa"/>
            <w:vAlign w:val="center"/>
          </w:tcPr>
          <w:p w14:paraId="7BE71397">
            <w:pPr>
              <w:kinsoku/>
              <w:autoSpaceDE/>
              <w:autoSpaceDN/>
              <w:jc w:val="center"/>
              <w:rPr>
                <w:color w:val="auto"/>
              </w:rPr>
            </w:pPr>
          </w:p>
        </w:tc>
        <w:tc>
          <w:tcPr>
            <w:tcW w:w="1557" w:type="dxa"/>
            <w:vAlign w:val="center"/>
          </w:tcPr>
          <w:p w14:paraId="6AE791DF">
            <w:pPr>
              <w:kinsoku/>
              <w:autoSpaceDE/>
              <w:autoSpaceDN/>
              <w:jc w:val="center"/>
              <w:rPr>
                <w:color w:val="auto"/>
              </w:rPr>
            </w:pPr>
          </w:p>
        </w:tc>
        <w:tc>
          <w:tcPr>
            <w:tcW w:w="1414" w:type="dxa"/>
            <w:vAlign w:val="center"/>
          </w:tcPr>
          <w:p w14:paraId="50D40854">
            <w:pPr>
              <w:kinsoku/>
              <w:autoSpaceDE/>
              <w:autoSpaceDN/>
              <w:jc w:val="center"/>
              <w:rPr>
                <w:color w:val="auto"/>
              </w:rPr>
            </w:pPr>
          </w:p>
        </w:tc>
        <w:tc>
          <w:tcPr>
            <w:tcW w:w="1533" w:type="dxa"/>
            <w:tcBorders>
              <w:right w:val="single" w:color="000000" w:sz="6" w:space="0"/>
            </w:tcBorders>
            <w:vAlign w:val="center"/>
          </w:tcPr>
          <w:p w14:paraId="71506324">
            <w:pPr>
              <w:kinsoku/>
              <w:autoSpaceDE/>
              <w:autoSpaceDN/>
              <w:jc w:val="center"/>
              <w:rPr>
                <w:color w:val="auto"/>
              </w:rPr>
            </w:pPr>
          </w:p>
        </w:tc>
      </w:tr>
      <w:tr w14:paraId="632CE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59A5ABBA">
            <w:pPr>
              <w:kinsoku/>
              <w:autoSpaceDE/>
              <w:autoSpaceDN/>
              <w:jc w:val="center"/>
              <w:rPr>
                <w:color w:val="auto"/>
              </w:rPr>
            </w:pPr>
          </w:p>
        </w:tc>
        <w:tc>
          <w:tcPr>
            <w:tcW w:w="2760" w:type="dxa"/>
            <w:vAlign w:val="center"/>
          </w:tcPr>
          <w:p w14:paraId="43B9EA51">
            <w:pPr>
              <w:kinsoku/>
              <w:autoSpaceDE/>
              <w:autoSpaceDN/>
              <w:jc w:val="center"/>
              <w:rPr>
                <w:color w:val="auto"/>
              </w:rPr>
            </w:pPr>
          </w:p>
        </w:tc>
        <w:tc>
          <w:tcPr>
            <w:tcW w:w="990" w:type="dxa"/>
            <w:vAlign w:val="center"/>
          </w:tcPr>
          <w:p w14:paraId="4E5F06E8">
            <w:pPr>
              <w:kinsoku/>
              <w:autoSpaceDE/>
              <w:autoSpaceDN/>
              <w:jc w:val="center"/>
              <w:rPr>
                <w:color w:val="auto"/>
              </w:rPr>
            </w:pPr>
          </w:p>
        </w:tc>
        <w:tc>
          <w:tcPr>
            <w:tcW w:w="1557" w:type="dxa"/>
            <w:vAlign w:val="center"/>
          </w:tcPr>
          <w:p w14:paraId="2E98D82F">
            <w:pPr>
              <w:kinsoku/>
              <w:autoSpaceDE/>
              <w:autoSpaceDN/>
              <w:jc w:val="center"/>
              <w:rPr>
                <w:color w:val="auto"/>
              </w:rPr>
            </w:pPr>
          </w:p>
        </w:tc>
        <w:tc>
          <w:tcPr>
            <w:tcW w:w="1414" w:type="dxa"/>
            <w:vAlign w:val="center"/>
          </w:tcPr>
          <w:p w14:paraId="38AA5E1D">
            <w:pPr>
              <w:kinsoku/>
              <w:autoSpaceDE/>
              <w:autoSpaceDN/>
              <w:jc w:val="center"/>
              <w:rPr>
                <w:color w:val="auto"/>
              </w:rPr>
            </w:pPr>
          </w:p>
        </w:tc>
        <w:tc>
          <w:tcPr>
            <w:tcW w:w="1533" w:type="dxa"/>
            <w:tcBorders>
              <w:right w:val="single" w:color="000000" w:sz="6" w:space="0"/>
            </w:tcBorders>
            <w:vAlign w:val="center"/>
          </w:tcPr>
          <w:p w14:paraId="7AE94C9B">
            <w:pPr>
              <w:kinsoku/>
              <w:autoSpaceDE/>
              <w:autoSpaceDN/>
              <w:jc w:val="center"/>
              <w:rPr>
                <w:color w:val="auto"/>
              </w:rPr>
            </w:pPr>
          </w:p>
        </w:tc>
      </w:tr>
      <w:tr w14:paraId="5D64F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center"/>
          </w:tcPr>
          <w:p w14:paraId="4BBADF7D">
            <w:pPr>
              <w:kinsoku/>
              <w:autoSpaceDE/>
              <w:autoSpaceDN/>
              <w:jc w:val="center"/>
              <w:rPr>
                <w:color w:val="auto"/>
              </w:rPr>
            </w:pPr>
          </w:p>
        </w:tc>
        <w:tc>
          <w:tcPr>
            <w:tcW w:w="2760" w:type="dxa"/>
            <w:vAlign w:val="center"/>
          </w:tcPr>
          <w:p w14:paraId="5B1CA583">
            <w:pPr>
              <w:kinsoku/>
              <w:autoSpaceDE/>
              <w:autoSpaceDN/>
              <w:jc w:val="center"/>
              <w:rPr>
                <w:color w:val="auto"/>
              </w:rPr>
            </w:pPr>
          </w:p>
        </w:tc>
        <w:tc>
          <w:tcPr>
            <w:tcW w:w="990" w:type="dxa"/>
            <w:vAlign w:val="center"/>
          </w:tcPr>
          <w:p w14:paraId="75066A07">
            <w:pPr>
              <w:kinsoku/>
              <w:autoSpaceDE/>
              <w:autoSpaceDN/>
              <w:jc w:val="center"/>
              <w:rPr>
                <w:color w:val="auto"/>
              </w:rPr>
            </w:pPr>
          </w:p>
        </w:tc>
        <w:tc>
          <w:tcPr>
            <w:tcW w:w="1557" w:type="dxa"/>
            <w:vAlign w:val="center"/>
          </w:tcPr>
          <w:p w14:paraId="121E8DC6">
            <w:pPr>
              <w:kinsoku/>
              <w:autoSpaceDE/>
              <w:autoSpaceDN/>
              <w:jc w:val="center"/>
              <w:rPr>
                <w:color w:val="auto"/>
              </w:rPr>
            </w:pPr>
          </w:p>
        </w:tc>
        <w:tc>
          <w:tcPr>
            <w:tcW w:w="1414" w:type="dxa"/>
            <w:vAlign w:val="center"/>
          </w:tcPr>
          <w:p w14:paraId="3931A8E4">
            <w:pPr>
              <w:kinsoku/>
              <w:autoSpaceDE/>
              <w:autoSpaceDN/>
              <w:jc w:val="center"/>
              <w:rPr>
                <w:color w:val="auto"/>
              </w:rPr>
            </w:pPr>
          </w:p>
        </w:tc>
        <w:tc>
          <w:tcPr>
            <w:tcW w:w="1533" w:type="dxa"/>
            <w:tcBorders>
              <w:right w:val="single" w:color="000000" w:sz="6" w:space="0"/>
            </w:tcBorders>
            <w:vAlign w:val="center"/>
          </w:tcPr>
          <w:p w14:paraId="41290300">
            <w:pPr>
              <w:kinsoku/>
              <w:autoSpaceDE/>
              <w:autoSpaceDN/>
              <w:jc w:val="center"/>
              <w:rPr>
                <w:color w:val="auto"/>
              </w:rPr>
            </w:pPr>
          </w:p>
        </w:tc>
      </w:tr>
      <w:tr w14:paraId="560E4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0683623E">
            <w:pPr>
              <w:kinsoku/>
              <w:autoSpaceDE/>
              <w:autoSpaceDN/>
              <w:jc w:val="center"/>
              <w:rPr>
                <w:color w:val="auto"/>
              </w:rPr>
            </w:pPr>
          </w:p>
        </w:tc>
        <w:tc>
          <w:tcPr>
            <w:tcW w:w="2760" w:type="dxa"/>
            <w:vAlign w:val="center"/>
          </w:tcPr>
          <w:p w14:paraId="795CA8C8">
            <w:pPr>
              <w:kinsoku/>
              <w:autoSpaceDE/>
              <w:autoSpaceDN/>
              <w:jc w:val="center"/>
              <w:rPr>
                <w:color w:val="auto"/>
              </w:rPr>
            </w:pPr>
          </w:p>
        </w:tc>
        <w:tc>
          <w:tcPr>
            <w:tcW w:w="990" w:type="dxa"/>
            <w:vAlign w:val="center"/>
          </w:tcPr>
          <w:p w14:paraId="72C3ECB3">
            <w:pPr>
              <w:kinsoku/>
              <w:autoSpaceDE/>
              <w:autoSpaceDN/>
              <w:jc w:val="center"/>
              <w:rPr>
                <w:color w:val="auto"/>
              </w:rPr>
            </w:pPr>
          </w:p>
        </w:tc>
        <w:tc>
          <w:tcPr>
            <w:tcW w:w="1557" w:type="dxa"/>
            <w:vAlign w:val="center"/>
          </w:tcPr>
          <w:p w14:paraId="615C8C88">
            <w:pPr>
              <w:kinsoku/>
              <w:autoSpaceDE/>
              <w:autoSpaceDN/>
              <w:jc w:val="center"/>
              <w:rPr>
                <w:color w:val="auto"/>
              </w:rPr>
            </w:pPr>
          </w:p>
        </w:tc>
        <w:tc>
          <w:tcPr>
            <w:tcW w:w="1414" w:type="dxa"/>
            <w:vAlign w:val="center"/>
          </w:tcPr>
          <w:p w14:paraId="368820D6">
            <w:pPr>
              <w:kinsoku/>
              <w:autoSpaceDE/>
              <w:autoSpaceDN/>
              <w:jc w:val="center"/>
              <w:rPr>
                <w:color w:val="auto"/>
              </w:rPr>
            </w:pPr>
          </w:p>
        </w:tc>
        <w:tc>
          <w:tcPr>
            <w:tcW w:w="1533" w:type="dxa"/>
            <w:tcBorders>
              <w:right w:val="single" w:color="000000" w:sz="6" w:space="0"/>
            </w:tcBorders>
            <w:vAlign w:val="center"/>
          </w:tcPr>
          <w:p w14:paraId="1F608D02">
            <w:pPr>
              <w:kinsoku/>
              <w:autoSpaceDE/>
              <w:autoSpaceDN/>
              <w:jc w:val="center"/>
              <w:rPr>
                <w:color w:val="auto"/>
              </w:rPr>
            </w:pPr>
          </w:p>
        </w:tc>
      </w:tr>
      <w:tr w14:paraId="06DB2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center"/>
          </w:tcPr>
          <w:p w14:paraId="7C1401C8">
            <w:pPr>
              <w:kinsoku/>
              <w:autoSpaceDE/>
              <w:autoSpaceDN/>
              <w:jc w:val="center"/>
              <w:rPr>
                <w:color w:val="auto"/>
              </w:rPr>
            </w:pPr>
          </w:p>
        </w:tc>
        <w:tc>
          <w:tcPr>
            <w:tcW w:w="2760" w:type="dxa"/>
            <w:vAlign w:val="center"/>
          </w:tcPr>
          <w:p w14:paraId="2695515D">
            <w:pPr>
              <w:pStyle w:val="21"/>
              <w:kinsoku/>
              <w:autoSpaceDE/>
              <w:autoSpaceDN/>
              <w:jc w:val="center"/>
              <w:rPr>
                <w:rFonts w:hint="eastAsia"/>
                <w:color w:val="auto"/>
                <w:sz w:val="24"/>
                <w:szCs w:val="24"/>
              </w:rPr>
            </w:pPr>
            <w:r>
              <w:rPr>
                <w:color w:val="auto"/>
                <w:spacing w:val="-2"/>
                <w:sz w:val="24"/>
                <w:szCs w:val="24"/>
              </w:rPr>
              <w:t>直接工程费小计</w:t>
            </w:r>
          </w:p>
        </w:tc>
        <w:tc>
          <w:tcPr>
            <w:tcW w:w="990" w:type="dxa"/>
            <w:vAlign w:val="center"/>
          </w:tcPr>
          <w:p w14:paraId="495F326E">
            <w:pPr>
              <w:kinsoku/>
              <w:autoSpaceDE/>
              <w:autoSpaceDN/>
              <w:jc w:val="center"/>
              <w:rPr>
                <w:color w:val="auto"/>
              </w:rPr>
            </w:pPr>
          </w:p>
        </w:tc>
        <w:tc>
          <w:tcPr>
            <w:tcW w:w="1557" w:type="dxa"/>
            <w:vAlign w:val="center"/>
          </w:tcPr>
          <w:p w14:paraId="641E710A">
            <w:pPr>
              <w:kinsoku/>
              <w:autoSpaceDE/>
              <w:autoSpaceDN/>
              <w:jc w:val="center"/>
              <w:rPr>
                <w:color w:val="auto"/>
              </w:rPr>
            </w:pPr>
          </w:p>
        </w:tc>
        <w:tc>
          <w:tcPr>
            <w:tcW w:w="1414" w:type="dxa"/>
            <w:vAlign w:val="center"/>
          </w:tcPr>
          <w:p w14:paraId="7EE3669E">
            <w:pPr>
              <w:kinsoku/>
              <w:autoSpaceDE/>
              <w:autoSpaceDN/>
              <w:jc w:val="center"/>
              <w:rPr>
                <w:color w:val="auto"/>
              </w:rPr>
            </w:pPr>
          </w:p>
        </w:tc>
        <w:tc>
          <w:tcPr>
            <w:tcW w:w="1533" w:type="dxa"/>
            <w:tcBorders>
              <w:right w:val="single" w:color="000000" w:sz="6" w:space="0"/>
            </w:tcBorders>
            <w:vAlign w:val="center"/>
          </w:tcPr>
          <w:p w14:paraId="74E4C15E">
            <w:pPr>
              <w:kinsoku/>
              <w:autoSpaceDE/>
              <w:autoSpaceDN/>
              <w:jc w:val="center"/>
              <w:rPr>
                <w:color w:val="auto"/>
              </w:rPr>
            </w:pPr>
          </w:p>
        </w:tc>
      </w:tr>
      <w:tr w14:paraId="1DC16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21006472">
            <w:pPr>
              <w:kinsoku/>
              <w:autoSpaceDE/>
              <w:autoSpaceDN/>
              <w:jc w:val="center"/>
              <w:rPr>
                <w:color w:val="auto"/>
              </w:rPr>
            </w:pPr>
          </w:p>
        </w:tc>
        <w:tc>
          <w:tcPr>
            <w:tcW w:w="2760" w:type="dxa"/>
            <w:vAlign w:val="center"/>
          </w:tcPr>
          <w:p w14:paraId="271A3518">
            <w:pPr>
              <w:pStyle w:val="21"/>
              <w:kinsoku/>
              <w:autoSpaceDE/>
              <w:autoSpaceDN/>
              <w:jc w:val="center"/>
              <w:rPr>
                <w:rFonts w:hint="eastAsia"/>
                <w:color w:val="auto"/>
                <w:sz w:val="24"/>
                <w:szCs w:val="24"/>
              </w:rPr>
            </w:pPr>
            <w:r>
              <w:rPr>
                <w:color w:val="auto"/>
                <w:spacing w:val="-3"/>
                <w:sz w:val="24"/>
                <w:szCs w:val="24"/>
              </w:rPr>
              <w:t>措施费</w:t>
            </w:r>
          </w:p>
        </w:tc>
        <w:tc>
          <w:tcPr>
            <w:tcW w:w="990" w:type="dxa"/>
            <w:vAlign w:val="center"/>
          </w:tcPr>
          <w:p w14:paraId="33739EBB">
            <w:pPr>
              <w:kinsoku/>
              <w:autoSpaceDE/>
              <w:autoSpaceDN/>
              <w:jc w:val="center"/>
              <w:rPr>
                <w:color w:val="auto"/>
              </w:rPr>
            </w:pPr>
          </w:p>
        </w:tc>
        <w:tc>
          <w:tcPr>
            <w:tcW w:w="1557" w:type="dxa"/>
            <w:vAlign w:val="center"/>
          </w:tcPr>
          <w:p w14:paraId="759D2A92">
            <w:pPr>
              <w:kinsoku/>
              <w:autoSpaceDE/>
              <w:autoSpaceDN/>
              <w:jc w:val="center"/>
              <w:rPr>
                <w:color w:val="auto"/>
              </w:rPr>
            </w:pPr>
          </w:p>
        </w:tc>
        <w:tc>
          <w:tcPr>
            <w:tcW w:w="1414" w:type="dxa"/>
            <w:vAlign w:val="center"/>
          </w:tcPr>
          <w:p w14:paraId="29771D8C">
            <w:pPr>
              <w:kinsoku/>
              <w:autoSpaceDE/>
              <w:autoSpaceDN/>
              <w:jc w:val="center"/>
              <w:rPr>
                <w:color w:val="auto"/>
              </w:rPr>
            </w:pPr>
          </w:p>
        </w:tc>
        <w:tc>
          <w:tcPr>
            <w:tcW w:w="1533" w:type="dxa"/>
            <w:tcBorders>
              <w:right w:val="single" w:color="000000" w:sz="6" w:space="0"/>
            </w:tcBorders>
            <w:vAlign w:val="center"/>
          </w:tcPr>
          <w:p w14:paraId="59B55D19">
            <w:pPr>
              <w:kinsoku/>
              <w:autoSpaceDE/>
              <w:autoSpaceDN/>
              <w:jc w:val="center"/>
              <w:rPr>
                <w:color w:val="auto"/>
              </w:rPr>
            </w:pPr>
          </w:p>
        </w:tc>
      </w:tr>
      <w:tr w14:paraId="3A0D3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20C1F64B">
            <w:pPr>
              <w:kinsoku/>
              <w:autoSpaceDE/>
              <w:autoSpaceDN/>
              <w:jc w:val="center"/>
              <w:rPr>
                <w:color w:val="auto"/>
              </w:rPr>
            </w:pPr>
          </w:p>
        </w:tc>
        <w:tc>
          <w:tcPr>
            <w:tcW w:w="2760" w:type="dxa"/>
            <w:vAlign w:val="center"/>
          </w:tcPr>
          <w:p w14:paraId="4C126679">
            <w:pPr>
              <w:pStyle w:val="21"/>
              <w:kinsoku/>
              <w:autoSpaceDE/>
              <w:autoSpaceDN/>
              <w:jc w:val="center"/>
              <w:rPr>
                <w:rFonts w:hint="eastAsia"/>
                <w:color w:val="auto"/>
                <w:sz w:val="24"/>
                <w:szCs w:val="24"/>
              </w:rPr>
            </w:pPr>
            <w:r>
              <w:rPr>
                <w:color w:val="auto"/>
                <w:spacing w:val="-7"/>
                <w:sz w:val="24"/>
                <w:szCs w:val="24"/>
              </w:rPr>
              <w:t>间接费</w:t>
            </w:r>
          </w:p>
        </w:tc>
        <w:tc>
          <w:tcPr>
            <w:tcW w:w="990" w:type="dxa"/>
            <w:vAlign w:val="center"/>
          </w:tcPr>
          <w:p w14:paraId="78F217E1">
            <w:pPr>
              <w:kinsoku/>
              <w:autoSpaceDE/>
              <w:autoSpaceDN/>
              <w:jc w:val="center"/>
              <w:rPr>
                <w:color w:val="auto"/>
              </w:rPr>
            </w:pPr>
          </w:p>
        </w:tc>
        <w:tc>
          <w:tcPr>
            <w:tcW w:w="1557" w:type="dxa"/>
            <w:vAlign w:val="center"/>
          </w:tcPr>
          <w:p w14:paraId="7A8B1077">
            <w:pPr>
              <w:kinsoku/>
              <w:autoSpaceDE/>
              <w:autoSpaceDN/>
              <w:jc w:val="center"/>
              <w:rPr>
                <w:color w:val="auto"/>
              </w:rPr>
            </w:pPr>
          </w:p>
        </w:tc>
        <w:tc>
          <w:tcPr>
            <w:tcW w:w="1414" w:type="dxa"/>
            <w:vAlign w:val="center"/>
          </w:tcPr>
          <w:p w14:paraId="44039DA4">
            <w:pPr>
              <w:kinsoku/>
              <w:autoSpaceDE/>
              <w:autoSpaceDN/>
              <w:jc w:val="center"/>
              <w:rPr>
                <w:color w:val="auto"/>
              </w:rPr>
            </w:pPr>
          </w:p>
        </w:tc>
        <w:tc>
          <w:tcPr>
            <w:tcW w:w="1533" w:type="dxa"/>
            <w:tcBorders>
              <w:right w:val="single" w:color="000000" w:sz="6" w:space="0"/>
            </w:tcBorders>
            <w:vAlign w:val="center"/>
          </w:tcPr>
          <w:p w14:paraId="59C37285">
            <w:pPr>
              <w:kinsoku/>
              <w:autoSpaceDE/>
              <w:autoSpaceDN/>
              <w:jc w:val="center"/>
              <w:rPr>
                <w:color w:val="auto"/>
              </w:rPr>
            </w:pPr>
          </w:p>
        </w:tc>
      </w:tr>
      <w:tr w14:paraId="7B39B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29410393">
            <w:pPr>
              <w:kinsoku/>
              <w:autoSpaceDE/>
              <w:autoSpaceDN/>
              <w:jc w:val="center"/>
              <w:rPr>
                <w:color w:val="auto"/>
              </w:rPr>
            </w:pPr>
          </w:p>
        </w:tc>
        <w:tc>
          <w:tcPr>
            <w:tcW w:w="2760" w:type="dxa"/>
            <w:vAlign w:val="center"/>
          </w:tcPr>
          <w:p w14:paraId="3E32D926">
            <w:pPr>
              <w:pStyle w:val="21"/>
              <w:kinsoku/>
              <w:autoSpaceDE/>
              <w:autoSpaceDN/>
              <w:jc w:val="center"/>
              <w:rPr>
                <w:rFonts w:hint="eastAsia"/>
                <w:color w:val="auto"/>
                <w:sz w:val="24"/>
                <w:szCs w:val="24"/>
              </w:rPr>
            </w:pPr>
            <w:r>
              <w:rPr>
                <w:color w:val="auto"/>
                <w:spacing w:val="-3"/>
                <w:sz w:val="24"/>
                <w:szCs w:val="24"/>
              </w:rPr>
              <w:t>利润</w:t>
            </w:r>
          </w:p>
        </w:tc>
        <w:tc>
          <w:tcPr>
            <w:tcW w:w="990" w:type="dxa"/>
            <w:vAlign w:val="center"/>
          </w:tcPr>
          <w:p w14:paraId="3FC149DE">
            <w:pPr>
              <w:kinsoku/>
              <w:autoSpaceDE/>
              <w:autoSpaceDN/>
              <w:jc w:val="center"/>
              <w:rPr>
                <w:color w:val="auto"/>
              </w:rPr>
            </w:pPr>
          </w:p>
        </w:tc>
        <w:tc>
          <w:tcPr>
            <w:tcW w:w="1557" w:type="dxa"/>
            <w:vAlign w:val="center"/>
          </w:tcPr>
          <w:p w14:paraId="753B92ED">
            <w:pPr>
              <w:kinsoku/>
              <w:autoSpaceDE/>
              <w:autoSpaceDN/>
              <w:jc w:val="center"/>
              <w:rPr>
                <w:color w:val="auto"/>
              </w:rPr>
            </w:pPr>
          </w:p>
        </w:tc>
        <w:tc>
          <w:tcPr>
            <w:tcW w:w="1414" w:type="dxa"/>
            <w:vAlign w:val="center"/>
          </w:tcPr>
          <w:p w14:paraId="098080AB">
            <w:pPr>
              <w:kinsoku/>
              <w:autoSpaceDE/>
              <w:autoSpaceDN/>
              <w:jc w:val="center"/>
              <w:rPr>
                <w:color w:val="auto"/>
              </w:rPr>
            </w:pPr>
          </w:p>
        </w:tc>
        <w:tc>
          <w:tcPr>
            <w:tcW w:w="1533" w:type="dxa"/>
            <w:tcBorders>
              <w:right w:val="single" w:color="000000" w:sz="6" w:space="0"/>
            </w:tcBorders>
            <w:vAlign w:val="center"/>
          </w:tcPr>
          <w:p w14:paraId="21D4C942">
            <w:pPr>
              <w:kinsoku/>
              <w:autoSpaceDE/>
              <w:autoSpaceDN/>
              <w:jc w:val="center"/>
              <w:rPr>
                <w:color w:val="auto"/>
              </w:rPr>
            </w:pPr>
          </w:p>
        </w:tc>
      </w:tr>
      <w:tr w14:paraId="0B912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center"/>
          </w:tcPr>
          <w:p w14:paraId="70589017">
            <w:pPr>
              <w:kinsoku/>
              <w:autoSpaceDE/>
              <w:autoSpaceDN/>
              <w:jc w:val="center"/>
              <w:rPr>
                <w:color w:val="auto"/>
              </w:rPr>
            </w:pPr>
          </w:p>
        </w:tc>
        <w:tc>
          <w:tcPr>
            <w:tcW w:w="2760" w:type="dxa"/>
            <w:vAlign w:val="center"/>
          </w:tcPr>
          <w:p w14:paraId="109CA9AF">
            <w:pPr>
              <w:pStyle w:val="21"/>
              <w:kinsoku/>
              <w:autoSpaceDE/>
              <w:autoSpaceDN/>
              <w:jc w:val="center"/>
              <w:rPr>
                <w:rFonts w:hint="eastAsia"/>
                <w:color w:val="auto"/>
                <w:sz w:val="24"/>
                <w:szCs w:val="24"/>
              </w:rPr>
            </w:pPr>
            <w:r>
              <w:rPr>
                <w:color w:val="auto"/>
                <w:spacing w:val="-2"/>
                <w:sz w:val="24"/>
                <w:szCs w:val="24"/>
              </w:rPr>
              <w:t>材料补差</w:t>
            </w:r>
          </w:p>
        </w:tc>
        <w:tc>
          <w:tcPr>
            <w:tcW w:w="990" w:type="dxa"/>
            <w:vAlign w:val="center"/>
          </w:tcPr>
          <w:p w14:paraId="652664A1">
            <w:pPr>
              <w:kinsoku/>
              <w:autoSpaceDE/>
              <w:autoSpaceDN/>
              <w:jc w:val="center"/>
              <w:rPr>
                <w:color w:val="auto"/>
              </w:rPr>
            </w:pPr>
          </w:p>
        </w:tc>
        <w:tc>
          <w:tcPr>
            <w:tcW w:w="1557" w:type="dxa"/>
            <w:vAlign w:val="center"/>
          </w:tcPr>
          <w:p w14:paraId="0CEF6E53">
            <w:pPr>
              <w:kinsoku/>
              <w:autoSpaceDE/>
              <w:autoSpaceDN/>
              <w:jc w:val="center"/>
              <w:rPr>
                <w:color w:val="auto"/>
              </w:rPr>
            </w:pPr>
          </w:p>
        </w:tc>
        <w:tc>
          <w:tcPr>
            <w:tcW w:w="1414" w:type="dxa"/>
            <w:vAlign w:val="center"/>
          </w:tcPr>
          <w:p w14:paraId="586826F7">
            <w:pPr>
              <w:kinsoku/>
              <w:autoSpaceDE/>
              <w:autoSpaceDN/>
              <w:jc w:val="center"/>
              <w:rPr>
                <w:color w:val="auto"/>
              </w:rPr>
            </w:pPr>
          </w:p>
        </w:tc>
        <w:tc>
          <w:tcPr>
            <w:tcW w:w="1533" w:type="dxa"/>
            <w:tcBorders>
              <w:right w:val="single" w:color="000000" w:sz="6" w:space="0"/>
            </w:tcBorders>
            <w:vAlign w:val="center"/>
          </w:tcPr>
          <w:p w14:paraId="2EABB024">
            <w:pPr>
              <w:kinsoku/>
              <w:autoSpaceDE/>
              <w:autoSpaceDN/>
              <w:jc w:val="center"/>
              <w:rPr>
                <w:color w:val="auto"/>
              </w:rPr>
            </w:pPr>
          </w:p>
        </w:tc>
      </w:tr>
      <w:tr w14:paraId="42A99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center"/>
          </w:tcPr>
          <w:p w14:paraId="5AFE47D6">
            <w:pPr>
              <w:kinsoku/>
              <w:autoSpaceDE/>
              <w:autoSpaceDN/>
              <w:jc w:val="center"/>
              <w:rPr>
                <w:color w:val="auto"/>
              </w:rPr>
            </w:pPr>
          </w:p>
        </w:tc>
        <w:tc>
          <w:tcPr>
            <w:tcW w:w="2760" w:type="dxa"/>
            <w:vAlign w:val="center"/>
          </w:tcPr>
          <w:p w14:paraId="6816C1D1">
            <w:pPr>
              <w:pStyle w:val="21"/>
              <w:kinsoku/>
              <w:autoSpaceDE/>
              <w:autoSpaceDN/>
              <w:jc w:val="center"/>
              <w:rPr>
                <w:rFonts w:hint="eastAsia"/>
                <w:color w:val="auto"/>
                <w:sz w:val="24"/>
                <w:szCs w:val="24"/>
              </w:rPr>
            </w:pPr>
            <w:r>
              <w:rPr>
                <w:color w:val="auto"/>
                <w:spacing w:val="-2"/>
                <w:sz w:val="24"/>
                <w:szCs w:val="24"/>
              </w:rPr>
              <w:t>装置性材料</w:t>
            </w:r>
          </w:p>
        </w:tc>
        <w:tc>
          <w:tcPr>
            <w:tcW w:w="990" w:type="dxa"/>
            <w:vAlign w:val="center"/>
          </w:tcPr>
          <w:p w14:paraId="4C167067">
            <w:pPr>
              <w:kinsoku/>
              <w:autoSpaceDE/>
              <w:autoSpaceDN/>
              <w:jc w:val="center"/>
              <w:rPr>
                <w:color w:val="auto"/>
              </w:rPr>
            </w:pPr>
          </w:p>
        </w:tc>
        <w:tc>
          <w:tcPr>
            <w:tcW w:w="1557" w:type="dxa"/>
            <w:vAlign w:val="center"/>
          </w:tcPr>
          <w:p w14:paraId="13E2F477">
            <w:pPr>
              <w:kinsoku/>
              <w:autoSpaceDE/>
              <w:autoSpaceDN/>
              <w:jc w:val="center"/>
              <w:rPr>
                <w:color w:val="auto"/>
              </w:rPr>
            </w:pPr>
          </w:p>
        </w:tc>
        <w:tc>
          <w:tcPr>
            <w:tcW w:w="1414" w:type="dxa"/>
            <w:vAlign w:val="center"/>
          </w:tcPr>
          <w:p w14:paraId="04C932EE">
            <w:pPr>
              <w:kinsoku/>
              <w:autoSpaceDE/>
              <w:autoSpaceDN/>
              <w:jc w:val="center"/>
              <w:rPr>
                <w:color w:val="auto"/>
              </w:rPr>
            </w:pPr>
          </w:p>
        </w:tc>
        <w:tc>
          <w:tcPr>
            <w:tcW w:w="1533" w:type="dxa"/>
            <w:tcBorders>
              <w:right w:val="single" w:color="000000" w:sz="6" w:space="0"/>
            </w:tcBorders>
            <w:vAlign w:val="center"/>
          </w:tcPr>
          <w:p w14:paraId="35B382B1">
            <w:pPr>
              <w:kinsoku/>
              <w:autoSpaceDE/>
              <w:autoSpaceDN/>
              <w:jc w:val="center"/>
              <w:rPr>
                <w:color w:val="auto"/>
              </w:rPr>
            </w:pPr>
          </w:p>
        </w:tc>
      </w:tr>
      <w:tr w14:paraId="64F37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755" w:type="dxa"/>
            <w:tcBorders>
              <w:left w:val="single" w:color="000000" w:sz="6" w:space="0"/>
            </w:tcBorders>
            <w:vAlign w:val="center"/>
          </w:tcPr>
          <w:p w14:paraId="7FF583F6">
            <w:pPr>
              <w:kinsoku/>
              <w:autoSpaceDE/>
              <w:autoSpaceDN/>
              <w:jc w:val="center"/>
              <w:rPr>
                <w:color w:val="auto"/>
              </w:rPr>
            </w:pPr>
          </w:p>
        </w:tc>
        <w:tc>
          <w:tcPr>
            <w:tcW w:w="2760" w:type="dxa"/>
            <w:vAlign w:val="center"/>
          </w:tcPr>
          <w:p w14:paraId="08D47519">
            <w:pPr>
              <w:pStyle w:val="21"/>
              <w:kinsoku/>
              <w:autoSpaceDE/>
              <w:autoSpaceDN/>
              <w:jc w:val="center"/>
              <w:rPr>
                <w:rFonts w:hint="eastAsia"/>
                <w:color w:val="auto"/>
                <w:sz w:val="24"/>
                <w:szCs w:val="24"/>
              </w:rPr>
            </w:pPr>
            <w:r>
              <w:rPr>
                <w:color w:val="auto"/>
                <w:spacing w:val="-3"/>
                <w:sz w:val="24"/>
                <w:szCs w:val="24"/>
              </w:rPr>
              <w:t>税金</w:t>
            </w:r>
          </w:p>
        </w:tc>
        <w:tc>
          <w:tcPr>
            <w:tcW w:w="990" w:type="dxa"/>
            <w:vAlign w:val="center"/>
          </w:tcPr>
          <w:p w14:paraId="599CF5F4">
            <w:pPr>
              <w:kinsoku/>
              <w:autoSpaceDE/>
              <w:autoSpaceDN/>
              <w:jc w:val="center"/>
              <w:rPr>
                <w:color w:val="auto"/>
              </w:rPr>
            </w:pPr>
          </w:p>
        </w:tc>
        <w:tc>
          <w:tcPr>
            <w:tcW w:w="1557" w:type="dxa"/>
            <w:vAlign w:val="center"/>
          </w:tcPr>
          <w:p w14:paraId="7594827B">
            <w:pPr>
              <w:kinsoku/>
              <w:autoSpaceDE/>
              <w:autoSpaceDN/>
              <w:jc w:val="center"/>
              <w:rPr>
                <w:color w:val="auto"/>
              </w:rPr>
            </w:pPr>
          </w:p>
        </w:tc>
        <w:tc>
          <w:tcPr>
            <w:tcW w:w="1414" w:type="dxa"/>
            <w:vAlign w:val="center"/>
          </w:tcPr>
          <w:p w14:paraId="5D5E97A7">
            <w:pPr>
              <w:kinsoku/>
              <w:autoSpaceDE/>
              <w:autoSpaceDN/>
              <w:jc w:val="center"/>
              <w:rPr>
                <w:color w:val="auto"/>
              </w:rPr>
            </w:pPr>
          </w:p>
        </w:tc>
        <w:tc>
          <w:tcPr>
            <w:tcW w:w="1533" w:type="dxa"/>
            <w:tcBorders>
              <w:right w:val="single" w:color="000000" w:sz="6" w:space="0"/>
            </w:tcBorders>
            <w:vAlign w:val="center"/>
          </w:tcPr>
          <w:p w14:paraId="10ECBBF6">
            <w:pPr>
              <w:kinsoku/>
              <w:autoSpaceDE/>
              <w:autoSpaceDN/>
              <w:jc w:val="center"/>
              <w:rPr>
                <w:color w:val="auto"/>
              </w:rPr>
            </w:pPr>
          </w:p>
        </w:tc>
      </w:tr>
      <w:tr w14:paraId="5EC372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center"/>
          </w:tcPr>
          <w:p w14:paraId="6BC73B49">
            <w:pPr>
              <w:kinsoku/>
              <w:autoSpaceDE/>
              <w:autoSpaceDN/>
              <w:jc w:val="center"/>
              <w:rPr>
                <w:color w:val="auto"/>
              </w:rPr>
            </w:pPr>
          </w:p>
        </w:tc>
        <w:tc>
          <w:tcPr>
            <w:tcW w:w="2760" w:type="dxa"/>
            <w:vAlign w:val="center"/>
          </w:tcPr>
          <w:p w14:paraId="553A565B">
            <w:pPr>
              <w:pStyle w:val="21"/>
              <w:kinsoku/>
              <w:autoSpaceDE/>
              <w:autoSpaceDN/>
              <w:jc w:val="center"/>
              <w:rPr>
                <w:rFonts w:hint="eastAsia"/>
                <w:color w:val="auto"/>
                <w:sz w:val="24"/>
                <w:szCs w:val="24"/>
              </w:rPr>
            </w:pPr>
            <w:r>
              <w:rPr>
                <w:color w:val="auto"/>
                <w:spacing w:val="-3"/>
                <w:sz w:val="24"/>
                <w:szCs w:val="24"/>
              </w:rPr>
              <w:t>合计</w:t>
            </w:r>
          </w:p>
        </w:tc>
        <w:tc>
          <w:tcPr>
            <w:tcW w:w="990" w:type="dxa"/>
            <w:vAlign w:val="center"/>
          </w:tcPr>
          <w:p w14:paraId="3A0FBE32">
            <w:pPr>
              <w:kinsoku/>
              <w:autoSpaceDE/>
              <w:autoSpaceDN/>
              <w:jc w:val="center"/>
              <w:rPr>
                <w:color w:val="auto"/>
              </w:rPr>
            </w:pPr>
          </w:p>
        </w:tc>
        <w:tc>
          <w:tcPr>
            <w:tcW w:w="1557" w:type="dxa"/>
            <w:vAlign w:val="center"/>
          </w:tcPr>
          <w:p w14:paraId="0900558A">
            <w:pPr>
              <w:kinsoku/>
              <w:autoSpaceDE/>
              <w:autoSpaceDN/>
              <w:jc w:val="center"/>
              <w:rPr>
                <w:color w:val="auto"/>
              </w:rPr>
            </w:pPr>
          </w:p>
        </w:tc>
        <w:tc>
          <w:tcPr>
            <w:tcW w:w="1414" w:type="dxa"/>
            <w:vAlign w:val="center"/>
          </w:tcPr>
          <w:p w14:paraId="6CDE4CA6">
            <w:pPr>
              <w:kinsoku/>
              <w:autoSpaceDE/>
              <w:autoSpaceDN/>
              <w:jc w:val="center"/>
              <w:rPr>
                <w:color w:val="auto"/>
              </w:rPr>
            </w:pPr>
          </w:p>
        </w:tc>
        <w:tc>
          <w:tcPr>
            <w:tcW w:w="1533" w:type="dxa"/>
            <w:tcBorders>
              <w:right w:val="single" w:color="000000" w:sz="6" w:space="0"/>
            </w:tcBorders>
            <w:vAlign w:val="center"/>
          </w:tcPr>
          <w:p w14:paraId="272F5B04">
            <w:pPr>
              <w:kinsoku/>
              <w:autoSpaceDE/>
              <w:autoSpaceDN/>
              <w:jc w:val="center"/>
              <w:rPr>
                <w:color w:val="auto"/>
              </w:rPr>
            </w:pPr>
          </w:p>
        </w:tc>
      </w:tr>
      <w:tr w14:paraId="20F28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5" w:type="dxa"/>
            <w:tcBorders>
              <w:left w:val="single" w:color="000000" w:sz="6" w:space="0"/>
              <w:bottom w:val="single" w:color="000000" w:sz="6" w:space="0"/>
            </w:tcBorders>
            <w:vAlign w:val="center"/>
          </w:tcPr>
          <w:p w14:paraId="0B1463D2">
            <w:pPr>
              <w:kinsoku/>
              <w:autoSpaceDE/>
              <w:autoSpaceDN/>
              <w:jc w:val="center"/>
              <w:rPr>
                <w:color w:val="auto"/>
              </w:rPr>
            </w:pPr>
          </w:p>
        </w:tc>
        <w:tc>
          <w:tcPr>
            <w:tcW w:w="2760" w:type="dxa"/>
            <w:tcBorders>
              <w:bottom w:val="single" w:color="000000" w:sz="6" w:space="0"/>
            </w:tcBorders>
            <w:vAlign w:val="center"/>
          </w:tcPr>
          <w:p w14:paraId="28462F81">
            <w:pPr>
              <w:pStyle w:val="21"/>
              <w:kinsoku/>
              <w:autoSpaceDE/>
              <w:autoSpaceDN/>
              <w:jc w:val="center"/>
              <w:rPr>
                <w:rFonts w:hint="eastAsia"/>
                <w:color w:val="auto"/>
                <w:sz w:val="24"/>
                <w:szCs w:val="24"/>
              </w:rPr>
            </w:pPr>
            <w:r>
              <w:rPr>
                <w:color w:val="auto"/>
                <w:spacing w:val="-3"/>
                <w:sz w:val="24"/>
                <w:szCs w:val="24"/>
              </w:rPr>
              <w:t>单价</w:t>
            </w:r>
          </w:p>
        </w:tc>
        <w:tc>
          <w:tcPr>
            <w:tcW w:w="990" w:type="dxa"/>
            <w:tcBorders>
              <w:bottom w:val="single" w:color="000000" w:sz="6" w:space="0"/>
            </w:tcBorders>
            <w:vAlign w:val="center"/>
          </w:tcPr>
          <w:p w14:paraId="279934E4">
            <w:pPr>
              <w:kinsoku/>
              <w:autoSpaceDE/>
              <w:autoSpaceDN/>
              <w:jc w:val="center"/>
              <w:rPr>
                <w:color w:val="auto"/>
              </w:rPr>
            </w:pPr>
          </w:p>
        </w:tc>
        <w:tc>
          <w:tcPr>
            <w:tcW w:w="1557" w:type="dxa"/>
            <w:tcBorders>
              <w:bottom w:val="single" w:color="000000" w:sz="6" w:space="0"/>
            </w:tcBorders>
            <w:vAlign w:val="center"/>
          </w:tcPr>
          <w:p w14:paraId="3B8EDE2E">
            <w:pPr>
              <w:kinsoku/>
              <w:autoSpaceDE/>
              <w:autoSpaceDN/>
              <w:jc w:val="center"/>
              <w:rPr>
                <w:color w:val="auto"/>
              </w:rPr>
            </w:pPr>
          </w:p>
        </w:tc>
        <w:tc>
          <w:tcPr>
            <w:tcW w:w="1414" w:type="dxa"/>
            <w:tcBorders>
              <w:bottom w:val="single" w:color="000000" w:sz="6" w:space="0"/>
            </w:tcBorders>
            <w:vAlign w:val="center"/>
          </w:tcPr>
          <w:p w14:paraId="72EE4BE5">
            <w:pPr>
              <w:kinsoku/>
              <w:autoSpaceDE/>
              <w:autoSpaceDN/>
              <w:jc w:val="center"/>
              <w:rPr>
                <w:color w:val="auto"/>
              </w:rPr>
            </w:pPr>
          </w:p>
        </w:tc>
        <w:tc>
          <w:tcPr>
            <w:tcW w:w="1533" w:type="dxa"/>
            <w:tcBorders>
              <w:bottom w:val="single" w:color="000000" w:sz="6" w:space="0"/>
              <w:right w:val="single" w:color="000000" w:sz="6" w:space="0"/>
            </w:tcBorders>
            <w:vAlign w:val="center"/>
          </w:tcPr>
          <w:p w14:paraId="3AE29171">
            <w:pPr>
              <w:kinsoku/>
              <w:autoSpaceDE/>
              <w:autoSpaceDN/>
              <w:jc w:val="center"/>
              <w:rPr>
                <w:color w:val="auto"/>
              </w:rPr>
            </w:pPr>
          </w:p>
        </w:tc>
      </w:tr>
    </w:tbl>
    <w:p w14:paraId="128A2785">
      <w:pPr>
        <w:spacing w:before="36" w:line="211" w:lineRule="auto"/>
        <w:ind w:left="227"/>
        <w:rPr>
          <w:rFonts w:hint="eastAsia" w:ascii="宋体" w:hAnsi="宋体" w:eastAsia="宋体" w:cs="宋体"/>
          <w:color w:val="auto"/>
          <w:sz w:val="25"/>
          <w:szCs w:val="25"/>
          <w:lang w:eastAsia="zh-CN"/>
        </w:rPr>
      </w:pPr>
      <w:r>
        <w:rPr>
          <w:rFonts w:ascii="宋体" w:hAnsi="宋体" w:eastAsia="宋体" w:cs="宋体"/>
          <w:i/>
          <w:iCs/>
          <w:color w:val="auto"/>
          <w:spacing w:val="-19"/>
          <w:sz w:val="25"/>
          <w:szCs w:val="25"/>
          <w:lang w:eastAsia="zh-CN"/>
        </w:rPr>
        <w:t>注：材料补差按不同材料分别计算补差费用。</w:t>
      </w:r>
    </w:p>
    <w:p w14:paraId="591AC24D">
      <w:pPr>
        <w:rPr>
          <w:rFonts w:hint="eastAsia" w:ascii="宋体" w:hAnsi="宋体" w:eastAsia="宋体" w:cs="宋体"/>
          <w:color w:val="auto"/>
          <w:sz w:val="25"/>
          <w:szCs w:val="25"/>
          <w:lang w:eastAsia="zh-CN"/>
        </w:rPr>
      </w:pPr>
      <w:r>
        <w:rPr>
          <w:rFonts w:ascii="宋体" w:hAnsi="宋体" w:eastAsia="宋体" w:cs="宋体"/>
          <w:color w:val="auto"/>
          <w:sz w:val="25"/>
          <w:szCs w:val="25"/>
          <w:lang w:eastAsia="zh-CN"/>
        </w:rPr>
        <w:br w:type="page"/>
      </w:r>
    </w:p>
    <w:p w14:paraId="729CEB85">
      <w:pPr>
        <w:spacing w:before="91" w:line="219" w:lineRule="auto"/>
        <w:ind w:left="2599"/>
        <w:rPr>
          <w:rFonts w:hint="eastAsia" w:ascii="宋体" w:hAnsi="宋体" w:eastAsia="宋体" w:cs="宋体"/>
          <w:b/>
          <w:bCs/>
          <w:color w:val="auto"/>
          <w:spacing w:val="-6"/>
          <w:sz w:val="28"/>
          <w:szCs w:val="28"/>
          <w:lang w:eastAsia="zh-CN"/>
        </w:rPr>
      </w:pPr>
    </w:p>
    <w:p w14:paraId="09044E92">
      <w:pPr>
        <w:spacing w:before="91" w:line="219" w:lineRule="auto"/>
        <w:ind w:left="2599"/>
        <w:rPr>
          <w:rFonts w:hint="eastAsia" w:ascii="宋体" w:hAnsi="宋体" w:eastAsia="宋体" w:cs="宋体"/>
          <w:color w:val="auto"/>
          <w:sz w:val="28"/>
          <w:szCs w:val="28"/>
          <w:lang w:eastAsia="zh-CN"/>
        </w:rPr>
      </w:pPr>
      <w:r>
        <w:rPr>
          <w:rFonts w:ascii="宋体" w:hAnsi="宋体" w:eastAsia="宋体" w:cs="宋体"/>
          <w:b/>
          <w:bCs/>
          <w:color w:val="auto"/>
          <w:spacing w:val="-6"/>
          <w:sz w:val="28"/>
          <w:szCs w:val="28"/>
          <w:lang w:eastAsia="zh-CN"/>
        </w:rPr>
        <w:t>电、风、水、砂石单价计算表</w:t>
      </w:r>
    </w:p>
    <w:p w14:paraId="0546F742">
      <w:pPr>
        <w:pStyle w:val="8"/>
        <w:spacing w:line="269" w:lineRule="auto"/>
        <w:rPr>
          <w:color w:val="auto"/>
          <w:lang w:eastAsia="zh-CN"/>
        </w:rPr>
      </w:pPr>
    </w:p>
    <w:p w14:paraId="0E8845A5">
      <w:pPr>
        <w:pStyle w:val="8"/>
        <w:spacing w:line="270" w:lineRule="auto"/>
        <w:rPr>
          <w:color w:val="auto"/>
          <w:lang w:eastAsia="zh-CN"/>
        </w:rPr>
      </w:pPr>
    </w:p>
    <w:p w14:paraId="1CE473EE">
      <w:pPr>
        <w:spacing w:before="78" w:line="361" w:lineRule="auto"/>
        <w:ind w:right="14" w:firstLine="507"/>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电、风、水、砂石单价计算按照施工组织设计确定的施工方案、供应方式</w:t>
      </w:r>
      <w:r>
        <w:rPr>
          <w:rFonts w:ascii="宋体" w:hAnsi="宋体" w:eastAsia="宋体" w:cs="宋体"/>
          <w:color w:val="auto"/>
          <w:spacing w:val="-5"/>
          <w:sz w:val="24"/>
          <w:szCs w:val="24"/>
          <w:lang w:eastAsia="zh-CN"/>
        </w:rPr>
        <w:t>、相应</w:t>
      </w:r>
      <w:r>
        <w:rPr>
          <w:rFonts w:ascii="宋体" w:hAnsi="宋体" w:eastAsia="宋体" w:cs="宋体"/>
          <w:color w:val="auto"/>
          <w:spacing w:val="-2"/>
          <w:sz w:val="24"/>
          <w:szCs w:val="24"/>
          <w:lang w:eastAsia="zh-CN"/>
        </w:rPr>
        <w:t>价格，采用计算书的形式表述。如采用外购的，本表可不提供。</w:t>
      </w:r>
    </w:p>
    <w:p w14:paraId="034032A7">
      <w:pPr>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50E3E531">
      <w:pPr>
        <w:pStyle w:val="8"/>
        <w:spacing w:line="246" w:lineRule="auto"/>
        <w:rPr>
          <w:color w:val="auto"/>
          <w:lang w:eastAsia="zh-CN"/>
        </w:rPr>
      </w:pPr>
    </w:p>
    <w:p w14:paraId="51DC6F4E">
      <w:pPr>
        <w:rPr>
          <w:color w:val="auto"/>
          <w:lang w:eastAsia="zh-CN"/>
        </w:rPr>
      </w:pPr>
      <w:bookmarkStart w:id="1926" w:name="bookmark662"/>
      <w:bookmarkEnd w:id="1926"/>
    </w:p>
    <w:p w14:paraId="10A6E066">
      <w:pPr>
        <w:spacing w:before="91" w:line="219" w:lineRule="auto"/>
        <w:ind w:left="3363"/>
        <w:outlineLvl w:val="2"/>
        <w:rPr>
          <w:rFonts w:hint="eastAsia" w:ascii="宋体" w:hAnsi="宋体" w:eastAsia="宋体" w:cs="宋体"/>
          <w:color w:val="auto"/>
          <w:sz w:val="28"/>
          <w:szCs w:val="28"/>
        </w:rPr>
      </w:pPr>
      <w:bookmarkStart w:id="1927" w:name="_Toc849"/>
      <w:bookmarkStart w:id="1928" w:name="_Toc15532"/>
      <w:bookmarkStart w:id="1929" w:name="_Toc17545"/>
      <w:bookmarkStart w:id="1930" w:name="_Toc30578"/>
      <w:r>
        <w:rPr>
          <w:rFonts w:ascii="宋体" w:hAnsi="宋体" w:eastAsia="宋体" w:cs="宋体"/>
          <w:b/>
          <w:bCs/>
          <w:color w:val="auto"/>
          <w:spacing w:val="-4"/>
          <w:sz w:val="28"/>
          <w:szCs w:val="28"/>
        </w:rPr>
        <w:t>三、其他材料</w:t>
      </w:r>
      <w:bookmarkEnd w:id="1927"/>
      <w:bookmarkEnd w:id="1928"/>
      <w:bookmarkEnd w:id="1929"/>
      <w:bookmarkEnd w:id="1930"/>
    </w:p>
    <w:sectPr>
      <w:footerReference r:id="rId26" w:type="default"/>
      <w:pgSz w:w="11907" w:h="16841"/>
      <w:pgMar w:top="1417" w:right="1527" w:bottom="1254" w:left="1785" w:header="0" w:footer="109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华康简楷">
    <w:altName w:val="宋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隶书">
    <w:panose1 w:val="02010509060101010101"/>
    <w:charset w:val="86"/>
    <w:family w:val="modern"/>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华文隶书">
    <w:panose1 w:val="02010800040101010101"/>
    <w:charset w:val="86"/>
    <w:family w:val="auto"/>
    <w:pitch w:val="default"/>
    <w:sig w:usb0="00000001" w:usb1="080F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Symbol">
    <w:panose1 w:val="05050102010706020507"/>
    <w:charset w:val="02"/>
    <w:family w:val="roman"/>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4C702">
    <w:pPr>
      <w:spacing w:line="174" w:lineRule="auto"/>
      <w:ind w:left="8576"/>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2E5EA">
    <w:pPr>
      <w:spacing w:line="174" w:lineRule="auto"/>
      <w:ind w:left="8576"/>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324835">
                          <w:pPr>
                            <w:pStyle w:val="11"/>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71324835">
                    <w:pPr>
                      <w:pStyle w:val="11"/>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70323">
    <w:pPr>
      <w:spacing w:line="174" w:lineRule="auto"/>
      <w:ind w:left="8616"/>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5851C">
                          <w:pPr>
                            <w:pStyle w:val="11"/>
                          </w:pPr>
                          <w:r>
                            <w:fldChar w:fldCharType="begin"/>
                          </w:r>
                          <w:r>
                            <w:instrText xml:space="preserve"> PAGE  \* MERGEFORMAT </w:instrText>
                          </w:r>
                          <w:r>
                            <w:fldChar w:fldCharType="separate"/>
                          </w:r>
                          <w:r>
                            <w:t>- 49 -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4605851C">
                    <w:pPr>
                      <w:pStyle w:val="11"/>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E7C0A">
    <w:pPr>
      <w:spacing w:line="174"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C6B6AF">
                          <w:pPr>
                            <w:pStyle w:val="11"/>
                          </w:pPr>
                          <w:r>
                            <w:fldChar w:fldCharType="begin"/>
                          </w:r>
                          <w:r>
                            <w:instrText xml:space="preserve"> PAGE  \* MERGEFORMAT </w:instrText>
                          </w:r>
                          <w:r>
                            <w:fldChar w:fldCharType="separate"/>
                          </w:r>
                          <w:r>
                            <w:t>- 147 -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3FC6B6AF">
                    <w:pPr>
                      <w:pStyle w:val="11"/>
                    </w:pPr>
                    <w:r>
                      <w:fldChar w:fldCharType="begin"/>
                    </w:r>
                    <w:r>
                      <w:instrText xml:space="preserve"> PAGE  \* MERGEFORMAT </w:instrText>
                    </w:r>
                    <w:r>
                      <w:fldChar w:fldCharType="separate"/>
                    </w:r>
                    <w:r>
                      <w:t>- 147 -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0E0A2">
    <w:pPr>
      <w:spacing w:line="174" w:lineRule="auto"/>
      <w:ind w:left="8527"/>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D0C6AB">
                          <w:pPr>
                            <w:pStyle w:val="11"/>
                          </w:pPr>
                          <w:r>
                            <w:fldChar w:fldCharType="begin"/>
                          </w:r>
                          <w:r>
                            <w:instrText xml:space="preserve"> PAGE  \* MERGEFORMAT </w:instrText>
                          </w:r>
                          <w:r>
                            <w:fldChar w:fldCharType="separate"/>
                          </w:r>
                          <w:r>
                            <w:t>- 156 -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58D0C6AB">
                    <w:pPr>
                      <w:pStyle w:val="11"/>
                    </w:pPr>
                    <w:r>
                      <w:fldChar w:fldCharType="begin"/>
                    </w:r>
                    <w:r>
                      <w:instrText xml:space="preserve"> PAGE  \* MERGEFORMAT </w:instrText>
                    </w:r>
                    <w:r>
                      <w:fldChar w:fldCharType="separate"/>
                    </w:r>
                    <w:r>
                      <w:t>- 156 -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C60F5">
    <w:pPr>
      <w:spacing w:line="174" w:lineRule="auto"/>
      <w:ind w:left="13710"/>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A3C3D">
                          <w:pPr>
                            <w:pStyle w:val="11"/>
                          </w:pPr>
                          <w:r>
                            <w:fldChar w:fldCharType="begin"/>
                          </w:r>
                          <w:r>
                            <w:instrText xml:space="preserve"> PAGE  \* MERGEFORMAT </w:instrText>
                          </w:r>
                          <w:r>
                            <w:fldChar w:fldCharType="separate"/>
                          </w:r>
                          <w:r>
                            <w:t>- 159 -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460A3C3D">
                    <w:pPr>
                      <w:pStyle w:val="11"/>
                    </w:pPr>
                    <w:r>
                      <w:fldChar w:fldCharType="begin"/>
                    </w:r>
                    <w:r>
                      <w:instrText xml:space="preserve"> PAGE  \* MERGEFORMAT </w:instrText>
                    </w:r>
                    <w:r>
                      <w:fldChar w:fldCharType="separate"/>
                    </w:r>
                    <w:r>
                      <w:t>- 159 -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D4261">
    <w:pPr>
      <w:spacing w:line="174" w:lineRule="auto"/>
      <w:ind w:left="851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021FF6">
                          <w:pPr>
                            <w:pStyle w:val="11"/>
                          </w:pPr>
                          <w:r>
                            <w:fldChar w:fldCharType="begin"/>
                          </w:r>
                          <w:r>
                            <w:instrText xml:space="preserve"> PAGE  \* MERGEFORMAT </w:instrText>
                          </w:r>
                          <w:r>
                            <w:fldChar w:fldCharType="separate"/>
                          </w:r>
                          <w:r>
                            <w:t>145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5021FF6">
                    <w:pPr>
                      <w:pStyle w:val="11"/>
                    </w:pPr>
                    <w:r>
                      <w:fldChar w:fldCharType="begin"/>
                    </w:r>
                    <w:r>
                      <w:instrText xml:space="preserve"> PAGE  \* MERGEFORMAT </w:instrText>
                    </w:r>
                    <w:r>
                      <w:fldChar w:fldCharType="separate"/>
                    </w:r>
                    <w:r>
                      <w:t>145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6975E">
    <w:pPr>
      <w:spacing w:line="174" w:lineRule="auto"/>
      <w:ind w:right="15"/>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386A56">
                          <w:pPr>
                            <w:pStyle w:val="11"/>
                          </w:pPr>
                          <w:r>
                            <w:fldChar w:fldCharType="begin"/>
                          </w:r>
                          <w:r>
                            <w:instrText xml:space="preserve"> PAGE  \* MERGEFORMAT </w:instrText>
                          </w:r>
                          <w:r>
                            <w:fldChar w:fldCharType="separate"/>
                          </w:r>
                          <w:r>
                            <w:t>- 435 -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79386A56">
                    <w:pPr>
                      <w:pStyle w:val="11"/>
                    </w:pPr>
                    <w:r>
                      <w:fldChar w:fldCharType="begin"/>
                    </w:r>
                    <w:r>
                      <w:instrText xml:space="preserve"> PAGE  \* MERGEFORMAT </w:instrText>
                    </w:r>
                    <w:r>
                      <w:fldChar w:fldCharType="separate"/>
                    </w:r>
                    <w:r>
                      <w:t>- 435 -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A43DE">
    <w:pPr>
      <w:spacing w:line="174" w:lineRule="auto"/>
      <w:ind w:left="8520"/>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D22E5">
                          <w:pPr>
                            <w:pStyle w:val="11"/>
                          </w:pPr>
                          <w:r>
                            <w:fldChar w:fldCharType="begin"/>
                          </w:r>
                          <w:r>
                            <w:instrText xml:space="preserve"> PAGE  \* MERGEFORMAT </w:instrText>
                          </w:r>
                          <w:r>
                            <w:fldChar w:fldCharType="separate"/>
                          </w:r>
                          <w:r>
                            <w:t>- 436 -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5"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2IpktAgAAV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o2IpktAgAAVwQAAA4AAAAAAAAAAQAgAAAAHwEAAGRycy9lMm9Eb2MueG1sUEsFBgAAAAAG&#10;AAYAWQEAAL4FAAAAAA==&#10;">
              <v:fill on="f" focussize="0,0"/>
              <v:stroke on="f" weight="0.5pt"/>
              <v:imagedata o:title=""/>
              <o:lock v:ext="edit" aspectratio="f"/>
              <v:textbox inset="0mm,0mm,0mm,0mm" style="mso-fit-shape-to-text:t;">
                <w:txbxContent>
                  <w:p w14:paraId="310D22E5">
                    <w:pPr>
                      <w:pStyle w:val="11"/>
                    </w:pPr>
                    <w:r>
                      <w:fldChar w:fldCharType="begin"/>
                    </w:r>
                    <w:r>
                      <w:instrText xml:space="preserve"> PAGE  \* MERGEFORMAT </w:instrText>
                    </w:r>
                    <w:r>
                      <w:fldChar w:fldCharType="separate"/>
                    </w:r>
                    <w:r>
                      <w:t>- 436 -</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E2A05">
    <w:pPr>
      <w:spacing w:line="174" w:lineRule="auto"/>
      <w:ind w:left="8511"/>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5E93B7">
                          <w:pPr>
                            <w:pStyle w:val="11"/>
                          </w:pPr>
                          <w:r>
                            <w:fldChar w:fldCharType="begin"/>
                          </w:r>
                          <w:r>
                            <w:instrText xml:space="preserve"> PAGE  \* MERGEFORMAT </w:instrText>
                          </w:r>
                          <w:r>
                            <w:fldChar w:fldCharType="separate"/>
                          </w:r>
                          <w:r>
                            <w:t>- 440 -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9"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hFywtAgAAVwQAAA4AAABkcnMvZTJvRG9jLnhtbK1UzY7TMBC+I/EO&#10;lu80aYFV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Ks3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hhFywtAgAAVwQAAA4AAAAAAAAAAQAgAAAAHwEAAGRycy9lMm9Eb2MueG1sUEsFBgAAAAAG&#10;AAYAWQEAAL4FAAAAAA==&#10;">
              <v:fill on="f" focussize="0,0"/>
              <v:stroke on="f" weight="0.5pt"/>
              <v:imagedata o:title=""/>
              <o:lock v:ext="edit" aspectratio="f"/>
              <v:textbox inset="0mm,0mm,0mm,0mm" style="mso-fit-shape-to-text:t;">
                <w:txbxContent>
                  <w:p w14:paraId="0C5E93B7">
                    <w:pPr>
                      <w:pStyle w:val="11"/>
                    </w:pPr>
                    <w:r>
                      <w:fldChar w:fldCharType="begin"/>
                    </w:r>
                    <w:r>
                      <w:instrText xml:space="preserve"> PAGE  \* MERGEFORMAT </w:instrText>
                    </w:r>
                    <w:r>
                      <w:fldChar w:fldCharType="separate"/>
                    </w:r>
                    <w:r>
                      <w:t>- 440 -</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C4E7A">
    <w:pPr>
      <w:spacing w:line="174"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411584">
                          <w:pPr>
                            <w:pStyle w:val="11"/>
                          </w:pPr>
                          <w:r>
                            <w:fldChar w:fldCharType="begin"/>
                          </w:r>
                          <w:r>
                            <w:instrText xml:space="preserve"> PAGE  \* MERGEFORMAT </w:instrText>
                          </w:r>
                          <w:r>
                            <w:fldChar w:fldCharType="separate"/>
                          </w:r>
                          <w:r>
                            <w:t>- 449 -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8"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UCbQ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dUCbQtAgAAVwQAAA4AAAAAAAAAAQAgAAAAHwEAAGRycy9lMm9Eb2MueG1sUEsFBgAAAAAG&#10;AAYAWQEAAL4FAAAAAA==&#10;">
              <v:fill on="f" focussize="0,0"/>
              <v:stroke on="f" weight="0.5pt"/>
              <v:imagedata o:title=""/>
              <o:lock v:ext="edit" aspectratio="f"/>
              <v:textbox inset="0mm,0mm,0mm,0mm" style="mso-fit-shape-to-text:t;">
                <w:txbxContent>
                  <w:p w14:paraId="23411584">
                    <w:pPr>
                      <w:pStyle w:val="11"/>
                    </w:pPr>
                    <w:r>
                      <w:fldChar w:fldCharType="begin"/>
                    </w:r>
                    <w:r>
                      <w:instrText xml:space="preserve"> PAGE  \* MERGEFORMAT </w:instrText>
                    </w:r>
                    <w:r>
                      <w:fldChar w:fldCharType="separate"/>
                    </w:r>
                    <w:r>
                      <w:t>- 449 -</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0E4AA">
    <w:pPr>
      <w:spacing w:line="174"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E61836">
                          <w:pPr>
                            <w:pStyle w:val="11"/>
                          </w:pPr>
                          <w:r>
                            <w:fldChar w:fldCharType="begin"/>
                          </w:r>
                          <w:r>
                            <w:instrText xml:space="preserve"> PAGE  \* MERGEFORMAT </w:instrText>
                          </w:r>
                          <w:r>
                            <w:fldChar w:fldCharType="separate"/>
                          </w:r>
                          <w:r>
                            <w:t>- 455 -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4"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2MmrI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oUQzhYqffnw/&#10;/Xw4/fpGcAaBWutniLu3iAzdO9OhbYZzj8PIu6ucil8wIvBD3uNFXtEFwuOl6WQ6zeHi8A0b4GeP&#10;163z4b0wikSjoA71S7Kyw8aHPnQIidm0WTdSphpKTVqQeP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YyasiwCAABXBAAADgAAAAAAAAABACAAAAAfAQAAZHJzL2Uyb0RvYy54bWxQSwUGAAAAAAYA&#10;BgBZAQAAvQUAAAAA&#10;">
              <v:fill on="f" focussize="0,0"/>
              <v:stroke on="f" weight="0.5pt"/>
              <v:imagedata o:title=""/>
              <o:lock v:ext="edit" aspectratio="f"/>
              <v:textbox inset="0mm,0mm,0mm,0mm" style="mso-fit-shape-to-text:t;">
                <w:txbxContent>
                  <w:p w14:paraId="2DE61836">
                    <w:pPr>
                      <w:pStyle w:val="11"/>
                    </w:pPr>
                    <w:r>
                      <w:fldChar w:fldCharType="begin"/>
                    </w:r>
                    <w:r>
                      <w:instrText xml:space="preserve"> PAGE  \* MERGEFORMAT </w:instrText>
                    </w:r>
                    <w:r>
                      <w:fldChar w:fldCharType="separate"/>
                    </w:r>
                    <w:r>
                      <w:t>- 455 -</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CDDD7">
    <w:pPr>
      <w:spacing w:line="174"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42BFA">
                          <w:pPr>
                            <w:pStyle w:val="11"/>
                          </w:pPr>
                          <w:r>
                            <w:fldChar w:fldCharType="begin"/>
                          </w:r>
                          <w:r>
                            <w:instrText xml:space="preserve"> PAGE  \* MERGEFORMAT </w:instrText>
                          </w:r>
                          <w:r>
                            <w:fldChar w:fldCharType="separate"/>
                          </w:r>
                          <w:r>
                            <w:t>- 456 -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5"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ByfI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cHJ8iwCAABXBAAADgAAAAAAAAABACAAAAAfAQAAZHJzL2Uyb0RvYy54bWxQSwUGAAAAAAYA&#10;BgBZAQAAvQUAAAAA&#10;">
              <v:fill on="f" focussize="0,0"/>
              <v:stroke on="f" weight="0.5pt"/>
              <v:imagedata o:title=""/>
              <o:lock v:ext="edit" aspectratio="f"/>
              <v:textbox inset="0mm,0mm,0mm,0mm" style="mso-fit-shape-to-text:t;">
                <w:txbxContent>
                  <w:p w14:paraId="5DC42BFA">
                    <w:pPr>
                      <w:pStyle w:val="11"/>
                    </w:pPr>
                    <w:r>
                      <w:fldChar w:fldCharType="begin"/>
                    </w:r>
                    <w:r>
                      <w:instrText xml:space="preserve"> PAGE  \* MERGEFORMAT </w:instrText>
                    </w:r>
                    <w:r>
                      <w:fldChar w:fldCharType="separate"/>
                    </w:r>
                    <w:r>
                      <w:t>- 456 -</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B9D0E">
    <w:pPr>
      <w:spacing w:line="174"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A9CEAE">
                          <w:pPr>
                            <w:pStyle w:val="11"/>
                          </w:pPr>
                          <w:r>
                            <w:fldChar w:fldCharType="begin"/>
                          </w:r>
                          <w:r>
                            <w:instrText xml:space="preserve"> PAGE  \* MERGEFORMAT </w:instrText>
                          </w:r>
                          <w:r>
                            <w:fldChar w:fldCharType="separate"/>
                          </w:r>
                          <w:r>
                            <w:t>- 457 -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0XPDI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dFzwyKwIAAFcEAAAOAAAAAAAAAAEAIAAAAB8BAABkcnMvZTJvRG9jLnhtbFBLBQYAAAAABgAG&#10;AFkBAAC8BQAAAAA=&#10;">
              <v:fill on="f" focussize="0,0"/>
              <v:stroke on="f" weight="0.5pt"/>
              <v:imagedata o:title=""/>
              <o:lock v:ext="edit" aspectratio="f"/>
              <v:textbox inset="0mm,0mm,0mm,0mm" style="mso-fit-shape-to-text:t;">
                <w:txbxContent>
                  <w:p w14:paraId="7FA9CEAE">
                    <w:pPr>
                      <w:pStyle w:val="11"/>
                    </w:pPr>
                    <w:r>
                      <w:fldChar w:fldCharType="begin"/>
                    </w:r>
                    <w:r>
                      <w:instrText xml:space="preserve"> PAGE  \* MERGEFORMAT </w:instrText>
                    </w:r>
                    <w:r>
                      <w:fldChar w:fldCharType="separate"/>
                    </w:r>
                    <w:r>
                      <w:t>- 457 -</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910AA">
    <w:pPr>
      <w:spacing w:line="174"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5032DD">
                          <w:pPr>
                            <w:pStyle w:val="11"/>
                          </w:pPr>
                          <w:r>
                            <w:fldChar w:fldCharType="begin"/>
                          </w:r>
                          <w:r>
                            <w:instrText xml:space="preserve"> PAGE  \* MERGEFORMAT </w:instrText>
                          </w:r>
                          <w:r>
                            <w:fldChar w:fldCharType="separate"/>
                          </w:r>
                          <w:r>
                            <w:t>- 460 -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0E5032DD">
                    <w:pPr>
                      <w:pStyle w:val="11"/>
                    </w:pPr>
                    <w:r>
                      <w:fldChar w:fldCharType="begin"/>
                    </w:r>
                    <w:r>
                      <w:instrText xml:space="preserve"> PAGE  \* MERGEFORMAT </w:instrText>
                    </w:r>
                    <w:r>
                      <w:fldChar w:fldCharType="separate"/>
                    </w:r>
                    <w:r>
                      <w:t>- 460 -</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17CA6">
    <w:pPr>
      <w:spacing w:line="174" w:lineRule="auto"/>
      <w:ind w:right="13"/>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3CFC6B">
                          <w:pPr>
                            <w:pStyle w:val="11"/>
                          </w:pPr>
                          <w:r>
                            <w:fldChar w:fldCharType="begin"/>
                          </w:r>
                          <w:r>
                            <w:instrText xml:space="preserve"> PAGE  \* MERGEFORMAT </w:instrText>
                          </w:r>
                          <w:r>
                            <w:fldChar w:fldCharType="separate"/>
                          </w:r>
                          <w:r>
                            <w:t>- 493 -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8"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NNQg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n31d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ZNNQgtAgAAVwQAAA4AAAAAAAAAAQAgAAAAHwEAAGRycy9lMm9Eb2MueG1sUEsFBgAAAAAG&#10;AAYAWQEAAL4FAAAAAA==&#10;">
              <v:fill on="f" focussize="0,0"/>
              <v:stroke on="f" weight="0.5pt"/>
              <v:imagedata o:title=""/>
              <o:lock v:ext="edit" aspectratio="f"/>
              <v:textbox inset="0mm,0mm,0mm,0mm" style="mso-fit-shape-to-text:t;">
                <w:txbxContent>
                  <w:p w14:paraId="0A3CFC6B">
                    <w:pPr>
                      <w:pStyle w:val="11"/>
                    </w:pPr>
                    <w:r>
                      <w:fldChar w:fldCharType="begin"/>
                    </w:r>
                    <w:r>
                      <w:instrText xml:space="preserve"> PAGE  \* MERGEFORMAT </w:instrText>
                    </w:r>
                    <w:r>
                      <w:fldChar w:fldCharType="separate"/>
                    </w:r>
                    <w:r>
                      <w:t>- 493 -</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A79DD">
    <w:pPr>
      <w:spacing w:line="174" w:lineRule="auto"/>
      <w:ind w:left="13750"/>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54FC08">
                          <w:pPr>
                            <w:pStyle w:val="11"/>
                          </w:pPr>
                          <w:r>
                            <w:fldChar w:fldCharType="begin"/>
                          </w:r>
                          <w:r>
                            <w:instrText xml:space="preserve"> PAGE  \* MERGEFORMAT </w:instrText>
                          </w:r>
                          <w:r>
                            <w:fldChar w:fldCharType="separate"/>
                          </w:r>
                          <w:r>
                            <w:t>- 497 -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9"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4AZkgtAgAAVw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4AZkgtAgAAVwQAAA4AAAAAAAAAAQAgAAAAHwEAAGRycy9lMm9Eb2MueG1sUEsFBgAAAAAG&#10;AAYAWQEAAL4FAAAAAA==&#10;">
              <v:fill on="f" focussize="0,0"/>
              <v:stroke on="f" weight="0.5pt"/>
              <v:imagedata o:title=""/>
              <o:lock v:ext="edit" aspectratio="f"/>
              <v:textbox inset="0mm,0mm,0mm,0mm" style="mso-fit-shape-to-text:t;">
                <w:txbxContent>
                  <w:p w14:paraId="4B54FC08">
                    <w:pPr>
                      <w:pStyle w:val="11"/>
                    </w:pPr>
                    <w:r>
                      <w:fldChar w:fldCharType="begin"/>
                    </w:r>
                    <w:r>
                      <w:instrText xml:space="preserve"> PAGE  \* MERGEFORMAT </w:instrText>
                    </w:r>
                    <w:r>
                      <w:fldChar w:fldCharType="separate"/>
                    </w:r>
                    <w:r>
                      <w:t>- 497 -</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86763">
    <w:pPr>
      <w:spacing w:line="174" w:lineRule="auto"/>
      <w:ind w:left="8643"/>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B20A7B">
                          <w:pPr>
                            <w:pStyle w:val="11"/>
                          </w:pPr>
                          <w:r>
                            <w:fldChar w:fldCharType="begin"/>
                          </w:r>
                          <w:r>
                            <w:instrText xml:space="preserve"> PAGE  \* MERGEFORMAT </w:instrText>
                          </w:r>
                          <w:r>
                            <w:fldChar w:fldCharType="separate"/>
                          </w:r>
                          <w:r>
                            <w:t>- 501 -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0"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LTQM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BJJopVPz04/vp&#10;58Pp1zeCMwjUWj9D3L1FZOjemQ5tM5x7HEbeXeVU/IIRgR9Yx4u8oguEx0vTyXSaw8XhGzbAzx6v&#10;W+fDe2EUiUZBHeqXZGWHjQ996BASs2mzbqRMNZSatAW9ev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0tNAywCAABXBAAADgAAAAAAAAABACAAAAAfAQAAZHJzL2Uyb0RvYy54bWxQSwUGAAAAAAYA&#10;BgBZAQAAvQUAAAAA&#10;">
              <v:fill on="f" focussize="0,0"/>
              <v:stroke on="f" weight="0.5pt"/>
              <v:imagedata o:title=""/>
              <o:lock v:ext="edit" aspectratio="f"/>
              <v:textbox inset="0mm,0mm,0mm,0mm" style="mso-fit-shape-to-text:t;">
                <w:txbxContent>
                  <w:p w14:paraId="6CB20A7B">
                    <w:pPr>
                      <w:pStyle w:val="11"/>
                    </w:pPr>
                    <w:r>
                      <w:fldChar w:fldCharType="begin"/>
                    </w:r>
                    <w:r>
                      <w:instrText xml:space="preserve"> PAGE  \* MERGEFORMAT </w:instrText>
                    </w:r>
                    <w:r>
                      <w:fldChar w:fldCharType="separate"/>
                    </w:r>
                    <w:r>
                      <w:t>- 501 -</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F6E18">
    <w:pPr>
      <w:spacing w:line="174" w:lineRule="auto"/>
      <w:ind w:left="13698"/>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53FD40">
                          <w:pPr>
                            <w:pStyle w:val="11"/>
                          </w:pPr>
                          <w:r>
                            <w:fldChar w:fldCharType="begin"/>
                          </w:r>
                          <w:r>
                            <w:instrText xml:space="preserve"> PAGE  \* MERGEFORMAT </w:instrText>
                          </w:r>
                          <w:r>
                            <w:fldChar w:fldCharType="separate"/>
                          </w:r>
                          <w:r>
                            <w:t>- 502 -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1"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GHkMsAgAAVw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8EZxCotX6GuHuLyNC9Mx3GZjj3OIy8u8qp+AUjAj/kPV7kFV0gPF6aTqbTHC4O37ABfvZ4&#10;3Tof3gujSDQK6tC/JCs7bHzoQ4eQmE2bdSNl6qHUpC3o1eu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wYeQywCAABXBAAADgAAAAAAAAABACAAAAAfAQAAZHJzL2Uyb0RvYy54bWxQSwUGAAAAAAYA&#10;BgBZAQAAvQUAAAAA&#10;">
              <v:fill on="f" focussize="0,0"/>
              <v:stroke on="f" weight="0.5pt"/>
              <v:imagedata o:title=""/>
              <o:lock v:ext="edit" aspectratio="f"/>
              <v:textbox inset="0mm,0mm,0mm,0mm" style="mso-fit-shape-to-text:t;">
                <w:txbxContent>
                  <w:p w14:paraId="5A53FD40">
                    <w:pPr>
                      <w:pStyle w:val="11"/>
                    </w:pPr>
                    <w:r>
                      <w:fldChar w:fldCharType="begin"/>
                    </w:r>
                    <w:r>
                      <w:instrText xml:space="preserve"> PAGE  \* MERGEFORMAT </w:instrText>
                    </w:r>
                    <w:r>
                      <w:fldChar w:fldCharType="separate"/>
                    </w:r>
                    <w:r>
                      <w:t>- 502 -</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21D4A">
    <w:pPr>
      <w:spacing w:line="174" w:lineRule="auto"/>
      <w:ind w:left="8526"/>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C095A3">
                          <w:pPr>
                            <w:pStyle w:val="11"/>
                          </w:pPr>
                          <w:r>
                            <w:fldChar w:fldCharType="begin"/>
                          </w:r>
                          <w:r>
                            <w:instrText xml:space="preserve"> PAGE  \* MERGEFORMAT </w:instrText>
                          </w:r>
                          <w:r>
                            <w:fldChar w:fldCharType="separate"/>
                          </w:r>
                          <w:r>
                            <w:t>- 504 -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2"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Q64M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Z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PQ64MtAgAAVwQAAA4AAAAAAAAAAQAgAAAAHwEAAGRycy9lMm9Eb2MueG1sUEsFBgAAAAAG&#10;AAYAWQEAAL4FAAAAAA==&#10;">
              <v:fill on="f" focussize="0,0"/>
              <v:stroke on="f" weight="0.5pt"/>
              <v:imagedata o:title=""/>
              <o:lock v:ext="edit" aspectratio="f"/>
              <v:textbox inset="0mm,0mm,0mm,0mm" style="mso-fit-shape-to-text:t;">
                <w:txbxContent>
                  <w:p w14:paraId="77C095A3">
                    <w:pPr>
                      <w:pStyle w:val="11"/>
                    </w:pPr>
                    <w:r>
                      <w:fldChar w:fldCharType="begin"/>
                    </w:r>
                    <w:r>
                      <w:instrText xml:space="preserve"> PAGE  \* MERGEFORMAT </w:instrText>
                    </w:r>
                    <w:r>
                      <w:fldChar w:fldCharType="separate"/>
                    </w:r>
                    <w:r>
                      <w:t>- 504 -</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0FA65">
    <w:pPr>
      <w:spacing w:line="174"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DE6A8">
                          <w:pPr>
                            <w:pStyle w:val="11"/>
                          </w:pPr>
                          <w:r>
                            <w:fldChar w:fldCharType="begin"/>
                          </w:r>
                          <w:r>
                            <w:instrText xml:space="preserve"> PAGE  \* MERGEFORMAT </w:instrText>
                          </w:r>
                          <w:r>
                            <w:fldChar w:fldCharType="separate"/>
                          </w:r>
                          <w:r>
                            <w:t>- 505 -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3"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duMM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o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uduMMtAgAAVwQAAA4AAAAAAAAAAQAgAAAAHwEAAGRycy9lMm9Eb2MueG1sUEsFBgAAAAAG&#10;AAYAWQEAAL4FAAAAAA==&#10;">
              <v:fill on="f" focussize="0,0"/>
              <v:stroke on="f" weight="0.5pt"/>
              <v:imagedata o:title=""/>
              <o:lock v:ext="edit" aspectratio="f"/>
              <v:textbox inset="0mm,0mm,0mm,0mm" style="mso-fit-shape-to-text:t;">
                <w:txbxContent>
                  <w:p w14:paraId="632DE6A8">
                    <w:pPr>
                      <w:pStyle w:val="11"/>
                    </w:pPr>
                    <w:r>
                      <w:fldChar w:fldCharType="begin"/>
                    </w:r>
                    <w:r>
                      <w:instrText xml:space="preserve"> PAGE  \* MERGEFORMAT </w:instrText>
                    </w:r>
                    <w:r>
                      <w:fldChar w:fldCharType="separate"/>
                    </w:r>
                    <w:r>
                      <w:t>- 505 -</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12301">
    <w:pPr>
      <w:spacing w:line="174"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C80903">
                          <w:pPr>
                            <w:pStyle w:val="11"/>
                          </w:pPr>
                          <w:r>
                            <w:fldChar w:fldCharType="begin"/>
                          </w:r>
                          <w:r>
                            <w:instrText xml:space="preserve"> PAGE  \* MERGEFORMAT </w:instrText>
                          </w:r>
                          <w:r>
                            <w:fldChar w:fldCharType="separate"/>
                          </w:r>
                          <w:r>
                            <w:t>- 509 -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4"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J7cdktAgAAV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J7cdktAgAAVwQAAA4AAAAAAAAAAQAgAAAAHwEAAGRycy9lMm9Eb2MueG1sUEsFBgAAAAAG&#10;AAYAWQEAAL4FAAAAAA==&#10;">
              <v:fill on="f" focussize="0,0"/>
              <v:stroke on="f" weight="0.5pt"/>
              <v:imagedata o:title=""/>
              <o:lock v:ext="edit" aspectratio="f"/>
              <v:textbox inset="0mm,0mm,0mm,0mm" style="mso-fit-shape-to-text:t;">
                <w:txbxContent>
                  <w:p w14:paraId="7AC80903">
                    <w:pPr>
                      <w:pStyle w:val="11"/>
                    </w:pPr>
                    <w:r>
                      <w:fldChar w:fldCharType="begin"/>
                    </w:r>
                    <w:r>
                      <w:instrText xml:space="preserve"> PAGE  \* MERGEFORMAT </w:instrText>
                    </w:r>
                    <w:r>
                      <w:fldChar w:fldCharType="separate"/>
                    </w:r>
                    <w:r>
                      <w:t>- 509 -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EE755">
    <w:pPr>
      <w:pStyle w:val="8"/>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31882">
    <w:pPr>
      <w:pStyle w:val="8"/>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256C1"/>
    <w:multiLevelType w:val="singleLevel"/>
    <w:tmpl w:val="81C256C1"/>
    <w:lvl w:ilvl="0" w:tentative="0">
      <w:start w:val="12"/>
      <w:numFmt w:val="decimal"/>
      <w:suff w:val="nothing"/>
      <w:lvlText w:val="（%1）"/>
      <w:lvlJc w:val="left"/>
    </w:lvl>
  </w:abstractNum>
  <w:abstractNum w:abstractNumId="1">
    <w:nsid w:val="81DF05CC"/>
    <w:multiLevelType w:val="singleLevel"/>
    <w:tmpl w:val="81DF05CC"/>
    <w:lvl w:ilvl="0" w:tentative="0">
      <w:start w:val="21"/>
      <w:numFmt w:val="decimal"/>
      <w:suff w:val="nothing"/>
      <w:lvlText w:val="（%1）"/>
      <w:lvlJc w:val="left"/>
    </w:lvl>
  </w:abstractNum>
  <w:abstractNum w:abstractNumId="2">
    <w:nsid w:val="824066DA"/>
    <w:multiLevelType w:val="singleLevel"/>
    <w:tmpl w:val="824066DA"/>
    <w:lvl w:ilvl="0" w:tentative="0">
      <w:start w:val="1"/>
      <w:numFmt w:val="decimalEnclosedCircleChinese"/>
      <w:suff w:val="nothing"/>
      <w:lvlText w:val="%1　"/>
      <w:lvlJc w:val="left"/>
      <w:pPr>
        <w:ind w:left="0" w:firstLine="400"/>
      </w:pPr>
      <w:rPr>
        <w:rFonts w:hint="eastAsia"/>
      </w:rPr>
    </w:lvl>
  </w:abstractNum>
  <w:abstractNum w:abstractNumId="3">
    <w:nsid w:val="9120F192"/>
    <w:multiLevelType w:val="singleLevel"/>
    <w:tmpl w:val="9120F192"/>
    <w:lvl w:ilvl="0" w:tentative="0">
      <w:start w:val="1"/>
      <w:numFmt w:val="decimalEnclosedCircleChinese"/>
      <w:suff w:val="nothing"/>
      <w:lvlText w:val="%1　"/>
      <w:lvlJc w:val="left"/>
      <w:pPr>
        <w:ind w:left="0" w:firstLine="400"/>
      </w:pPr>
      <w:rPr>
        <w:rFonts w:hint="eastAsia"/>
      </w:rPr>
    </w:lvl>
  </w:abstractNum>
  <w:abstractNum w:abstractNumId="4">
    <w:nsid w:val="93D5B541"/>
    <w:multiLevelType w:val="singleLevel"/>
    <w:tmpl w:val="93D5B541"/>
    <w:lvl w:ilvl="0" w:tentative="0">
      <w:start w:val="1"/>
      <w:numFmt w:val="decimal"/>
      <w:lvlText w:val="(%1)"/>
      <w:lvlJc w:val="left"/>
      <w:pPr>
        <w:ind w:left="425" w:hanging="425"/>
      </w:pPr>
      <w:rPr>
        <w:rFonts w:hint="default"/>
      </w:rPr>
    </w:lvl>
  </w:abstractNum>
  <w:abstractNum w:abstractNumId="5">
    <w:nsid w:val="9CD84FB2"/>
    <w:multiLevelType w:val="singleLevel"/>
    <w:tmpl w:val="9CD84FB2"/>
    <w:lvl w:ilvl="0" w:tentative="0">
      <w:start w:val="6"/>
      <w:numFmt w:val="decimal"/>
      <w:suff w:val="nothing"/>
      <w:lvlText w:val="（%1）"/>
      <w:lvlJc w:val="left"/>
    </w:lvl>
  </w:abstractNum>
  <w:abstractNum w:abstractNumId="6">
    <w:nsid w:val="9D38DF06"/>
    <w:multiLevelType w:val="singleLevel"/>
    <w:tmpl w:val="9D38DF06"/>
    <w:lvl w:ilvl="0" w:tentative="0">
      <w:start w:val="9"/>
      <w:numFmt w:val="decimal"/>
      <w:suff w:val="nothing"/>
      <w:lvlText w:val="（%1）"/>
      <w:lvlJc w:val="left"/>
    </w:lvl>
  </w:abstractNum>
  <w:abstractNum w:abstractNumId="7">
    <w:nsid w:val="9F74470E"/>
    <w:multiLevelType w:val="singleLevel"/>
    <w:tmpl w:val="9F74470E"/>
    <w:lvl w:ilvl="0" w:tentative="0">
      <w:start w:val="1"/>
      <w:numFmt w:val="decimalEnclosedCircleChinese"/>
      <w:suff w:val="nothing"/>
      <w:lvlText w:val="%1　"/>
      <w:lvlJc w:val="left"/>
      <w:pPr>
        <w:ind w:left="0" w:firstLine="400"/>
      </w:pPr>
      <w:rPr>
        <w:rFonts w:hint="eastAsia"/>
      </w:rPr>
    </w:lvl>
  </w:abstractNum>
  <w:abstractNum w:abstractNumId="8">
    <w:nsid w:val="B637A5B6"/>
    <w:multiLevelType w:val="singleLevel"/>
    <w:tmpl w:val="B637A5B6"/>
    <w:lvl w:ilvl="0" w:tentative="0">
      <w:start w:val="1"/>
      <w:numFmt w:val="decimalEnclosedCircleChinese"/>
      <w:suff w:val="nothing"/>
      <w:lvlText w:val="%1　"/>
      <w:lvlJc w:val="left"/>
      <w:pPr>
        <w:ind w:left="0" w:firstLine="400"/>
      </w:pPr>
      <w:rPr>
        <w:rFonts w:hint="eastAsia"/>
      </w:rPr>
    </w:lvl>
  </w:abstractNum>
  <w:abstractNum w:abstractNumId="9">
    <w:nsid w:val="BCE6EAA5"/>
    <w:multiLevelType w:val="singleLevel"/>
    <w:tmpl w:val="BCE6EAA5"/>
    <w:lvl w:ilvl="0" w:tentative="0">
      <w:start w:val="2"/>
      <w:numFmt w:val="decimal"/>
      <w:suff w:val="nothing"/>
      <w:lvlText w:val="（%1）"/>
      <w:lvlJc w:val="left"/>
    </w:lvl>
  </w:abstractNum>
  <w:abstractNum w:abstractNumId="10">
    <w:nsid w:val="C230223C"/>
    <w:multiLevelType w:val="singleLevel"/>
    <w:tmpl w:val="C230223C"/>
    <w:lvl w:ilvl="0" w:tentative="0">
      <w:start w:val="1"/>
      <w:numFmt w:val="decimal"/>
      <w:lvlText w:val="(%1)"/>
      <w:lvlJc w:val="left"/>
      <w:pPr>
        <w:ind w:left="425" w:hanging="425"/>
      </w:pPr>
      <w:rPr>
        <w:rFonts w:hint="default"/>
      </w:rPr>
    </w:lvl>
  </w:abstractNum>
  <w:abstractNum w:abstractNumId="11">
    <w:nsid w:val="D09BA01D"/>
    <w:multiLevelType w:val="singleLevel"/>
    <w:tmpl w:val="D09BA01D"/>
    <w:lvl w:ilvl="0" w:tentative="0">
      <w:start w:val="1"/>
      <w:numFmt w:val="decimal"/>
      <w:lvlText w:val="(%1)"/>
      <w:lvlJc w:val="left"/>
      <w:pPr>
        <w:ind w:left="425" w:hanging="425"/>
      </w:pPr>
      <w:rPr>
        <w:rFonts w:hint="default"/>
      </w:rPr>
    </w:lvl>
  </w:abstractNum>
  <w:abstractNum w:abstractNumId="12">
    <w:nsid w:val="DCC2FD98"/>
    <w:multiLevelType w:val="singleLevel"/>
    <w:tmpl w:val="DCC2FD98"/>
    <w:lvl w:ilvl="0" w:tentative="0">
      <w:start w:val="5"/>
      <w:numFmt w:val="decimal"/>
      <w:suff w:val="nothing"/>
      <w:lvlText w:val="（%1）"/>
      <w:lvlJc w:val="left"/>
    </w:lvl>
  </w:abstractNum>
  <w:abstractNum w:abstractNumId="13">
    <w:nsid w:val="338F339B"/>
    <w:multiLevelType w:val="singleLevel"/>
    <w:tmpl w:val="338F339B"/>
    <w:lvl w:ilvl="0" w:tentative="0">
      <w:start w:val="1"/>
      <w:numFmt w:val="decimal"/>
      <w:lvlText w:val="(%1)"/>
      <w:lvlJc w:val="left"/>
      <w:pPr>
        <w:ind w:left="425" w:hanging="425"/>
      </w:pPr>
      <w:rPr>
        <w:rFonts w:hint="default"/>
      </w:rPr>
    </w:lvl>
  </w:abstractNum>
  <w:abstractNum w:abstractNumId="14">
    <w:nsid w:val="6C18DD4F"/>
    <w:multiLevelType w:val="singleLevel"/>
    <w:tmpl w:val="6C18DD4F"/>
    <w:lvl w:ilvl="0" w:tentative="0">
      <w:start w:val="1"/>
      <w:numFmt w:val="decimal"/>
      <w:suff w:val="nothing"/>
      <w:lvlText w:val="%1、"/>
      <w:lvlJc w:val="left"/>
    </w:lvl>
  </w:abstractNum>
  <w:num w:numId="1">
    <w:abstractNumId w:val="14"/>
  </w:num>
  <w:num w:numId="2">
    <w:abstractNumId w:val="12"/>
  </w:num>
  <w:num w:numId="3">
    <w:abstractNumId w:val="5"/>
  </w:num>
  <w:num w:numId="4">
    <w:abstractNumId w:val="6"/>
  </w:num>
  <w:num w:numId="5">
    <w:abstractNumId w:val="0"/>
  </w:num>
  <w:num w:numId="6">
    <w:abstractNumId w:val="1"/>
  </w:num>
  <w:num w:numId="7">
    <w:abstractNumId w:val="9"/>
  </w:num>
  <w:num w:numId="8">
    <w:abstractNumId w:val="10"/>
  </w:num>
  <w:num w:numId="9">
    <w:abstractNumId w:val="2"/>
  </w:num>
  <w:num w:numId="10">
    <w:abstractNumId w:val="3"/>
  </w:num>
  <w:num w:numId="11">
    <w:abstractNumId w:val="8"/>
  </w:num>
  <w:num w:numId="12">
    <w:abstractNumId w:val="7"/>
  </w:num>
  <w:num w:numId="13">
    <w:abstractNumId w:val="13"/>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hideSpellingErrors/>
  <w:documentProtection w:enforcement="0"/>
  <w:defaultTabStop w:val="420"/>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113DA2"/>
    <w:rsid w:val="00045984"/>
    <w:rsid w:val="000C11DC"/>
    <w:rsid w:val="000E70BC"/>
    <w:rsid w:val="00113DA2"/>
    <w:rsid w:val="00163131"/>
    <w:rsid w:val="00164A05"/>
    <w:rsid w:val="00170661"/>
    <w:rsid w:val="00286A28"/>
    <w:rsid w:val="00363ADB"/>
    <w:rsid w:val="003A1795"/>
    <w:rsid w:val="003A47CE"/>
    <w:rsid w:val="003B00EE"/>
    <w:rsid w:val="003D68C2"/>
    <w:rsid w:val="00484922"/>
    <w:rsid w:val="004E7555"/>
    <w:rsid w:val="005F4029"/>
    <w:rsid w:val="00646608"/>
    <w:rsid w:val="00685B60"/>
    <w:rsid w:val="006A6A65"/>
    <w:rsid w:val="006F129D"/>
    <w:rsid w:val="007030DD"/>
    <w:rsid w:val="007243F2"/>
    <w:rsid w:val="00734A25"/>
    <w:rsid w:val="00791A7D"/>
    <w:rsid w:val="007A0E72"/>
    <w:rsid w:val="007E2243"/>
    <w:rsid w:val="00820D41"/>
    <w:rsid w:val="00833CCD"/>
    <w:rsid w:val="008B3418"/>
    <w:rsid w:val="008C1EF6"/>
    <w:rsid w:val="008E3948"/>
    <w:rsid w:val="008F66AB"/>
    <w:rsid w:val="009067CF"/>
    <w:rsid w:val="009403CC"/>
    <w:rsid w:val="009B4120"/>
    <w:rsid w:val="009B7189"/>
    <w:rsid w:val="009D634B"/>
    <w:rsid w:val="00A52C2C"/>
    <w:rsid w:val="00A56F7F"/>
    <w:rsid w:val="00A83C6E"/>
    <w:rsid w:val="00A8614E"/>
    <w:rsid w:val="00AC4882"/>
    <w:rsid w:val="00AD50E1"/>
    <w:rsid w:val="00AD6DB9"/>
    <w:rsid w:val="00AD7F2E"/>
    <w:rsid w:val="00B21CE3"/>
    <w:rsid w:val="00B9704F"/>
    <w:rsid w:val="00BD31C0"/>
    <w:rsid w:val="00BE3A04"/>
    <w:rsid w:val="00C44E59"/>
    <w:rsid w:val="00C9239C"/>
    <w:rsid w:val="00CC23BA"/>
    <w:rsid w:val="00CF36E4"/>
    <w:rsid w:val="00D76E0F"/>
    <w:rsid w:val="00DA2792"/>
    <w:rsid w:val="00DB7D80"/>
    <w:rsid w:val="00DC574A"/>
    <w:rsid w:val="00DD49C4"/>
    <w:rsid w:val="00DE6D3E"/>
    <w:rsid w:val="00DF63F1"/>
    <w:rsid w:val="00E014DF"/>
    <w:rsid w:val="00E36705"/>
    <w:rsid w:val="00E5280D"/>
    <w:rsid w:val="00EE1A49"/>
    <w:rsid w:val="00F202AB"/>
    <w:rsid w:val="00F24D15"/>
    <w:rsid w:val="00F5157F"/>
    <w:rsid w:val="00F648B1"/>
    <w:rsid w:val="011D682C"/>
    <w:rsid w:val="012872C5"/>
    <w:rsid w:val="01480E21"/>
    <w:rsid w:val="015F3218"/>
    <w:rsid w:val="01BC20D4"/>
    <w:rsid w:val="01C800B2"/>
    <w:rsid w:val="01D74EC3"/>
    <w:rsid w:val="01F3017A"/>
    <w:rsid w:val="01F44B4D"/>
    <w:rsid w:val="01FF58E7"/>
    <w:rsid w:val="02030AFE"/>
    <w:rsid w:val="02201354"/>
    <w:rsid w:val="02354ACF"/>
    <w:rsid w:val="02535CBD"/>
    <w:rsid w:val="025E41B1"/>
    <w:rsid w:val="02671768"/>
    <w:rsid w:val="027F60AF"/>
    <w:rsid w:val="02AD5394"/>
    <w:rsid w:val="02B45164"/>
    <w:rsid w:val="02BE42D9"/>
    <w:rsid w:val="02C7232A"/>
    <w:rsid w:val="02D432A2"/>
    <w:rsid w:val="03354917"/>
    <w:rsid w:val="03364403"/>
    <w:rsid w:val="035F70FC"/>
    <w:rsid w:val="03AA31F9"/>
    <w:rsid w:val="03AE34CD"/>
    <w:rsid w:val="04041910"/>
    <w:rsid w:val="043A35D9"/>
    <w:rsid w:val="044004C3"/>
    <w:rsid w:val="04420D50"/>
    <w:rsid w:val="044F3AF3"/>
    <w:rsid w:val="04567CE7"/>
    <w:rsid w:val="047578FE"/>
    <w:rsid w:val="04B45C0B"/>
    <w:rsid w:val="04B53BC2"/>
    <w:rsid w:val="04D42E85"/>
    <w:rsid w:val="058A5786"/>
    <w:rsid w:val="05B75D2F"/>
    <w:rsid w:val="05BA6102"/>
    <w:rsid w:val="05D57BBE"/>
    <w:rsid w:val="05E62935"/>
    <w:rsid w:val="05FC4EAA"/>
    <w:rsid w:val="0636021D"/>
    <w:rsid w:val="06473986"/>
    <w:rsid w:val="066F7319"/>
    <w:rsid w:val="06BD5DFB"/>
    <w:rsid w:val="06D53145"/>
    <w:rsid w:val="06ED57ED"/>
    <w:rsid w:val="06F34359"/>
    <w:rsid w:val="07472F88"/>
    <w:rsid w:val="07475145"/>
    <w:rsid w:val="07840249"/>
    <w:rsid w:val="0787598D"/>
    <w:rsid w:val="079D71B0"/>
    <w:rsid w:val="07A7181C"/>
    <w:rsid w:val="07B62F76"/>
    <w:rsid w:val="07BA11D5"/>
    <w:rsid w:val="07E60926"/>
    <w:rsid w:val="07FE68AF"/>
    <w:rsid w:val="08122176"/>
    <w:rsid w:val="0852320C"/>
    <w:rsid w:val="08A22B0B"/>
    <w:rsid w:val="08A3773A"/>
    <w:rsid w:val="08B23E57"/>
    <w:rsid w:val="08F17FDE"/>
    <w:rsid w:val="090B3053"/>
    <w:rsid w:val="091361A6"/>
    <w:rsid w:val="098D3641"/>
    <w:rsid w:val="09A96C65"/>
    <w:rsid w:val="09CA0F5B"/>
    <w:rsid w:val="09DC6EEA"/>
    <w:rsid w:val="09E1634A"/>
    <w:rsid w:val="09F27FC1"/>
    <w:rsid w:val="09FB5E8E"/>
    <w:rsid w:val="0A056903"/>
    <w:rsid w:val="0A232419"/>
    <w:rsid w:val="0A3E2B0A"/>
    <w:rsid w:val="0A780826"/>
    <w:rsid w:val="0A7B4003"/>
    <w:rsid w:val="0AB1211B"/>
    <w:rsid w:val="0ABC7CF1"/>
    <w:rsid w:val="0AC0194E"/>
    <w:rsid w:val="0AE247ED"/>
    <w:rsid w:val="0AF860AF"/>
    <w:rsid w:val="0B2114A0"/>
    <w:rsid w:val="0B251028"/>
    <w:rsid w:val="0B4D146E"/>
    <w:rsid w:val="0B5E5660"/>
    <w:rsid w:val="0BE45BD8"/>
    <w:rsid w:val="0C580E57"/>
    <w:rsid w:val="0C8B54A4"/>
    <w:rsid w:val="0C9038D4"/>
    <w:rsid w:val="0CA11CE8"/>
    <w:rsid w:val="0CA26830"/>
    <w:rsid w:val="0CD43050"/>
    <w:rsid w:val="0CEA5470"/>
    <w:rsid w:val="0D084B45"/>
    <w:rsid w:val="0D1707AC"/>
    <w:rsid w:val="0D215336"/>
    <w:rsid w:val="0D554FDF"/>
    <w:rsid w:val="0D813666"/>
    <w:rsid w:val="0D9006B0"/>
    <w:rsid w:val="0D922AF4"/>
    <w:rsid w:val="0DA6583B"/>
    <w:rsid w:val="0DC32567"/>
    <w:rsid w:val="0E0B4795"/>
    <w:rsid w:val="0E1525C8"/>
    <w:rsid w:val="0E2C0E0C"/>
    <w:rsid w:val="0E331CA2"/>
    <w:rsid w:val="0E372092"/>
    <w:rsid w:val="0E3C66AB"/>
    <w:rsid w:val="0E475072"/>
    <w:rsid w:val="0E653016"/>
    <w:rsid w:val="0E6D7FC6"/>
    <w:rsid w:val="0E7543D2"/>
    <w:rsid w:val="0E9F1CD8"/>
    <w:rsid w:val="0EA33B28"/>
    <w:rsid w:val="0EDB657C"/>
    <w:rsid w:val="0EE51D85"/>
    <w:rsid w:val="0EF44384"/>
    <w:rsid w:val="0F135152"/>
    <w:rsid w:val="0F1A64E0"/>
    <w:rsid w:val="0F524B39"/>
    <w:rsid w:val="0FB2759B"/>
    <w:rsid w:val="0FBC7E16"/>
    <w:rsid w:val="0FC67049"/>
    <w:rsid w:val="0FD80032"/>
    <w:rsid w:val="100F7440"/>
    <w:rsid w:val="102B6A78"/>
    <w:rsid w:val="105A7962"/>
    <w:rsid w:val="10955661"/>
    <w:rsid w:val="109C2F25"/>
    <w:rsid w:val="10B4533E"/>
    <w:rsid w:val="10D07968"/>
    <w:rsid w:val="10E83930"/>
    <w:rsid w:val="10F20E69"/>
    <w:rsid w:val="1112515E"/>
    <w:rsid w:val="11294DEA"/>
    <w:rsid w:val="113D64B6"/>
    <w:rsid w:val="12073E1F"/>
    <w:rsid w:val="12192A7F"/>
    <w:rsid w:val="124A528A"/>
    <w:rsid w:val="125B1EFA"/>
    <w:rsid w:val="12633CFA"/>
    <w:rsid w:val="12B744B4"/>
    <w:rsid w:val="12DB78D9"/>
    <w:rsid w:val="131C1E7E"/>
    <w:rsid w:val="133B6B5E"/>
    <w:rsid w:val="13BD37AB"/>
    <w:rsid w:val="13CA16A8"/>
    <w:rsid w:val="13FA41EA"/>
    <w:rsid w:val="13FE688D"/>
    <w:rsid w:val="14101C60"/>
    <w:rsid w:val="14525729"/>
    <w:rsid w:val="145A37BE"/>
    <w:rsid w:val="148D0458"/>
    <w:rsid w:val="14B770E5"/>
    <w:rsid w:val="14BE73C8"/>
    <w:rsid w:val="14CD4758"/>
    <w:rsid w:val="14D62EA9"/>
    <w:rsid w:val="14E86F37"/>
    <w:rsid w:val="15274D53"/>
    <w:rsid w:val="152A4FA3"/>
    <w:rsid w:val="154D12E3"/>
    <w:rsid w:val="161C2B3E"/>
    <w:rsid w:val="16360A78"/>
    <w:rsid w:val="165D3284"/>
    <w:rsid w:val="165D566F"/>
    <w:rsid w:val="166413F2"/>
    <w:rsid w:val="1695644C"/>
    <w:rsid w:val="16B70AB9"/>
    <w:rsid w:val="16EA1425"/>
    <w:rsid w:val="17321EED"/>
    <w:rsid w:val="17377504"/>
    <w:rsid w:val="173914CE"/>
    <w:rsid w:val="173D4A1B"/>
    <w:rsid w:val="174247F8"/>
    <w:rsid w:val="17735275"/>
    <w:rsid w:val="18022F0C"/>
    <w:rsid w:val="182F6654"/>
    <w:rsid w:val="184A003F"/>
    <w:rsid w:val="18897F46"/>
    <w:rsid w:val="18A935B2"/>
    <w:rsid w:val="18F70D97"/>
    <w:rsid w:val="18FA0049"/>
    <w:rsid w:val="190E0109"/>
    <w:rsid w:val="190E7383"/>
    <w:rsid w:val="19204C2E"/>
    <w:rsid w:val="192E37BE"/>
    <w:rsid w:val="19441C6E"/>
    <w:rsid w:val="195D26A1"/>
    <w:rsid w:val="19685DDB"/>
    <w:rsid w:val="19856C4C"/>
    <w:rsid w:val="19A5109C"/>
    <w:rsid w:val="19AF2D20"/>
    <w:rsid w:val="19C53377"/>
    <w:rsid w:val="19FB2DB8"/>
    <w:rsid w:val="1A0A0DAD"/>
    <w:rsid w:val="1A2A2378"/>
    <w:rsid w:val="1A3C4C64"/>
    <w:rsid w:val="1A4E5290"/>
    <w:rsid w:val="1ABE1935"/>
    <w:rsid w:val="1AC6389F"/>
    <w:rsid w:val="1AD45755"/>
    <w:rsid w:val="1AFD0EB2"/>
    <w:rsid w:val="1B1954CA"/>
    <w:rsid w:val="1B1F095C"/>
    <w:rsid w:val="1B421B68"/>
    <w:rsid w:val="1B9704BD"/>
    <w:rsid w:val="1BCB7BD3"/>
    <w:rsid w:val="1C0F0A4F"/>
    <w:rsid w:val="1C140289"/>
    <w:rsid w:val="1C453717"/>
    <w:rsid w:val="1C5902C9"/>
    <w:rsid w:val="1C81222D"/>
    <w:rsid w:val="1C881AF3"/>
    <w:rsid w:val="1CA2454B"/>
    <w:rsid w:val="1CA95BCB"/>
    <w:rsid w:val="1CCB49AB"/>
    <w:rsid w:val="1D0B2C17"/>
    <w:rsid w:val="1D491D3F"/>
    <w:rsid w:val="1D573933"/>
    <w:rsid w:val="1D7373F4"/>
    <w:rsid w:val="1D7B3FD4"/>
    <w:rsid w:val="1D844E82"/>
    <w:rsid w:val="1D9B48DA"/>
    <w:rsid w:val="1DA90BE5"/>
    <w:rsid w:val="1DB77EF8"/>
    <w:rsid w:val="1DC44744"/>
    <w:rsid w:val="1DDC4EB7"/>
    <w:rsid w:val="1DE54844"/>
    <w:rsid w:val="1DF353E7"/>
    <w:rsid w:val="1DFF40C4"/>
    <w:rsid w:val="1E0243D2"/>
    <w:rsid w:val="1E2E0DC7"/>
    <w:rsid w:val="1E380A80"/>
    <w:rsid w:val="1E3F6792"/>
    <w:rsid w:val="1E6B3171"/>
    <w:rsid w:val="1E8D1E82"/>
    <w:rsid w:val="1EA84DBD"/>
    <w:rsid w:val="1F53010A"/>
    <w:rsid w:val="1F7D444F"/>
    <w:rsid w:val="1F882FF2"/>
    <w:rsid w:val="1F8C5F29"/>
    <w:rsid w:val="1FA13064"/>
    <w:rsid w:val="1FB545F4"/>
    <w:rsid w:val="1FD71BCA"/>
    <w:rsid w:val="1FDE371B"/>
    <w:rsid w:val="200030C3"/>
    <w:rsid w:val="200A3C6A"/>
    <w:rsid w:val="20844AF7"/>
    <w:rsid w:val="209634ED"/>
    <w:rsid w:val="209D0D1F"/>
    <w:rsid w:val="20C269D5"/>
    <w:rsid w:val="214F3468"/>
    <w:rsid w:val="21705A26"/>
    <w:rsid w:val="21C119AC"/>
    <w:rsid w:val="21EF0A6D"/>
    <w:rsid w:val="225C42C2"/>
    <w:rsid w:val="22635651"/>
    <w:rsid w:val="22842533"/>
    <w:rsid w:val="228C46C8"/>
    <w:rsid w:val="22917954"/>
    <w:rsid w:val="22D34652"/>
    <w:rsid w:val="22E97CB0"/>
    <w:rsid w:val="231D74E1"/>
    <w:rsid w:val="23340D46"/>
    <w:rsid w:val="234F2931"/>
    <w:rsid w:val="235A4FC3"/>
    <w:rsid w:val="23662EAA"/>
    <w:rsid w:val="23744E93"/>
    <w:rsid w:val="238B5857"/>
    <w:rsid w:val="23D07D6C"/>
    <w:rsid w:val="24084702"/>
    <w:rsid w:val="24247062"/>
    <w:rsid w:val="2433412C"/>
    <w:rsid w:val="246300E9"/>
    <w:rsid w:val="246851A0"/>
    <w:rsid w:val="246F374D"/>
    <w:rsid w:val="24815FDF"/>
    <w:rsid w:val="249D6913"/>
    <w:rsid w:val="24AD30E1"/>
    <w:rsid w:val="24CA7C09"/>
    <w:rsid w:val="24CD1F80"/>
    <w:rsid w:val="250F386E"/>
    <w:rsid w:val="25137802"/>
    <w:rsid w:val="25186AB2"/>
    <w:rsid w:val="256F1ACC"/>
    <w:rsid w:val="257F71D6"/>
    <w:rsid w:val="259D691C"/>
    <w:rsid w:val="259F1126"/>
    <w:rsid w:val="25C64874"/>
    <w:rsid w:val="25D02BA7"/>
    <w:rsid w:val="25D36F91"/>
    <w:rsid w:val="25D6319E"/>
    <w:rsid w:val="26591245"/>
    <w:rsid w:val="268838D8"/>
    <w:rsid w:val="269706D7"/>
    <w:rsid w:val="26971D6D"/>
    <w:rsid w:val="269C3827"/>
    <w:rsid w:val="26A319DE"/>
    <w:rsid w:val="26A83F7A"/>
    <w:rsid w:val="26E70092"/>
    <w:rsid w:val="26F251F5"/>
    <w:rsid w:val="27564F1D"/>
    <w:rsid w:val="275D2FB6"/>
    <w:rsid w:val="277025E4"/>
    <w:rsid w:val="27934C2A"/>
    <w:rsid w:val="27A658E8"/>
    <w:rsid w:val="27C6290A"/>
    <w:rsid w:val="28506677"/>
    <w:rsid w:val="289350BC"/>
    <w:rsid w:val="28A96DF3"/>
    <w:rsid w:val="28C810BA"/>
    <w:rsid w:val="28D04969"/>
    <w:rsid w:val="28E76FDC"/>
    <w:rsid w:val="29257B04"/>
    <w:rsid w:val="293E4722"/>
    <w:rsid w:val="29564161"/>
    <w:rsid w:val="295D54F0"/>
    <w:rsid w:val="29760746"/>
    <w:rsid w:val="29D05899"/>
    <w:rsid w:val="29EE77FA"/>
    <w:rsid w:val="2A183092"/>
    <w:rsid w:val="2A42453E"/>
    <w:rsid w:val="2A750617"/>
    <w:rsid w:val="2A924766"/>
    <w:rsid w:val="2A954815"/>
    <w:rsid w:val="2A96612D"/>
    <w:rsid w:val="2AA4584C"/>
    <w:rsid w:val="2AE33E50"/>
    <w:rsid w:val="2AF059EC"/>
    <w:rsid w:val="2AF64A5A"/>
    <w:rsid w:val="2B2E0004"/>
    <w:rsid w:val="2BBC693B"/>
    <w:rsid w:val="2BE12095"/>
    <w:rsid w:val="2C071B99"/>
    <w:rsid w:val="2C340FA3"/>
    <w:rsid w:val="2CC278F5"/>
    <w:rsid w:val="2CD960B7"/>
    <w:rsid w:val="2D397DDE"/>
    <w:rsid w:val="2D55028C"/>
    <w:rsid w:val="2D71156A"/>
    <w:rsid w:val="2DF119BD"/>
    <w:rsid w:val="2DF73E6D"/>
    <w:rsid w:val="2E002E0D"/>
    <w:rsid w:val="2EAF134A"/>
    <w:rsid w:val="2EDA313F"/>
    <w:rsid w:val="2EE8585B"/>
    <w:rsid w:val="2EF174F4"/>
    <w:rsid w:val="2F070FC0"/>
    <w:rsid w:val="2F1902F8"/>
    <w:rsid w:val="2F212B42"/>
    <w:rsid w:val="2F2F2C22"/>
    <w:rsid w:val="2F40717A"/>
    <w:rsid w:val="2F5F53F2"/>
    <w:rsid w:val="2F680F45"/>
    <w:rsid w:val="2F6B52FE"/>
    <w:rsid w:val="2F7C6841"/>
    <w:rsid w:val="2F7E3C17"/>
    <w:rsid w:val="2FC53709"/>
    <w:rsid w:val="2FE22D93"/>
    <w:rsid w:val="2FF63C21"/>
    <w:rsid w:val="30206B36"/>
    <w:rsid w:val="305A61FD"/>
    <w:rsid w:val="3064668B"/>
    <w:rsid w:val="309019CE"/>
    <w:rsid w:val="30B9673B"/>
    <w:rsid w:val="30ED2A50"/>
    <w:rsid w:val="311E517C"/>
    <w:rsid w:val="31455765"/>
    <w:rsid w:val="315D0E71"/>
    <w:rsid w:val="31787686"/>
    <w:rsid w:val="318A0E4C"/>
    <w:rsid w:val="3199554C"/>
    <w:rsid w:val="31B35D9A"/>
    <w:rsid w:val="31B96C42"/>
    <w:rsid w:val="31BD0B6E"/>
    <w:rsid w:val="31CE0B01"/>
    <w:rsid w:val="31F41057"/>
    <w:rsid w:val="320350AC"/>
    <w:rsid w:val="32252923"/>
    <w:rsid w:val="323D71D6"/>
    <w:rsid w:val="32501F46"/>
    <w:rsid w:val="325A3ABA"/>
    <w:rsid w:val="32655415"/>
    <w:rsid w:val="326E019D"/>
    <w:rsid w:val="329D5C54"/>
    <w:rsid w:val="32BD4696"/>
    <w:rsid w:val="32EF1668"/>
    <w:rsid w:val="331F0210"/>
    <w:rsid w:val="338115F3"/>
    <w:rsid w:val="33883AA4"/>
    <w:rsid w:val="338A6C98"/>
    <w:rsid w:val="33B215EF"/>
    <w:rsid w:val="33BA4979"/>
    <w:rsid w:val="33EB59D3"/>
    <w:rsid w:val="33F0700E"/>
    <w:rsid w:val="34083898"/>
    <w:rsid w:val="342162C0"/>
    <w:rsid w:val="34444F47"/>
    <w:rsid w:val="344A041F"/>
    <w:rsid w:val="34500DF9"/>
    <w:rsid w:val="3450337A"/>
    <w:rsid w:val="345224E6"/>
    <w:rsid w:val="34684D49"/>
    <w:rsid w:val="34963664"/>
    <w:rsid w:val="34A56048"/>
    <w:rsid w:val="34CA5357"/>
    <w:rsid w:val="34CE262F"/>
    <w:rsid w:val="35381BED"/>
    <w:rsid w:val="355E3836"/>
    <w:rsid w:val="35845BB2"/>
    <w:rsid w:val="358D242B"/>
    <w:rsid w:val="35974E7E"/>
    <w:rsid w:val="36054F45"/>
    <w:rsid w:val="36372A1E"/>
    <w:rsid w:val="365A6D65"/>
    <w:rsid w:val="36C74461"/>
    <w:rsid w:val="36EC75AB"/>
    <w:rsid w:val="379E4BEE"/>
    <w:rsid w:val="37B64A73"/>
    <w:rsid w:val="37EA2CA0"/>
    <w:rsid w:val="37F94635"/>
    <w:rsid w:val="384A3223"/>
    <w:rsid w:val="385A3428"/>
    <w:rsid w:val="38790EA4"/>
    <w:rsid w:val="3888722E"/>
    <w:rsid w:val="38E03ECE"/>
    <w:rsid w:val="38E817DA"/>
    <w:rsid w:val="390E4F3A"/>
    <w:rsid w:val="391E1E7A"/>
    <w:rsid w:val="396E2E01"/>
    <w:rsid w:val="397C3770"/>
    <w:rsid w:val="399637B3"/>
    <w:rsid w:val="39B64BC0"/>
    <w:rsid w:val="3A132230"/>
    <w:rsid w:val="3A305CCE"/>
    <w:rsid w:val="3A4C7C13"/>
    <w:rsid w:val="3A5D185A"/>
    <w:rsid w:val="3A7C198E"/>
    <w:rsid w:val="3A98058D"/>
    <w:rsid w:val="3ACE1A42"/>
    <w:rsid w:val="3AEE7AF0"/>
    <w:rsid w:val="3B2659CC"/>
    <w:rsid w:val="3B583D69"/>
    <w:rsid w:val="3B7E778D"/>
    <w:rsid w:val="3BB56F0D"/>
    <w:rsid w:val="3BE827F5"/>
    <w:rsid w:val="3C1C637D"/>
    <w:rsid w:val="3C1F5D64"/>
    <w:rsid w:val="3C2655E4"/>
    <w:rsid w:val="3C4B567C"/>
    <w:rsid w:val="3C552025"/>
    <w:rsid w:val="3C623DB2"/>
    <w:rsid w:val="3C7E0C6B"/>
    <w:rsid w:val="3C8D5B9D"/>
    <w:rsid w:val="3CB054DF"/>
    <w:rsid w:val="3CBF0ABC"/>
    <w:rsid w:val="3D0B72F3"/>
    <w:rsid w:val="3DA83535"/>
    <w:rsid w:val="3DC762C2"/>
    <w:rsid w:val="3E18643C"/>
    <w:rsid w:val="3E3A5F9B"/>
    <w:rsid w:val="3E3C5D2B"/>
    <w:rsid w:val="3E8458A2"/>
    <w:rsid w:val="3E9A01F4"/>
    <w:rsid w:val="3EDD36A0"/>
    <w:rsid w:val="3EDE27D7"/>
    <w:rsid w:val="3F3127A4"/>
    <w:rsid w:val="3F3A796C"/>
    <w:rsid w:val="3F400D9C"/>
    <w:rsid w:val="3F6D578B"/>
    <w:rsid w:val="3FA44AFA"/>
    <w:rsid w:val="3FAA57D9"/>
    <w:rsid w:val="3FB45118"/>
    <w:rsid w:val="3FEC4A80"/>
    <w:rsid w:val="3FEF1BAA"/>
    <w:rsid w:val="400756F9"/>
    <w:rsid w:val="40075FAE"/>
    <w:rsid w:val="401C5365"/>
    <w:rsid w:val="4034256B"/>
    <w:rsid w:val="40525790"/>
    <w:rsid w:val="40562289"/>
    <w:rsid w:val="40752CC7"/>
    <w:rsid w:val="409C4A4B"/>
    <w:rsid w:val="40B25CC9"/>
    <w:rsid w:val="40D02F9B"/>
    <w:rsid w:val="40D121BC"/>
    <w:rsid w:val="40D942BE"/>
    <w:rsid w:val="40E340D5"/>
    <w:rsid w:val="40F63E08"/>
    <w:rsid w:val="4191776D"/>
    <w:rsid w:val="41B11ADD"/>
    <w:rsid w:val="41CC1615"/>
    <w:rsid w:val="41F8770C"/>
    <w:rsid w:val="422872DD"/>
    <w:rsid w:val="424010B3"/>
    <w:rsid w:val="42527EB1"/>
    <w:rsid w:val="42657F47"/>
    <w:rsid w:val="427D02C5"/>
    <w:rsid w:val="428216CB"/>
    <w:rsid w:val="428A31E3"/>
    <w:rsid w:val="4305729B"/>
    <w:rsid w:val="437034B5"/>
    <w:rsid w:val="438902EA"/>
    <w:rsid w:val="439B2A45"/>
    <w:rsid w:val="43BC2100"/>
    <w:rsid w:val="43D62B72"/>
    <w:rsid w:val="43E50164"/>
    <w:rsid w:val="441B3B85"/>
    <w:rsid w:val="442944F4"/>
    <w:rsid w:val="44431181"/>
    <w:rsid w:val="445F1CC4"/>
    <w:rsid w:val="447800E4"/>
    <w:rsid w:val="44835684"/>
    <w:rsid w:val="448357A4"/>
    <w:rsid w:val="44B97920"/>
    <w:rsid w:val="44C32FF0"/>
    <w:rsid w:val="44CE660D"/>
    <w:rsid w:val="44F55703"/>
    <w:rsid w:val="45350C77"/>
    <w:rsid w:val="45776A60"/>
    <w:rsid w:val="45B002FD"/>
    <w:rsid w:val="45DE11BC"/>
    <w:rsid w:val="46162856"/>
    <w:rsid w:val="46470C62"/>
    <w:rsid w:val="464A319D"/>
    <w:rsid w:val="464C22FE"/>
    <w:rsid w:val="4680073B"/>
    <w:rsid w:val="46904017"/>
    <w:rsid w:val="46FA5C34"/>
    <w:rsid w:val="473D47BE"/>
    <w:rsid w:val="4748180C"/>
    <w:rsid w:val="474F0C1F"/>
    <w:rsid w:val="4762496C"/>
    <w:rsid w:val="47817596"/>
    <w:rsid w:val="47CB2994"/>
    <w:rsid w:val="47D81FA9"/>
    <w:rsid w:val="48012C8C"/>
    <w:rsid w:val="484424CC"/>
    <w:rsid w:val="486771FE"/>
    <w:rsid w:val="488A1818"/>
    <w:rsid w:val="48961A2D"/>
    <w:rsid w:val="48BA75DF"/>
    <w:rsid w:val="48EB7BFF"/>
    <w:rsid w:val="48FA6BE8"/>
    <w:rsid w:val="48FF5824"/>
    <w:rsid w:val="4927271F"/>
    <w:rsid w:val="49496FEE"/>
    <w:rsid w:val="4995139B"/>
    <w:rsid w:val="49E84207"/>
    <w:rsid w:val="4A2402B8"/>
    <w:rsid w:val="4A69322A"/>
    <w:rsid w:val="4A751AA0"/>
    <w:rsid w:val="4ABF775D"/>
    <w:rsid w:val="4AD60806"/>
    <w:rsid w:val="4B027C7C"/>
    <w:rsid w:val="4B0B2552"/>
    <w:rsid w:val="4B423AD0"/>
    <w:rsid w:val="4B4A7913"/>
    <w:rsid w:val="4B647BC0"/>
    <w:rsid w:val="4B8F6261"/>
    <w:rsid w:val="4BBA0D7E"/>
    <w:rsid w:val="4BC6087B"/>
    <w:rsid w:val="4C1650B2"/>
    <w:rsid w:val="4C1E0007"/>
    <w:rsid w:val="4C4665A4"/>
    <w:rsid w:val="4C81065D"/>
    <w:rsid w:val="4C847B78"/>
    <w:rsid w:val="4CDE3A5D"/>
    <w:rsid w:val="4CF33F27"/>
    <w:rsid w:val="4D13189E"/>
    <w:rsid w:val="4D28311B"/>
    <w:rsid w:val="4D48612F"/>
    <w:rsid w:val="4D761E2D"/>
    <w:rsid w:val="4DBB6B84"/>
    <w:rsid w:val="4DC86DBB"/>
    <w:rsid w:val="4DD16E02"/>
    <w:rsid w:val="4DD9543A"/>
    <w:rsid w:val="4E3E1298"/>
    <w:rsid w:val="4E401BD4"/>
    <w:rsid w:val="4E5B3F58"/>
    <w:rsid w:val="4E6D76D3"/>
    <w:rsid w:val="4E701B72"/>
    <w:rsid w:val="4E75607B"/>
    <w:rsid w:val="4E8E137D"/>
    <w:rsid w:val="4EA3138B"/>
    <w:rsid w:val="4EB412F4"/>
    <w:rsid w:val="4EB875EA"/>
    <w:rsid w:val="4F0A0AD1"/>
    <w:rsid w:val="4F277F7B"/>
    <w:rsid w:val="4F304989"/>
    <w:rsid w:val="4F3F2182"/>
    <w:rsid w:val="4F50745F"/>
    <w:rsid w:val="4F610ED1"/>
    <w:rsid w:val="4FAA7576"/>
    <w:rsid w:val="4FC91990"/>
    <w:rsid w:val="4FFD03FE"/>
    <w:rsid w:val="501E6855"/>
    <w:rsid w:val="50397C5E"/>
    <w:rsid w:val="50632B3C"/>
    <w:rsid w:val="50715259"/>
    <w:rsid w:val="507F724A"/>
    <w:rsid w:val="50EE6CA5"/>
    <w:rsid w:val="512D6CA6"/>
    <w:rsid w:val="51314253"/>
    <w:rsid w:val="516C47A4"/>
    <w:rsid w:val="5196484B"/>
    <w:rsid w:val="51A41D59"/>
    <w:rsid w:val="51AA5532"/>
    <w:rsid w:val="51AB06D5"/>
    <w:rsid w:val="520C7405"/>
    <w:rsid w:val="524601D9"/>
    <w:rsid w:val="524E5126"/>
    <w:rsid w:val="526F102A"/>
    <w:rsid w:val="52C55138"/>
    <w:rsid w:val="531D37E6"/>
    <w:rsid w:val="53445CE4"/>
    <w:rsid w:val="53677AF3"/>
    <w:rsid w:val="53A220DB"/>
    <w:rsid w:val="53BC3D8F"/>
    <w:rsid w:val="53DC50DF"/>
    <w:rsid w:val="53FF1617"/>
    <w:rsid w:val="54162C04"/>
    <w:rsid w:val="54315E0B"/>
    <w:rsid w:val="544F4C80"/>
    <w:rsid w:val="545F361A"/>
    <w:rsid w:val="5474659C"/>
    <w:rsid w:val="54893D71"/>
    <w:rsid w:val="549332C4"/>
    <w:rsid w:val="54B73456"/>
    <w:rsid w:val="54F46CF1"/>
    <w:rsid w:val="55164E0C"/>
    <w:rsid w:val="551E34D6"/>
    <w:rsid w:val="555D5DAC"/>
    <w:rsid w:val="558F7F2F"/>
    <w:rsid w:val="55955B18"/>
    <w:rsid w:val="55A81EB1"/>
    <w:rsid w:val="55E83B60"/>
    <w:rsid w:val="55F629D4"/>
    <w:rsid w:val="5609034A"/>
    <w:rsid w:val="56184D18"/>
    <w:rsid w:val="563F59F3"/>
    <w:rsid w:val="56521849"/>
    <w:rsid w:val="5653771C"/>
    <w:rsid w:val="56582191"/>
    <w:rsid w:val="56596112"/>
    <w:rsid w:val="565C2F73"/>
    <w:rsid w:val="56907D46"/>
    <w:rsid w:val="56A36416"/>
    <w:rsid w:val="56AB7AB7"/>
    <w:rsid w:val="56D40870"/>
    <w:rsid w:val="572A4DAB"/>
    <w:rsid w:val="578F3663"/>
    <w:rsid w:val="57F814BA"/>
    <w:rsid w:val="58006EC2"/>
    <w:rsid w:val="581A233E"/>
    <w:rsid w:val="581C2A2E"/>
    <w:rsid w:val="58253757"/>
    <w:rsid w:val="58356A60"/>
    <w:rsid w:val="58523BC2"/>
    <w:rsid w:val="58643333"/>
    <w:rsid w:val="586A50EB"/>
    <w:rsid w:val="5881745E"/>
    <w:rsid w:val="588C69A8"/>
    <w:rsid w:val="58D44529"/>
    <w:rsid w:val="58FD62BE"/>
    <w:rsid w:val="5919433B"/>
    <w:rsid w:val="59430777"/>
    <w:rsid w:val="595C7D9C"/>
    <w:rsid w:val="596C4060"/>
    <w:rsid w:val="597E053E"/>
    <w:rsid w:val="599C4A9D"/>
    <w:rsid w:val="59D96D1F"/>
    <w:rsid w:val="5A1F38CE"/>
    <w:rsid w:val="5A276988"/>
    <w:rsid w:val="5A2B2A41"/>
    <w:rsid w:val="5A2F009D"/>
    <w:rsid w:val="5A356D9C"/>
    <w:rsid w:val="5A364E1D"/>
    <w:rsid w:val="5A442897"/>
    <w:rsid w:val="5A5C111A"/>
    <w:rsid w:val="5AB159B1"/>
    <w:rsid w:val="5AC2200A"/>
    <w:rsid w:val="5AC810A8"/>
    <w:rsid w:val="5AC81FAD"/>
    <w:rsid w:val="5AEE5646"/>
    <w:rsid w:val="5AFE4D34"/>
    <w:rsid w:val="5B4F43E9"/>
    <w:rsid w:val="5B863B83"/>
    <w:rsid w:val="5BA92353"/>
    <w:rsid w:val="5BCB602C"/>
    <w:rsid w:val="5BE510E3"/>
    <w:rsid w:val="5C310637"/>
    <w:rsid w:val="5C6279EE"/>
    <w:rsid w:val="5C99699E"/>
    <w:rsid w:val="5CA8355F"/>
    <w:rsid w:val="5CAA20A9"/>
    <w:rsid w:val="5CC52489"/>
    <w:rsid w:val="5CDE3529"/>
    <w:rsid w:val="5CE842FC"/>
    <w:rsid w:val="5CF76C7C"/>
    <w:rsid w:val="5D321A8D"/>
    <w:rsid w:val="5D390F49"/>
    <w:rsid w:val="5D42496D"/>
    <w:rsid w:val="5D4914CE"/>
    <w:rsid w:val="5D7E30B2"/>
    <w:rsid w:val="5D8738F8"/>
    <w:rsid w:val="5D8F0435"/>
    <w:rsid w:val="5DEB5F1F"/>
    <w:rsid w:val="5E005689"/>
    <w:rsid w:val="5E331DA0"/>
    <w:rsid w:val="5E4C19C5"/>
    <w:rsid w:val="5E4C4C10"/>
    <w:rsid w:val="5EAD4FFC"/>
    <w:rsid w:val="5EC07FE1"/>
    <w:rsid w:val="5EC319E8"/>
    <w:rsid w:val="5ECA7E72"/>
    <w:rsid w:val="5ECE2359"/>
    <w:rsid w:val="5F652B34"/>
    <w:rsid w:val="5F925E4B"/>
    <w:rsid w:val="5F9C6D41"/>
    <w:rsid w:val="5F9D64F8"/>
    <w:rsid w:val="5FB95927"/>
    <w:rsid w:val="5FED0916"/>
    <w:rsid w:val="60320225"/>
    <w:rsid w:val="60331DE9"/>
    <w:rsid w:val="6064638C"/>
    <w:rsid w:val="6083177B"/>
    <w:rsid w:val="611008D8"/>
    <w:rsid w:val="61175C40"/>
    <w:rsid w:val="611D6D37"/>
    <w:rsid w:val="61380692"/>
    <w:rsid w:val="613A1697"/>
    <w:rsid w:val="614065C8"/>
    <w:rsid w:val="614E16CD"/>
    <w:rsid w:val="6191382B"/>
    <w:rsid w:val="61A402A2"/>
    <w:rsid w:val="61B431F8"/>
    <w:rsid w:val="61C22D43"/>
    <w:rsid w:val="61D842D9"/>
    <w:rsid w:val="61E635CD"/>
    <w:rsid w:val="621D05DD"/>
    <w:rsid w:val="625422E5"/>
    <w:rsid w:val="62C751AC"/>
    <w:rsid w:val="62F519FA"/>
    <w:rsid w:val="63401557"/>
    <w:rsid w:val="635D10D1"/>
    <w:rsid w:val="63AA5E5C"/>
    <w:rsid w:val="641B57B0"/>
    <w:rsid w:val="643423CE"/>
    <w:rsid w:val="643C1282"/>
    <w:rsid w:val="643E4FFA"/>
    <w:rsid w:val="646F2241"/>
    <w:rsid w:val="64835B4F"/>
    <w:rsid w:val="648E65ED"/>
    <w:rsid w:val="64B12730"/>
    <w:rsid w:val="64CA79CF"/>
    <w:rsid w:val="64EA6F30"/>
    <w:rsid w:val="6509742A"/>
    <w:rsid w:val="65AE7F5E"/>
    <w:rsid w:val="65B85E16"/>
    <w:rsid w:val="65C50FC8"/>
    <w:rsid w:val="661701F9"/>
    <w:rsid w:val="664C7BC9"/>
    <w:rsid w:val="668F2364"/>
    <w:rsid w:val="66A52900"/>
    <w:rsid w:val="66A55381"/>
    <w:rsid w:val="66C1318B"/>
    <w:rsid w:val="66FD119D"/>
    <w:rsid w:val="673F7171"/>
    <w:rsid w:val="67760876"/>
    <w:rsid w:val="67A07D7A"/>
    <w:rsid w:val="67A20C70"/>
    <w:rsid w:val="67AE45C2"/>
    <w:rsid w:val="67F73E3E"/>
    <w:rsid w:val="684F6A99"/>
    <w:rsid w:val="68595FFC"/>
    <w:rsid w:val="687C4343"/>
    <w:rsid w:val="689E7762"/>
    <w:rsid w:val="68CF1CB3"/>
    <w:rsid w:val="68F4037D"/>
    <w:rsid w:val="6912129D"/>
    <w:rsid w:val="693C3AD3"/>
    <w:rsid w:val="694057E6"/>
    <w:rsid w:val="699B2EEF"/>
    <w:rsid w:val="69B0025C"/>
    <w:rsid w:val="6A050368"/>
    <w:rsid w:val="6A914238"/>
    <w:rsid w:val="6AA26564"/>
    <w:rsid w:val="6AAE3844"/>
    <w:rsid w:val="6ABC1A80"/>
    <w:rsid w:val="6AC2533F"/>
    <w:rsid w:val="6AC55F94"/>
    <w:rsid w:val="6AC85D45"/>
    <w:rsid w:val="6AD853F6"/>
    <w:rsid w:val="6B207D71"/>
    <w:rsid w:val="6B2410B6"/>
    <w:rsid w:val="6B2714FC"/>
    <w:rsid w:val="6B3B04E6"/>
    <w:rsid w:val="6B9A47AC"/>
    <w:rsid w:val="6BAF4A30"/>
    <w:rsid w:val="6BBB736F"/>
    <w:rsid w:val="6BC10A4C"/>
    <w:rsid w:val="6BC45B81"/>
    <w:rsid w:val="6BC71D79"/>
    <w:rsid w:val="6BC823AE"/>
    <w:rsid w:val="6C2A35EF"/>
    <w:rsid w:val="6C2F06A5"/>
    <w:rsid w:val="6C33070D"/>
    <w:rsid w:val="6C33406E"/>
    <w:rsid w:val="6C3A5183"/>
    <w:rsid w:val="6C5213A2"/>
    <w:rsid w:val="6C627CF4"/>
    <w:rsid w:val="6C630869"/>
    <w:rsid w:val="6C6707C2"/>
    <w:rsid w:val="6C7A3290"/>
    <w:rsid w:val="6CBC3D37"/>
    <w:rsid w:val="6CD401CF"/>
    <w:rsid w:val="6D0C4652"/>
    <w:rsid w:val="6D326C1C"/>
    <w:rsid w:val="6D3A173E"/>
    <w:rsid w:val="6D4A0EB4"/>
    <w:rsid w:val="6D4B6683"/>
    <w:rsid w:val="6D761E1D"/>
    <w:rsid w:val="6D84709F"/>
    <w:rsid w:val="6D8E53ED"/>
    <w:rsid w:val="6DAD1516"/>
    <w:rsid w:val="6E05185A"/>
    <w:rsid w:val="6E553A37"/>
    <w:rsid w:val="6E582CD4"/>
    <w:rsid w:val="6F0155A2"/>
    <w:rsid w:val="6F2178A7"/>
    <w:rsid w:val="6F4D5ECB"/>
    <w:rsid w:val="6F717C57"/>
    <w:rsid w:val="6F7B3803"/>
    <w:rsid w:val="6F911683"/>
    <w:rsid w:val="6FAE6CD3"/>
    <w:rsid w:val="6FB14D0A"/>
    <w:rsid w:val="6FC22F83"/>
    <w:rsid w:val="6FC32D6B"/>
    <w:rsid w:val="6FEA0947"/>
    <w:rsid w:val="702A1FF1"/>
    <w:rsid w:val="70605449"/>
    <w:rsid w:val="7097088E"/>
    <w:rsid w:val="70BA5FB1"/>
    <w:rsid w:val="70CF66BA"/>
    <w:rsid w:val="70EE3140"/>
    <w:rsid w:val="70FF1FB5"/>
    <w:rsid w:val="712A703B"/>
    <w:rsid w:val="71573B9F"/>
    <w:rsid w:val="71857A9F"/>
    <w:rsid w:val="71861E3F"/>
    <w:rsid w:val="71A00E12"/>
    <w:rsid w:val="72025681"/>
    <w:rsid w:val="721962FC"/>
    <w:rsid w:val="72260144"/>
    <w:rsid w:val="72675888"/>
    <w:rsid w:val="72835BE3"/>
    <w:rsid w:val="72B8241C"/>
    <w:rsid w:val="72C530E3"/>
    <w:rsid w:val="72CC236B"/>
    <w:rsid w:val="72E66F89"/>
    <w:rsid w:val="731D4E77"/>
    <w:rsid w:val="73374BA6"/>
    <w:rsid w:val="736F3422"/>
    <w:rsid w:val="73901E4B"/>
    <w:rsid w:val="73926BEC"/>
    <w:rsid w:val="739F35DC"/>
    <w:rsid w:val="73A06F86"/>
    <w:rsid w:val="73A82490"/>
    <w:rsid w:val="73E7649E"/>
    <w:rsid w:val="74392867"/>
    <w:rsid w:val="746070BC"/>
    <w:rsid w:val="74663172"/>
    <w:rsid w:val="74D900F6"/>
    <w:rsid w:val="74F17E67"/>
    <w:rsid w:val="74FB7416"/>
    <w:rsid w:val="750051D8"/>
    <w:rsid w:val="750741FE"/>
    <w:rsid w:val="750E239F"/>
    <w:rsid w:val="75130A11"/>
    <w:rsid w:val="75455CB9"/>
    <w:rsid w:val="755A1EB0"/>
    <w:rsid w:val="757945AE"/>
    <w:rsid w:val="759C6138"/>
    <w:rsid w:val="75B061D1"/>
    <w:rsid w:val="75B07915"/>
    <w:rsid w:val="760A3992"/>
    <w:rsid w:val="761A4E06"/>
    <w:rsid w:val="761B087E"/>
    <w:rsid w:val="761C5BBB"/>
    <w:rsid w:val="76320737"/>
    <w:rsid w:val="768E1AEB"/>
    <w:rsid w:val="769E5DCD"/>
    <w:rsid w:val="76AB5485"/>
    <w:rsid w:val="7702635B"/>
    <w:rsid w:val="77046275"/>
    <w:rsid w:val="7727243A"/>
    <w:rsid w:val="775153FA"/>
    <w:rsid w:val="7758015A"/>
    <w:rsid w:val="778C3F4A"/>
    <w:rsid w:val="780A0594"/>
    <w:rsid w:val="78314A17"/>
    <w:rsid w:val="78744074"/>
    <w:rsid w:val="78831224"/>
    <w:rsid w:val="788A03B6"/>
    <w:rsid w:val="78C23FF4"/>
    <w:rsid w:val="78C65FDE"/>
    <w:rsid w:val="78CC0EBB"/>
    <w:rsid w:val="78D6200E"/>
    <w:rsid w:val="78D9165B"/>
    <w:rsid w:val="78F33034"/>
    <w:rsid w:val="78F9496A"/>
    <w:rsid w:val="78FA7FA4"/>
    <w:rsid w:val="79336CA0"/>
    <w:rsid w:val="79440B2F"/>
    <w:rsid w:val="795A15BC"/>
    <w:rsid w:val="79672462"/>
    <w:rsid w:val="79C0156F"/>
    <w:rsid w:val="79DC2E94"/>
    <w:rsid w:val="79F3642F"/>
    <w:rsid w:val="7A0C6C65"/>
    <w:rsid w:val="7A0E29D1"/>
    <w:rsid w:val="7A4B776E"/>
    <w:rsid w:val="7A831561"/>
    <w:rsid w:val="7AA32CA1"/>
    <w:rsid w:val="7AC66C70"/>
    <w:rsid w:val="7B115F27"/>
    <w:rsid w:val="7B170752"/>
    <w:rsid w:val="7B3D0475"/>
    <w:rsid w:val="7B522508"/>
    <w:rsid w:val="7B5F1FCE"/>
    <w:rsid w:val="7B794EA0"/>
    <w:rsid w:val="7B871525"/>
    <w:rsid w:val="7B892224"/>
    <w:rsid w:val="7B947AC3"/>
    <w:rsid w:val="7BF87B2D"/>
    <w:rsid w:val="7C371424"/>
    <w:rsid w:val="7C3A140E"/>
    <w:rsid w:val="7C8F68E3"/>
    <w:rsid w:val="7CA16380"/>
    <w:rsid w:val="7CA73C2D"/>
    <w:rsid w:val="7CB352B8"/>
    <w:rsid w:val="7D2863F0"/>
    <w:rsid w:val="7D2B59B9"/>
    <w:rsid w:val="7D3721FA"/>
    <w:rsid w:val="7D5B3117"/>
    <w:rsid w:val="7D5C7CC6"/>
    <w:rsid w:val="7D7D3A9E"/>
    <w:rsid w:val="7DE9456F"/>
    <w:rsid w:val="7E205375"/>
    <w:rsid w:val="7E3C2A3A"/>
    <w:rsid w:val="7EA00417"/>
    <w:rsid w:val="7ECF6E96"/>
    <w:rsid w:val="7F0B7D77"/>
    <w:rsid w:val="7F237A27"/>
    <w:rsid w:val="7F2C4162"/>
    <w:rsid w:val="7F2E1618"/>
    <w:rsid w:val="7F4A0F5A"/>
    <w:rsid w:val="7F5E27E4"/>
    <w:rsid w:val="7F6D44EB"/>
    <w:rsid w:val="7F8B472E"/>
    <w:rsid w:val="7F9E2999"/>
    <w:rsid w:val="7FAB6CE1"/>
    <w:rsid w:val="7FAD6D90"/>
    <w:rsid w:val="7FDB3FB5"/>
    <w:rsid w:val="7FE241CA"/>
    <w:rsid w:val="98BC2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3"/>
    <w:basedOn w:val="1"/>
    <w:next w:val="1"/>
    <w:qFormat/>
    <w:uiPriority w:val="0"/>
    <w:pPr>
      <w:keepNext/>
      <w:keepLines/>
      <w:widowControl w:val="0"/>
      <w:spacing w:before="260" w:after="260" w:line="412" w:lineRule="auto"/>
      <w:outlineLvl w:val="2"/>
    </w:pPr>
    <w:rPr>
      <w:b/>
      <w:sz w:val="32"/>
    </w:rPr>
  </w:style>
  <w:style w:type="paragraph" w:styleId="3">
    <w:name w:val="heading 4"/>
    <w:basedOn w:val="1"/>
    <w:next w:val="1"/>
    <w:qFormat/>
    <w:uiPriority w:val="0"/>
    <w:pPr>
      <w:keepNext/>
      <w:keepLines/>
      <w:spacing w:before="280" w:after="290" w:line="374" w:lineRule="auto"/>
      <w:outlineLvl w:val="3"/>
    </w:pPr>
    <w:rPr>
      <w:rFonts w:eastAsia="黑体"/>
      <w:b/>
      <w:bCs/>
      <w:sz w:val="28"/>
      <w:szCs w:val="28"/>
    </w:rPr>
  </w:style>
  <w:style w:type="paragraph" w:styleId="4">
    <w:name w:val="heading 5"/>
    <w:basedOn w:val="1"/>
    <w:next w:val="1"/>
    <w:unhideWhenUsed/>
    <w:qFormat/>
    <w:uiPriority w:val="0"/>
    <w:pPr>
      <w:keepNext/>
      <w:keepLines/>
      <w:outlineLvl w:val="4"/>
    </w:pPr>
    <w:rPr>
      <w:rFonts w:ascii="楷体" w:hAnsi="楷体" w:eastAsia="楷体" w:cs="Times New Roman"/>
      <w:b/>
      <w:bCs/>
      <w:sz w:val="24"/>
      <w:szCs w:val="20"/>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25"/>
    <w:qFormat/>
    <w:uiPriority w:val="0"/>
    <w:rPr>
      <w:sz w:val="18"/>
      <w:szCs w:val="18"/>
    </w:rPr>
  </w:style>
  <w:style w:type="paragraph" w:styleId="8">
    <w:name w:val="Body Text"/>
    <w:basedOn w:val="1"/>
    <w:semiHidden/>
    <w:qFormat/>
    <w:uiPriority w:val="0"/>
  </w:style>
  <w:style w:type="paragraph" w:styleId="9">
    <w:name w:val="annotation text"/>
    <w:basedOn w:val="1"/>
    <w:qFormat/>
    <w:uiPriority w:val="0"/>
  </w:style>
  <w:style w:type="paragraph" w:styleId="10">
    <w:name w:val="envelope return"/>
    <w:basedOn w:val="1"/>
    <w:qFormat/>
    <w:uiPriority w:val="0"/>
  </w:style>
  <w:style w:type="paragraph" w:styleId="11">
    <w:name w:val="footer"/>
    <w:basedOn w:val="1"/>
    <w:qFormat/>
    <w:uiPriority w:val="0"/>
    <w:pPr>
      <w:tabs>
        <w:tab w:val="center" w:pos="4153"/>
        <w:tab w:val="right" w:pos="8306"/>
      </w:tabs>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3">
    <w:name w:val="Plain Text"/>
    <w:next w:val="10"/>
    <w:qFormat/>
    <w:uiPriority w:val="0"/>
    <w:pPr>
      <w:widowControl w:val="0"/>
      <w:jc w:val="both"/>
    </w:pPr>
    <w:rPr>
      <w:rFonts w:ascii="Cambria Math" w:hAnsi="华康简楷" w:eastAsia="等线" w:cs="Courier New"/>
      <w:kern w:val="2"/>
      <w:sz w:val="21"/>
      <w:szCs w:val="21"/>
      <w:lang w:val="en-US" w:eastAsia="zh-CN" w:bidi="ar-SA"/>
    </w:rPr>
  </w:style>
  <w:style w:type="character" w:styleId="14">
    <w:name w:val="Strong"/>
    <w:basedOn w:val="5"/>
    <w:qFormat/>
    <w:uiPriority w:val="0"/>
    <w:rPr>
      <w:b/>
    </w:rPr>
  </w:style>
  <w:style w:type="paragraph" w:styleId="15">
    <w:name w:val="Subtitle"/>
    <w:basedOn w:val="1"/>
    <w:next w:val="1"/>
    <w:qFormat/>
    <w:uiPriority w:val="0"/>
    <w:pPr>
      <w:spacing w:before="240" w:after="60" w:line="312" w:lineRule="auto"/>
      <w:jc w:val="center"/>
      <w:outlineLvl w:val="1"/>
    </w:pPr>
    <w:rPr>
      <w:rFonts w:ascii="Cambria" w:hAnsi="Cambria" w:eastAsia="Times New Roman"/>
      <w:b/>
      <w:bCs/>
      <w:kern w:val="28"/>
      <w:sz w:val="32"/>
      <w:szCs w:val="32"/>
    </w:rPr>
  </w:style>
  <w:style w:type="table" w:styleId="16">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toc 1"/>
    <w:basedOn w:val="1"/>
    <w:next w:val="1"/>
    <w:qFormat/>
    <w:uiPriority w:val="0"/>
  </w:style>
  <w:style w:type="paragraph" w:styleId="18">
    <w:name w:val="toc 2"/>
    <w:basedOn w:val="1"/>
    <w:next w:val="1"/>
    <w:qFormat/>
    <w:uiPriority w:val="0"/>
    <w:pPr>
      <w:ind w:left="420" w:leftChars="200"/>
    </w:pPr>
  </w:style>
  <w:style w:type="paragraph" w:styleId="19">
    <w:name w:val="toc 3"/>
    <w:basedOn w:val="1"/>
    <w:next w:val="1"/>
    <w:qFormat/>
    <w:uiPriority w:val="0"/>
    <w:pPr>
      <w:ind w:left="840" w:leftChars="400"/>
    </w:pPr>
  </w:style>
  <w:style w:type="table" w:customStyle="1" w:styleId="20">
    <w:name w:val="Table Normal1"/>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18"/>
      <w:szCs w:val="18"/>
    </w:rPr>
  </w:style>
  <w:style w:type="paragraph" w:customStyle="1" w:styleId="2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正文_0_0_0_0_0"/>
    <w:basedOn w:val="22"/>
    <w:semiHidden/>
    <w:qFormat/>
    <w:uiPriority w:val="99"/>
    <w:rPr>
      <w:rFonts w:ascii="Calibri" w:hAnsi="Calibri"/>
    </w:rPr>
  </w:style>
  <w:style w:type="character" w:customStyle="1" w:styleId="24">
    <w:name w:val="标题 4 Char Char Char Char"/>
    <w:qFormat/>
    <w:uiPriority w:val="0"/>
    <w:rPr>
      <w:rFonts w:eastAsia="楷体_GB2312"/>
      <w:b/>
      <w:snapToGrid w:val="0"/>
      <w:sz w:val="24"/>
      <w:lang w:val="en-US" w:eastAsia="zh-CN" w:bidi="ar-SA"/>
    </w:rPr>
  </w:style>
  <w:style w:type="character" w:customStyle="1" w:styleId="25">
    <w:name w:val="批注框文本 字符"/>
    <w:basedOn w:val="5"/>
    <w:link w:val="7"/>
    <w:qFormat/>
    <w:uiPriority w:val="0"/>
    <w:rPr>
      <w:rFonts w:ascii="Arial" w:hAnsi="Arial" w:eastAsia="Arial" w:cs="Arial"/>
      <w:snapToGrid w:val="0"/>
      <w:color w:val="000000"/>
      <w:sz w:val="18"/>
      <w:szCs w:val="18"/>
      <w:lang w:eastAsia="en-US"/>
    </w:rPr>
  </w:style>
  <w:style w:type="paragraph" w:customStyle="1" w:styleId="26">
    <w:name w:val="图表n.n-n"/>
    <w:basedOn w:val="1"/>
    <w:next w:val="1"/>
    <w:qFormat/>
    <w:uiPriority w:val="2"/>
    <w:pPr>
      <w:jc w:val="center"/>
    </w:pPr>
    <w:rPr>
      <w:b/>
      <w:bCs/>
      <w:szCs w:val="24"/>
    </w:rPr>
  </w:style>
  <w:style w:type="paragraph" w:customStyle="1" w:styleId="27">
    <w:name w:val="图表"/>
    <w:basedOn w:val="1"/>
    <w:next w:val="1"/>
    <w:qFormat/>
    <w:uiPriority w:val="0"/>
    <w:pPr>
      <w:tabs>
        <w:tab w:val="left" w:pos="3025"/>
      </w:tabs>
      <w:adjustRightInd/>
      <w:spacing w:line="0" w:lineRule="atLeast"/>
      <w:jc w:val="center"/>
    </w:pPr>
    <w:rPr>
      <w:kern w:val="2"/>
      <w:szCs w:val="24"/>
    </w:rPr>
  </w:style>
  <w:style w:type="paragraph" w:customStyle="1" w:styleId="28">
    <w:name w:val="修订1"/>
    <w:hidden/>
    <w:unhideWhenUsed/>
    <w:qFormat/>
    <w:uiPriority w:val="99"/>
    <w:rPr>
      <w:rFonts w:ascii="Arial" w:hAnsi="Arial" w:eastAsia="Arial" w:cs="Arial"/>
      <w:snapToGrid w:val="0"/>
      <w:color w:val="000000"/>
      <w:sz w:val="21"/>
      <w:szCs w:val="21"/>
      <w:lang w:val="en-US" w:eastAsia="en-US" w:bidi="ar-SA"/>
    </w:rPr>
  </w:style>
  <w:style w:type="paragraph" w:customStyle="1" w:styleId="29">
    <w:name w:val="Revision"/>
    <w:hidden/>
    <w:unhideWhenUsed/>
    <w:qFormat/>
    <w:uiPriority w:val="99"/>
    <w:rPr>
      <w:rFonts w:ascii="Arial" w:hAnsi="Arial" w:eastAsia="Arial" w:cs="Arial"/>
      <w:snapToGrid w:val="0"/>
      <w:color w:val="000000"/>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DA0F62-4D71-4B41-A20C-4394EA916EFF}">
  <ds:schemaRefs/>
</ds:datastoreItem>
</file>

<file path=docProps/app.xml><?xml version="1.0" encoding="utf-8"?>
<Properties xmlns="http://schemas.openxmlformats.org/officeDocument/2006/extended-properties" xmlns:vt="http://schemas.openxmlformats.org/officeDocument/2006/docPropsVTypes">
  <Template>Normal</Template>
  <Pages>537</Pages>
  <Words>3975</Words>
  <Characters>5312</Characters>
  <Lines>2433</Lines>
  <Paragraphs>685</Paragraphs>
  <TotalTime>17</TotalTime>
  <ScaleCrop>false</ScaleCrop>
  <LinksUpToDate>false</LinksUpToDate>
  <CharactersWithSpaces>7567</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2025-10-10T22:24:00Z</dcterms:created>
  <dc:creator>user</dc:creator>
  <cp:lastModifiedBy>吴素均</cp:lastModifiedBy>
  <cp:lastPrinted>2026-04-10T11:17:00Z</cp:lastPrinted>
  <dcterms:modified xsi:type="dcterms:W3CDTF">2026-06-02T09:14:49Z</dcterms:modified>
  <dc:title>浙江应村混凝土面板堆石坝</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2025-11-07T17:44:06Z</vt:filetime>
  </property>
  <property fmtid="{D5CDD505-2E9C-101B-9397-08002B2CF9AE}" pid="4" name="KSOTemplateDocerSaveRecord">
    <vt:lpwstr>eyJoZGlkIjoiMDljYzUzMWQ4OWI0YzBkYjYzMDRhZTY5ZjZkYmFmYTgifQ==</vt:lpwstr>
  </property>
  <property fmtid="{D5CDD505-2E9C-101B-9397-08002B2CF9AE}" pid="5" name="KSOProductBuildVer">
    <vt:lpwstr>1033-12.1.0.25862</vt:lpwstr>
  </property>
  <property fmtid="{D5CDD505-2E9C-101B-9397-08002B2CF9AE}" pid="6" name="ICV">
    <vt:lpwstr>A44FD0FE1EE74B88A53D517B61B10F21_13</vt:lpwstr>
  </property>
</Properties>
</file>