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8" w:lineRule="auto"/>
        <w:jc w:val="both"/>
        <w:rPr>
          <w:rFonts w:hint="eastAsia" w:ascii="宋体" w:hAnsi="宋体" w:eastAsia="宋体" w:cs="宋体"/>
          <w:color w:val="auto"/>
          <w:highlight w:val="none"/>
        </w:rPr>
      </w:pPr>
      <w:bookmarkStart w:id="93" w:name="_GoBack"/>
      <w:bookmarkEnd w:id="93"/>
    </w:p>
    <w:p>
      <w:pPr>
        <w:spacing w:line="258" w:lineRule="auto"/>
        <w:jc w:val="both"/>
        <w:rPr>
          <w:rFonts w:hint="eastAsia" w:ascii="宋体" w:hAnsi="宋体" w:eastAsia="宋体" w:cs="宋体"/>
          <w:color w:val="auto"/>
          <w:highlight w:val="none"/>
        </w:rPr>
      </w:pPr>
    </w:p>
    <w:p>
      <w:pPr>
        <w:spacing w:line="258" w:lineRule="auto"/>
        <w:jc w:val="both"/>
        <w:rPr>
          <w:rFonts w:hint="eastAsia" w:ascii="宋体" w:hAnsi="宋体" w:eastAsia="宋体" w:cs="宋体"/>
          <w:color w:val="auto"/>
          <w:highlight w:val="none"/>
        </w:rPr>
      </w:pPr>
    </w:p>
    <w:p>
      <w:pPr>
        <w:spacing w:line="258" w:lineRule="auto"/>
        <w:jc w:val="both"/>
        <w:rPr>
          <w:rFonts w:hint="eastAsia" w:ascii="宋体" w:hAnsi="宋体" w:eastAsia="宋体" w:cs="宋体"/>
          <w:color w:val="auto"/>
          <w:highlight w:val="none"/>
        </w:rPr>
      </w:pPr>
    </w:p>
    <w:p>
      <w:pPr>
        <w:spacing w:line="259" w:lineRule="auto"/>
        <w:jc w:val="both"/>
        <w:rPr>
          <w:rFonts w:hint="eastAsia" w:ascii="宋体" w:hAnsi="宋体" w:eastAsia="宋体" w:cs="宋体"/>
          <w:color w:val="auto"/>
          <w:highlight w:val="none"/>
        </w:rPr>
      </w:pPr>
    </w:p>
    <w:p>
      <w:pPr>
        <w:spacing w:line="259" w:lineRule="auto"/>
        <w:jc w:val="both"/>
        <w:rPr>
          <w:rFonts w:hint="eastAsia" w:ascii="宋体" w:hAnsi="宋体" w:eastAsia="宋体" w:cs="宋体"/>
          <w:color w:val="auto"/>
          <w:highlight w:val="none"/>
        </w:rPr>
      </w:pPr>
    </w:p>
    <w:p>
      <w:pPr>
        <w:pStyle w:val="17"/>
        <w:jc w:val="center"/>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绍兴市房屋建筑和市政基础设施货物</w:t>
      </w:r>
    </w:p>
    <w:p>
      <w:pPr>
        <w:widowControl w:val="0"/>
        <w:kinsoku/>
        <w:autoSpaceDE/>
        <w:autoSpaceDN/>
        <w:adjustRightInd/>
        <w:snapToGrid/>
        <w:jc w:val="center"/>
        <w:textAlignment w:val="auto"/>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招标文件</w:t>
      </w: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pStyle w:val="12"/>
        <w:rPr>
          <w:rFonts w:hint="eastAsia" w:ascii="宋体" w:hAnsi="宋体" w:eastAsia="宋体" w:cs="宋体"/>
          <w:color w:val="auto"/>
          <w:highlight w:val="none"/>
        </w:rPr>
      </w:pPr>
    </w:p>
    <w:p>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r>
        <w:rPr>
          <w:rFonts w:hint="eastAsia" w:ascii="宋体" w:hAnsi="宋体" w:eastAsia="宋体" w:cs="宋体"/>
          <w:snapToGrid/>
          <w:color w:val="auto"/>
          <w:kern w:val="2"/>
          <w:sz w:val="48"/>
          <w:szCs w:val="48"/>
          <w:highlight w:val="none"/>
        </w:rPr>
        <w:t>（2024-01版）20241205</w:t>
      </w:r>
    </w:p>
    <w:p>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tabs>
          <w:tab w:val="left" w:pos="6627"/>
        </w:tabs>
        <w:kinsoku/>
        <w:autoSpaceDE/>
        <w:autoSpaceDN/>
        <w:adjustRightInd/>
        <w:snapToGrid/>
        <w:textAlignment w:val="auto"/>
        <w:rPr>
          <w:rFonts w:hint="eastAsia" w:ascii="宋体" w:hAnsi="宋体" w:eastAsia="宋体" w:cs="宋体"/>
          <w:b/>
          <w:snapToGrid/>
          <w:color w:val="auto"/>
          <w:kern w:val="2"/>
          <w:sz w:val="32"/>
          <w:szCs w:val="24"/>
          <w:highlight w:val="none"/>
        </w:rPr>
      </w:pPr>
      <w:r>
        <w:rPr>
          <w:rFonts w:hint="eastAsia" w:ascii="宋体" w:hAnsi="宋体" w:eastAsia="宋体" w:cs="宋体"/>
          <w:b/>
          <w:snapToGrid/>
          <w:color w:val="auto"/>
          <w:kern w:val="2"/>
          <w:sz w:val="32"/>
          <w:szCs w:val="24"/>
          <w:highlight w:val="none"/>
        </w:rPr>
        <w:tab/>
      </w: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pPr>
        <w:widowControl w:val="0"/>
        <w:kinsoku/>
        <w:autoSpaceDE/>
        <w:autoSpaceDN/>
        <w:adjustRightInd/>
        <w:snapToGrid/>
        <w:jc w:val="center"/>
        <w:textAlignment w:val="auto"/>
        <w:rPr>
          <w:rFonts w:hint="eastAsia" w:ascii="宋体" w:hAnsi="宋体" w:eastAsia="宋体" w:cs="宋体"/>
          <w:b/>
          <w:snapToGrid/>
          <w:color w:val="auto"/>
          <w:kern w:val="2"/>
          <w:sz w:val="44"/>
          <w:szCs w:val="44"/>
          <w:highlight w:val="none"/>
        </w:rPr>
      </w:pPr>
      <w:r>
        <w:rPr>
          <w:rFonts w:hint="eastAsia" w:ascii="宋体" w:hAnsi="宋体" w:eastAsia="宋体" w:cs="宋体"/>
          <w:b/>
          <w:snapToGrid/>
          <w:color w:val="auto"/>
          <w:kern w:val="2"/>
          <w:sz w:val="44"/>
          <w:szCs w:val="44"/>
          <w:highlight w:val="none"/>
        </w:rPr>
        <w:t>绍兴市政务服务办公室</w:t>
      </w:r>
    </w:p>
    <w:p>
      <w:pPr>
        <w:pStyle w:val="12"/>
        <w:rPr>
          <w:rFonts w:hint="eastAsia" w:ascii="宋体" w:hAnsi="宋体" w:eastAsia="宋体" w:cs="宋体"/>
          <w:color w:val="auto"/>
          <w:highlight w:val="none"/>
        </w:rPr>
      </w:pPr>
    </w:p>
    <w:p>
      <w:pPr>
        <w:pStyle w:val="12"/>
        <w:jc w:val="center"/>
        <w:rPr>
          <w:rFonts w:hint="eastAsia" w:ascii="宋体" w:hAnsi="宋体" w:eastAsia="宋体" w:cs="宋体"/>
          <w:color w:val="auto"/>
          <w:highlight w:val="none"/>
        </w:rPr>
        <w:sectPr>
          <w:footerReference r:id="rId3" w:type="default"/>
          <w:pgSz w:w="11906" w:h="16839"/>
          <w:pgMar w:top="1417" w:right="1559" w:bottom="1417" w:left="1474" w:header="1134" w:footer="1134" w:gutter="0"/>
          <w:cols w:space="720" w:num="1"/>
        </w:sectPr>
      </w:pPr>
      <w:r>
        <w:rPr>
          <w:rFonts w:hint="eastAsia" w:ascii="宋体" w:hAnsi="宋体" w:eastAsia="宋体" w:cs="宋体"/>
          <w:b/>
          <w:color w:val="auto"/>
          <w:sz w:val="44"/>
          <w:szCs w:val="44"/>
          <w:highlight w:val="none"/>
        </w:rPr>
        <w:t>二〇二四年一月</w:t>
      </w:r>
    </w:p>
    <w:p>
      <w:pPr>
        <w:spacing w:before="336" w:line="225" w:lineRule="auto"/>
        <w:ind w:left="3317"/>
        <w:jc w:val="both"/>
        <w:rPr>
          <w:rFonts w:hint="eastAsia" w:ascii="宋体" w:hAnsi="宋体" w:eastAsia="宋体" w:cs="宋体"/>
          <w:color w:val="auto"/>
          <w:sz w:val="43"/>
          <w:szCs w:val="43"/>
          <w:highlight w:val="none"/>
        </w:rPr>
      </w:pPr>
      <w:r>
        <w:rPr>
          <w:rFonts w:hint="eastAsia" w:ascii="宋体" w:hAnsi="宋体" w:eastAsia="宋体" w:cs="宋体"/>
          <w:color w:val="auto"/>
          <w:sz w:val="43"/>
          <w:szCs w:val="43"/>
          <w:highlight w:val="none"/>
        </w:rPr>
        <w:t>使用指南</w:t>
      </w:r>
    </w:p>
    <w:p>
      <w:pPr>
        <w:spacing w:line="334" w:lineRule="auto"/>
        <w:jc w:val="both"/>
        <w:rPr>
          <w:rFonts w:hint="eastAsia" w:ascii="宋体" w:hAnsi="宋体" w:eastAsia="宋体" w:cs="宋体"/>
          <w:color w:val="auto"/>
          <w:highlight w:val="none"/>
        </w:rPr>
      </w:pP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一、总体要求</w:t>
      </w:r>
    </w:p>
    <w:p>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1.适用范围。绍兴市行政区域内依法必须招标的建设项目的货物类项目招标，招标人应使用本范本编制招标文件。</w:t>
      </w:r>
    </w:p>
    <w:p>
      <w:pPr>
        <w:spacing w:line="440" w:lineRule="exact"/>
        <w:ind w:firstLine="4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2.括号加斜体字部分为提示性内容，招标人选择或填写相关内容后，在定稿的招标文件中应删除。</w:t>
      </w:r>
    </w:p>
    <w:p>
      <w:pPr>
        <w:spacing w:line="440" w:lineRule="exact"/>
        <w:ind w:firstLine="4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3.以“□”前缀部分为选择性内容，在定稿的招标文件中招标人应删除未选择的内容。</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pPr>
        <w:spacing w:line="440" w:lineRule="exact"/>
        <w:ind w:firstLine="47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5.除可选择部分和下划线部分由招标人根据以上2、3、4三项进行选择或填写外，其他文字不得改动。</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二、招标公告部分</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(一)招标项目基本信息</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1.项目名称、文号。应与项目工可批复或初步设计批复或企业信息赋码表中内容一致。</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2.项目建设规模。应与工可批复或初步设计批复或企业信息赋码表中内容一致，主要包括建筑面积、总投资等内容。</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3.建设地址、建成时间、资金来源、投资比例。按工可批复或初步设计批复或企业信息赋码表内容填写。</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4.项目业主。即本招标项目的法人。</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5.招标人。为组织项目招标活动的主体。</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6.代理机构。为本次招标提供招标代理服务的机构，自行招标的，括号内的代理内容应删除。</w:t>
      </w:r>
    </w:p>
    <w:p>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7.标段名称。招标人应合理划分标段，标段名称应恰当反映本次招标内容。</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(二)本次招标内容</w:t>
      </w:r>
    </w:p>
    <w:p>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1.本次招标内容。尽可能详细说明本次招标项目的招标范围、内容、规模、服务要求等。</w:t>
      </w:r>
    </w:p>
    <w:p>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(三)投标资格条件、要求</w:t>
      </w:r>
    </w:p>
    <w:p>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1.企业资格要求。根据本次招标内容，设置投标人资格要求。</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2.联合体。根据本次招标的实际情况进行约定。</w:t>
      </w:r>
    </w:p>
    <w:p>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(四)招标文件的获取</w:t>
      </w:r>
    </w:p>
    <w:p>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pPr>
        <w:spacing w:line="440" w:lineRule="exact"/>
        <w:ind w:firstLine="47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3.补充(答疑、澄清)招标文件发布日期。为招标人最迟可能发出补充文件的时间，充分考虑在投标截止时间前可能发生的变化。</w:t>
      </w:r>
    </w:p>
    <w:p>
      <w:pPr>
        <w:spacing w:line="440" w:lineRule="exact"/>
        <w:ind w:firstLine="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pPr>
        <w:pStyle w:val="52"/>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三、投标人须知前附表部分</w:t>
      </w:r>
    </w:p>
    <w:p>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1.条款号1.1.2—1.2.2。与招标公告相关内容填写一致。</w:t>
      </w:r>
    </w:p>
    <w:p>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2.招标范围。应与招标公告中招标内容一致，具体描述可详见公告。</w:t>
      </w:r>
    </w:p>
    <w:p>
      <w:pPr>
        <w:spacing w:line="440" w:lineRule="exact"/>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3.交货期。交货期应满足招标的要求，并应当允许投标人提出优于交货期的投标承诺。</w:t>
      </w:r>
    </w:p>
    <w:p>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4.条款号1.4.1-2.2.1。根据本次招标的具体情况和要求，按示范文本提示内容选择或填写。</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5.投标截止时间。应与招标公告规定的投标截止时间一致。</w:t>
      </w:r>
    </w:p>
    <w:p>
      <w:pPr>
        <w:spacing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pPr>
        <w:spacing w:line="440" w:lineRule="exact"/>
        <w:ind w:firstLine="48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9.招标人根据实际情况需要补充的其他内容，应集中在第10.4条。</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四、评标办法部分</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使用的电子招标工具应及时更新，并选择与本项目相匹配的招标工具模式（如：评标办法、电子标书递交方式等）。</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五、合同文本部分</w:t>
      </w:r>
    </w:p>
    <w:p>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合同条款与格式由招标人根据项目实际提供。建议采用国家或行业的示范文本。</w:t>
      </w:r>
    </w:p>
    <w:p>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六、相关表单部分</w:t>
      </w:r>
    </w:p>
    <w:p>
      <w:pPr>
        <w:spacing w:line="440" w:lineRule="exact"/>
        <w:ind w:firstLine="4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pPr>
        <w:jc w:val="both"/>
        <w:rPr>
          <w:rFonts w:hint="eastAsia" w:ascii="宋体" w:hAnsi="宋体" w:eastAsia="宋体" w:cs="宋体"/>
          <w:color w:val="auto"/>
          <w:highlight w:val="none"/>
        </w:rPr>
        <w:sectPr>
          <w:pgSz w:w="11906" w:h="16839"/>
          <w:pgMar w:top="1417" w:right="1559" w:bottom="1417" w:left="1474" w:header="1134" w:footer="1134" w:gutter="0"/>
          <w:cols w:space="720" w:num="1"/>
        </w:sectPr>
      </w:pPr>
    </w:p>
    <w:p>
      <w:pPr>
        <w:spacing w:line="245" w:lineRule="auto"/>
        <w:jc w:val="both"/>
        <w:rPr>
          <w:rFonts w:hint="eastAsia" w:ascii="宋体" w:hAnsi="宋体" w:eastAsia="宋体" w:cs="宋体"/>
          <w:color w:val="auto"/>
          <w:highlight w:val="none"/>
        </w:rPr>
      </w:pPr>
    </w:p>
    <w:p>
      <w:pPr>
        <w:spacing w:line="245" w:lineRule="auto"/>
        <w:jc w:val="both"/>
        <w:rPr>
          <w:rFonts w:hint="eastAsia" w:ascii="宋体" w:hAnsi="宋体" w:eastAsia="宋体" w:cs="宋体"/>
          <w:color w:val="auto"/>
          <w:highlight w:val="none"/>
        </w:rPr>
      </w:pPr>
    </w:p>
    <w:p>
      <w:pPr>
        <w:pStyle w:val="3"/>
        <w:spacing w:line="360" w:lineRule="auto"/>
        <w:jc w:val="both"/>
        <w:rPr>
          <w:rFonts w:hint="eastAsia" w:ascii="宋体" w:hAnsi="宋体" w:eastAsia="宋体" w:cs="宋体"/>
          <w:color w:val="auto"/>
          <w:highlight w:val="none"/>
        </w:rPr>
      </w:pPr>
    </w:p>
    <w:p>
      <w:pPr>
        <w:tabs>
          <w:tab w:val="left" w:pos="2909"/>
        </w:tabs>
        <w:spacing w:line="360" w:lineRule="auto"/>
        <w:ind w:left="138"/>
        <w:jc w:val="center"/>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浙江古越龙山绍兴酒股份有限公司4400KW屋顶分布式光伏发电项目（一期）</w:t>
      </w:r>
      <w:r>
        <w:rPr>
          <w:rFonts w:hint="eastAsia" w:ascii="宋体" w:hAnsi="宋体" w:eastAsia="宋体" w:cs="宋体"/>
          <w:color w:val="auto"/>
          <w:sz w:val="35"/>
          <w:szCs w:val="35"/>
          <w:highlight w:val="none"/>
        </w:rPr>
        <w:t>(货物)采购</w:t>
      </w:r>
    </w:p>
    <w:p>
      <w:pPr>
        <w:spacing w:line="249" w:lineRule="auto"/>
        <w:jc w:val="both"/>
        <w:rPr>
          <w:rFonts w:hint="eastAsia" w:ascii="宋体" w:hAnsi="宋体" w:eastAsia="宋体" w:cs="宋体"/>
          <w:color w:val="auto"/>
          <w:highlight w:val="none"/>
        </w:rPr>
      </w:pPr>
    </w:p>
    <w:p>
      <w:pPr>
        <w:spacing w:line="249" w:lineRule="auto"/>
        <w:jc w:val="both"/>
        <w:rPr>
          <w:rFonts w:hint="eastAsia" w:ascii="宋体" w:hAnsi="宋体" w:eastAsia="宋体" w:cs="宋体"/>
          <w:color w:val="auto"/>
          <w:highlight w:val="none"/>
        </w:rPr>
      </w:pPr>
    </w:p>
    <w:p>
      <w:pPr>
        <w:spacing w:line="249" w:lineRule="auto"/>
        <w:jc w:val="both"/>
        <w:rPr>
          <w:rFonts w:hint="eastAsia" w:ascii="宋体" w:hAnsi="宋体" w:eastAsia="宋体" w:cs="宋体"/>
          <w:color w:val="auto"/>
          <w:highlight w:val="none"/>
        </w:rPr>
      </w:pPr>
    </w:p>
    <w:p>
      <w:pPr>
        <w:spacing w:line="249" w:lineRule="auto"/>
        <w:jc w:val="both"/>
        <w:rPr>
          <w:rFonts w:hint="eastAsia" w:ascii="宋体" w:hAnsi="宋体" w:eastAsia="宋体" w:cs="宋体"/>
          <w:color w:val="auto"/>
          <w:highlight w:val="none"/>
        </w:rPr>
      </w:pPr>
    </w:p>
    <w:p>
      <w:pPr>
        <w:pStyle w:val="3"/>
        <w:jc w:val="both"/>
        <w:rPr>
          <w:rFonts w:hint="eastAsia" w:ascii="宋体" w:hAnsi="宋体" w:eastAsia="宋体" w:cs="宋体"/>
          <w:color w:val="auto"/>
          <w:highlight w:val="none"/>
        </w:rPr>
      </w:pPr>
    </w:p>
    <w:p>
      <w:pPr>
        <w:pStyle w:val="2"/>
        <w:ind w:firstLine="0"/>
        <w:jc w:val="both"/>
        <w:rPr>
          <w:rFonts w:hint="eastAsia" w:hAnsi="宋体" w:eastAsia="宋体" w:cs="宋体"/>
          <w:color w:val="auto"/>
          <w:spacing w:val="0"/>
          <w:highlight w:val="none"/>
        </w:rPr>
      </w:pPr>
    </w:p>
    <w:p>
      <w:pPr>
        <w:pStyle w:val="2"/>
        <w:jc w:val="both"/>
        <w:rPr>
          <w:rFonts w:hint="eastAsia" w:hAnsi="宋体" w:eastAsia="宋体" w:cs="宋体"/>
          <w:color w:val="auto"/>
          <w:spacing w:val="0"/>
          <w:highlight w:val="none"/>
        </w:rPr>
      </w:pPr>
    </w:p>
    <w:p>
      <w:pPr>
        <w:spacing w:line="249" w:lineRule="auto"/>
        <w:jc w:val="both"/>
        <w:rPr>
          <w:rFonts w:hint="eastAsia" w:ascii="宋体" w:hAnsi="宋体" w:eastAsia="宋体" w:cs="宋体"/>
          <w:color w:val="auto"/>
          <w:highlight w:val="none"/>
        </w:rPr>
      </w:pPr>
    </w:p>
    <w:p>
      <w:pPr>
        <w:spacing w:line="249" w:lineRule="auto"/>
        <w:jc w:val="both"/>
        <w:rPr>
          <w:rFonts w:hint="eastAsia" w:ascii="宋体" w:hAnsi="宋体" w:eastAsia="宋体" w:cs="宋体"/>
          <w:color w:val="auto"/>
          <w:highlight w:val="none"/>
        </w:rPr>
      </w:pPr>
    </w:p>
    <w:p>
      <w:pPr>
        <w:pStyle w:val="3"/>
        <w:jc w:val="both"/>
        <w:rPr>
          <w:rFonts w:hint="eastAsia" w:ascii="宋体" w:hAnsi="宋体" w:eastAsia="宋体" w:cs="宋体"/>
          <w:color w:val="auto"/>
          <w:highlight w:val="none"/>
        </w:rPr>
      </w:pPr>
    </w:p>
    <w:p>
      <w:pPr>
        <w:pStyle w:val="2"/>
        <w:jc w:val="both"/>
        <w:rPr>
          <w:rFonts w:hint="eastAsia" w:hAnsi="宋体" w:eastAsia="宋体" w:cs="宋体"/>
          <w:color w:val="auto"/>
          <w:spacing w:val="0"/>
          <w:highlight w:val="none"/>
        </w:rPr>
      </w:pPr>
    </w:p>
    <w:p>
      <w:pPr>
        <w:pStyle w:val="2"/>
        <w:jc w:val="both"/>
        <w:rPr>
          <w:rFonts w:hint="eastAsia" w:hAnsi="宋体" w:eastAsia="宋体" w:cs="宋体"/>
          <w:color w:val="auto"/>
          <w:spacing w:val="0"/>
          <w:highlight w:val="none"/>
        </w:rPr>
      </w:pPr>
    </w:p>
    <w:p>
      <w:pPr>
        <w:spacing w:line="249" w:lineRule="auto"/>
        <w:jc w:val="both"/>
        <w:rPr>
          <w:rFonts w:hint="eastAsia" w:ascii="宋体" w:hAnsi="宋体" w:eastAsia="宋体" w:cs="宋体"/>
          <w:color w:val="auto"/>
          <w:highlight w:val="none"/>
        </w:rPr>
      </w:pPr>
    </w:p>
    <w:p>
      <w:pPr>
        <w:spacing w:line="249" w:lineRule="auto"/>
        <w:jc w:val="both"/>
        <w:rPr>
          <w:rFonts w:hint="eastAsia" w:ascii="宋体" w:hAnsi="宋体" w:eastAsia="宋体" w:cs="宋体"/>
          <w:color w:val="auto"/>
          <w:highlight w:val="none"/>
        </w:rPr>
      </w:pPr>
    </w:p>
    <w:p>
      <w:pPr>
        <w:spacing w:line="251" w:lineRule="auto"/>
        <w:jc w:val="both"/>
        <w:rPr>
          <w:rFonts w:hint="eastAsia" w:ascii="宋体" w:hAnsi="宋体" w:eastAsia="宋体" w:cs="宋体"/>
          <w:color w:val="auto"/>
          <w:highlight w:val="none"/>
        </w:rPr>
      </w:pPr>
    </w:p>
    <w:p>
      <w:pPr>
        <w:spacing w:before="231" w:line="224" w:lineRule="auto"/>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pPr>
        <w:spacing w:line="247" w:lineRule="auto"/>
        <w:jc w:val="both"/>
        <w:rPr>
          <w:rFonts w:hint="eastAsia" w:ascii="宋体" w:hAnsi="宋体" w:eastAsia="宋体" w:cs="宋体"/>
          <w:color w:val="auto"/>
          <w:highlight w:val="none"/>
        </w:rPr>
      </w:pPr>
    </w:p>
    <w:p>
      <w:pPr>
        <w:spacing w:line="247" w:lineRule="auto"/>
        <w:jc w:val="both"/>
        <w:rPr>
          <w:rFonts w:hint="eastAsia" w:ascii="宋体" w:hAnsi="宋体" w:eastAsia="宋体" w:cs="宋体"/>
          <w:color w:val="auto"/>
          <w:highlight w:val="none"/>
        </w:rPr>
      </w:pPr>
    </w:p>
    <w:p>
      <w:pPr>
        <w:spacing w:line="247" w:lineRule="auto"/>
        <w:jc w:val="both"/>
        <w:rPr>
          <w:rFonts w:hint="eastAsia" w:ascii="宋体" w:hAnsi="宋体" w:eastAsia="宋体" w:cs="宋体"/>
          <w:color w:val="auto"/>
          <w:highlight w:val="none"/>
        </w:rPr>
      </w:pPr>
    </w:p>
    <w:p>
      <w:pPr>
        <w:spacing w:line="247" w:lineRule="auto"/>
        <w:jc w:val="both"/>
        <w:rPr>
          <w:rFonts w:hint="eastAsia" w:ascii="宋体" w:hAnsi="宋体" w:eastAsia="宋体" w:cs="宋体"/>
          <w:color w:val="auto"/>
          <w:highlight w:val="none"/>
        </w:rPr>
      </w:pPr>
    </w:p>
    <w:p>
      <w:pPr>
        <w:spacing w:line="247" w:lineRule="auto"/>
        <w:jc w:val="both"/>
        <w:rPr>
          <w:rFonts w:hint="eastAsia" w:ascii="宋体" w:hAnsi="宋体" w:eastAsia="宋体" w:cs="宋体"/>
          <w:color w:val="auto"/>
          <w:highlight w:val="none"/>
        </w:rPr>
      </w:pPr>
    </w:p>
    <w:p>
      <w:pPr>
        <w:spacing w:line="247"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360" w:lineRule="auto"/>
        <w:ind w:left="1113" w:leftChars="456" w:hanging="155" w:hangingChars="50"/>
        <w:jc w:val="both"/>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招标人：</w:t>
      </w:r>
      <w:r>
        <w:rPr>
          <w:rFonts w:hint="eastAsia" w:ascii="宋体" w:hAnsi="宋体" w:eastAsia="宋体" w:cs="宋体"/>
          <w:color w:val="auto"/>
          <w:sz w:val="28"/>
          <w:szCs w:val="28"/>
          <w:highlight w:val="none"/>
          <w:u w:val="single"/>
        </w:rPr>
        <w:t>浙江城华新能源发展有限公司</w:t>
      </w:r>
      <w:r>
        <w:rPr>
          <w:rFonts w:hint="eastAsia" w:ascii="宋体" w:hAnsi="宋体" w:eastAsia="宋体" w:cs="宋体"/>
          <w:color w:val="auto"/>
          <w:sz w:val="31"/>
          <w:szCs w:val="31"/>
          <w:highlight w:val="none"/>
        </w:rPr>
        <w:t>(盖章)</w:t>
      </w:r>
    </w:p>
    <w:p>
      <w:pPr>
        <w:tabs>
          <w:tab w:val="left" w:pos="3427"/>
        </w:tabs>
        <w:spacing w:line="360" w:lineRule="auto"/>
        <w:ind w:left="2454" w:firstLine="280" w:firstLineChars="100"/>
        <w:jc w:val="both"/>
        <w:rPr>
          <w:rFonts w:hint="eastAsia" w:ascii="宋体" w:hAnsi="宋体" w:eastAsia="宋体" w:cs="宋体"/>
          <w:color w:val="auto"/>
          <w:sz w:val="31"/>
          <w:szCs w:val="31"/>
          <w:highlight w:val="none"/>
        </w:rPr>
      </w:pPr>
      <w:r>
        <w:rPr>
          <w:rFonts w:hint="eastAsia" w:ascii="宋体" w:hAnsi="宋体" w:eastAsia="宋体" w:cs="宋体"/>
          <w:color w:val="auto"/>
          <w:sz w:val="28"/>
          <w:szCs w:val="28"/>
          <w:highlight w:val="none"/>
          <w:u w:val="single"/>
        </w:rPr>
        <w:t xml:space="preserve"> 202</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1"/>
          <w:szCs w:val="31"/>
          <w:highlight w:val="none"/>
        </w:rPr>
        <w:t>年</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31"/>
          <w:szCs w:val="31"/>
          <w:highlight w:val="none"/>
        </w:rPr>
        <w:t>月</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31"/>
          <w:szCs w:val="31"/>
          <w:highlight w:val="none"/>
        </w:rPr>
        <w:t>日</w:t>
      </w:r>
    </w:p>
    <w:p>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pgNumType w:start="1"/>
          <w:cols w:space="720" w:num="1"/>
        </w:sectPr>
      </w:pPr>
    </w:p>
    <w:p>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pPr>
        <w:spacing w:line="269" w:lineRule="auto"/>
        <w:jc w:val="both"/>
        <w:rPr>
          <w:rFonts w:hint="eastAsia" w:ascii="宋体" w:hAnsi="宋体" w:eastAsia="宋体" w:cs="宋体"/>
          <w:color w:val="auto"/>
          <w:highlight w:val="none"/>
        </w:rPr>
      </w:pP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"_bookmark2" </w:instrText>
      </w:r>
      <w:r>
        <w:rPr>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"_bookmark3" </w:instrText>
      </w:r>
      <w:r>
        <w:rPr>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"_bookmark4" </w:instrText>
      </w:r>
      <w:r>
        <w:rPr>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"_bookmark5" </w:instrText>
      </w:r>
      <w:r>
        <w:rPr>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"_bookmark6" </w:instrText>
      </w:r>
      <w:r>
        <w:rPr>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"_bookmark7" </w:instrText>
      </w:r>
      <w:r>
        <w:rPr>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"_bookmark8" </w:instrText>
      </w:r>
      <w:r>
        <w:rPr>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"_bookmark10" </w:instrText>
      </w:r>
      <w:r>
        <w:rPr>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"_bookmark11" </w:instrText>
      </w:r>
      <w:r>
        <w:rPr>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"_bookmark12" </w:instrText>
      </w:r>
      <w:r>
        <w:rPr>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"_bookmark13" </w:instrText>
      </w:r>
      <w:r>
        <w:rPr>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pPr>
        <w:tabs>
          <w:tab w:val="right" w:leader="dot" w:pos="8305"/>
        </w:tabs>
        <w:spacing w:line="460" w:lineRule="exact"/>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"_bookmark14" </w:instrText>
      </w:r>
      <w:r>
        <w:rPr>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"_bookmark15" </w:instrText>
      </w:r>
      <w:r>
        <w:rPr>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"_bookmark16" </w:instrText>
      </w:r>
      <w:r>
        <w:rPr>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"_bookmark17" </w:instrText>
      </w:r>
      <w:r>
        <w:rPr>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"_bookmark18" </w:instrText>
      </w:r>
      <w:r>
        <w:rPr>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"_bookmark19" </w:instrText>
      </w:r>
      <w:r>
        <w:rPr>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"_bookmark20" </w:instrText>
      </w:r>
      <w:r>
        <w:rPr>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highlight w:val="none"/>
        </w:rPr>
        <w:fldChar w:fldCharType="begin"/>
      </w:r>
      <w:r>
        <w:rPr>
          <w:highlight w:val="none"/>
        </w:rPr>
        <w:instrText xml:space="preserve"> HYPERLINK \l "_bookmark20" </w:instrText>
      </w:r>
      <w:r>
        <w:rPr>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pPr>
        <w:jc w:val="both"/>
        <w:rPr>
          <w:rFonts w:hint="eastAsia" w:ascii="宋体" w:hAnsi="宋体" w:eastAsia="宋体" w:cs="宋体"/>
          <w:color w:val="auto"/>
          <w:highlight w:val="none"/>
        </w:rPr>
        <w:sectPr>
          <w:footerReference r:id="rId5" w:type="default"/>
          <w:pgSz w:w="11906" w:h="16839"/>
          <w:pgMar w:top="1418" w:right="1559" w:bottom="1418" w:left="1474" w:header="0" w:footer="0" w:gutter="0"/>
          <w:cols w:space="720" w:num="1"/>
        </w:sectPr>
      </w:pPr>
    </w:p>
    <w:p>
      <w:pPr>
        <w:spacing w:line="245" w:lineRule="auto"/>
        <w:jc w:val="both"/>
        <w:rPr>
          <w:rFonts w:hint="eastAsia" w:ascii="宋体" w:hAnsi="宋体" w:eastAsia="宋体" w:cs="宋体"/>
          <w:color w:val="auto"/>
          <w:highlight w:val="none"/>
        </w:rPr>
      </w:pPr>
    </w:p>
    <w:p>
      <w:pPr>
        <w:spacing w:before="101" w:line="224" w:lineRule="auto"/>
        <w:ind w:left="3173"/>
        <w:jc w:val="both"/>
        <w:outlineLvl w:val="0"/>
        <w:rPr>
          <w:rFonts w:hint="eastAsia" w:ascii="宋体" w:hAnsi="宋体" w:eastAsia="宋体" w:cs="宋体"/>
          <w:color w:val="auto"/>
          <w:sz w:val="31"/>
          <w:szCs w:val="31"/>
          <w:highlight w:val="none"/>
        </w:rPr>
      </w:pPr>
      <w:bookmarkStart w:id="0" w:name="_bookmark1"/>
      <w:bookmarkEnd w:id="0"/>
      <w:r>
        <w:rPr>
          <w:rFonts w:hint="eastAsia" w:ascii="宋体" w:hAnsi="宋体" w:eastAsia="宋体" w:cs="宋体"/>
          <w:color w:val="auto"/>
          <w:sz w:val="31"/>
          <w:szCs w:val="31"/>
          <w:highlight w:val="none"/>
        </w:rPr>
        <w:t>第一章招标公告</w:t>
      </w:r>
    </w:p>
    <w:p>
      <w:pPr>
        <w:spacing w:before="125" w:line="353" w:lineRule="auto"/>
        <w:ind w:left="10" w:right="65" w:firstLine="497"/>
        <w:jc w:val="both"/>
        <w:rPr>
          <w:rFonts w:hint="eastAsia" w:ascii="宋体" w:hAnsi="宋体" w:eastAsia="宋体" w:cs="宋体"/>
          <w:color w:val="auto"/>
          <w:highlight w:val="none"/>
          <w:u w:val="single"/>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 xml:space="preserve">                        </w:t>
      </w:r>
    </w:p>
    <w:p>
      <w:pPr>
        <w:spacing w:line="253" w:lineRule="auto"/>
        <w:jc w:val="both"/>
        <w:rPr>
          <w:rFonts w:hint="eastAsia" w:ascii="宋体" w:hAnsi="宋体" w:eastAsia="宋体" w:cs="宋体"/>
          <w:color w:val="auto"/>
          <w:highlight w:val="none"/>
        </w:rPr>
      </w:pPr>
    </w:p>
    <w:p>
      <w:pPr>
        <w:spacing w:line="312" w:lineRule="auto"/>
        <w:ind w:firstLine="420" w:firstLineChars="200"/>
        <w:rPr>
          <w:rFonts w:hint="eastAsia" w:ascii="宋体" w:hAnsi="宋体" w:eastAsia="宋体" w:cs="宋体"/>
          <w:color w:val="auto"/>
          <w:position w:val="2"/>
          <w:highlight w:val="none"/>
        </w:rPr>
      </w:pPr>
      <w:r>
        <w:rPr>
          <w:rFonts w:hint="eastAsia" w:ascii="宋体" w:hAnsi="宋体" w:eastAsia="宋体" w:cs="宋体"/>
          <w:color w:val="auto"/>
          <w:highlight w:val="none"/>
        </w:rPr>
        <w:t>本次招标项目</w:t>
      </w:r>
      <w:r>
        <w:rPr>
          <w:rFonts w:hint="eastAsia" w:ascii="宋体" w:hAnsi="宋体" w:eastAsia="宋体" w:cs="宋体"/>
          <w:b/>
          <w:bCs/>
          <w:color w:val="auto"/>
          <w:highlight w:val="none"/>
          <w:u w:val="single"/>
          <w:lang w:eastAsia="zh-CN"/>
        </w:rPr>
        <w:t>浙江古越龙山绍兴酒股份有限公司4400KW屋顶分布式光伏发电项目（一期）</w:t>
      </w:r>
      <w:r>
        <w:rPr>
          <w:rFonts w:hint="eastAsia" w:ascii="宋体" w:hAnsi="宋体" w:eastAsia="宋体" w:cs="宋体"/>
          <w:color w:val="auto"/>
          <w:highlight w:val="none"/>
        </w:rPr>
        <w:t>，已由</w:t>
      </w:r>
      <w:r>
        <w:rPr>
          <w:rFonts w:hint="eastAsia" w:ascii="宋体" w:hAnsi="宋体" w:eastAsia="宋体" w:cs="宋体"/>
          <w:b/>
          <w:bCs/>
          <w:color w:val="auto"/>
          <w:highlight w:val="none"/>
          <w:u w:val="single"/>
        </w:rPr>
        <w:t xml:space="preserve"> 绍兴滨海新区管理委员会经济发展局</w:t>
      </w:r>
      <w:r>
        <w:rPr>
          <w:rFonts w:hint="eastAsia" w:ascii="宋体" w:hAnsi="宋体" w:eastAsia="宋体" w:cs="宋体"/>
          <w:color w:val="auto"/>
          <w:highlight w:val="none"/>
        </w:rPr>
        <w:t>以</w:t>
      </w:r>
      <w:r>
        <w:rPr>
          <w:rFonts w:hint="eastAsia" w:ascii="宋体" w:hAnsi="宋体" w:eastAsia="宋体" w:cs="宋体"/>
          <w:b/>
          <w:bCs/>
          <w:color w:val="auto"/>
          <w:highlight w:val="none"/>
          <w:u w:val="single"/>
        </w:rPr>
        <w:t>2511-330652-04-01-895927</w:t>
      </w:r>
      <w:r>
        <w:rPr>
          <w:rFonts w:hint="eastAsia" w:ascii="宋体" w:hAnsi="宋体" w:eastAsia="宋体" w:cs="宋体"/>
          <w:color w:val="auto"/>
          <w:highlight w:val="none"/>
        </w:rPr>
        <w:t>批准建设，项目业主为</w:t>
      </w:r>
      <w:r>
        <w:rPr>
          <w:rFonts w:hint="eastAsia" w:ascii="宋体" w:hAnsi="宋体" w:eastAsia="宋体" w:cs="宋体"/>
          <w:b/>
          <w:bCs/>
          <w:color w:val="auto"/>
          <w:highlight w:val="none"/>
          <w:u w:val="single"/>
        </w:rPr>
        <w:t xml:space="preserve">浙江城华新能源发展有限公司 </w:t>
      </w:r>
      <w:r>
        <w:rPr>
          <w:rFonts w:hint="eastAsia" w:ascii="宋体" w:hAnsi="宋体" w:eastAsia="宋体" w:cs="宋体"/>
          <w:color w:val="auto"/>
          <w:highlight w:val="none"/>
        </w:rPr>
        <w:t>，建设资金</w:t>
      </w:r>
      <w:r>
        <w:rPr>
          <w:rFonts w:hint="eastAsia" w:ascii="宋体" w:hAnsi="宋体" w:eastAsia="宋体" w:cs="宋体"/>
          <w:b/>
          <w:bCs/>
          <w:color w:val="auto"/>
          <w:highlight w:val="none"/>
          <w:u w:val="single"/>
        </w:rPr>
        <w:t>自筹</w:t>
      </w:r>
      <w:r>
        <w:rPr>
          <w:rFonts w:hint="eastAsia" w:ascii="宋体" w:hAnsi="宋体" w:eastAsia="宋体" w:cs="宋体"/>
          <w:color w:val="auto"/>
          <w:highlight w:val="none"/>
        </w:rPr>
        <w:t>，招标人为</w:t>
      </w:r>
      <w:r>
        <w:rPr>
          <w:rFonts w:hint="eastAsia" w:ascii="宋体" w:hAnsi="宋体" w:eastAsia="宋体" w:cs="宋体"/>
          <w:b/>
          <w:bCs/>
          <w:color w:val="auto"/>
          <w:highlight w:val="none"/>
          <w:u w:val="single"/>
        </w:rPr>
        <w:t>浙江城华新能源发展有限公司</w:t>
      </w:r>
      <w:r>
        <w:rPr>
          <w:rFonts w:hint="eastAsia" w:ascii="宋体" w:hAnsi="宋体" w:eastAsia="宋体" w:cs="宋体"/>
          <w:color w:val="auto"/>
          <w:highlight w:val="none"/>
        </w:rPr>
        <w:t>。项目已具备招标条件，现对该项目的</w:t>
      </w:r>
      <w:r>
        <w:rPr>
          <w:rFonts w:hint="eastAsia" w:ascii="宋体" w:hAnsi="宋体" w:eastAsia="宋体" w:cs="宋体"/>
          <w:b/>
          <w:bCs/>
          <w:color w:val="auto"/>
          <w:highlight w:val="none"/>
          <w:u w:val="single"/>
          <w:lang w:eastAsia="zh-CN"/>
        </w:rPr>
        <w:t>浙江古越龙山绍兴酒股份有限公司4400KW屋顶分布式光伏发电项目（一期）</w:t>
      </w:r>
      <w:r>
        <w:rPr>
          <w:rFonts w:hint="eastAsia" w:ascii="宋体" w:hAnsi="宋体" w:eastAsia="宋体" w:cs="宋体"/>
          <w:color w:val="auto"/>
          <w:highlight w:val="none"/>
        </w:rPr>
        <w:t>货物进行公开招标</w:t>
      </w:r>
    </w:p>
    <w:p>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一、本次招标内容</w:t>
      </w:r>
    </w:p>
    <w:p>
      <w:pPr>
        <w:tabs>
          <w:tab w:val="left" w:pos="3725"/>
        </w:tabs>
        <w:spacing w:line="312" w:lineRule="auto"/>
        <w:ind w:left="1" w:firstLine="420" w:firstLineChars="200"/>
        <w:jc w:val="both"/>
        <w:rPr>
          <w:rFonts w:hint="eastAsia" w:ascii="宋体" w:hAnsi="宋体" w:eastAsia="宋体" w:cs="宋体"/>
          <w:b/>
          <w:bCs/>
          <w:color w:val="auto"/>
          <w:highlight w:val="none"/>
          <w:u w:val="single"/>
        </w:rPr>
      </w:pPr>
      <w:r>
        <w:rPr>
          <w:rFonts w:hint="eastAsia" w:ascii="宋体" w:hAnsi="宋体" w:eastAsia="宋体" w:cs="宋体"/>
          <w:color w:val="auto"/>
          <w:highlight w:val="none"/>
        </w:rPr>
        <w:t>1.1</w:t>
      </w:r>
      <w:r>
        <w:rPr>
          <w:rFonts w:hint="eastAsia" w:ascii="宋体" w:hAnsi="宋体" w:eastAsia="宋体" w:cs="宋体"/>
          <w:b/>
          <w:bCs/>
          <w:color w:val="auto"/>
          <w:highlight w:val="none"/>
          <w:u w:val="single"/>
        </w:rPr>
        <w:t>包括光伏发电系统、土建工程和施工辅助工程等，建设内容齐全，可满足无害化、减量化和资源化目标的需要，在实现良好的环境、社会效益的同时，利用太阳能资源发电，可取得一定的经济效益，符合现行国家政策和技术发展方向。具体包括但不限于：全部设备材料的采购、装卸、运输、安装、调试、涉网调试、电网验收、竣工验收、试运行、缺陷责任期的技术服务与缺陷修复、质保期的保修工作，具体详见招标文件、施工图及标底。</w:t>
      </w:r>
    </w:p>
    <w:p>
      <w:pPr>
        <w:tabs>
          <w:tab w:val="left" w:pos="3725"/>
        </w:tabs>
        <w:spacing w:line="312" w:lineRule="auto"/>
        <w:ind w:left="1"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项目服务期：150个日历天内完成光伏电站全部设备安装调试且光伏阵列并网发电</w:t>
      </w:r>
      <w:r>
        <w:rPr>
          <w:rFonts w:hint="eastAsia" w:ascii="宋体" w:hAnsi="宋体" w:eastAsia="宋体" w:cs="宋体"/>
          <w:b/>
          <w:bCs/>
          <w:color w:val="auto"/>
          <w:highlight w:val="none"/>
          <w:u w:val="single"/>
          <w:lang w:eastAsia="zh-CN"/>
        </w:rPr>
        <w:t>，</w:t>
      </w:r>
      <w:r>
        <w:rPr>
          <w:rFonts w:hint="eastAsia" w:ascii="宋体" w:hAnsi="宋体" w:eastAsia="宋体" w:cs="宋体"/>
          <w:b/>
          <w:bCs/>
          <w:color w:val="auto"/>
          <w:highlight w:val="none"/>
          <w:u w:val="single"/>
          <w:lang w:val="en-US" w:eastAsia="zh-CN"/>
        </w:rPr>
        <w:t>项目具体实施根据业主下发的指令为准</w:t>
      </w:r>
      <w:r>
        <w:rPr>
          <w:rFonts w:hint="eastAsia" w:ascii="宋体" w:hAnsi="宋体" w:eastAsia="宋体" w:cs="宋体"/>
          <w:b/>
          <w:bCs/>
          <w:color w:val="auto"/>
          <w:highlight w:val="none"/>
          <w:u w:val="single"/>
        </w:rPr>
        <w:t>。</w:t>
      </w:r>
    </w:p>
    <w:p>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本次招标范围内的工程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估算(或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概算)造价</w:t>
      </w:r>
      <w:r>
        <w:rPr>
          <w:rFonts w:hint="eastAsia" w:ascii="宋体" w:hAnsi="宋体" w:eastAsia="宋体" w:cs="宋体"/>
          <w:b/>
          <w:bCs/>
          <w:color w:val="auto"/>
          <w:highlight w:val="none"/>
          <w:u w:val="single"/>
          <w:lang w:eastAsia="zh-CN"/>
        </w:rPr>
        <w:t>1225.6308</w:t>
      </w:r>
      <w:r>
        <w:rPr>
          <w:rFonts w:hint="eastAsia" w:ascii="宋体" w:hAnsi="宋体" w:eastAsia="宋体" w:cs="宋体"/>
          <w:color w:val="auto"/>
          <w:highlight w:val="none"/>
        </w:rPr>
        <w:t>万元，采用投标资格后审方式招标。</w:t>
      </w:r>
    </w:p>
    <w:p>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1.2是否属于政府采购工程</w:t>
      </w:r>
      <w:r>
        <w:rPr>
          <w:rFonts w:hint="eastAsia" w:ascii="宋体" w:hAnsi="宋体" w:eastAsia="宋体" w:cs="宋体"/>
          <w:color w:val="auto"/>
          <w:highlight w:val="none"/>
        </w:rPr>
        <w:tab/>
      </w:r>
      <w:r>
        <w:rPr>
          <w:rFonts w:hint="eastAsia" w:ascii="宋体" w:hAnsi="宋体" w:eastAsia="宋体" w:cs="宋体"/>
          <w:color w:val="auto"/>
          <w:highlight w:val="none"/>
        </w:rPr>
        <w:t>□是</w:t>
      </w:r>
      <w:r>
        <w:rPr>
          <w:rFonts w:hint="eastAsia" w:ascii="宋体" w:hAnsi="宋体" w:eastAsia="宋体" w:cs="宋体"/>
          <w:color w:val="auto"/>
          <w:highlight w:val="none"/>
        </w:rPr>
        <w:tab/>
      </w:r>
      <w:r>
        <w:rPr>
          <w:rFonts w:hint="eastAsia" w:ascii="宋体" w:hAnsi="宋体" w:eastAsia="宋体" w:cs="宋体"/>
          <w:color w:val="auto"/>
          <w:highlight w:val="none"/>
        </w:rPr>
        <w:t>☑否</w:t>
      </w:r>
    </w:p>
    <w:p>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1.3是否专门面向中小企业预留</w:t>
      </w:r>
    </w:p>
    <w:p>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□是</w:t>
      </w:r>
    </w:p>
    <w:p>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☑否（不专门面向中小企业采购的原因及适用条款）</w:t>
      </w:r>
    </w:p>
    <w:p>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1.4专门面向中小企业预留的实施方式</w:t>
      </w:r>
    </w:p>
    <w:p>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□1.4.1本标段整体面向中小企业；</w:t>
      </w:r>
    </w:p>
    <w:p>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□1.4.2本标段联合体形式面向中小企业，以联合体形式参加本次投标的，联合体中中小企业承担的合同份额需达到（不低于40%）以上。</w:t>
      </w:r>
    </w:p>
    <w:p>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二、投标资格条件、要求</w:t>
      </w:r>
    </w:p>
    <w:p>
      <w:pPr>
        <w:spacing w:line="312" w:lineRule="auto"/>
        <w:ind w:left="10" w:right="65" w:firstLine="497"/>
        <w:jc w:val="both"/>
        <w:rPr>
          <w:rFonts w:hint="eastAsia" w:ascii="宋体" w:hAnsi="宋体" w:eastAsia="宋体" w:cs="宋体"/>
          <w:color w:val="auto"/>
          <w:highlight w:val="none"/>
        </w:rPr>
      </w:pPr>
      <w:r>
        <w:rPr>
          <w:rFonts w:hint="eastAsia" w:ascii="宋体" w:hAnsi="宋体" w:eastAsia="宋体" w:cs="宋体"/>
          <w:color w:val="auto"/>
          <w:highlight w:val="none"/>
        </w:rPr>
        <w:t>1.投标人及其拟派项目负责人自</w:t>
      </w:r>
      <w:r>
        <w:rPr>
          <w:rFonts w:hint="eastAsia" w:ascii="宋体" w:hAnsi="宋体" w:eastAsia="宋体" w:cs="宋体"/>
          <w:b/>
          <w:bCs/>
          <w:color w:val="auto"/>
          <w:highlight w:val="none"/>
          <w:u w:val="single"/>
        </w:rPr>
        <w:t>202</w:t>
      </w:r>
      <w:r>
        <w:rPr>
          <w:rFonts w:hint="eastAsia" w:ascii="宋体" w:hAnsi="宋体" w:eastAsia="宋体" w:cs="宋体"/>
          <w:b/>
          <w:bCs/>
          <w:color w:val="auto"/>
          <w:highlight w:val="none"/>
          <w:u w:val="single"/>
          <w:lang w:val="en-US" w:eastAsia="zh-CN"/>
        </w:rPr>
        <w:t>3</w:t>
      </w:r>
      <w:r>
        <w:rPr>
          <w:rFonts w:hint="eastAsia" w:ascii="宋体" w:hAnsi="宋体" w:eastAsia="宋体" w:cs="宋体"/>
          <w:b/>
          <w:bCs/>
          <w:color w:val="auto"/>
          <w:highlight w:val="none"/>
          <w:u w:val="single"/>
        </w:rPr>
        <w:t>年</w:t>
      </w: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月1日</w:t>
      </w:r>
      <w:r>
        <w:rPr>
          <w:rFonts w:hint="eastAsia" w:ascii="宋体" w:hAnsi="宋体" w:eastAsia="宋体" w:cs="宋体"/>
          <w:color w:val="auto"/>
          <w:highlight w:val="none"/>
        </w:rPr>
        <w:t>起至投标截止日止无行贿犯罪记录；</w:t>
      </w:r>
    </w:p>
    <w:p>
      <w:pPr>
        <w:spacing w:line="312" w:lineRule="auto"/>
        <w:ind w:left="15" w:right="154" w:firstLine="498"/>
        <w:jc w:val="both"/>
        <w:rPr>
          <w:rFonts w:hint="eastAsia" w:ascii="宋体" w:hAnsi="宋体" w:eastAsia="宋体" w:cs="宋体"/>
          <w:color w:val="auto"/>
          <w:highlight w:val="none"/>
        </w:rPr>
      </w:pPr>
      <w:r>
        <w:rPr>
          <w:rFonts w:hint="eastAsia" w:ascii="宋体" w:hAnsi="宋体" w:eastAsia="宋体" w:cs="宋体"/>
          <w:color w:val="auto"/>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pPr>
        <w:spacing w:line="312" w:lineRule="auto"/>
        <w:ind w:left="14" w:right="63" w:firstLine="474"/>
        <w:rPr>
          <w:rFonts w:hint="eastAsia" w:ascii="宋体" w:hAnsi="宋体" w:eastAsia="宋体" w:cs="宋体"/>
          <w:b/>
          <w:bCs/>
          <w:color w:val="auto"/>
          <w:highlight w:val="none"/>
          <w:u w:val="single"/>
        </w:rPr>
      </w:pPr>
      <w:r>
        <w:rPr>
          <w:rFonts w:hint="eastAsia" w:ascii="宋体" w:hAnsi="宋体" w:eastAsia="宋体" w:cs="宋体"/>
          <w:color w:val="auto"/>
          <w:highlight w:val="none"/>
        </w:rPr>
        <w:t>3.本次招标(□接受☑不接受)联合体投标，联合体投标的，应满足下列要求：</w:t>
      </w:r>
      <w:r>
        <w:rPr>
          <w:rFonts w:hint="eastAsia" w:ascii="宋体" w:hAnsi="宋体" w:eastAsia="宋体" w:cs="宋体"/>
          <w:b/>
          <w:bCs/>
          <w:color w:val="auto"/>
          <w:highlight w:val="none"/>
          <w:u w:val="single"/>
        </w:rPr>
        <w:t>/</w:t>
      </w:r>
    </w:p>
    <w:p>
      <w:pPr>
        <w:spacing w:line="312" w:lineRule="auto"/>
        <w:ind w:firstLine="420" w:firstLineChars="200"/>
        <w:rPr>
          <w:rFonts w:hint="eastAsia" w:ascii="宋体" w:hAnsi="宋体" w:eastAsia="宋体" w:cs="宋体"/>
          <w:strike/>
          <w:color w:val="auto"/>
          <w:highlight w:val="none"/>
        </w:rPr>
      </w:pPr>
      <w:r>
        <w:rPr>
          <w:rFonts w:hint="eastAsia" w:ascii="宋体" w:hAnsi="宋体" w:eastAsia="宋体" w:cs="宋体"/>
          <w:color w:val="auto"/>
          <w:highlight w:val="none"/>
        </w:rPr>
        <w:t>□4.面向中小企业招标的，投标人（或联合体中的中小企业）须为中小企业，并提供《中小企业声明函》。</w:t>
      </w:r>
    </w:p>
    <w:p>
      <w:pPr>
        <w:spacing w:line="312" w:lineRule="auto"/>
        <w:ind w:left="490"/>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5.(招标人认为需要增加的符合法律法规规定的其他要求)</w:t>
      </w:r>
    </w:p>
    <w:p>
      <w:pPr>
        <w:spacing w:line="312" w:lineRule="auto"/>
        <w:ind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5.1</w:t>
      </w:r>
      <w:bookmarkStart w:id="1" w:name="_Hlk215866549"/>
      <w:r>
        <w:rPr>
          <w:rFonts w:hint="eastAsia" w:ascii="宋体" w:hAnsi="宋体" w:eastAsia="宋体" w:cs="宋体"/>
          <w:b/>
          <w:bCs/>
          <w:color w:val="auto"/>
          <w:highlight w:val="none"/>
          <w:u w:val="single"/>
          <w:lang w:val="en-US" w:eastAsia="zh-CN"/>
        </w:rPr>
        <w:t>投标人需</w:t>
      </w:r>
      <w:r>
        <w:rPr>
          <w:rFonts w:hint="eastAsia" w:ascii="宋体" w:hAnsi="宋体" w:eastAsia="宋体" w:cs="宋体"/>
          <w:b/>
          <w:bCs/>
          <w:color w:val="auto"/>
          <w:highlight w:val="none"/>
          <w:u w:val="single"/>
        </w:rPr>
        <w:t>具备建设行政主管部门颁发的电力工程施工总承包</w:t>
      </w:r>
      <w:r>
        <w:rPr>
          <w:rFonts w:hint="eastAsia" w:ascii="宋体" w:hAnsi="宋体" w:eastAsia="宋体" w:cs="宋体"/>
          <w:b/>
          <w:bCs/>
          <w:color w:val="auto"/>
          <w:highlight w:val="none"/>
          <w:u w:val="single"/>
          <w:lang w:val="en-US" w:eastAsia="zh-CN"/>
        </w:rPr>
        <w:t>三</w:t>
      </w:r>
      <w:r>
        <w:rPr>
          <w:rFonts w:hint="eastAsia" w:ascii="宋体" w:hAnsi="宋体" w:eastAsia="宋体" w:cs="宋体"/>
          <w:b/>
          <w:bCs/>
          <w:color w:val="auto"/>
          <w:highlight w:val="none"/>
          <w:u w:val="single"/>
        </w:rPr>
        <w:t>级及以上</w:t>
      </w:r>
      <w:r>
        <w:rPr>
          <w:rFonts w:hint="eastAsia" w:ascii="宋体" w:hAnsi="宋体" w:eastAsia="宋体" w:cs="宋体"/>
          <w:b/>
          <w:bCs/>
          <w:color w:val="auto"/>
          <w:highlight w:val="none"/>
          <w:u w:val="single"/>
          <w:lang w:val="en-US" w:eastAsia="zh-CN"/>
        </w:rPr>
        <w:t>、</w:t>
      </w:r>
      <w:r>
        <w:rPr>
          <w:rFonts w:hint="eastAsia" w:ascii="宋体" w:hAnsi="宋体" w:eastAsia="宋体" w:cs="宋体"/>
          <w:b/>
          <w:bCs/>
          <w:color w:val="auto"/>
          <w:highlight w:val="none"/>
          <w:u w:val="single"/>
        </w:rPr>
        <w:t>电监会/能源局颁发的承装(修、试)电力设施许可证三级及以上资质</w:t>
      </w:r>
      <w:r>
        <w:rPr>
          <w:rFonts w:hint="eastAsia" w:ascii="宋体" w:hAnsi="宋体" w:eastAsia="宋体" w:cs="宋体"/>
          <w:b/>
          <w:bCs/>
          <w:color w:val="auto"/>
          <w:highlight w:val="none"/>
          <w:u w:val="single"/>
          <w:lang w:eastAsia="zh-CN"/>
        </w:rPr>
        <w:t>，</w:t>
      </w:r>
      <w:r>
        <w:rPr>
          <w:rFonts w:hint="eastAsia" w:ascii="宋体" w:hAnsi="宋体" w:eastAsia="宋体" w:cs="宋体"/>
          <w:b/>
          <w:bCs/>
          <w:color w:val="auto"/>
          <w:highlight w:val="none"/>
          <w:u w:val="single"/>
        </w:rPr>
        <w:t>且具有有效的安全生产许可证</w:t>
      </w:r>
      <w:r>
        <w:rPr>
          <w:rFonts w:hint="eastAsia" w:ascii="宋体" w:hAnsi="宋体" w:eastAsia="宋体" w:cs="宋体"/>
          <w:b/>
          <w:bCs/>
          <w:color w:val="auto"/>
          <w:highlight w:val="none"/>
          <w:u w:val="single"/>
          <w:lang w:eastAsia="zh-CN"/>
        </w:rPr>
        <w:t>（</w:t>
      </w:r>
      <w:r>
        <w:rPr>
          <w:rFonts w:hint="eastAsia" w:ascii="宋体" w:hAnsi="宋体" w:eastAsia="宋体" w:cs="宋体"/>
          <w:b/>
          <w:bCs/>
          <w:color w:val="auto"/>
          <w:highlight w:val="none"/>
          <w:u w:val="single"/>
          <w:lang w:val="en-US" w:eastAsia="zh-CN"/>
        </w:rPr>
        <w:t>需提供相关证书复印件并加盖投标人公章</w:t>
      </w:r>
      <w:r>
        <w:rPr>
          <w:rFonts w:hint="eastAsia" w:ascii="宋体" w:hAnsi="宋体" w:eastAsia="宋体" w:cs="宋体"/>
          <w:b/>
          <w:bCs/>
          <w:color w:val="auto"/>
          <w:highlight w:val="none"/>
          <w:u w:val="single"/>
          <w:lang w:eastAsia="zh-CN"/>
        </w:rPr>
        <w:t>）</w:t>
      </w:r>
      <w:r>
        <w:rPr>
          <w:rFonts w:hint="eastAsia" w:ascii="宋体" w:hAnsi="宋体" w:eastAsia="宋体" w:cs="宋体"/>
          <w:b/>
          <w:bCs/>
          <w:color w:val="auto"/>
          <w:highlight w:val="none"/>
          <w:u w:val="single"/>
        </w:rPr>
        <w:t>。</w:t>
      </w:r>
    </w:p>
    <w:bookmarkEnd w:id="1"/>
    <w:p>
      <w:pPr>
        <w:spacing w:line="312" w:lineRule="auto"/>
        <w:ind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上述材料缺一不可，否则资格审查不予通过。</w:t>
      </w:r>
    </w:p>
    <w:p>
      <w:pPr>
        <w:spacing w:line="312" w:lineRule="auto"/>
        <w:ind w:left="49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三、招标文件的获取</w:t>
      </w:r>
    </w:p>
    <w:p>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绍兴市公共资源交易中心电子招投标交易平台（http://220.187.225.202:8088/TPBidder-ztk/memberlogin）</w:t>
      </w:r>
      <w:r>
        <w:rPr>
          <w:rFonts w:hint="eastAsia" w:ascii="宋体" w:hAnsi="宋体" w:eastAsia="宋体" w:cs="宋体"/>
          <w:color w:val="auto"/>
          <w:highlight w:val="none"/>
        </w:rPr>
        <w:t>，请各潜在投标人使用CA锁登录绍兴市公共资源交易中心电子招投标交易平台（http://220.187.225.202:8088/TPBidder-ztk/memberlogin）获取,未使用CA锁登录并获取招标文件的投标将被拒收。</w:t>
      </w:r>
    </w:p>
    <w:p>
      <w:pPr>
        <w:spacing w:line="312" w:lineRule="auto"/>
        <w:ind w:left="19" w:firstLine="478" w:firstLineChars="228"/>
        <w:jc w:val="both"/>
        <w:rPr>
          <w:rFonts w:hint="eastAsia" w:ascii="宋体" w:hAnsi="宋体" w:eastAsia="宋体" w:cs="宋体"/>
          <w:snapToGrid/>
          <w:color w:val="auto"/>
          <w:highlight w:val="none"/>
        </w:rPr>
      </w:pPr>
      <w:r>
        <w:rPr>
          <w:rFonts w:hint="eastAsia" w:ascii="宋体" w:hAnsi="宋体" w:eastAsia="宋体" w:cs="宋体"/>
          <w:color w:val="auto"/>
          <w:highlight w:val="none"/>
        </w:rPr>
        <w:t>2.招标文件获取下载网址：潜在投标人登录绍兴市公共资源交易中心电子招投标交易平台（http://220.187.225.202:8088/TPBidder-ztk/memberlogin），自行获取下载招标文件。</w:t>
      </w:r>
    </w:p>
    <w:p>
      <w:pPr>
        <w:spacing w:line="312" w:lineRule="auto"/>
        <w:ind w:left="499"/>
        <w:jc w:val="both"/>
        <w:rPr>
          <w:rFonts w:hint="eastAsia" w:ascii="宋体" w:hAnsi="宋体" w:eastAsia="宋体" w:cs="宋体"/>
          <w:snapToGrid/>
          <w:color w:val="auto"/>
          <w:highlight w:val="none"/>
        </w:rPr>
      </w:pPr>
      <w:r>
        <w:rPr>
          <w:rFonts w:hint="eastAsia" w:ascii="宋体" w:hAnsi="宋体" w:eastAsia="宋体" w:cs="宋体"/>
          <w:snapToGrid/>
          <w:color w:val="auto"/>
          <w:highlight w:val="none"/>
        </w:rPr>
        <w:t>3.招标文件网上下载时间：（公告发布之日起至投标文件递交截止时间）。</w:t>
      </w:r>
    </w:p>
    <w:p>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pPr>
        <w:widowControl w:val="0"/>
        <w:kinsoku/>
        <w:autoSpaceDE/>
        <w:autoSpaceDN/>
        <w:adjustRightInd/>
        <w:spacing w:line="312" w:lineRule="auto"/>
        <w:ind w:firstLine="369" w:firstLineChars="176"/>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1.金额：</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highlight w:val="none"/>
        </w:rPr>
        <w:t>☑</w:t>
      </w:r>
      <w:r>
        <w:rPr>
          <w:rFonts w:hint="eastAsia" w:ascii="宋体" w:hAnsi="宋体" w:eastAsia="宋体" w:cs="宋体"/>
          <w:snapToGrid/>
          <w:color w:val="auto"/>
          <w:kern w:val="2"/>
          <w:highlight w:val="none"/>
        </w:rPr>
        <w:t>本项目需缴纳投标保证金</w:t>
      </w:r>
      <w:r>
        <w:rPr>
          <w:rFonts w:hint="eastAsia" w:ascii="宋体" w:hAnsi="宋体" w:eastAsia="宋体" w:cs="宋体"/>
          <w:b/>
          <w:bCs/>
          <w:snapToGrid/>
          <w:color w:val="auto"/>
          <w:kern w:val="2"/>
          <w:highlight w:val="none"/>
          <w:u w:val="single"/>
          <w:lang w:val="en-US" w:eastAsia="zh-CN"/>
        </w:rPr>
        <w:t>24</w:t>
      </w:r>
      <w:r>
        <w:rPr>
          <w:rFonts w:hint="eastAsia" w:ascii="宋体" w:hAnsi="宋体" w:eastAsia="宋体" w:cs="宋体"/>
          <w:snapToGrid/>
          <w:color w:val="auto"/>
          <w:kern w:val="2"/>
          <w:highlight w:val="none"/>
        </w:rPr>
        <w:t>万元，投标保证金在投标人自行获取招标文件后，在</w:t>
      </w:r>
      <w:r>
        <w:rPr>
          <w:rFonts w:hint="eastAsia" w:ascii="宋体" w:hAnsi="宋体" w:eastAsia="宋体" w:cs="宋体"/>
          <w:b/>
          <w:bCs/>
          <w:snapToGrid/>
          <w:color w:val="auto"/>
          <w:kern w:val="2"/>
          <w:highlight w:val="none"/>
        </w:rPr>
        <w:t>投标文件递交截止时间</w:t>
      </w:r>
      <w:r>
        <w:rPr>
          <w:rFonts w:hint="eastAsia" w:ascii="宋体" w:hAnsi="宋体" w:eastAsia="宋体" w:cs="宋体"/>
          <w:snapToGrid/>
          <w:color w:val="auto"/>
          <w:kern w:val="2"/>
          <w:highlight w:val="none"/>
        </w:rPr>
        <w:t>前缴纳。</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2.缴纳方式：投标人基本账户银行转出的保函/保证保险/担保公司担保/转账/数字保函等(不包括现金）。</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2.1缴纳要求（转账）：</w:t>
      </w:r>
    </w:p>
    <w:p>
      <w:pPr>
        <w:spacing w:line="312" w:lineRule="auto"/>
        <w:ind w:firstLine="420" w:firstLineChars="200"/>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账户一：开户单位名称：</w:t>
      </w:r>
      <w:r>
        <w:rPr>
          <w:rFonts w:hint="eastAsia" w:ascii="宋体" w:hAnsi="宋体" w:eastAsia="宋体" w:cs="宋体"/>
          <w:color w:val="auto"/>
          <w:highlight w:val="none"/>
          <w:u w:val="single"/>
        </w:rPr>
        <w:t>绍兴市公共资源交易中心保证金专户，开户行:绍兴银行营业部</w:t>
      </w:r>
      <w:r>
        <w:rPr>
          <w:rFonts w:hint="eastAsia" w:ascii="宋体" w:hAnsi="宋体" w:eastAsia="宋体" w:cs="宋体"/>
          <w:snapToGrid/>
          <w:color w:val="auto"/>
          <w:kern w:val="2"/>
          <w:highlight w:val="none"/>
        </w:rPr>
        <w:t>；账号</w:t>
      </w:r>
      <w:r>
        <w:rPr>
          <w:rFonts w:hint="eastAsia" w:ascii="宋体" w:hAnsi="宋体" w:eastAsia="宋体" w:cs="宋体"/>
          <w:snapToGrid/>
          <w:color w:val="auto"/>
          <w:kern w:val="2"/>
          <w:highlight w:val="none"/>
          <w:u w:val="single"/>
        </w:rPr>
        <w:t xml:space="preserve">      </w:t>
      </w:r>
      <w:r>
        <w:rPr>
          <w:rFonts w:hint="eastAsia" w:ascii="宋体" w:hAnsi="宋体" w:eastAsia="宋体" w:cs="宋体"/>
          <w:snapToGrid/>
          <w:color w:val="auto"/>
          <w:kern w:val="2"/>
          <w:highlight w:val="none"/>
        </w:rPr>
        <w:t xml:space="preserve"> ；</w:t>
      </w:r>
    </w:p>
    <w:p>
      <w:pPr>
        <w:widowControl w:val="0"/>
        <w:kinsoku/>
        <w:autoSpaceDE/>
        <w:autoSpaceDN/>
        <w:adjustRightInd/>
        <w:spacing w:line="312" w:lineRule="auto"/>
        <w:ind w:firstLine="420" w:firstLineChars="200"/>
        <w:jc w:val="both"/>
        <w:textAlignment w:val="auto"/>
        <w:rPr>
          <w:rFonts w:hint="eastAsia" w:ascii="宋体" w:hAnsi="宋体" w:eastAsia="宋体" w:cs="宋体"/>
          <w:strike/>
          <w:snapToGrid/>
          <w:color w:val="auto"/>
          <w:kern w:val="2"/>
          <w:highlight w:val="none"/>
        </w:rPr>
      </w:pPr>
      <w:r>
        <w:rPr>
          <w:rFonts w:hint="eastAsia" w:ascii="宋体" w:hAnsi="宋体" w:eastAsia="宋体" w:cs="宋体"/>
          <w:strike/>
          <w:snapToGrid/>
          <w:color w:val="auto"/>
          <w:kern w:val="2"/>
          <w:highlight w:val="none"/>
        </w:rPr>
        <w:t>账户二：开户单位名称：</w:t>
      </w:r>
      <w:r>
        <w:rPr>
          <w:rFonts w:hint="eastAsia" w:ascii="宋体" w:hAnsi="宋体" w:eastAsia="宋体" w:cs="宋体"/>
          <w:strike/>
          <w:snapToGrid/>
          <w:color w:val="auto"/>
          <w:kern w:val="2"/>
          <w:highlight w:val="none"/>
          <w:u w:val="single"/>
        </w:rPr>
        <w:t>绍兴市公共资源交易中心保证金专户，开户行:中信银行绍兴袍江支行</w:t>
      </w:r>
      <w:r>
        <w:rPr>
          <w:rFonts w:hint="eastAsia" w:ascii="宋体" w:hAnsi="宋体" w:eastAsia="宋体" w:cs="宋体"/>
          <w:strike/>
          <w:snapToGrid/>
          <w:color w:val="auto"/>
          <w:kern w:val="2"/>
          <w:highlight w:val="none"/>
        </w:rPr>
        <w:t>；账号</w:t>
      </w:r>
      <w:r>
        <w:rPr>
          <w:rFonts w:hint="eastAsia" w:ascii="宋体" w:hAnsi="宋体" w:eastAsia="宋体" w:cs="宋体"/>
          <w:strike/>
          <w:snapToGrid/>
          <w:color w:val="auto"/>
          <w:kern w:val="2"/>
          <w:highlight w:val="none"/>
          <w:u w:val="single"/>
        </w:rPr>
        <w:t xml:space="preserve">                          </w:t>
      </w:r>
      <w:r>
        <w:rPr>
          <w:rFonts w:hint="eastAsia" w:ascii="宋体" w:hAnsi="宋体" w:eastAsia="宋体" w:cs="宋体"/>
          <w:strike/>
          <w:snapToGrid/>
          <w:color w:val="auto"/>
          <w:kern w:val="2"/>
          <w:highlight w:val="none"/>
        </w:rPr>
        <w:t xml:space="preserve"> ；</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投标人可自主选择以上账户之一缴纳投标保证金。</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http://220.187.225.202:8088/TPBidder-ztk/memberlogin）中自主选择办理。</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保函费用必须从投标人企业基本账户转出，并在投标保证金缴纳截止时间前办妥保函手续。</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□2.3本项目对</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行业信用评价结果最高等级的投标人免收投标保证金，须具备</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条件。</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注：1.请各投标人在缴纳投标保证金前自行核对统一主体库内填写的基本账户信息，避免出现保证金缴纳后无法匹配的现象。</w:t>
      </w:r>
    </w:p>
    <w:p>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2.重新招标项目，参与投标的投标人仍需按上述规定要求重新递交投标保证金。如联合体投标的，其投标保证金由牵头人递交。</w:t>
      </w:r>
    </w:p>
    <w:p>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五、投标文件递交</w:t>
      </w:r>
    </w:p>
    <w:p>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202</w:t>
      </w:r>
      <w:r>
        <w:rPr>
          <w:rFonts w:hint="eastAsia" w:ascii="宋体" w:hAnsi="宋体" w:eastAsia="宋体" w:cs="宋体"/>
          <w:b/>
          <w:bCs/>
          <w:color w:val="auto"/>
          <w:highlight w:val="none"/>
          <w:u w:val="single"/>
          <w:lang w:val="en-US" w:eastAsia="zh-CN"/>
        </w:rPr>
        <w:t>6</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w:t>
      </w:r>
    </w:p>
    <w:p>
      <w:pPr>
        <w:pStyle w:val="24"/>
        <w:snapToGrid w:val="0"/>
        <w:spacing w:after="0" w:line="312" w:lineRule="auto"/>
        <w:ind w:left="0" w:firstLine="424" w:firstLineChars="202"/>
        <w:rPr>
          <w:rFonts w:hint="eastAsia" w:ascii="宋体" w:hAnsi="宋体" w:cs="宋体"/>
          <w:sz w:val="21"/>
          <w:szCs w:val="21"/>
          <w:highlight w:val="none"/>
          <w:u w:val="single"/>
        </w:rPr>
      </w:pPr>
      <w:r>
        <w:rPr>
          <w:rFonts w:hint="eastAsia" w:ascii="宋体" w:hAnsi="宋体" w:cs="宋体"/>
          <w:sz w:val="21"/>
          <w:szCs w:val="21"/>
          <w:highlight w:val="none"/>
        </w:rPr>
        <w:t>2.投标文件递交方式：</w:t>
      </w:r>
    </w:p>
    <w:p>
      <w:pPr>
        <w:pStyle w:val="24"/>
        <w:snapToGrid w:val="0"/>
        <w:spacing w:after="0" w:line="312" w:lineRule="auto"/>
        <w:ind w:left="0" w:firstLine="424" w:firstLineChars="202"/>
        <w:rPr>
          <w:rFonts w:hint="eastAsia" w:ascii="宋体" w:hAnsi="宋体" w:cs="宋体"/>
          <w:sz w:val="21"/>
          <w:szCs w:val="21"/>
          <w:highlight w:val="none"/>
        </w:rPr>
      </w:pPr>
      <w:r>
        <w:rPr>
          <w:rFonts w:hint="eastAsia" w:ascii="宋体" w:hAnsi="宋体" w:cs="宋体"/>
          <w:sz w:val="21"/>
          <w:szCs w:val="21"/>
          <w:highlight w:val="none"/>
        </w:rPr>
        <w:t>☑2.1电子招标投标交易平台：</w:t>
      </w:r>
      <w:r>
        <w:rPr>
          <w:rFonts w:hint="eastAsia" w:ascii="宋体" w:hAnsi="宋体" w:cs="宋体"/>
          <w:sz w:val="21"/>
          <w:szCs w:val="21"/>
          <w:highlight w:val="none"/>
          <w:u w:val="single"/>
        </w:rPr>
        <w:t xml:space="preserve">  </w:t>
      </w:r>
      <w:r>
        <w:rPr>
          <w:rFonts w:hint="eastAsia" w:ascii="宋体" w:hAnsi="宋体" w:cs="宋体"/>
          <w:b/>
          <w:bCs/>
          <w:sz w:val="21"/>
          <w:szCs w:val="21"/>
          <w:highlight w:val="none"/>
          <w:u w:val="single"/>
        </w:rPr>
        <w:t>绍兴市公共资源交易中心电子招投标交易平台</w:t>
      </w:r>
      <w:r>
        <w:rPr>
          <w:rFonts w:hint="eastAsia" w:ascii="宋体" w:hAnsi="宋体" w:cs="宋体"/>
          <w:sz w:val="21"/>
          <w:szCs w:val="21"/>
          <w:highlight w:val="none"/>
          <w:u w:val="single"/>
        </w:rPr>
        <w:t xml:space="preserve"> </w:t>
      </w:r>
      <w:r>
        <w:rPr>
          <w:rFonts w:hint="eastAsia" w:ascii="宋体" w:hAnsi="宋体" w:cs="宋体"/>
          <w:sz w:val="21"/>
          <w:szCs w:val="21"/>
          <w:highlight w:val="none"/>
        </w:rPr>
        <w:t>。</w:t>
      </w:r>
    </w:p>
    <w:p>
      <w:pPr>
        <w:pStyle w:val="24"/>
        <w:snapToGrid w:val="0"/>
        <w:spacing w:after="0" w:line="312" w:lineRule="auto"/>
        <w:ind w:left="0" w:firstLine="424" w:firstLineChars="202"/>
        <w:rPr>
          <w:rFonts w:hint="eastAsia" w:ascii="宋体" w:hAnsi="宋体" w:cs="宋体"/>
          <w:sz w:val="21"/>
          <w:szCs w:val="21"/>
          <w:highlight w:val="none"/>
        </w:rPr>
      </w:pPr>
      <w:r>
        <w:rPr>
          <w:rFonts w:hint="eastAsia" w:ascii="宋体" w:hAnsi="宋体" w:cs="宋体"/>
          <w:sz w:val="21"/>
          <w:szCs w:val="21"/>
          <w:highlight w:val="none"/>
        </w:rPr>
        <w:t>□2.2纸质标书递交，地点为：绍兴市公共资源交易中心二楼指定的开标室（</w:t>
      </w:r>
      <w:r>
        <w:rPr>
          <w:rFonts w:hint="eastAsia" w:ascii="宋体" w:hAnsi="宋体" w:cs="宋体"/>
          <w:b/>
          <w:bCs/>
          <w:sz w:val="21"/>
          <w:szCs w:val="21"/>
          <w:highlight w:val="none"/>
        </w:rPr>
        <w:t>绍兴市越城区洋江西路 699 号梅山春晓 2 楼</w:t>
      </w:r>
      <w:r>
        <w:rPr>
          <w:rFonts w:hint="eastAsia" w:ascii="宋体" w:hAnsi="宋体" w:cs="宋体"/>
          <w:sz w:val="21"/>
          <w:szCs w:val="21"/>
          <w:highlight w:val="none"/>
        </w:rPr>
        <w:t>）。</w:t>
      </w:r>
    </w:p>
    <w:p>
      <w:pPr>
        <w:spacing w:line="312" w:lineRule="auto"/>
        <w:ind w:firstLine="485"/>
        <w:jc w:val="both"/>
        <w:rPr>
          <w:rFonts w:hint="eastAsia" w:ascii="宋体" w:hAnsi="宋体" w:eastAsia="宋体" w:cs="宋体"/>
          <w:color w:val="auto"/>
          <w:highlight w:val="none"/>
        </w:rPr>
      </w:pPr>
      <w:r>
        <w:rPr>
          <w:rFonts w:hint="eastAsia" w:ascii="宋体" w:hAnsi="宋体" w:eastAsia="宋体" w:cs="宋体"/>
          <w:color w:val="auto"/>
          <w:highlight w:val="none"/>
        </w:rPr>
        <w:t>3.□招标文件要求递交的</w:t>
      </w:r>
      <w:r>
        <w:rPr>
          <w:rFonts w:hint="eastAsia" w:ascii="宋体" w:hAnsi="宋体" w:eastAsia="宋体" w:cs="宋体"/>
          <w:b/>
          <w:bCs/>
          <w:color w:val="auto"/>
          <w:highlight w:val="none"/>
          <w:u w:val="single"/>
        </w:rPr>
        <w:t>U盘</w:t>
      </w:r>
      <w:r>
        <w:rPr>
          <w:rFonts w:hint="eastAsia" w:ascii="宋体" w:hAnsi="宋体" w:eastAsia="宋体" w:cs="宋体"/>
          <w:color w:val="auto"/>
          <w:highlight w:val="none"/>
        </w:rPr>
        <w:t>、光盘、样品等材料，投标人应在投标截止时间前递交至</w:t>
      </w:r>
      <w:r>
        <w:rPr>
          <w:rFonts w:hint="eastAsia" w:ascii="宋体" w:hAnsi="宋体" w:eastAsia="宋体" w:cs="宋体"/>
          <w:b/>
          <w:bCs/>
          <w:color w:val="auto"/>
          <w:highlight w:val="none"/>
          <w:u w:val="single"/>
        </w:rPr>
        <w:t>绍兴市公共资源交易中心二楼指定的开标室（绍兴市越城区洋江西路 699 号梅山春晓 2 楼）</w:t>
      </w:r>
      <w:r>
        <w:rPr>
          <w:rFonts w:hint="eastAsia" w:ascii="宋体" w:hAnsi="宋体" w:eastAsia="宋体" w:cs="宋体"/>
          <w:color w:val="auto"/>
          <w:highlight w:val="none"/>
        </w:rPr>
        <w:t>。递交</w:t>
      </w:r>
      <w:r>
        <w:rPr>
          <w:rFonts w:hint="eastAsia" w:ascii="宋体" w:hAnsi="宋体" w:eastAsia="宋体" w:cs="宋体"/>
          <w:b/>
          <w:bCs/>
          <w:color w:val="auto"/>
          <w:highlight w:val="none"/>
          <w:u w:val="single"/>
        </w:rPr>
        <w:t>U盘、</w:t>
      </w:r>
      <w:r>
        <w:rPr>
          <w:rFonts w:hint="eastAsia" w:ascii="宋体" w:hAnsi="宋体" w:eastAsia="宋体" w:cs="宋体"/>
          <w:color w:val="auto"/>
          <w:highlight w:val="none"/>
        </w:rPr>
        <w:t>光盘、样品等材料时应同时携带递交人法定代表人授权委托书及身份证原件(法定代表人递交的仅需提供身份证原件)。</w:t>
      </w:r>
    </w:p>
    <w:p>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六、发布公告的媒介</w:t>
      </w:r>
    </w:p>
    <w:p>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本次招标公告同时在</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（发布公告的媒介名称）上发布。</w:t>
      </w:r>
    </w:p>
    <w:p>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七、监管机构：</w:t>
      </w:r>
      <w:r>
        <w:rPr>
          <w:rFonts w:hint="eastAsia" w:ascii="宋体" w:hAnsi="宋体" w:eastAsia="宋体" w:cs="宋体"/>
          <w:b/>
          <w:bCs/>
          <w:color w:val="auto"/>
          <w:highlight w:val="none"/>
          <w:u w:val="single"/>
        </w:rPr>
        <w:t>绍兴滨海新区管理委员会经济发展局</w:t>
      </w:r>
    </w:p>
    <w:p>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pPr>
        <w:spacing w:line="312" w:lineRule="auto"/>
        <w:ind w:left="482"/>
        <w:jc w:val="both"/>
        <w:rPr>
          <w:rFonts w:hint="eastAsia" w:ascii="宋体" w:hAnsi="宋体" w:eastAsia="宋体" w:cs="宋体"/>
          <w:b/>
          <w:bCs/>
          <w:color w:val="auto"/>
          <w:spacing w:val="-20"/>
          <w:highlight w:val="none"/>
          <w:u w:val="single"/>
        </w:rPr>
      </w:pPr>
      <w:r>
        <w:rPr>
          <w:rFonts w:hint="eastAsia" w:ascii="宋体" w:hAnsi="宋体" w:eastAsia="宋体" w:cs="宋体"/>
          <w:color w:val="auto"/>
          <w:highlight w:val="none"/>
        </w:rPr>
        <w:t>招标人：</w:t>
      </w:r>
      <w:r>
        <w:rPr>
          <w:rFonts w:hint="eastAsia" w:ascii="宋体" w:hAnsi="宋体" w:eastAsia="宋体" w:cs="宋体"/>
          <w:b/>
          <w:bCs/>
          <w:color w:val="auto"/>
          <w:highlight w:val="none"/>
          <w:u w:val="single"/>
        </w:rPr>
        <w:t xml:space="preserve">浙江城华新能源发展有限公司 </w:t>
      </w:r>
      <w:r>
        <w:rPr>
          <w:rFonts w:hint="eastAsia" w:ascii="宋体" w:hAnsi="宋体" w:eastAsia="宋体" w:cs="宋体"/>
          <w:color w:val="auto"/>
          <w:highlight w:val="none"/>
        </w:rPr>
        <w:t>招标代理机构：</w:t>
      </w:r>
      <w:r>
        <w:rPr>
          <w:rFonts w:hint="eastAsia" w:ascii="宋体" w:hAnsi="宋体" w:eastAsia="宋体" w:cs="宋体"/>
          <w:b/>
          <w:bCs/>
          <w:color w:val="auto"/>
          <w:spacing w:val="-20"/>
          <w:highlight w:val="none"/>
          <w:u w:val="single"/>
        </w:rPr>
        <w:t>浙江建诚工程管理咨询有限公司</w:t>
      </w:r>
    </w:p>
    <w:p>
      <w:pPr>
        <w:spacing w:line="312" w:lineRule="auto"/>
        <w:ind w:left="480"/>
        <w:jc w:val="both"/>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b/>
          <w:bCs/>
          <w:color w:val="auto"/>
          <w:highlight w:val="none"/>
          <w:u w:val="single"/>
        </w:rPr>
        <w:t xml:space="preserve">祝张淼   </w:t>
      </w:r>
      <w:r>
        <w:rPr>
          <w:rFonts w:hint="eastAsia" w:ascii="宋体" w:hAnsi="宋体" w:eastAsia="宋体" w:cs="宋体"/>
          <w:color w:val="auto"/>
          <w:highlight w:val="none"/>
        </w:rPr>
        <w:t xml:space="preserve">              联   系   人：</w:t>
      </w:r>
      <w:r>
        <w:rPr>
          <w:rFonts w:hint="eastAsia" w:ascii="宋体" w:hAnsi="宋体" w:eastAsia="宋体" w:cs="宋体"/>
          <w:b/>
          <w:bCs/>
          <w:color w:val="auto"/>
          <w:highlight w:val="none"/>
          <w:u w:val="single"/>
        </w:rPr>
        <w:t xml:space="preserve">黄晓晓  </w:t>
      </w:r>
      <w:r>
        <w:rPr>
          <w:rFonts w:hint="eastAsia" w:ascii="宋体" w:hAnsi="宋体" w:eastAsia="宋体" w:cs="宋体"/>
          <w:color w:val="auto"/>
          <w:highlight w:val="none"/>
        </w:rPr>
        <w:t xml:space="preserve">   </w:t>
      </w:r>
    </w:p>
    <w:p>
      <w:pPr>
        <w:spacing w:line="312" w:lineRule="auto"/>
        <w:ind w:left="480"/>
        <w:jc w:val="both"/>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b/>
          <w:bCs/>
          <w:color w:val="auto"/>
          <w:highlight w:val="none"/>
          <w:u w:val="single"/>
        </w:rPr>
        <w:t xml:space="preserve">15088500051  </w:t>
      </w:r>
      <w:r>
        <w:rPr>
          <w:rFonts w:hint="eastAsia" w:ascii="宋体" w:hAnsi="宋体" w:eastAsia="宋体" w:cs="宋体"/>
          <w:color w:val="auto"/>
          <w:highlight w:val="none"/>
        </w:rPr>
        <w:t xml:space="preserve">        电 话： </w:t>
      </w:r>
      <w:r>
        <w:rPr>
          <w:rFonts w:hint="eastAsia" w:ascii="宋体" w:hAnsi="宋体" w:eastAsia="宋体" w:cs="宋体"/>
          <w:b/>
          <w:bCs/>
          <w:color w:val="auto"/>
          <w:highlight w:val="none"/>
          <w:u w:val="single"/>
        </w:rPr>
        <w:t xml:space="preserve"> 15258824551  </w:t>
      </w:r>
      <w:r>
        <w:rPr>
          <w:rFonts w:hint="eastAsia" w:ascii="宋体" w:hAnsi="宋体" w:eastAsia="宋体" w:cs="宋体"/>
          <w:color w:val="auto"/>
          <w:highlight w:val="none"/>
        </w:rPr>
        <w:t xml:space="preserve">  </w:t>
      </w:r>
    </w:p>
    <w:p>
      <w:pPr>
        <w:spacing w:line="312" w:lineRule="auto"/>
        <w:ind w:left="483"/>
        <w:jc w:val="both"/>
        <w:rPr>
          <w:rFonts w:hint="eastAsia" w:ascii="宋体" w:hAnsi="宋体" w:eastAsia="宋体" w:cs="宋体"/>
          <w:b/>
          <w:bCs/>
          <w:color w:val="auto"/>
          <w:highlight w:val="none"/>
          <w:u w:val="single"/>
        </w:rPr>
      </w:pPr>
      <w:r>
        <w:rPr>
          <w:rFonts w:hint="eastAsia" w:ascii="宋体" w:hAnsi="宋体" w:eastAsia="宋体" w:cs="宋体"/>
          <w:color w:val="auto"/>
          <w:highlight w:val="none"/>
        </w:rPr>
        <w:t>地  址：</w:t>
      </w:r>
      <w:r>
        <w:rPr>
          <w:rFonts w:hint="eastAsia" w:ascii="宋体" w:hAnsi="宋体" w:eastAsia="宋体" w:cs="宋体"/>
          <w:b/>
          <w:bCs/>
          <w:color w:val="auto"/>
          <w:spacing w:val="-20"/>
          <w:highlight w:val="none"/>
          <w:u w:val="single"/>
        </w:rPr>
        <w:t xml:space="preserve">浙江省绍兴市越城区灵芝街道解放大道288号22楼   </w:t>
      </w:r>
      <w:r>
        <w:rPr>
          <w:rFonts w:hint="eastAsia" w:ascii="宋体" w:hAnsi="宋体" w:eastAsia="宋体" w:cs="宋体"/>
          <w:color w:val="auto"/>
          <w:highlight w:val="none"/>
        </w:rPr>
        <w:t>地 址：</w:t>
      </w:r>
      <w:r>
        <w:rPr>
          <w:rFonts w:hint="eastAsia" w:ascii="宋体" w:hAnsi="宋体" w:eastAsia="宋体" w:cs="宋体"/>
          <w:b/>
          <w:bCs/>
          <w:color w:val="auto"/>
          <w:highlight w:val="none"/>
          <w:u w:val="single"/>
        </w:rPr>
        <w:t>绍兴市越城区平江路龙湖大厦14楼</w:t>
      </w:r>
    </w:p>
    <w:p>
      <w:pPr>
        <w:spacing w:line="312" w:lineRule="auto"/>
        <w:ind w:left="483"/>
        <w:jc w:val="both"/>
        <w:rPr>
          <w:rFonts w:hint="eastAsia" w:ascii="宋体" w:hAnsi="宋体" w:eastAsia="宋体" w:cs="宋体"/>
          <w:color w:val="auto"/>
          <w:highlight w:val="none"/>
        </w:rPr>
      </w:pPr>
    </w:p>
    <w:p>
      <w:pPr>
        <w:tabs>
          <w:tab w:val="left" w:pos="6089"/>
        </w:tabs>
        <w:spacing w:line="312" w:lineRule="auto"/>
        <w:ind w:left="5597"/>
        <w:jc w:val="both"/>
        <w:rPr>
          <w:rFonts w:hint="eastAsia" w:ascii="宋体" w:hAnsi="宋体" w:eastAsia="宋体" w:cs="宋体"/>
          <w:color w:val="auto"/>
          <w:highlight w:val="none"/>
        </w:rPr>
      </w:pP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spacing w:line="312" w:lineRule="auto"/>
        <w:jc w:val="both"/>
        <w:rPr>
          <w:rFonts w:hint="eastAsia" w:ascii="宋体" w:hAnsi="宋体" w:eastAsia="宋体" w:cs="宋体"/>
          <w:color w:val="auto"/>
          <w:highlight w:val="none"/>
        </w:rPr>
      </w:pPr>
    </w:p>
    <w:p>
      <w:pPr>
        <w:spacing w:line="265" w:lineRule="auto"/>
        <w:jc w:val="both"/>
        <w:rPr>
          <w:rFonts w:hint="eastAsia" w:ascii="宋体" w:hAnsi="宋体" w:eastAsia="宋体" w:cs="宋体"/>
          <w:color w:val="auto"/>
          <w:sz w:val="24"/>
          <w:szCs w:val="24"/>
          <w:highlight w:val="none"/>
        </w:rPr>
      </w:pPr>
    </w:p>
    <w:p>
      <w:pPr>
        <w:jc w:val="both"/>
        <w:rPr>
          <w:rFonts w:hint="eastAsia" w:ascii="宋体" w:hAnsi="宋体" w:eastAsia="宋体" w:cs="宋体"/>
          <w:color w:val="auto"/>
          <w:sz w:val="24"/>
          <w:szCs w:val="24"/>
          <w:highlight w:val="none"/>
        </w:rPr>
        <w:sectPr>
          <w:footerReference r:id="rId6" w:type="default"/>
          <w:pgSz w:w="11906" w:h="16839"/>
          <w:pgMar w:top="1418" w:right="1559" w:bottom="1418" w:left="1474" w:header="0" w:footer="1032" w:gutter="0"/>
          <w:pgNumType w:start="1"/>
          <w:cols w:space="720" w:num="1"/>
        </w:sectPr>
      </w:pPr>
    </w:p>
    <w:p>
      <w:pPr>
        <w:spacing w:before="318" w:line="225" w:lineRule="auto"/>
        <w:ind w:left="3604"/>
        <w:jc w:val="both"/>
        <w:outlineLvl w:val="0"/>
        <w:rPr>
          <w:rFonts w:hint="eastAsia" w:ascii="宋体" w:hAnsi="宋体" w:eastAsia="宋体" w:cs="宋体"/>
          <w:color w:val="auto"/>
          <w:sz w:val="31"/>
          <w:szCs w:val="31"/>
          <w:highlight w:val="none"/>
        </w:rPr>
      </w:pPr>
      <w:bookmarkStart w:id="2" w:name="_bookmark2"/>
      <w:bookmarkEnd w:id="2"/>
      <w:r>
        <w:rPr>
          <w:rFonts w:hint="eastAsia" w:ascii="宋体" w:hAnsi="宋体" w:eastAsia="宋体" w:cs="宋体"/>
          <w:color w:val="auto"/>
          <w:sz w:val="31"/>
          <w:szCs w:val="31"/>
          <w:highlight w:val="none"/>
        </w:rPr>
        <w:t>第二章投标人须知</w:t>
      </w:r>
    </w:p>
    <w:p>
      <w:pPr>
        <w:spacing w:before="236" w:line="220" w:lineRule="auto"/>
        <w:ind w:left="3329"/>
        <w:jc w:val="both"/>
        <w:outlineLvl w:val="1"/>
        <w:rPr>
          <w:rFonts w:hint="eastAsia" w:ascii="宋体" w:hAnsi="宋体" w:eastAsia="宋体" w:cs="宋体"/>
          <w:color w:val="auto"/>
          <w:sz w:val="28"/>
          <w:szCs w:val="28"/>
          <w:highlight w:val="none"/>
        </w:rPr>
      </w:pPr>
      <w:bookmarkStart w:id="3" w:name="_bookmark3"/>
      <w:bookmarkEnd w:id="3"/>
      <w:r>
        <w:rPr>
          <w:rFonts w:hint="eastAsia" w:ascii="宋体" w:hAnsi="宋体" w:eastAsia="宋体" w:cs="宋体"/>
          <w:color w:val="auto"/>
          <w:sz w:val="28"/>
          <w:szCs w:val="28"/>
          <w:highlight w:val="none"/>
        </w:rPr>
        <w:t>第一节投标人须知前附表</w:t>
      </w:r>
    </w:p>
    <w:p>
      <w:pPr>
        <w:spacing w:line="170" w:lineRule="exact"/>
        <w:jc w:val="both"/>
        <w:rPr>
          <w:rFonts w:hint="eastAsia" w:ascii="宋体" w:hAnsi="宋体" w:eastAsia="宋体" w:cs="宋体"/>
          <w:color w:val="auto"/>
          <w:highlight w:val="none"/>
        </w:rPr>
      </w:pPr>
    </w:p>
    <w:tbl>
      <w:tblPr>
        <w:tblStyle w:val="48"/>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50" w:type="dxa"/>
            <w:vAlign w:val="center"/>
          </w:tcPr>
          <w:p>
            <w:pPr>
              <w:tabs>
                <w:tab w:val="left" w:pos="14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596" w:type="dxa"/>
            <w:vAlign w:val="center"/>
          </w:tcPr>
          <w:p>
            <w:pPr>
              <w:tabs>
                <w:tab w:val="left" w:pos="56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名称：浙江城华新能源发展有限公司</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地址：浙江省绍兴市越城区灵芝街道解放大道288号22楼</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联系人：祝张淼</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联系电话：15088500051</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名称：浙江建诚工程管理咨询有限公司</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地址：绍兴市越城区平江路龙湖大厦14楼</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联系人：黄晓晓</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联系电话：15258824551 </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电子邮箱：1581317494@qq.com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596"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浙江古越龙山绍兴酒股份有限公司4400KW屋顶分布式光伏发电项目（一期）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596"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浙江省绍兴市越城区马山街道三江路98号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596"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自筹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596"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150个日历天内完成光伏电站全部设备安装调试且光伏阵列并网发电</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项目具体实施根据业主下发的指令为准</w:t>
            </w:r>
            <w:r>
              <w:rPr>
                <w:rFonts w:hint="eastAsia" w:ascii="宋体" w:hAnsi="宋体" w:eastAsia="宋体" w:cs="宋体"/>
                <w:b/>
                <w:bCs/>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rPr>
              <w:t>个月，时间从</w:t>
            </w:r>
            <w:r>
              <w:rPr>
                <w:rFonts w:hint="eastAsia" w:ascii="宋体" w:hAnsi="宋体" w:eastAsia="宋体" w:cs="宋体"/>
                <w:color w:val="auto"/>
                <w:highlight w:val="none"/>
                <w:lang w:val="en-US" w:eastAsia="zh-CN"/>
              </w:rPr>
              <w:t>项目验收合格之日</w:t>
            </w:r>
            <w:r>
              <w:rPr>
                <w:rFonts w:hint="eastAsia" w:ascii="宋体" w:hAnsi="宋体" w:eastAsia="宋体" w:cs="宋体"/>
                <w:color w:val="auto"/>
                <w:highlight w:val="none"/>
              </w:rPr>
              <w:t>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r>
              <w:rPr>
                <w:rFonts w:hint="eastAsia" w:ascii="宋体" w:hAnsi="宋体" w:eastAsia="宋体" w:cs="宋体"/>
                <w:color w:val="auto"/>
                <w:highlight w:val="none"/>
                <w:u w:val="singl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50" w:type="dxa"/>
            <w:vAlign w:val="center"/>
          </w:tcPr>
          <w:p>
            <w:pPr>
              <w:widowControl w:val="0"/>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596" w:type="dxa"/>
            <w:vAlign w:val="center"/>
          </w:tcPr>
          <w:p>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596" w:type="dxa"/>
            <w:vAlign w:val="center"/>
          </w:tcPr>
          <w:p>
            <w:pPr>
              <w:kinsoku/>
              <w:overflowPunct w:val="0"/>
              <w:topLinePunct/>
              <w:spacing w:line="336" w:lineRule="auto"/>
              <w:ind w:left="218" w:leftChars="104"/>
              <w:jc w:val="both"/>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分。（投标人在截止时间以后提出的澄清招标文件的要求，招标人可以拒绝受理），提交方式: </w:t>
            </w:r>
            <w:r>
              <w:rPr>
                <w:rFonts w:hint="eastAsia" w:ascii="宋体" w:hAnsi="宋体" w:eastAsia="宋体" w:cs="宋体"/>
                <w:i/>
                <w:color w:val="auto"/>
                <w:highlight w:val="none"/>
                <w:u w:val="single"/>
              </w:rPr>
              <w:t xml:space="preserve">请在上述时间截止前将加盖公章的PDF电子格式的投标提问书发送至 </w:t>
            </w:r>
            <w:r>
              <w:rPr>
                <w:rFonts w:hint="eastAsia" w:ascii="宋体" w:hAnsi="宋体" w:eastAsia="宋体" w:cs="宋体"/>
                <w:b/>
                <w:bCs/>
                <w:i/>
                <w:color w:val="auto"/>
                <w:highlight w:val="none"/>
                <w:u w:val="single"/>
              </w:rPr>
              <w:t>1581317494@qq.com 。</w:t>
            </w:r>
          </w:p>
          <w:p>
            <w:pPr>
              <w:kinsoku/>
              <w:overflowPunct w:val="0"/>
              <w:topLinePunct/>
              <w:spacing w:line="336" w:lineRule="auto"/>
              <w:ind w:left="218" w:leftChars="104"/>
              <w:jc w:val="both"/>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rPr>
              <w:t xml:space="preserve">15258824551 </w:t>
            </w:r>
            <w:r>
              <w:rPr>
                <w:rFonts w:hint="eastAsia" w:ascii="宋体" w:hAnsi="宋体" w:eastAsia="宋体" w:cs="宋体"/>
                <w:i/>
                <w:color w:val="auto"/>
                <w:highlight w:val="none"/>
                <w:u w:val="single"/>
              </w:rPr>
              <w:t xml:space="preserve"> </w:t>
            </w:r>
            <w:r>
              <w:rPr>
                <w:rFonts w:hint="eastAsia" w:ascii="宋体" w:hAnsi="宋体" w:eastAsia="宋体" w:cs="宋体"/>
                <w:color w:val="auto"/>
                <w:highlight w:val="none"/>
              </w:rPr>
              <w:t>联系人：</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rPr>
              <w:t>黄晓晓</w:t>
            </w:r>
            <w:r>
              <w:rPr>
                <w:rFonts w:hint="eastAsia" w:ascii="宋体" w:hAnsi="宋体" w:eastAsia="宋体" w:cs="宋体"/>
                <w:i/>
                <w:color w:val="auto"/>
                <w:highlight w:val="none"/>
                <w:u w:val="singl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天前，以上款相同的形式发布。</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公布、下载网址：绍兴市公共资源交易中心电子招投标交易平台(http://220.187.225.202:8088/TPBidder-ztk/memberlogin)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b/>
                <w:bCs/>
                <w:color w:val="auto"/>
                <w:highlight w:val="none"/>
                <w:u w:val="single"/>
              </w:rPr>
              <w:t>实质性要求允许正偏离。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596" w:type="dxa"/>
            <w:vAlign w:val="center"/>
          </w:tcPr>
          <w:p>
            <w:pPr>
              <w:tabs>
                <w:tab w:val="left" w:pos="558"/>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(http://220.187.225.202:8088/TPBidder-ztk/memberlogin)，招标人不再一一通知。投标人因自身贻误行为导致投标失败的，责任自负。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lang w:eastAsia="zh-CN"/>
              </w:rPr>
              <w:t>1225.6308</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万元（根据审定金额）</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□在投标截止时间15个日历天前以补充文件的形式公布</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□本次招标最高投标限价的计算方法：。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b/>
                <w:bCs/>
                <w:color w:val="auto"/>
                <w:highlight w:val="none"/>
                <w:u w:val="single"/>
              </w:rPr>
              <w:t xml:space="preserve"> 90 </w:t>
            </w:r>
            <w:r>
              <w:rPr>
                <w:rFonts w:hint="eastAsia" w:ascii="宋体" w:hAnsi="宋体" w:eastAsia="宋体" w:cs="宋体"/>
                <w:color w:val="auto"/>
                <w:highlight w:val="none"/>
              </w:rPr>
              <w:t>个日历天(从投标截止之日起算)。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□3.联合体各方签订的共同投标协议(联合体投标的提供)；</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5.中小企业声明函；</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6.投标承诺书；</w:t>
            </w:r>
          </w:p>
          <w:p>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color w:val="auto"/>
                <w:highlight w:val="none"/>
              </w:rPr>
              <w:t>☑7.(招标人认为需要增加的符合法律法规规定的其他实质性响应的资料)。</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1.招标文件对提供的资料有打分内容的填写。</w:t>
            </w:r>
          </w:p>
          <w:p>
            <w:pPr>
              <w:tabs>
                <w:tab w:val="left" w:pos="5680"/>
              </w:tabs>
              <w:kinsoku/>
              <w:overflowPunct w:val="0"/>
              <w:topLinePunct/>
              <w:spacing w:line="336"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□纸质投标文件签字或盖章要求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按招标文件要求盖单位公章、法定代表人签字或盖章。委托代理人签字的，投标文件应附法定代表人签署的授权委托书。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3.7.3（2）</w:t>
            </w:r>
          </w:p>
        </w:tc>
        <w:tc>
          <w:tcPr>
            <w:tcW w:w="2050"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电子投标文件盖章要求</w:t>
            </w:r>
          </w:p>
        </w:tc>
        <w:tc>
          <w:tcPr>
            <w:tcW w:w="5596"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投标文件所附证书证件、业绩证明文件、投标保证金等证明材料用原件扫描件并加盖投标单位电子印章；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电子投标文件加密章要求</w:t>
            </w:r>
          </w:p>
        </w:tc>
        <w:tc>
          <w:tcPr>
            <w:tcW w:w="5596"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电子投标的项目，在投标截止时间前，将由投标工具软件制作生成的加密投标文件上传至绍兴市公共资源交易中心电子招投标交易平台。</w:t>
            </w:r>
          </w:p>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strike/>
                <w:color w:val="auto"/>
                <w:highlight w:val="none"/>
              </w:rPr>
              <w:t>演示视频U盘形式密封包装，并在包封外标明“项目名称”、“投标人名称”、“演示视频U盘”等字样，并加盖投标人公章。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使用投标工具软件编制生成的电子投标文件。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pPr>
              <w:kinsoku/>
              <w:overflowPunct w:val="0"/>
              <w:topLinePunct/>
              <w:spacing w:line="336"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50" w:type="dxa"/>
            <w:vMerge w:val="restart"/>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本项目投标文件投标人采用□现场递交/☑电子投标文件上传平台。</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□现场递交：投标人将密封的投标文件在开标当日09:00时至09:30时递交至绍兴市公共资源交易中心二楼指定开标室，投标文件递交后即交即走。投标文件递交地址：</w:t>
            </w:r>
            <w:r>
              <w:rPr>
                <w:rFonts w:hint="eastAsia" w:ascii="宋体" w:hAnsi="宋体" w:eastAsia="宋体" w:cs="宋体"/>
                <w:b/>
                <w:bCs/>
                <w:color w:val="auto"/>
                <w:highlight w:val="none"/>
              </w:rPr>
              <w:t>绍兴市越城区洋江西路 699 号梅山春晓 2 楼 开标室</w:t>
            </w:r>
            <w:r>
              <w:rPr>
                <w:rFonts w:hint="eastAsia" w:ascii="宋体" w:hAnsi="宋体" w:eastAsia="宋体" w:cs="宋体"/>
                <w:color w:val="auto"/>
                <w:highlight w:val="none"/>
              </w:rPr>
              <w:t>（绍兴市公共资源交易中心）。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☑使用专用密钥上传至 绍兴市公共资源交易中心电子招投标交易平台（http://220.187.225.202:8088/TPBidder-ztk/memberlogin）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□是。未中标的投标文件将予以退还。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□投标文件的拒收情形</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一、投标人未按规定密封或封套外信息与所投标段内容不符的投标文件。</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二、未在投标截止时间前递交的投标文件。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☑电子投标文件的拒收情形</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1.投标截止时间后送达（上传）的投标文件、未按招标文件要求上传的；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2.投标人未按规定加密的投标文件，应当拒收并提示。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3.存在下列情况之一的，视为拒收：</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（1）电子投标文件无法解密的；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（2）电子投标文件解密后无法正确读取的；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（3）电子投标文件无法导入成功的；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4.□未被邀请的申请人提交的投标文件</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5.其他:  法律、法规所规定的其他情形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一、开标时间：同投标截止时间。</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二、开标地点：绍兴市公共资源交易中心二楼指定开标室</w:t>
            </w:r>
            <w:r>
              <w:rPr>
                <w:rFonts w:hint="eastAsia" w:ascii="宋体" w:hAnsi="宋体" w:eastAsia="宋体" w:cs="宋体"/>
                <w:b/>
                <w:bCs/>
                <w:color w:val="auto"/>
                <w:highlight w:val="none"/>
              </w:rPr>
              <w:t>（绍兴市越城区洋江西路 699 号梅山春晓 2 楼 ）。</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☑三、开标平台:绍兴市公共资源交易中心电子招投标交易平台</w:t>
            </w:r>
          </w:p>
          <w:p>
            <w:pPr>
              <w:numPr>
                <w:ilvl w:val="0"/>
                <w:numId w:val="3"/>
              </w:num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参加开标会议的要求</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b/>
                <w:bCs/>
                <w:iCs/>
                <w:color w:val="auto"/>
                <w:highlight w:val="none"/>
                <w:u w:val="single"/>
              </w:rPr>
              <w:t>1581317494@qq.com</w:t>
            </w:r>
            <w:r>
              <w:rPr>
                <w:rFonts w:hint="eastAsia" w:ascii="宋体" w:hAnsi="宋体" w:eastAsia="宋体" w:cs="宋体"/>
                <w:b/>
                <w:bCs/>
                <w:i/>
                <w:color w:val="auto"/>
                <w:highlight w:val="none"/>
                <w:u w:val="single"/>
              </w:rPr>
              <w:t xml:space="preserve"> </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pPr>
              <w:tabs>
                <w:tab w:val="left" w:pos="5680"/>
              </w:tabs>
              <w:kinsoku/>
              <w:overflowPunct w:val="0"/>
              <w:topLinePunct/>
              <w:spacing w:line="336"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5.2</w:t>
            </w:r>
          </w:p>
        </w:tc>
        <w:tc>
          <w:tcPr>
            <w:tcW w:w="2050" w:type="dxa"/>
            <w:vAlign w:val="center"/>
          </w:tcPr>
          <w:p>
            <w:pPr>
              <w:tabs>
                <w:tab w:val="left" w:pos="14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开标程序</w:t>
            </w:r>
          </w:p>
        </w:tc>
        <w:tc>
          <w:tcPr>
            <w:tcW w:w="5596" w:type="dxa"/>
          </w:tcPr>
          <w:p>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（三）投标人解密（投标文件解密在 60 分钟内完成，具体以电子招投标交易平台系统时间为准）</w:t>
            </w:r>
          </w:p>
          <w:p>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（六）开标结束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5.4</w:t>
            </w:r>
          </w:p>
        </w:tc>
        <w:tc>
          <w:tcPr>
            <w:tcW w:w="2050"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特殊情况处置</w:t>
            </w:r>
          </w:p>
        </w:tc>
        <w:tc>
          <w:tcPr>
            <w:tcW w:w="5596" w:type="dxa"/>
            <w:vAlign w:val="center"/>
          </w:tcPr>
          <w:p>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1.因网络、系统、电力等不可抗力因素延期开标的，需更新制作投标文件并按招标文件要求重新递交。</w:t>
            </w:r>
          </w:p>
          <w:p>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（2）投标人必须使用生成电子投标文件的CA数字证书加密电子投标文件，未加密的视为撤销其投标文件。</w:t>
            </w:r>
          </w:p>
          <w:p>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3.其他：电子投标项目开标的其他相关程序按照我市相关规定《绍兴市区工程建设项目电子招标投标管理暂行办法》执行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596" w:type="dxa"/>
            <w:vAlign w:val="center"/>
          </w:tcPr>
          <w:p>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评标委员会共</w:t>
            </w:r>
            <w:r>
              <w:rPr>
                <w:rFonts w:hint="eastAsia" w:ascii="宋体" w:hAnsi="宋体" w:eastAsia="宋体" w:cs="宋体"/>
                <w:color w:val="auto"/>
                <w:highlight w:val="none"/>
                <w:u w:val="single"/>
              </w:rPr>
              <w:t xml:space="preserve"> </w:t>
            </w:r>
            <w:r>
              <w:rPr>
                <w:rFonts w:hint="eastAsia" w:ascii="宋体" w:hAnsi="宋体" w:eastAsia="宋体" w:cs="宋体"/>
                <w:b/>
                <w:bCs/>
                <w:iCs/>
                <w:color w:val="auto"/>
                <w:highlight w:val="none"/>
                <w:u w:val="single"/>
              </w:rPr>
              <w:t xml:space="preserve">7  </w:t>
            </w:r>
            <w:r>
              <w:rPr>
                <w:rFonts w:hint="eastAsia" w:ascii="宋体" w:hAnsi="宋体" w:eastAsia="宋体" w:cs="宋体"/>
                <w:color w:val="auto"/>
                <w:highlight w:val="none"/>
              </w:rPr>
              <w:t>人。</w:t>
            </w:r>
          </w:p>
          <w:p>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其中招标人代表</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r>
              <w:rPr>
                <w:rFonts w:hint="eastAsia" w:ascii="宋体" w:hAnsi="宋体" w:eastAsia="宋体" w:cs="宋体"/>
                <w:b/>
                <w:bCs/>
                <w:iCs/>
                <w:color w:val="auto"/>
                <w:highlight w:val="none"/>
                <w:u w:val="single"/>
                <w:lang w:val="en-US" w:eastAsia="zh-CN"/>
              </w:rPr>
              <w:t>省库</w:t>
            </w:r>
            <w:r>
              <w:rPr>
                <w:rFonts w:hint="eastAsia" w:ascii="宋体" w:hAnsi="宋体" w:eastAsia="宋体" w:cs="宋体"/>
                <w:color w:val="auto"/>
                <w:highlight w:val="none"/>
              </w:rPr>
              <w:t>专家</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596" w:type="dxa"/>
            <w:vAlign w:val="center"/>
          </w:tcPr>
          <w:p>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highlight w:val="none"/>
              </w:rPr>
              <w:fldChar w:fldCharType="begin"/>
            </w:r>
            <w:r>
              <w:rPr>
                <w:highlight w:val="none"/>
              </w:rPr>
              <w:instrText xml:space="preserve"> HYPERLINK "http://218.108.28.22/zjgcjy/infodetail/?infoid=25b0d8ef-782f-44f1-a7c2-cdfa059b2aa2&amp;siteid=1&amp;categoryNum=032003" </w:instrText>
            </w:r>
            <w:r>
              <w:rPr>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highlight w:val="none"/>
              </w:rPr>
              <w:fldChar w:fldCharType="begin"/>
            </w:r>
            <w:r>
              <w:rPr>
                <w:highlight w:val="none"/>
              </w:rPr>
              <w:instrText xml:space="preserve"> HYPERLINK "http://218.108.28.22/zjgcjy/infodetail/?infoid=3561d4c5-1965-4914-8d10-bfd371957ee6&amp;siteid=1&amp;categoryNum=032003" </w:instrText>
            </w:r>
            <w:r>
              <w:rPr>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r>
              <w:rPr>
                <w:highlight w:val="none"/>
              </w:rPr>
              <w:fldChar w:fldCharType="begin"/>
            </w:r>
            <w:r>
              <w:rPr>
                <w:highlight w:val="none"/>
              </w:rPr>
              <w:instrText xml:space="preserve"> HYPERLINK "http://218.108.28.22/zjgcjy/infodetail/?infoid=3561d4c5-1965-4914-8d10-bfd371957ee6&amp;siteid=1&amp;categoryNum=032003" </w:instrText>
            </w:r>
            <w:r>
              <w:rPr>
                <w:highlight w:val="none"/>
              </w:rPr>
              <w:fldChar w:fldCharType="separate"/>
            </w:r>
            <w:r>
              <w:rPr>
                <w:highlight w: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596" w:type="dxa"/>
            <w:vAlign w:val="center"/>
          </w:tcPr>
          <w:p>
            <w:pPr>
              <w:pStyle w:val="20"/>
              <w:tabs>
                <w:tab w:val="left" w:pos="5680"/>
              </w:tabs>
              <w:overflowPunct w:val="0"/>
              <w:topLinePunct/>
              <w:snapToGrid w:val="0"/>
              <w:spacing w:after="0" w:line="336" w:lineRule="auto"/>
              <w:ind w:left="105" w:leftChars="50" w:right="105" w:rightChars="50"/>
              <w:jc w:val="both"/>
              <w:rPr>
                <w:rFonts w:hint="eastAsia" w:ascii="宋体" w:hAnsi="宋体" w:cs="宋体"/>
                <w:sz w:val="21"/>
                <w:szCs w:val="21"/>
                <w:highlight w:val="none"/>
              </w:rPr>
            </w:pPr>
            <w:r>
              <w:rPr>
                <w:rFonts w:hint="eastAsia" w:ascii="宋体" w:hAnsi="宋体" w:cs="宋体"/>
                <w:sz w:val="21"/>
                <w:szCs w:val="21"/>
                <w:highlight w:val="none"/>
              </w:rPr>
              <w:t>☑推荐的中标候选人数量：</w:t>
            </w:r>
            <w:r>
              <w:rPr>
                <w:rFonts w:hint="eastAsia" w:ascii="宋体" w:hAnsi="宋体" w:cs="宋体"/>
                <w:sz w:val="21"/>
                <w:szCs w:val="21"/>
                <w:highlight w:val="none"/>
                <w:u w:val="single"/>
              </w:rPr>
              <w:t>1</w:t>
            </w:r>
            <w:r>
              <w:rPr>
                <w:rFonts w:hint="eastAsia" w:ascii="宋体" w:hAnsi="宋体" w:cs="宋体"/>
                <w:sz w:val="21"/>
                <w:szCs w:val="21"/>
                <w:highlight w:val="none"/>
              </w:rPr>
              <w:t>家。</w:t>
            </w:r>
          </w:p>
          <w:p>
            <w:pPr>
              <w:pStyle w:val="20"/>
              <w:tabs>
                <w:tab w:val="left" w:pos="5680"/>
              </w:tabs>
              <w:overflowPunct w:val="0"/>
              <w:topLinePunct/>
              <w:snapToGrid w:val="0"/>
              <w:spacing w:after="0" w:line="336" w:lineRule="auto"/>
              <w:ind w:left="105" w:leftChars="50" w:right="105" w:rightChars="50"/>
              <w:jc w:val="both"/>
              <w:rPr>
                <w:rFonts w:hint="eastAsia" w:ascii="宋体" w:hAnsi="宋体" w:cs="宋体"/>
                <w:sz w:val="21"/>
                <w:szCs w:val="21"/>
                <w:highlight w:val="none"/>
              </w:rPr>
            </w:pPr>
            <w:r>
              <w:rPr>
                <w:rFonts w:hint="eastAsia" w:ascii="宋体" w:hAnsi="宋体" w:cs="宋体"/>
                <w:sz w:val="21"/>
                <w:szCs w:val="21"/>
                <w:highlight w:val="none"/>
              </w:rPr>
              <w:t>□推荐入围定标的中标候选人：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人。（适用于“评定分离”。注：原则上推荐3名中标候选人，最多不超过5个。推荐名单的中标候选人不排名次。）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50"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596"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□授权评标委员会确定中标人。</w:t>
            </w:r>
          </w:p>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□评定分离，根据评标委员会推荐，另行组织定标会议，由定标委员会确定中标人。</w:t>
            </w:r>
          </w:p>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2050" w:type="dxa"/>
            <w:vAlign w:val="center"/>
          </w:tcPr>
          <w:p>
            <w:pPr>
              <w:pStyle w:val="5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596" w:type="dxa"/>
            <w:vAlign w:val="center"/>
          </w:tcPr>
          <w:p>
            <w:pPr>
              <w:kinsoku/>
              <w:overflowPunct w:val="0"/>
              <w:topLinePunct/>
              <w:spacing w:line="336" w:lineRule="auto"/>
              <w:rPr>
                <w:rFonts w:hint="eastAsia" w:ascii="宋体" w:hAnsi="宋体" w:eastAsia="宋体" w:cs="宋体"/>
                <w:b/>
                <w:bCs/>
                <w:iCs/>
                <w:color w:val="auto"/>
                <w:highlight w:val="none"/>
                <w:u w:val="singl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b/>
                <w:bCs/>
                <w:iCs/>
                <w:color w:val="auto"/>
                <w:highlight w:val="none"/>
                <w:u w:val="single"/>
              </w:rPr>
              <w:t>绍兴公共资源交易网（https://ggb.sx.gov.cn/）</w:t>
            </w:r>
          </w:p>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596" w:type="dxa"/>
            <w:vAlign w:val="center"/>
          </w:tcPr>
          <w:p>
            <w:pPr>
              <w:tabs>
                <w:tab w:val="left" w:pos="2150"/>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w:t>
            </w:r>
            <w:bookmarkStart w:id="4"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4"/>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b/>
                <w:bCs/>
                <w:color w:val="auto"/>
                <w:highlight w:val="none"/>
                <w:u w:val="single"/>
              </w:rPr>
              <w:t xml:space="preserve"> 2 </w:t>
            </w:r>
            <w:r>
              <w:rPr>
                <w:rFonts w:hint="eastAsia" w:ascii="宋体" w:hAnsi="宋体" w:eastAsia="宋体" w:cs="宋体"/>
                <w:color w:val="auto"/>
                <w:highlight w:val="none"/>
              </w:rPr>
              <w:t>%(不得超过2%)。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596" w:type="dxa"/>
            <w:vAlign w:val="center"/>
          </w:tcPr>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9.5.1异议</w:t>
            </w:r>
          </w:p>
          <w:p>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9.5.2投诉</w:t>
            </w:r>
          </w:p>
          <w:p>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pPr>
              <w:kinsoku/>
              <w:overflowPunct w:val="0"/>
              <w:topLinePunct/>
              <w:spacing w:line="336" w:lineRule="auto"/>
              <w:ind w:firstLine="420" w:firstLineChars="200"/>
              <w:jc w:val="both"/>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pStyle w:val="5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50" w:type="dxa"/>
            <w:vAlign w:val="center"/>
          </w:tcPr>
          <w:p>
            <w:pPr>
              <w:pStyle w:val="5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596" w:type="dxa"/>
            <w:vAlign w:val="center"/>
          </w:tcPr>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投诉受理的具体部门及电话</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绍兴滨海新区管理委员会经济发展局，联系电话：</w:t>
            </w:r>
            <w:r>
              <w:rPr>
                <w:rFonts w:hint="eastAsia" w:ascii="宋体" w:hAnsi="宋体" w:eastAsia="宋体" w:cs="宋体"/>
                <w:b/>
                <w:bCs/>
                <w:color w:val="auto"/>
                <w:highlight w:val="none"/>
                <w:u w:val="single"/>
                <w:lang w:val="en-US" w:eastAsia="zh-CN"/>
              </w:rPr>
              <w:t>0575-</w:t>
            </w:r>
            <w:r>
              <w:rPr>
                <w:rFonts w:hint="eastAsia" w:ascii="宋体" w:hAnsi="宋体" w:eastAsia="宋体" w:cs="宋体"/>
                <w:b/>
                <w:bCs/>
                <w:color w:val="auto"/>
                <w:highlight w:val="none"/>
                <w:u w:val="single"/>
              </w:rPr>
              <w:t>81199610</w:t>
            </w:r>
            <w:r>
              <w:rPr>
                <w:rFonts w:hint="eastAsia" w:ascii="宋体" w:hAnsi="宋体" w:eastAsia="宋体" w:cs="宋体"/>
                <w:b/>
                <w:bCs/>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50" w:type="dxa"/>
            <w:vAlign w:val="center"/>
          </w:tcPr>
          <w:p>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596" w:type="dxa"/>
            <w:vAlign w:val="center"/>
          </w:tcPr>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10.投标人为非中小企业的，投标人未提供《中小企业声明函》或未按照招标文件所附的《中小企业声明函》格式提供的；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11.投标人存在行贿犯罪记录的；</w:t>
            </w:r>
          </w:p>
          <w:p>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12.不同投标人的投标文件制作机器码、文件创建标识码一致的；（具体说明：</w:t>
            </w:r>
            <w:r>
              <w:rPr>
                <w:rFonts w:hint="eastAsia" w:ascii="宋体" w:hAnsi="宋体" w:eastAsia="宋体" w:cs="宋体"/>
                <w:b/>
                <w:bCs/>
                <w:color w:val="auto"/>
                <w:highlight w:val="none"/>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color w:val="auto"/>
                <w:highlight w:val="none"/>
              </w:rPr>
              <w:t>）</w:t>
            </w:r>
          </w:p>
          <w:p>
            <w:pPr>
              <w:pStyle w:val="5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□13.投标人提供的纸质投标文件水印码与电子投标文件不一致的；</w:t>
            </w:r>
          </w:p>
          <w:p>
            <w:pPr>
              <w:pStyle w:val="5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□14. 经招标人核实，投标人不符合“免缴投标保证金的”的条件，视同为未缴纳投标保证金；</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u w:val="single"/>
              </w:rPr>
            </w:pPr>
            <w:r>
              <w:rPr>
                <w:rFonts w:hint="eastAsia" w:ascii="宋体" w:hAnsi="宋体" w:eastAsia="宋体" w:cs="宋体"/>
                <w:strike/>
                <w:color w:val="auto"/>
                <w:highlight w:val="none"/>
              </w:rPr>
              <w:t>2.不符合以下技术规格、标准或性能指标的(招标人认为需要增加的，无则删除本条)：</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strike/>
                <w:color w:val="auto"/>
                <w:highlight w:val="none"/>
              </w:rPr>
              <w:t>.投标文件载明的货物包装方式、检验标准和方法等不符合以下要求的(招标人需要增加的其他内容，无则删除本条)：</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strike/>
                <w:color w:val="auto"/>
                <w:highlight w:val="none"/>
              </w:rPr>
              <w:t>5.(招标人需要增加的符合法律法规规定的其他内容，无则删除本条)。</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pPr>
              <w:tabs>
                <w:tab w:val="left" w:pos="5680"/>
              </w:tabs>
              <w:kinsoku/>
              <w:overflowPunct w:val="0"/>
              <w:topLinePunct/>
              <w:spacing w:line="336" w:lineRule="auto"/>
              <w:ind w:left="105" w:leftChars="50" w:right="105" w:rightChars="50"/>
              <w:jc w:val="both"/>
              <w:rPr>
                <w:rFonts w:hint="eastAsia" w:ascii="宋体" w:hAnsi="宋体" w:eastAsia="宋体" w:cs="宋体"/>
                <w:b/>
                <w:bCs/>
                <w:color w:val="auto"/>
                <w:highlight w:val="none"/>
                <w:u w:val="single"/>
              </w:rPr>
            </w:pPr>
            <w:r>
              <w:rPr>
                <w:rFonts w:hint="eastAsia" w:ascii="宋体" w:hAnsi="宋体" w:eastAsia="宋体" w:cs="宋体"/>
                <w:color w:val="auto"/>
                <w:position w:val="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pPr>
              <w:tabs>
                <w:tab w:val="left" w:pos="56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p>
          <w:p>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strike/>
                <w:color w:val="auto"/>
                <w:highlight w:val="none"/>
              </w:rPr>
              <w:t>5.(招标人需要增加的其他商务标内容，无则删除本条)。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2050" w:type="dxa"/>
            <w:vAlign w:val="center"/>
          </w:tcPr>
          <w:p>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定标（适用于“评定分离”）</w:t>
            </w:r>
          </w:p>
        </w:tc>
        <w:tc>
          <w:tcPr>
            <w:tcW w:w="5596" w:type="dxa"/>
            <w:vAlign w:val="center"/>
          </w:tcPr>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1.定标委员会：定标委员会由招标人负责组建，成员数量为5人及以上单数。定标委员会成员与中标候选人有利害关系的应主动说明并申请回避。</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2.定标会议地点和时间：</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2.1定标时间：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2.2定标地点：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2.3招标人根据相关规定在评标结果公示结束后10日内召开定标会议。</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3.考察、质询</w:t>
            </w:r>
          </w:p>
          <w:p>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3.1在定标会议前（考察、质询应给予中标候选人合理的准备时间。）对所有中标候选人进行考察、质询。</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3.2考察、质询小组由</w:t>
            </w:r>
            <w:r>
              <w:rPr>
                <w:rFonts w:hint="eastAsia" w:ascii="宋体" w:hAnsi="宋体" w:eastAsia="宋体" w:cs="宋体"/>
                <w:i/>
                <w:iCs/>
                <w:strike/>
                <w:dstrike w:val="0"/>
                <w:color w:val="auto"/>
                <w:highlight w:val="none"/>
                <w:u w:val="single"/>
              </w:rPr>
              <w:t>（3人及以上单数）</w:t>
            </w:r>
            <w:r>
              <w:rPr>
                <w:rFonts w:hint="eastAsia" w:ascii="宋体" w:hAnsi="宋体" w:eastAsia="宋体" w:cs="宋体"/>
                <w:strike/>
                <w:dstrike w:val="0"/>
                <w:color w:val="auto"/>
                <w:highlight w:val="none"/>
              </w:rPr>
              <w:t>组成。</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4.现场面试</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4.1面试时间：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4.2面试内容：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4.3面试方式：</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4.3.2其他方式：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5.定标要素及具体内容</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5.1评标报告；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5.2考察或质询情况；</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5.3现场面试情况；</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5.4价格因素；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5.5企业实力；</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5.6企业信誉；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5.7投标方案；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5.8拟派团队能力与水平；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5.9联合体投标的，联合体组成情况； </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F0A3"/>
            </w:r>
            <w:r>
              <w:rPr>
                <w:rFonts w:hint="eastAsia" w:ascii="宋体" w:hAnsi="宋体" w:eastAsia="宋体" w:cs="宋体"/>
                <w:strike/>
                <w:dstrike w:val="0"/>
                <w:color w:val="auto"/>
                <w:highlight w:val="none"/>
              </w:rPr>
              <w:t>5.10招标人认为需要考量的其他因素。</w:t>
            </w:r>
          </w:p>
          <w:p>
            <w:pPr>
              <w:pStyle w:val="5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6.定标方式</w:t>
            </w:r>
          </w:p>
          <w:p>
            <w:pPr>
              <w:kinsoku/>
              <w:wordWrap w:val="0"/>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6.1票决法：由定标委员会以直接票决或者逐轮票决的方式确定中标人。</w:t>
            </w:r>
          </w:p>
          <w:p>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pPr>
              <w:pStyle w:val="51"/>
              <w:kinsoku/>
              <w:overflowPunct w:val="0"/>
              <w:topLinePunct/>
              <w:spacing w:line="336" w:lineRule="auto"/>
              <w:ind w:firstLine="0" w:firstLineChars="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6.3其他定标办法：                  。</w:t>
            </w:r>
          </w:p>
          <w:p>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7.中标人公告媒介及期限</w:t>
            </w:r>
          </w:p>
          <w:p>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招标人应当将中标结果情况在投标须知前附表规定的媒介上公告不少于3日。</w:t>
            </w:r>
          </w:p>
          <w:p>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7.1定标后有下列情形之一的，招标人可以组织原定标委员会从其他中标候选人中按原定标方法确定中标人：</w:t>
            </w:r>
          </w:p>
          <w:p>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（1）中标人放弃中标资格或者拒不签订合同的； </w:t>
            </w:r>
          </w:p>
          <w:p>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（2）中标人被查实存在违法行为影响中标结果的； </w:t>
            </w:r>
          </w:p>
          <w:p>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（3）投标须知前附表规定的其他情形。 </w:t>
            </w:r>
          </w:p>
          <w:p>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7.2定标后有下列情形之一的，应重新定标： </w:t>
            </w:r>
          </w:p>
          <w:p>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（1）查实定标委员会未按定标办法公正履职的； </w:t>
            </w:r>
          </w:p>
          <w:p>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（2）有定标委员会成员与中标候选人有利害关系且未申请回避的； </w:t>
            </w:r>
          </w:p>
          <w:p>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（3）投标须知前附表规定的其他情形。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50" w:type="dxa"/>
            <w:vAlign w:val="center"/>
          </w:tcPr>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596" w:type="dxa"/>
            <w:vAlign w:val="center"/>
          </w:tcPr>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b/>
                <w:bCs/>
                <w:color w:val="auto"/>
                <w:highlight w:val="none"/>
              </w:rPr>
              <w:t>10.5</w:t>
            </w:r>
          </w:p>
        </w:tc>
        <w:tc>
          <w:tcPr>
            <w:tcW w:w="2050" w:type="dxa"/>
            <w:vAlign w:val="center"/>
          </w:tcPr>
          <w:p>
            <w:pPr>
              <w:rPr>
                <w:rFonts w:hint="eastAsia" w:ascii="宋体" w:hAnsi="宋体" w:eastAsia="宋体" w:cs="宋体"/>
                <w:color w:val="auto"/>
                <w:highlight w:val="none"/>
              </w:rPr>
            </w:pPr>
            <w:r>
              <w:rPr>
                <w:rFonts w:hint="eastAsia" w:ascii="宋体" w:hAnsi="宋体" w:eastAsia="宋体" w:cs="宋体"/>
                <w:b/>
                <w:bCs/>
                <w:color w:val="auto"/>
                <w:highlight w:val="none"/>
              </w:rPr>
              <w:t>特别提醒</w:t>
            </w:r>
          </w:p>
        </w:tc>
        <w:tc>
          <w:tcPr>
            <w:tcW w:w="5596" w:type="dxa"/>
          </w:tcPr>
          <w:p>
            <w:pPr>
              <w:tabs>
                <w:tab w:val="left" w:pos="5680"/>
              </w:tabs>
              <w:rPr>
                <w:rFonts w:hint="eastAsia" w:ascii="宋体" w:hAnsi="宋体" w:eastAsia="宋体" w:cs="宋体"/>
                <w:color w:val="auto"/>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50" w:type="dxa"/>
            <w:vAlign w:val="center"/>
          </w:tcPr>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596" w:type="dxa"/>
            <w:vAlign w:val="center"/>
          </w:tcPr>
          <w:p>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bl>
    <w:p>
      <w:pPr>
        <w:jc w:val="both"/>
        <w:rPr>
          <w:rFonts w:hint="eastAsia" w:ascii="宋体" w:hAnsi="宋体" w:eastAsia="宋体" w:cs="宋体"/>
          <w:color w:val="auto"/>
          <w:highlight w:val="none"/>
        </w:rPr>
      </w:pPr>
    </w:p>
    <w:p>
      <w:pPr>
        <w:jc w:val="both"/>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pPr>
        <w:spacing w:line="287" w:lineRule="auto"/>
        <w:jc w:val="both"/>
        <w:rPr>
          <w:rFonts w:hint="eastAsia" w:ascii="宋体" w:hAnsi="宋体" w:eastAsia="宋体" w:cs="宋体"/>
          <w:color w:val="auto"/>
          <w:highlight w:val="none"/>
        </w:rPr>
      </w:pPr>
    </w:p>
    <w:p>
      <w:pPr>
        <w:spacing w:before="91" w:line="221" w:lineRule="auto"/>
        <w:ind w:left="3171"/>
        <w:jc w:val="both"/>
        <w:rPr>
          <w:rFonts w:hint="eastAsia" w:ascii="宋体" w:hAnsi="宋体" w:eastAsia="宋体" w:cs="宋体"/>
          <w:color w:val="auto"/>
          <w:sz w:val="28"/>
          <w:szCs w:val="28"/>
          <w:highlight w:val="none"/>
        </w:rPr>
      </w:pPr>
      <w:bookmarkStart w:id="5" w:name="_bookmark4"/>
      <w:bookmarkEnd w:id="5"/>
      <w:r>
        <w:rPr>
          <w:rFonts w:hint="eastAsia" w:ascii="宋体" w:hAnsi="宋体" w:eastAsia="宋体" w:cs="宋体"/>
          <w:color w:val="auto"/>
          <w:sz w:val="28"/>
          <w:szCs w:val="28"/>
          <w:highlight w:val="none"/>
        </w:rPr>
        <w:t>第二节投标人须知</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pPr>
        <w:spacing w:line="312" w:lineRule="auto"/>
        <w:ind w:firstLine="465" w:firstLineChars="194"/>
        <w:jc w:val="both"/>
        <w:rPr>
          <w:rFonts w:hint="eastAsia" w:ascii="宋体" w:hAnsi="宋体" w:eastAsia="宋体" w:cs="宋体"/>
          <w:color w:val="auto"/>
          <w:position w:val="1"/>
          <w:sz w:val="24"/>
          <w:szCs w:val="24"/>
          <w:highlight w:val="none"/>
        </w:rPr>
        <w:sectPr>
          <w:footerReference r:id="rId8" w:type="default"/>
          <w:pgSz w:w="11906" w:h="16839"/>
          <w:pgMar w:top="1418" w:right="1559" w:bottom="1418" w:left="1474" w:header="0" w:footer="1035" w:gutter="0"/>
          <w:cols w:space="720" w:num="1"/>
        </w:sectPr>
      </w:pP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pPr>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(1)投标函(格式)；</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(2)投标报价表(格式)；</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□(3)投标分项报价表；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☑(5)随机备品备件一览表；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□(6)供招标人选购的备品备件一览表；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□(7)专用检测设备及专用维修工具一览表；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026"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aLgFtcAAAAI&#10;AQAADwAAAAAAAAABACAAAAAiAAAAZHJzL2Rvd25yZXYueG1sUEsBAhQAFAAAAAgAh07iQCFl1XGr&#10;AQAAVAMAAA4AAAAAAAAAAQAgAAAAJgEAAGRycy9lMm9Eb2MueG1sUEsFBgAAAAAGAAYAWQEAAEMF&#10;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☑(1)货物说明一览表；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☑(2)技术响应表；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☑(3)主要配置说明一览表；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☑(4)技术规格偏离表；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□(6)产品的主要技术、结构、性能、特点和质量水平的详细描述；</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□(7)产品制造、安装、验收标准；</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□(8)主要工艺装备和主要检测设施的拥有情况和现状；</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☑(9)质量手册或关于质量管理、质量体系、质量控制、质量保证的详细介绍；</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☑(10)产品的技术服务和售后服务的内容和措施；</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1027"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16+WS1wAAAAgB&#10;AAAPAAAAAAAAAAEAIAAAACIAAABkcnMvZG93bnJldi54bWxQSwECFAAUAAAACACHTuJAAGpnQqoB&#10;AABUAwAADgAAAAAAAAABACAAAAAmAQAAZHJzL2Uyb0RvYy54bWxQSwUGAAAAAAYABgBZAQAAQgUA&#10;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（7）中小企业声明函。</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（8）其他资料：格式自拟（若有）。</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pPr>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pPr>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pPr>
        <w:spacing w:line="312" w:lineRule="auto"/>
        <w:ind w:firstLine="482" w:firstLineChars="200"/>
        <w:rPr>
          <w:rFonts w:hint="eastAsia" w:ascii="宋体" w:hAnsi="宋体" w:eastAsia="宋体" w:cs="宋体"/>
          <w:strike/>
          <w:color w:val="auto"/>
          <w:position w:val="1"/>
          <w:sz w:val="24"/>
          <w:szCs w:val="24"/>
          <w:highlight w:val="none"/>
        </w:rPr>
      </w:pPr>
      <w:r>
        <w:rPr>
          <w:rFonts w:hint="eastAsia" w:ascii="宋体" w:hAnsi="宋体" w:eastAsia="宋体" w:cs="宋体"/>
          <w:b/>
          <w:strike/>
          <w:color w:val="auto"/>
          <w:sz w:val="24"/>
          <w:szCs w:val="24"/>
          <w:highlight w:val="none"/>
        </w:rPr>
        <w:t>免缴投标保证金的投标人如出现上述不予退还投标保证金的情形时，应在承诺时限内补缴全额投标保证金。</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3.5.7实质性响应招标文件及评审打分资料详见投标人须知前附表。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pPr>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pPr>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pPr>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6" w:name="_Toc31702"/>
      <w:bookmarkStart w:id="7" w:name="_Toc24156"/>
      <w:bookmarkStart w:id="8" w:name="_Toc22922"/>
      <w:bookmarkStart w:id="9" w:name="_Toc22455"/>
      <w:bookmarkStart w:id="10" w:name="_Toc9230"/>
      <w:bookmarkStart w:id="11" w:name="_Toc16092"/>
      <w:bookmarkStart w:id="12" w:name="_Toc24695"/>
      <w:bookmarkStart w:id="13" w:name="_Toc25932"/>
      <w:bookmarkStart w:id="14" w:name="_Toc153981473"/>
      <w:bookmarkStart w:id="15" w:name="_Toc27905"/>
      <w:bookmarkStart w:id="16" w:name="_Toc24644"/>
      <w:bookmarkStart w:id="17" w:name="_Toc462184031"/>
      <w:bookmarkStart w:id="18" w:name="_Toc15636"/>
      <w:r>
        <w:rPr>
          <w:rFonts w:hint="eastAsia" w:ascii="宋体" w:hAnsi="宋体" w:eastAsia="宋体" w:cs="宋体"/>
          <w:b/>
          <w:bCs/>
          <w:snapToGrid/>
          <w:color w:val="auto"/>
          <w:kern w:val="2"/>
          <w:sz w:val="24"/>
          <w:szCs w:val="24"/>
          <w:highlight w:val="none"/>
        </w:rPr>
        <w:t>6. 评标</w:t>
      </w:r>
      <w:bookmarkEnd w:id="6"/>
      <w:bookmarkEnd w:id="7"/>
      <w:bookmarkEnd w:id="8"/>
      <w:bookmarkEnd w:id="9"/>
      <w:bookmarkEnd w:id="10"/>
      <w:bookmarkEnd w:id="11"/>
      <w:bookmarkEnd w:id="12"/>
      <w:bookmarkEnd w:id="13"/>
      <w:bookmarkEnd w:id="14"/>
      <w:bookmarkEnd w:id="15"/>
      <w:bookmarkEnd w:id="16"/>
      <w:bookmarkEnd w:id="17"/>
      <w:bookmarkEnd w:id="18"/>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19" w:name="_Toc193449944"/>
      <w:r>
        <w:rPr>
          <w:rFonts w:hint="eastAsia" w:ascii="宋体" w:hAnsi="宋体" w:eastAsia="宋体" w:cs="宋体"/>
          <w:b/>
          <w:snapToGrid/>
          <w:color w:val="auto"/>
          <w:kern w:val="2"/>
          <w:sz w:val="24"/>
          <w:szCs w:val="24"/>
          <w:highlight w:val="none"/>
        </w:rPr>
        <w:t>6.1 评标委员会</w:t>
      </w:r>
      <w:bookmarkEnd w:id="19"/>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0" w:name="_Toc193449945"/>
      <w:r>
        <w:rPr>
          <w:rFonts w:hint="eastAsia" w:ascii="宋体" w:hAnsi="宋体" w:eastAsia="宋体" w:cs="宋体"/>
          <w:b/>
          <w:snapToGrid/>
          <w:color w:val="auto"/>
          <w:kern w:val="2"/>
          <w:sz w:val="24"/>
          <w:szCs w:val="24"/>
          <w:highlight w:val="none"/>
        </w:rPr>
        <w:t xml:space="preserve">6.2 评标原则 </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0"/>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6"/>
      <w:r>
        <w:rPr>
          <w:rFonts w:hint="eastAsia" w:ascii="宋体" w:hAnsi="宋体" w:eastAsia="宋体" w:cs="宋体"/>
          <w:b/>
          <w:snapToGrid/>
          <w:color w:val="auto"/>
          <w:kern w:val="2"/>
          <w:sz w:val="24"/>
          <w:szCs w:val="24"/>
          <w:highlight w:val="none"/>
        </w:rPr>
        <w:t>6.4 评标</w:t>
      </w:r>
      <w:bookmarkEnd w:id="21"/>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pPr>
        <w:keepNext/>
        <w:keepLines/>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2" w:name="_Toc8865"/>
      <w:bookmarkStart w:id="23" w:name="_Toc17051"/>
      <w:bookmarkStart w:id="24" w:name="_Toc7704"/>
      <w:bookmarkStart w:id="25" w:name="_Toc18956"/>
      <w:bookmarkStart w:id="26" w:name="_Toc28621"/>
      <w:bookmarkStart w:id="27" w:name="_Toc12652"/>
      <w:bookmarkStart w:id="28" w:name="_Toc153981474"/>
      <w:bookmarkStart w:id="29" w:name="_Toc11303"/>
      <w:bookmarkStart w:id="30" w:name="_Toc13493"/>
      <w:bookmarkStart w:id="31" w:name="_Toc29415"/>
      <w:bookmarkStart w:id="32" w:name="_Toc28153"/>
      <w:bookmarkStart w:id="33" w:name="_Toc462184032"/>
      <w:bookmarkStart w:id="34" w:name="_Toc21714"/>
      <w:r>
        <w:rPr>
          <w:rFonts w:hint="eastAsia" w:ascii="宋体" w:hAnsi="宋体" w:eastAsia="宋体" w:cs="宋体"/>
          <w:b/>
          <w:bCs/>
          <w:snapToGrid/>
          <w:color w:val="auto"/>
          <w:kern w:val="2"/>
          <w:sz w:val="24"/>
          <w:szCs w:val="24"/>
          <w:highlight w:val="none"/>
        </w:rPr>
        <w:t>7. 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 定标方式</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中标人公告媒介及期限</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5"/>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36" w:name="_Toc193449949"/>
      <w:r>
        <w:rPr>
          <w:rFonts w:hint="eastAsia" w:ascii="宋体" w:hAnsi="宋体" w:eastAsia="宋体" w:cs="宋体"/>
          <w:b/>
          <w:snapToGrid/>
          <w:color w:val="auto"/>
          <w:kern w:val="2"/>
          <w:sz w:val="24"/>
          <w:szCs w:val="24"/>
          <w:highlight w:val="none"/>
        </w:rPr>
        <w:t>7.3 中标通知书</w:t>
      </w:r>
      <w:bookmarkEnd w:id="36"/>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7" w:name="_Toc193449950"/>
      <w:r>
        <w:rPr>
          <w:rFonts w:hint="eastAsia" w:ascii="宋体" w:hAnsi="宋体" w:eastAsia="宋体" w:cs="宋体"/>
          <w:b/>
          <w:snapToGrid/>
          <w:color w:val="auto"/>
          <w:kern w:val="2"/>
          <w:sz w:val="24"/>
          <w:szCs w:val="24"/>
          <w:highlight w:val="none"/>
        </w:rPr>
        <w:t xml:space="preserve"> 履约</w:t>
      </w:r>
      <w:bookmarkEnd w:id="37"/>
      <w:r>
        <w:rPr>
          <w:rFonts w:hint="eastAsia" w:ascii="宋体" w:hAnsi="宋体" w:eastAsia="宋体" w:cs="宋体"/>
          <w:b/>
          <w:snapToGrid/>
          <w:color w:val="auto"/>
          <w:kern w:val="2"/>
          <w:sz w:val="24"/>
          <w:szCs w:val="24"/>
          <w:highlight w:val="none"/>
        </w:rPr>
        <w:t>保证金</w:t>
      </w:r>
    </w:p>
    <w:p>
      <w:pPr>
        <w:widowControl w:val="0"/>
        <w:tabs>
          <w:tab w:val="left" w:pos="540"/>
        </w:tabs>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52"/>
      <w:r>
        <w:rPr>
          <w:rFonts w:hint="eastAsia" w:ascii="宋体" w:hAnsi="宋体" w:eastAsia="宋体" w:cs="宋体"/>
          <w:b/>
          <w:snapToGrid/>
          <w:color w:val="auto"/>
          <w:kern w:val="2"/>
          <w:sz w:val="24"/>
          <w:szCs w:val="24"/>
          <w:highlight w:val="none"/>
        </w:rPr>
        <w:t xml:space="preserve">7.5 </w:t>
      </w:r>
      <w:bookmarkEnd w:id="38"/>
      <w:r>
        <w:rPr>
          <w:rFonts w:hint="eastAsia" w:ascii="宋体" w:hAnsi="宋体" w:eastAsia="宋体" w:cs="宋体"/>
          <w:b/>
          <w:snapToGrid/>
          <w:color w:val="auto"/>
          <w:kern w:val="2"/>
          <w:sz w:val="24"/>
          <w:szCs w:val="24"/>
          <w:highlight w:val="none"/>
        </w:rPr>
        <w:t>签订合同</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pPr>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pPr>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pPr>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pPr>
        <w:spacing w:line="312" w:lineRule="auto"/>
        <w:jc w:val="both"/>
        <w:rPr>
          <w:rFonts w:hint="eastAsia" w:ascii="宋体" w:hAnsi="宋体" w:eastAsia="宋体" w:cs="宋体"/>
          <w:color w:val="auto"/>
          <w:position w:val="1"/>
          <w:sz w:val="24"/>
          <w:szCs w:val="24"/>
          <w:highlight w:val="none"/>
        </w:rPr>
      </w:pPr>
    </w:p>
    <w:p>
      <w:pPr>
        <w:spacing w:line="312" w:lineRule="auto"/>
        <w:jc w:val="both"/>
        <w:rPr>
          <w:rFonts w:hint="eastAsia" w:ascii="宋体" w:hAnsi="宋体" w:eastAsia="宋体" w:cs="宋体"/>
          <w:color w:val="auto"/>
          <w:position w:val="1"/>
          <w:sz w:val="24"/>
          <w:szCs w:val="24"/>
          <w:highlight w:val="none"/>
        </w:rPr>
      </w:pPr>
    </w:p>
    <w:p>
      <w:pPr>
        <w:spacing w:line="312" w:lineRule="auto"/>
        <w:jc w:val="both"/>
        <w:rPr>
          <w:rFonts w:hint="eastAsia" w:ascii="宋体" w:hAnsi="宋体" w:eastAsia="宋体" w:cs="宋体"/>
          <w:color w:val="auto"/>
          <w:position w:val="1"/>
          <w:sz w:val="24"/>
          <w:szCs w:val="24"/>
          <w:highlight w:val="none"/>
        </w:rPr>
      </w:pPr>
    </w:p>
    <w:p>
      <w:pPr>
        <w:spacing w:line="347" w:lineRule="auto"/>
        <w:jc w:val="both"/>
        <w:rPr>
          <w:rFonts w:hint="eastAsia" w:ascii="宋体" w:hAnsi="宋体" w:eastAsia="宋体" w:cs="宋体"/>
          <w:color w:val="auto"/>
          <w:position w:val="1"/>
          <w:sz w:val="24"/>
          <w:szCs w:val="24"/>
          <w:highlight w:val="none"/>
        </w:rPr>
      </w:pPr>
    </w:p>
    <w:p>
      <w:pPr>
        <w:spacing w:line="347" w:lineRule="auto"/>
        <w:jc w:val="both"/>
        <w:rPr>
          <w:rFonts w:hint="eastAsia" w:ascii="宋体" w:hAnsi="宋体" w:eastAsia="宋体" w:cs="宋体"/>
          <w:color w:val="auto"/>
          <w:position w:val="1"/>
          <w:sz w:val="24"/>
          <w:szCs w:val="24"/>
          <w:highlight w:val="none"/>
        </w:rPr>
      </w:pPr>
    </w:p>
    <w:p>
      <w:pPr>
        <w:spacing w:line="347" w:lineRule="auto"/>
        <w:jc w:val="both"/>
        <w:rPr>
          <w:rFonts w:hint="eastAsia" w:ascii="宋体" w:hAnsi="宋体" w:eastAsia="宋体" w:cs="宋体"/>
          <w:color w:val="auto"/>
          <w:highlight w:val="none"/>
        </w:rPr>
      </w:pPr>
    </w:p>
    <w:p>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39" w:name="_bookmark5"/>
      <w:bookmarkEnd w:id="39"/>
      <w:r>
        <w:rPr>
          <w:rFonts w:hint="eastAsia" w:ascii="宋体" w:hAnsi="宋体" w:eastAsia="宋体" w:cs="宋体"/>
          <w:color w:val="auto"/>
          <w:sz w:val="28"/>
          <w:szCs w:val="28"/>
          <w:highlight w:val="none"/>
        </w:rPr>
        <w:t>附表一：开标记录表</w:t>
      </w:r>
    </w:p>
    <w:p>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pPr>
        <w:spacing w:line="286" w:lineRule="auto"/>
        <w:jc w:val="both"/>
        <w:rPr>
          <w:rFonts w:hint="eastAsia" w:ascii="宋体" w:hAnsi="宋体" w:eastAsia="宋体" w:cs="宋体"/>
          <w:color w:val="auto"/>
          <w:highlight w:val="none"/>
        </w:rPr>
      </w:pPr>
    </w:p>
    <w:p>
      <w:pPr>
        <w:spacing w:line="286" w:lineRule="auto"/>
        <w:jc w:val="both"/>
        <w:rPr>
          <w:rFonts w:hint="eastAsia" w:ascii="宋体" w:hAnsi="宋体" w:eastAsia="宋体" w:cs="宋体"/>
          <w:color w:val="auto"/>
          <w:highlight w:val="none"/>
        </w:rPr>
      </w:pPr>
    </w:p>
    <w:p>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pPr>
        <w:jc w:val="both"/>
        <w:rPr>
          <w:rFonts w:hint="eastAsia" w:ascii="宋体" w:hAnsi="宋体" w:eastAsia="宋体" w:cs="宋体"/>
          <w:color w:val="auto"/>
          <w:highlight w:val="none"/>
        </w:rPr>
      </w:pPr>
    </w:p>
    <w:p>
      <w:pPr>
        <w:jc w:val="both"/>
        <w:rPr>
          <w:rFonts w:hint="eastAsia" w:ascii="宋体" w:hAnsi="宋体" w:eastAsia="宋体" w:cs="宋体"/>
          <w:color w:val="auto"/>
          <w:highlight w:val="none"/>
        </w:rPr>
      </w:pPr>
    </w:p>
    <w:p>
      <w:pPr>
        <w:spacing w:line="54" w:lineRule="exact"/>
        <w:jc w:val="both"/>
        <w:rPr>
          <w:rFonts w:hint="eastAsia" w:ascii="宋体" w:hAnsi="宋体" w:eastAsia="宋体" w:cs="宋体"/>
          <w:color w:val="auto"/>
          <w:highlight w:val="none"/>
        </w:rPr>
      </w:pPr>
    </w:p>
    <w:tbl>
      <w:tblPr>
        <w:tblStyle w:val="48"/>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Pr>
          <w:p>
            <w:pPr>
              <w:spacing w:line="253" w:lineRule="auto"/>
              <w:jc w:val="both"/>
              <w:rPr>
                <w:rFonts w:hint="eastAsia" w:ascii="宋体" w:hAnsi="宋体" w:eastAsia="宋体" w:cs="宋体"/>
                <w:color w:val="auto"/>
                <w:highlight w:val="none"/>
              </w:rPr>
            </w:pPr>
          </w:p>
          <w:p>
            <w:pPr>
              <w:spacing w:line="253" w:lineRule="auto"/>
              <w:jc w:val="both"/>
              <w:rPr>
                <w:rFonts w:hint="eastAsia" w:ascii="宋体" w:hAnsi="宋体" w:eastAsia="宋体" w:cs="宋体"/>
                <w:color w:val="auto"/>
                <w:highlight w:val="none"/>
              </w:rPr>
            </w:pPr>
          </w:p>
          <w:p>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tcPr>
          <w:p>
            <w:pPr>
              <w:spacing w:line="253" w:lineRule="auto"/>
              <w:jc w:val="both"/>
              <w:rPr>
                <w:rFonts w:hint="eastAsia" w:ascii="宋体" w:hAnsi="宋体" w:eastAsia="宋体" w:cs="宋体"/>
                <w:color w:val="auto"/>
                <w:highlight w:val="none"/>
              </w:rPr>
            </w:pPr>
          </w:p>
          <w:p>
            <w:pPr>
              <w:spacing w:line="255" w:lineRule="auto"/>
              <w:jc w:val="both"/>
              <w:rPr>
                <w:rFonts w:hint="eastAsia" w:ascii="宋体" w:hAnsi="宋体" w:eastAsia="宋体" w:cs="宋体"/>
                <w:color w:val="auto"/>
                <w:highlight w:val="none"/>
              </w:rPr>
            </w:pPr>
          </w:p>
          <w:p>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tcPr>
          <w:p>
            <w:pPr>
              <w:spacing w:line="278" w:lineRule="auto"/>
              <w:jc w:val="both"/>
              <w:rPr>
                <w:rFonts w:hint="eastAsia" w:ascii="宋体" w:hAnsi="宋体" w:eastAsia="宋体" w:cs="宋体"/>
                <w:color w:val="auto"/>
                <w:highlight w:val="none"/>
              </w:rPr>
            </w:pPr>
          </w:p>
          <w:p>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tcPr>
          <w:p>
            <w:pPr>
              <w:spacing w:line="277" w:lineRule="auto"/>
              <w:jc w:val="both"/>
              <w:rPr>
                <w:rFonts w:hint="eastAsia" w:ascii="宋体" w:hAnsi="宋体" w:eastAsia="宋体" w:cs="宋体"/>
                <w:color w:val="auto"/>
                <w:highlight w:val="none"/>
              </w:rPr>
            </w:pPr>
          </w:p>
          <w:p>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tcPr>
          <w:p>
            <w:pPr>
              <w:spacing w:line="255" w:lineRule="auto"/>
              <w:jc w:val="both"/>
              <w:rPr>
                <w:rFonts w:hint="eastAsia" w:ascii="宋体" w:hAnsi="宋体" w:eastAsia="宋体" w:cs="宋体"/>
                <w:color w:val="auto"/>
                <w:highlight w:val="none"/>
              </w:rPr>
            </w:pPr>
          </w:p>
          <w:p>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tcPr>
          <w:p>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tcPr>
          <w:p>
            <w:pPr>
              <w:spacing w:line="278" w:lineRule="auto"/>
              <w:jc w:val="both"/>
              <w:rPr>
                <w:rFonts w:hint="eastAsia" w:ascii="宋体" w:hAnsi="宋体" w:eastAsia="宋体" w:cs="宋体"/>
                <w:color w:val="auto"/>
                <w:highlight w:val="none"/>
              </w:rPr>
            </w:pPr>
          </w:p>
          <w:p>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tcPr>
          <w:p>
            <w:pPr>
              <w:spacing w:line="253" w:lineRule="auto"/>
              <w:jc w:val="both"/>
              <w:rPr>
                <w:rFonts w:hint="eastAsia" w:ascii="宋体" w:hAnsi="宋体" w:eastAsia="宋体" w:cs="宋体"/>
                <w:color w:val="auto"/>
                <w:highlight w:val="none"/>
              </w:rPr>
            </w:pPr>
          </w:p>
          <w:p>
            <w:pPr>
              <w:spacing w:line="253" w:lineRule="auto"/>
              <w:jc w:val="both"/>
              <w:rPr>
                <w:rFonts w:hint="eastAsia" w:ascii="宋体" w:hAnsi="宋体" w:eastAsia="宋体" w:cs="宋体"/>
                <w:color w:val="auto"/>
                <w:highlight w:val="none"/>
              </w:rPr>
            </w:pPr>
          </w:p>
          <w:p>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pPr>
              <w:jc w:val="both"/>
              <w:rPr>
                <w:rFonts w:hint="eastAsia" w:ascii="宋体" w:hAnsi="宋体" w:eastAsia="宋体" w:cs="宋体"/>
                <w:color w:val="auto"/>
                <w:highlight w:val="none"/>
              </w:rPr>
            </w:pPr>
          </w:p>
        </w:tc>
        <w:tc>
          <w:tcPr>
            <w:tcW w:w="992" w:type="dxa"/>
          </w:tcPr>
          <w:p>
            <w:pPr>
              <w:jc w:val="both"/>
              <w:rPr>
                <w:rFonts w:hint="eastAsia" w:ascii="宋体" w:hAnsi="宋体" w:eastAsia="宋体" w:cs="宋体"/>
                <w:color w:val="auto"/>
                <w:highlight w:val="none"/>
              </w:rPr>
            </w:pPr>
          </w:p>
        </w:tc>
        <w:tc>
          <w:tcPr>
            <w:tcW w:w="1134" w:type="dxa"/>
          </w:tcPr>
          <w:p>
            <w:pPr>
              <w:jc w:val="both"/>
              <w:rPr>
                <w:rFonts w:hint="eastAsia" w:ascii="宋体" w:hAnsi="宋体" w:eastAsia="宋体" w:cs="宋体"/>
                <w:color w:val="auto"/>
                <w:highlight w:val="none"/>
              </w:rPr>
            </w:pPr>
          </w:p>
        </w:tc>
        <w:tc>
          <w:tcPr>
            <w:tcW w:w="13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045" w:type="dxa"/>
          </w:tcPr>
          <w:p>
            <w:pPr>
              <w:jc w:val="both"/>
              <w:rPr>
                <w:rFonts w:hint="eastAsia" w:ascii="宋体" w:hAnsi="宋体" w:eastAsia="宋体" w:cs="宋体"/>
                <w:color w:val="auto"/>
                <w:highlight w:val="none"/>
              </w:rPr>
            </w:pPr>
          </w:p>
        </w:tc>
        <w:tc>
          <w:tcPr>
            <w:tcW w:w="1952" w:type="dxa"/>
          </w:tcPr>
          <w:p>
            <w:pPr>
              <w:jc w:val="both"/>
              <w:rPr>
                <w:rFonts w:hint="eastAsia" w:ascii="宋体" w:hAnsi="宋体" w:eastAsia="宋体" w:cs="宋体"/>
                <w:color w:val="auto"/>
                <w:highlight w:val="none"/>
              </w:rPr>
            </w:pPr>
          </w:p>
        </w:tc>
        <w:tc>
          <w:tcPr>
            <w:tcW w:w="850" w:type="dxa"/>
          </w:tcPr>
          <w:p>
            <w:pPr>
              <w:jc w:val="both"/>
              <w:rPr>
                <w:rFonts w:hint="eastAsia" w:ascii="宋体" w:hAnsi="宋体" w:eastAsia="宋体" w:cs="宋体"/>
                <w:color w:val="auto"/>
                <w:highlight w:val="none"/>
              </w:rPr>
            </w:pPr>
          </w:p>
        </w:tc>
      </w:tr>
    </w:tbl>
    <w:p>
      <w:pPr>
        <w:spacing w:line="291" w:lineRule="auto"/>
        <w:jc w:val="both"/>
        <w:rPr>
          <w:rFonts w:hint="eastAsia" w:ascii="宋体" w:hAnsi="宋体" w:eastAsia="宋体" w:cs="宋体"/>
          <w:color w:val="auto"/>
          <w:highlight w:val="none"/>
        </w:rPr>
      </w:pPr>
    </w:p>
    <w:p>
      <w:pPr>
        <w:spacing w:line="292" w:lineRule="auto"/>
        <w:jc w:val="both"/>
        <w:rPr>
          <w:rFonts w:hint="eastAsia" w:ascii="宋体" w:hAnsi="宋体" w:eastAsia="宋体" w:cs="宋体"/>
          <w:color w:val="auto"/>
          <w:highlight w:val="none"/>
        </w:rPr>
      </w:pPr>
    </w:p>
    <w:p>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jc w:val="right"/>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pPr>
        <w:spacing w:line="347" w:lineRule="auto"/>
        <w:jc w:val="both"/>
        <w:rPr>
          <w:rFonts w:hint="eastAsia" w:ascii="宋体" w:hAnsi="宋体" w:eastAsia="宋体" w:cs="宋体"/>
          <w:color w:val="auto"/>
          <w:highlight w:val="none"/>
        </w:rPr>
      </w:pPr>
    </w:p>
    <w:p>
      <w:pPr>
        <w:spacing w:before="91" w:line="220" w:lineRule="auto"/>
        <w:ind w:left="312"/>
        <w:jc w:val="both"/>
        <w:outlineLvl w:val="1"/>
        <w:rPr>
          <w:rFonts w:hint="eastAsia" w:ascii="宋体" w:hAnsi="宋体" w:eastAsia="宋体" w:cs="宋体"/>
          <w:color w:val="auto"/>
          <w:sz w:val="28"/>
          <w:szCs w:val="28"/>
          <w:highlight w:val="none"/>
        </w:rPr>
      </w:pPr>
      <w:bookmarkStart w:id="40" w:name="_bookmark6"/>
      <w:bookmarkEnd w:id="40"/>
      <w:r>
        <w:rPr>
          <w:rFonts w:hint="eastAsia" w:ascii="宋体" w:hAnsi="宋体" w:eastAsia="宋体" w:cs="宋体"/>
          <w:color w:val="auto"/>
          <w:sz w:val="28"/>
          <w:szCs w:val="28"/>
          <w:highlight w:val="none"/>
        </w:rPr>
        <w:t>附表二：问题澄清通知</w:t>
      </w:r>
    </w:p>
    <w:p>
      <w:pPr>
        <w:spacing w:line="331" w:lineRule="auto"/>
        <w:jc w:val="both"/>
        <w:rPr>
          <w:rFonts w:hint="eastAsia" w:ascii="宋体" w:hAnsi="宋体" w:eastAsia="宋体" w:cs="宋体"/>
          <w:color w:val="auto"/>
          <w:highlight w:val="none"/>
        </w:rPr>
      </w:pPr>
    </w:p>
    <w:p>
      <w:pPr>
        <w:spacing w:line="332" w:lineRule="auto"/>
        <w:jc w:val="both"/>
        <w:rPr>
          <w:rFonts w:hint="eastAsia" w:ascii="宋体" w:hAnsi="宋体" w:eastAsia="宋体" w:cs="宋体"/>
          <w:color w:val="auto"/>
          <w:highlight w:val="none"/>
        </w:rPr>
      </w:pPr>
    </w:p>
    <w:p>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pPr>
        <w:spacing w:line="349" w:lineRule="auto"/>
        <w:jc w:val="both"/>
        <w:rPr>
          <w:rFonts w:hint="eastAsia" w:ascii="宋体" w:hAnsi="宋体" w:eastAsia="宋体" w:cs="宋体"/>
          <w:color w:val="auto"/>
          <w:highlight w:val="none"/>
        </w:rPr>
      </w:pPr>
    </w:p>
    <w:p>
      <w:pPr>
        <w:spacing w:line="349" w:lineRule="auto"/>
        <w:jc w:val="both"/>
        <w:rPr>
          <w:rFonts w:hint="eastAsia" w:ascii="宋体" w:hAnsi="宋体" w:eastAsia="宋体" w:cs="宋体"/>
          <w:color w:val="auto"/>
          <w:highlight w:val="none"/>
        </w:rPr>
      </w:pPr>
    </w:p>
    <w:p>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pPr>
        <w:spacing w:line="248"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pPr>
        <w:spacing w:before="157" w:line="220" w:lineRule="auto"/>
        <w:ind w:left="314"/>
        <w:jc w:val="both"/>
        <w:outlineLvl w:val="1"/>
        <w:rPr>
          <w:rFonts w:hint="eastAsia" w:ascii="宋体" w:hAnsi="宋体" w:eastAsia="宋体" w:cs="宋体"/>
          <w:color w:val="auto"/>
          <w:sz w:val="28"/>
          <w:szCs w:val="28"/>
          <w:highlight w:val="none"/>
        </w:rPr>
      </w:pPr>
      <w:bookmarkStart w:id="41" w:name="_bookmark7"/>
      <w:bookmarkEnd w:id="41"/>
      <w:r>
        <w:rPr>
          <w:rFonts w:hint="eastAsia" w:ascii="宋体" w:hAnsi="宋体" w:eastAsia="宋体" w:cs="宋体"/>
          <w:color w:val="auto"/>
          <w:sz w:val="28"/>
          <w:szCs w:val="28"/>
          <w:highlight w:val="none"/>
        </w:rPr>
        <w:t>附表三：问题的澄清</w:t>
      </w:r>
    </w:p>
    <w:p>
      <w:pPr>
        <w:spacing w:line="264" w:lineRule="auto"/>
        <w:jc w:val="both"/>
        <w:rPr>
          <w:rFonts w:hint="eastAsia" w:ascii="宋体" w:hAnsi="宋体" w:eastAsia="宋体" w:cs="宋体"/>
          <w:color w:val="auto"/>
          <w:highlight w:val="none"/>
        </w:rPr>
      </w:pPr>
    </w:p>
    <w:p>
      <w:pPr>
        <w:spacing w:line="264" w:lineRule="auto"/>
        <w:jc w:val="both"/>
        <w:rPr>
          <w:rFonts w:hint="eastAsia" w:ascii="宋体" w:hAnsi="宋体" w:eastAsia="宋体" w:cs="宋体"/>
          <w:color w:val="auto"/>
          <w:highlight w:val="none"/>
        </w:rPr>
      </w:pPr>
    </w:p>
    <w:p>
      <w:pPr>
        <w:spacing w:line="264" w:lineRule="auto"/>
        <w:jc w:val="both"/>
        <w:rPr>
          <w:rFonts w:hint="eastAsia" w:ascii="宋体" w:hAnsi="宋体" w:eastAsia="宋体" w:cs="宋体"/>
          <w:color w:val="auto"/>
          <w:highlight w:val="none"/>
        </w:rPr>
      </w:pPr>
    </w:p>
    <w:p>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51" w:lineRule="auto"/>
        <w:jc w:val="both"/>
        <w:rPr>
          <w:rFonts w:hint="eastAsia" w:ascii="宋体" w:hAnsi="宋体" w:eastAsia="宋体" w:cs="宋体"/>
          <w:color w:val="auto"/>
          <w:sz w:val="24"/>
          <w:szCs w:val="24"/>
          <w:highlight w:val="none"/>
        </w:rPr>
      </w:pPr>
    </w:p>
    <w:p>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pPr>
        <w:spacing w:before="91" w:line="220" w:lineRule="auto"/>
        <w:jc w:val="both"/>
        <w:outlineLvl w:val="1"/>
        <w:rPr>
          <w:rFonts w:hint="eastAsia" w:ascii="宋体" w:hAnsi="宋体" w:eastAsia="宋体" w:cs="宋体"/>
          <w:color w:val="auto"/>
          <w:sz w:val="28"/>
          <w:szCs w:val="28"/>
          <w:highlight w:val="none"/>
        </w:rPr>
      </w:pPr>
      <w:bookmarkStart w:id="42" w:name="_bookmark8"/>
      <w:bookmarkEnd w:id="42"/>
      <w:r>
        <w:rPr>
          <w:rFonts w:hint="eastAsia" w:ascii="宋体" w:hAnsi="宋体" w:eastAsia="宋体" w:cs="宋体"/>
          <w:color w:val="auto"/>
          <w:sz w:val="28"/>
          <w:szCs w:val="28"/>
          <w:highlight w:val="none"/>
        </w:rPr>
        <w:t>附表四：中标通知书</w:t>
      </w:r>
    </w:p>
    <w:p>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pPr>
        <w:spacing w:before="157" w:line="358" w:lineRule="auto"/>
        <w:ind w:left="237" w:leftChars="113" w:right="53"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pPr>
        <w:jc w:val="both"/>
        <w:rPr>
          <w:rFonts w:hint="eastAsia" w:ascii="宋体" w:hAnsi="宋体" w:eastAsia="宋体" w:cs="宋体"/>
          <w:color w:val="auto"/>
          <w:highlight w:val="none"/>
        </w:rPr>
      </w:pPr>
    </w:p>
    <w:p>
      <w:pPr>
        <w:spacing w:line="27" w:lineRule="exact"/>
        <w:jc w:val="both"/>
        <w:rPr>
          <w:rFonts w:hint="eastAsia" w:ascii="宋体" w:hAnsi="宋体" w:eastAsia="宋体" w:cs="宋体"/>
          <w:color w:val="auto"/>
          <w:highlight w:val="none"/>
        </w:rPr>
      </w:pPr>
    </w:p>
    <w:tbl>
      <w:tblPr>
        <w:tblStyle w:val="48"/>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Pr>
          <w:p>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tcPr>
          <w:p>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tcPr>
          <w:p>
            <w:pPr>
              <w:jc w:val="both"/>
              <w:rPr>
                <w:rFonts w:hint="eastAsia" w:ascii="宋体" w:hAnsi="宋体" w:eastAsia="宋体" w:cs="宋体"/>
                <w:color w:val="auto"/>
                <w:highlight w:val="none"/>
              </w:rPr>
            </w:pPr>
          </w:p>
        </w:tc>
      </w:tr>
    </w:tbl>
    <w:p>
      <w:pPr>
        <w:spacing w:line="245" w:lineRule="auto"/>
        <w:jc w:val="both"/>
        <w:rPr>
          <w:rFonts w:hint="eastAsia" w:ascii="宋体" w:hAnsi="宋体" w:eastAsia="宋体" w:cs="宋体"/>
          <w:color w:val="auto"/>
          <w:highlight w:val="none"/>
        </w:rPr>
      </w:pPr>
    </w:p>
    <w:p>
      <w:pPr>
        <w:spacing w:line="246" w:lineRule="auto"/>
        <w:jc w:val="both"/>
        <w:rPr>
          <w:rFonts w:hint="eastAsia" w:ascii="宋体" w:hAnsi="宋体" w:eastAsia="宋体" w:cs="宋体"/>
          <w:color w:val="auto"/>
          <w:highlight w:val="none"/>
        </w:rPr>
      </w:pPr>
    </w:p>
    <w:p>
      <w:pPr>
        <w:spacing w:line="246" w:lineRule="auto"/>
        <w:jc w:val="both"/>
        <w:rPr>
          <w:rFonts w:hint="eastAsia" w:ascii="宋体" w:hAnsi="宋体" w:eastAsia="宋体" w:cs="宋体"/>
          <w:color w:val="auto"/>
          <w:highlight w:val="none"/>
        </w:rPr>
      </w:pPr>
    </w:p>
    <w:p>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p>
    <w:p>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p>
    <w:p>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pPr>
        <w:spacing w:before="91" w:line="220" w:lineRule="auto"/>
        <w:jc w:val="both"/>
        <w:outlineLvl w:val="1"/>
        <w:rPr>
          <w:rFonts w:hint="eastAsia" w:ascii="宋体" w:hAnsi="宋体" w:eastAsia="宋体" w:cs="宋体"/>
          <w:color w:val="auto"/>
          <w:sz w:val="28"/>
          <w:szCs w:val="28"/>
          <w:highlight w:val="none"/>
        </w:rPr>
      </w:pPr>
      <w:bookmarkStart w:id="43" w:name="_bookmark10"/>
      <w:bookmarkEnd w:id="43"/>
      <w:r>
        <w:rPr>
          <w:rFonts w:hint="eastAsia" w:ascii="宋体" w:hAnsi="宋体" w:eastAsia="宋体" w:cs="宋体"/>
          <w:color w:val="auto"/>
          <w:sz w:val="28"/>
          <w:szCs w:val="28"/>
          <w:highlight w:val="none"/>
        </w:rPr>
        <w:t>附表五：确认通知</w:t>
      </w:r>
    </w:p>
    <w:p>
      <w:pPr>
        <w:spacing w:line="349" w:lineRule="auto"/>
        <w:jc w:val="both"/>
        <w:rPr>
          <w:rFonts w:hint="eastAsia" w:ascii="宋体" w:hAnsi="宋体" w:eastAsia="宋体" w:cs="宋体"/>
          <w:color w:val="auto"/>
          <w:highlight w:val="none"/>
        </w:rPr>
      </w:pPr>
    </w:p>
    <w:p>
      <w:pPr>
        <w:spacing w:line="350" w:lineRule="auto"/>
        <w:jc w:val="both"/>
        <w:rPr>
          <w:rFonts w:hint="eastAsia" w:ascii="宋体" w:hAnsi="宋体" w:eastAsia="宋体" w:cs="宋体"/>
          <w:color w:val="auto"/>
          <w:highlight w:val="none"/>
        </w:rPr>
      </w:pPr>
    </w:p>
    <w:p>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pPr>
        <w:spacing w:line="345" w:lineRule="auto"/>
        <w:jc w:val="both"/>
        <w:rPr>
          <w:rFonts w:hint="eastAsia" w:ascii="宋体" w:hAnsi="宋体" w:eastAsia="宋体" w:cs="宋体"/>
          <w:color w:val="auto"/>
          <w:highlight w:val="none"/>
        </w:rPr>
      </w:pPr>
    </w:p>
    <w:p>
      <w:pPr>
        <w:spacing w:line="345" w:lineRule="auto"/>
        <w:jc w:val="both"/>
        <w:rPr>
          <w:rFonts w:hint="eastAsia" w:ascii="宋体" w:hAnsi="宋体" w:eastAsia="宋体" w:cs="宋体"/>
          <w:color w:val="auto"/>
          <w:highlight w:val="none"/>
        </w:rPr>
      </w:pPr>
    </w:p>
    <w:p>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pPr>
        <w:spacing w:line="441" w:lineRule="auto"/>
        <w:jc w:val="both"/>
        <w:rPr>
          <w:rFonts w:hint="eastAsia" w:ascii="宋体" w:hAnsi="宋体" w:eastAsia="宋体" w:cs="宋体"/>
          <w:color w:val="auto"/>
          <w:sz w:val="24"/>
          <w:szCs w:val="24"/>
          <w:highlight w:val="none"/>
        </w:rPr>
      </w:pPr>
    </w:p>
    <w:p>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spacing w:line="249" w:lineRule="auto"/>
        <w:jc w:val="both"/>
        <w:rPr>
          <w:rFonts w:hint="eastAsia" w:ascii="宋体" w:hAnsi="宋体" w:eastAsia="宋体" w:cs="宋体"/>
          <w:color w:val="auto"/>
          <w:sz w:val="24"/>
          <w:szCs w:val="24"/>
          <w:highlight w:val="none"/>
        </w:rPr>
      </w:pPr>
    </w:p>
    <w:p>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pPr>
        <w:tabs>
          <w:tab w:val="left" w:pos="7060"/>
        </w:tabs>
        <w:spacing w:before="91" w:line="377" w:lineRule="auto"/>
        <w:ind w:left="6628" w:hanging="1993"/>
        <w:jc w:val="both"/>
        <w:rPr>
          <w:rFonts w:hint="eastAsia" w:ascii="宋体" w:hAnsi="宋体" w:eastAsia="宋体" w:cs="宋体"/>
          <w:color w:val="auto"/>
          <w:highlight w:val="none"/>
        </w:rPr>
        <w:sectPr>
          <w:footerReference r:id="rId13" w:type="default"/>
          <w:pgSz w:w="11906" w:h="16839"/>
          <w:pgMar w:top="1418" w:right="1559" w:bottom="1418" w:left="1474" w:header="0" w:footer="1035"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pPr>
        <w:spacing w:line="371" w:lineRule="auto"/>
        <w:jc w:val="both"/>
        <w:rPr>
          <w:rFonts w:hint="eastAsia" w:ascii="宋体" w:hAnsi="宋体" w:eastAsia="宋体" w:cs="宋体"/>
          <w:color w:val="auto"/>
          <w:highlight w:val="none"/>
        </w:rPr>
      </w:pPr>
    </w:p>
    <w:p>
      <w:pPr>
        <w:pStyle w:val="4"/>
        <w:jc w:val="center"/>
        <w:rPr>
          <w:rFonts w:hint="eastAsia" w:ascii="宋体" w:hAnsi="宋体" w:eastAsia="宋体" w:cs="宋体"/>
          <w:snapToGrid/>
          <w:color w:val="auto"/>
          <w:sz w:val="36"/>
          <w:szCs w:val="36"/>
          <w:highlight w:val="none"/>
        </w:rPr>
      </w:pPr>
      <w:bookmarkStart w:id="44" w:name="_bookmark11"/>
      <w:bookmarkEnd w:id="44"/>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rFonts w:hint="eastAsia" w:ascii="宋体" w:hAnsi="宋体" w:eastAsia="宋体" w:cs="宋体"/>
          <w:color w:val="auto"/>
          <w:sz w:val="24"/>
          <w:szCs w:val="24"/>
          <w:highlight w:val="none"/>
        </w:rPr>
        <w:t>经评审的最低投标价法</w:t>
      </w:r>
    </w:p>
    <w:p>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highlight w:val="none"/>
        </w:rPr>
        <w:fldChar w:fldCharType="begin"/>
      </w:r>
      <w:r>
        <w:rPr>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pPr>
        <w:spacing w:before="101" w:line="225" w:lineRule="auto"/>
        <w:ind w:left="3188"/>
        <w:jc w:val="both"/>
        <w:outlineLvl w:val="0"/>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pPr>
        <w:spacing w:before="64" w:line="224" w:lineRule="auto"/>
        <w:ind w:left="3326"/>
        <w:jc w:val="both"/>
        <w:rPr>
          <w:rFonts w:hint="eastAsia" w:ascii="宋体" w:hAnsi="宋体" w:eastAsia="宋体" w:cs="宋体"/>
          <w:color w:val="auto"/>
          <w:sz w:val="31"/>
          <w:szCs w:val="31"/>
          <w:highlight w:val="none"/>
        </w:rPr>
      </w:pPr>
    </w:p>
    <w:p>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pPr>
        <w:spacing w:line="247" w:lineRule="auto"/>
        <w:jc w:val="both"/>
        <w:rPr>
          <w:rFonts w:hint="eastAsia" w:ascii="宋体" w:hAnsi="宋体" w:eastAsia="宋体" w:cs="宋体"/>
          <w:color w:val="auto"/>
          <w:highlight w:val="none"/>
        </w:rPr>
      </w:pPr>
    </w:p>
    <w:p>
      <w:pPr>
        <w:spacing w:line="248" w:lineRule="auto"/>
        <w:jc w:val="both"/>
        <w:rPr>
          <w:rFonts w:hint="eastAsia" w:ascii="宋体" w:hAnsi="宋体" w:eastAsia="宋体" w:cs="宋体"/>
          <w:color w:val="auto"/>
          <w:highlight w:val="none"/>
        </w:rPr>
      </w:pPr>
    </w:p>
    <w:p>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pPr>
        <w:spacing w:line="324" w:lineRule="auto"/>
        <w:ind w:firstLine="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pPr>
        <w:spacing w:line="324" w:lineRule="auto"/>
        <w:ind w:firstLine="575" w:firstLineChars="25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pPr>
        <w:spacing w:line="324" w:lineRule="auto"/>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pPr>
        <w:spacing w:line="324"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业绩评分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2</w:t>
      </w:r>
      <w:r>
        <w:rPr>
          <w:rFonts w:hint="eastAsia" w:ascii="宋体" w:hAnsi="宋体" w:eastAsia="宋体" w:cs="宋体"/>
          <w:b/>
          <w:bCs/>
          <w:color w:val="auto"/>
          <w:sz w:val="23"/>
          <w:szCs w:val="23"/>
          <w:highlight w:val="none"/>
        </w:rPr>
        <w:t>分)</w:t>
      </w:r>
    </w:p>
    <w:p>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投标人自2023年1月1日（以合同签订时间为准）至今完成过</w:t>
      </w:r>
      <w:r>
        <w:rPr>
          <w:rFonts w:hint="eastAsia" w:ascii="宋体" w:hAnsi="宋体" w:eastAsia="宋体" w:cs="宋体"/>
          <w:color w:val="auto"/>
          <w:sz w:val="23"/>
          <w:szCs w:val="23"/>
          <w:highlight w:val="none"/>
          <w:u w:val="single"/>
          <w:lang w:val="en-US" w:eastAsia="zh-CN"/>
        </w:rPr>
        <w:t>单个项目</w:t>
      </w:r>
      <w:r>
        <w:rPr>
          <w:rFonts w:hint="eastAsia" w:ascii="宋体" w:hAnsi="宋体" w:eastAsia="宋体" w:cs="宋体"/>
          <w:color w:val="auto"/>
          <w:sz w:val="23"/>
          <w:szCs w:val="23"/>
          <w:highlight w:val="none"/>
          <w:u w:val="single"/>
        </w:rPr>
        <w:t>业绩容量达到4000kwp及以上的类似分布式光伏项目业绩</w:t>
      </w:r>
      <w:r>
        <w:rPr>
          <w:rFonts w:hint="eastAsia" w:ascii="宋体" w:hAnsi="宋体" w:eastAsia="宋体" w:cs="宋体"/>
          <w:color w:val="auto"/>
          <w:sz w:val="23"/>
          <w:szCs w:val="23"/>
          <w:highlight w:val="none"/>
        </w:rPr>
        <w:t>，每个得</w:t>
      </w:r>
      <w:r>
        <w:rPr>
          <w:rFonts w:hint="eastAsia" w:ascii="宋体" w:hAnsi="宋体" w:eastAsia="宋体" w:cs="宋体"/>
          <w:b/>
          <w:bCs/>
          <w:color w:val="auto"/>
          <w:sz w:val="23"/>
          <w:szCs w:val="23"/>
          <w:highlight w:val="none"/>
          <w:u w:val="single"/>
        </w:rPr>
        <w:t>1</w:t>
      </w:r>
      <w:r>
        <w:rPr>
          <w:rFonts w:hint="eastAsia" w:ascii="宋体" w:hAnsi="宋体" w:eastAsia="宋体" w:cs="宋体"/>
          <w:color w:val="auto"/>
          <w:sz w:val="23"/>
          <w:szCs w:val="23"/>
          <w:highlight w:val="none"/>
        </w:rPr>
        <w:t>分，最高得</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分。</w:t>
      </w:r>
    </w:p>
    <w:p>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注：需提供中标通知书、合同、并网验收报告的复印件加盖投标人公章，若以上证明资料未体现相关要求的需另行提供业主证明加盖业主公章。</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采用记名方式各自评分。如发现某个单项的评分超出了规定的分值范围的，则该张评分表无效。此项评分为：从评标专家的有效评分中扣除一个最高总分和一个最低总分后的算术平均值(保留小数2位)。</w:t>
      </w:r>
    </w:p>
    <w:p>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31</w:t>
      </w:r>
      <w:r>
        <w:rPr>
          <w:rFonts w:hint="eastAsia" w:ascii="宋体" w:hAnsi="宋体" w:eastAsia="宋体" w:cs="宋体"/>
          <w:b/>
          <w:bCs/>
          <w:color w:val="auto"/>
          <w:sz w:val="23"/>
          <w:szCs w:val="23"/>
          <w:highlight w:val="none"/>
        </w:rPr>
        <w:t>分)：</w:t>
      </w:r>
    </w:p>
    <w:p>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□加工能力、制造水平</w:t>
      </w:r>
    </w:p>
    <w:p>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投标货物技术指标的符合性、优越性（</w:t>
      </w:r>
      <w:r>
        <w:rPr>
          <w:rFonts w:hint="eastAsia" w:ascii="宋体" w:hAnsi="宋体" w:eastAsia="宋体" w:cs="宋体"/>
          <w:b/>
          <w:bCs/>
          <w:color w:val="auto"/>
          <w:sz w:val="23"/>
          <w:szCs w:val="23"/>
          <w:highlight w:val="none"/>
          <w:lang w:val="en-US" w:eastAsia="zh-CN"/>
        </w:rPr>
        <w:t>13</w:t>
      </w:r>
      <w:r>
        <w:rPr>
          <w:rFonts w:hint="eastAsia" w:ascii="宋体" w:hAnsi="宋体" w:eastAsia="宋体" w:cs="宋体"/>
          <w:b/>
          <w:bCs/>
          <w:color w:val="auto"/>
          <w:sz w:val="23"/>
          <w:szCs w:val="23"/>
          <w:highlight w:val="none"/>
        </w:rPr>
        <w:t>分）</w:t>
      </w:r>
    </w:p>
    <w:p>
      <w:pPr>
        <w:spacing w:line="324" w:lineRule="auto"/>
        <w:ind w:firstLine="425" w:firstLineChars="185"/>
        <w:jc w:val="both"/>
        <w:rPr>
          <w:rFonts w:hint="eastAsia" w:ascii="宋体" w:hAnsi="宋体" w:eastAsia="宋体" w:cs="宋体"/>
          <w:color w:val="auto"/>
          <w:sz w:val="23"/>
          <w:szCs w:val="23"/>
          <w:highlight w:val="none"/>
          <w:u w:val="single"/>
        </w:rPr>
      </w:pPr>
      <w:r>
        <w:rPr>
          <w:rFonts w:hint="eastAsia" w:ascii="宋体" w:hAnsi="宋体" w:eastAsia="宋体" w:cs="宋体"/>
          <w:color w:val="auto"/>
          <w:sz w:val="23"/>
          <w:szCs w:val="23"/>
          <w:highlight w:val="none"/>
          <w:u w:val="single"/>
        </w:rPr>
        <w:t>根据所投产品的详细技术参数进行打分。满足需求指标和主要设备产品性能参数符合性的得</w:t>
      </w:r>
      <w:r>
        <w:rPr>
          <w:rFonts w:hint="eastAsia" w:ascii="宋体" w:hAnsi="宋体" w:eastAsia="宋体" w:cs="宋体"/>
          <w:color w:val="auto"/>
          <w:sz w:val="23"/>
          <w:szCs w:val="23"/>
          <w:highlight w:val="none"/>
          <w:u w:val="single"/>
          <w:lang w:val="en-US" w:eastAsia="zh-CN"/>
        </w:rPr>
        <w:t>13</w:t>
      </w:r>
      <w:r>
        <w:rPr>
          <w:rFonts w:hint="eastAsia" w:ascii="宋体" w:hAnsi="宋体" w:eastAsia="宋体" w:cs="宋体"/>
          <w:color w:val="auto"/>
          <w:sz w:val="23"/>
          <w:szCs w:val="23"/>
          <w:highlight w:val="none"/>
          <w:u w:val="single"/>
        </w:rPr>
        <w:t>分；打“▲”号的主要性能指标每负偏离或不响应一项扣1分；其余指标每负偏离或不响应一项扣0.5分；扣完为止。</w:t>
      </w:r>
    </w:p>
    <w:p>
      <w:pPr>
        <w:spacing w:line="324" w:lineRule="auto"/>
        <w:ind w:firstLine="425" w:firstLineChars="185"/>
        <w:jc w:val="both"/>
        <w:rPr>
          <w:rFonts w:hint="eastAsia" w:ascii="宋体" w:hAnsi="宋体" w:eastAsia="宋体" w:cs="宋体"/>
          <w:color w:val="auto"/>
          <w:sz w:val="23"/>
          <w:szCs w:val="23"/>
          <w:highlight w:val="none"/>
          <w:u w:val="single"/>
        </w:rPr>
      </w:pPr>
      <w:r>
        <w:rPr>
          <w:rFonts w:hint="eastAsia" w:ascii="宋体" w:hAnsi="宋体" w:eastAsia="宋体" w:cs="宋体"/>
          <w:color w:val="auto"/>
          <w:sz w:val="23"/>
          <w:szCs w:val="23"/>
          <w:highlight w:val="none"/>
          <w:u w:val="single"/>
        </w:rPr>
        <w:t>注：投标文件中需提供技术要求中要求提供的相关佐证材料并加盖投标人公章。</w:t>
      </w:r>
    </w:p>
    <w:p>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□主要制作材料选用的比较</w:t>
      </w:r>
    </w:p>
    <w:p>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□辅助制作材料及配件选用的比较</w:t>
      </w:r>
    </w:p>
    <w:p>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b/>
          <w:bCs/>
          <w:color w:val="auto"/>
          <w:sz w:val="23"/>
          <w:szCs w:val="23"/>
          <w:highlight w:val="none"/>
          <w:lang w:val="en-US" w:eastAsia="zh-CN"/>
        </w:rPr>
        <w:t>13</w:t>
      </w:r>
      <w:r>
        <w:rPr>
          <w:rFonts w:hint="eastAsia" w:ascii="宋体" w:hAnsi="宋体" w:eastAsia="宋体" w:cs="宋体"/>
          <w:b/>
          <w:bCs/>
          <w:color w:val="auto"/>
          <w:sz w:val="23"/>
          <w:szCs w:val="23"/>
          <w:highlight w:val="none"/>
        </w:rPr>
        <w:t>分）</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336"/>
        <w:gridCol w:w="981"/>
        <w:gridCol w:w="7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6" w:hRule="atLeast"/>
          <w:jc w:val="center"/>
        </w:trPr>
        <w:tc>
          <w:tcPr>
            <w:tcW w:w="0" w:type="auto"/>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0" w:type="auto"/>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整体施工方案</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整体项目</w:t>
            </w:r>
            <w:r>
              <w:rPr>
                <w:rFonts w:hint="eastAsia" w:ascii="宋体" w:hAnsi="宋体" w:eastAsia="宋体" w:cs="宋体"/>
                <w:color w:val="auto"/>
                <w:sz w:val="24"/>
                <w:szCs w:val="24"/>
                <w:highlight w:val="none"/>
              </w:rPr>
              <w:t>总体策划、施工进度安排、施工现场总平布置的可行性、科学性、合理性等进行打分。[0-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9" w:hRule="atLeast"/>
          <w:jc w:val="center"/>
        </w:trPr>
        <w:tc>
          <w:tcPr>
            <w:tcW w:w="0" w:type="auto"/>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0" w:type="auto"/>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关键工序和特殊工序的施工方案、施工方法可行、科学合理、先进性、针对性等。[0-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 w:hRule="atLeast"/>
          <w:jc w:val="center"/>
        </w:trPr>
        <w:tc>
          <w:tcPr>
            <w:tcW w:w="0" w:type="auto"/>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0" w:type="auto"/>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人、机、物、料等供应组织方案合理以及消缺时间、条件和维护的保障能力、准时率等。[0-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0" w:type="auto"/>
            <w:vMerge w:val="restart"/>
            <w:tcBorders>
              <w:top w:val="single" w:color="auto" w:sz="4" w:space="0"/>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现场资源配置</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根据投标人针对本项目拟投入的人员配置数量及资质条件情况等进行综合比较打分。项目部组织机构健全、职责明确，设置合理等。[0-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0" w:type="auto"/>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根据投标人提供的主要施工机械的配置和布置等进行综合比较打分，施工设备选型和配套合理、保证性等情况，施工机具和检验仪器的投入满足工程质量和进度的要求等。[0-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0" w:type="auto"/>
            <w:tcBorders>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质量保证和措施</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施工质量的控制和检验手段是否科学、可靠，原材料、半成品、外购件的质量保证措施是否可靠等情况</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bl>
    <w:p>
      <w:pPr>
        <w:spacing w:line="324" w:lineRule="auto"/>
        <w:ind w:firstLine="425" w:firstLineChars="185"/>
        <w:jc w:val="both"/>
        <w:rPr>
          <w:rFonts w:hint="eastAsia" w:ascii="宋体" w:hAnsi="宋体" w:eastAsia="宋体" w:cs="宋体"/>
          <w:color w:val="auto"/>
          <w:sz w:val="23"/>
          <w:szCs w:val="23"/>
          <w:highlight w:val="none"/>
        </w:rPr>
      </w:pPr>
    </w:p>
    <w:p>
      <w:pPr>
        <w:spacing w:line="324" w:lineRule="auto"/>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tbl>
      <w:tblPr>
        <w:tblStyle w:val="30"/>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91"/>
        <w:gridCol w:w="1432"/>
        <w:gridCol w:w="6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jc w:val="center"/>
        </w:trPr>
        <w:tc>
          <w:tcPr>
            <w:tcW w:w="49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24" w:lineRule="auto"/>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1</w:t>
            </w:r>
          </w:p>
        </w:tc>
        <w:tc>
          <w:tcPr>
            <w:tcW w:w="1432" w:type="dxa"/>
            <w:tcBorders>
              <w:left w:val="single" w:color="auto" w:sz="4" w:space="0"/>
              <w:right w:val="single" w:color="auto" w:sz="4" w:space="0"/>
            </w:tcBorders>
            <w:shd w:val="clear" w:color="auto" w:fill="FFFFFF"/>
            <w:tcMar>
              <w:top w:w="0" w:type="dxa"/>
              <w:left w:w="108" w:type="dxa"/>
              <w:bottom w:w="0" w:type="dxa"/>
              <w:right w:w="108" w:type="dxa"/>
            </w:tcMar>
            <w:vAlign w:val="center"/>
          </w:tcPr>
          <w:p>
            <w:pPr>
              <w:spacing w:line="324"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运维方案</w:t>
            </w:r>
          </w:p>
        </w:tc>
        <w:tc>
          <w:tcPr>
            <w:tcW w:w="689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24" w:lineRule="auto"/>
              <w:ind w:firstLine="460" w:firstLineChars="200"/>
              <w:jc w:val="both"/>
              <w:rPr>
                <w:rFonts w:hint="eastAsia" w:ascii="宋体" w:hAnsi="宋体" w:eastAsia="宋体" w:cs="宋体"/>
                <w:color w:val="auto"/>
                <w:sz w:val="23"/>
                <w:szCs w:val="23"/>
                <w:highlight w:val="none"/>
                <w:lang w:val="zh-CN"/>
              </w:rPr>
            </w:pPr>
            <w:r>
              <w:rPr>
                <w:rFonts w:hint="eastAsia" w:ascii="宋体" w:hAnsi="宋体" w:eastAsia="宋体" w:cs="宋体"/>
                <w:color w:val="auto"/>
                <w:sz w:val="23"/>
                <w:szCs w:val="23"/>
                <w:highlight w:val="none"/>
                <w:lang w:val="zh-CN"/>
              </w:rPr>
              <w:t>根据</w:t>
            </w:r>
            <w:r>
              <w:rPr>
                <w:rFonts w:hint="eastAsia" w:ascii="宋体" w:hAnsi="宋体" w:eastAsia="宋体" w:cs="宋体"/>
                <w:color w:val="auto"/>
                <w:sz w:val="23"/>
                <w:szCs w:val="23"/>
                <w:highlight w:val="none"/>
                <w:lang w:val="en-US" w:eastAsia="zh-CN"/>
              </w:rPr>
              <w:t>投标人提供的24个月的质保期内</w:t>
            </w:r>
            <w:r>
              <w:rPr>
                <w:rFonts w:hint="eastAsia" w:ascii="宋体" w:hAnsi="宋体" w:eastAsia="宋体" w:cs="宋体"/>
                <w:color w:val="auto"/>
                <w:sz w:val="23"/>
                <w:szCs w:val="23"/>
                <w:highlight w:val="none"/>
                <w:lang w:val="zh-CN"/>
              </w:rPr>
              <w:t>制定</w:t>
            </w:r>
            <w:r>
              <w:rPr>
                <w:rFonts w:hint="eastAsia" w:ascii="宋体" w:hAnsi="宋体" w:eastAsia="宋体" w:cs="宋体"/>
                <w:color w:val="auto"/>
                <w:sz w:val="23"/>
                <w:szCs w:val="23"/>
                <w:highlight w:val="none"/>
                <w:lang w:val="en-US" w:eastAsia="zh-CN"/>
              </w:rPr>
              <w:t>的</w:t>
            </w:r>
            <w:r>
              <w:rPr>
                <w:rFonts w:hint="eastAsia" w:ascii="宋体" w:hAnsi="宋体" w:eastAsia="宋体" w:cs="宋体"/>
                <w:color w:val="auto"/>
                <w:sz w:val="23"/>
                <w:szCs w:val="23"/>
                <w:highlight w:val="none"/>
                <w:lang w:val="zh-CN"/>
              </w:rPr>
              <w:t>运维方案，运维期间</w:t>
            </w:r>
            <w:r>
              <w:rPr>
                <w:rFonts w:hint="eastAsia" w:ascii="宋体" w:hAnsi="宋体" w:eastAsia="宋体" w:cs="宋体"/>
                <w:color w:val="auto"/>
                <w:sz w:val="23"/>
                <w:szCs w:val="23"/>
                <w:highlight w:val="none"/>
              </w:rPr>
              <w:t>巡检、提前预警、故障排除及处理等建立巡检制度和运维情况报告制度，建立档案，解决方案资料库，应急预案等，</w:t>
            </w:r>
            <w:r>
              <w:rPr>
                <w:rFonts w:hint="eastAsia" w:ascii="宋体" w:hAnsi="宋体" w:eastAsia="宋体" w:cs="宋体"/>
                <w:color w:val="auto"/>
                <w:sz w:val="23"/>
                <w:szCs w:val="23"/>
                <w:highlight w:val="none"/>
                <w:lang w:val="zh-CN"/>
              </w:rPr>
              <w:t>由评委进行评审并酌情打分</w:t>
            </w:r>
            <w:r>
              <w:rPr>
                <w:rFonts w:hint="eastAsia" w:ascii="宋体" w:hAnsi="宋体" w:eastAsia="宋体" w:cs="宋体"/>
                <w:color w:val="auto"/>
                <w:sz w:val="23"/>
                <w:szCs w:val="23"/>
                <w:highlight w:val="none"/>
              </w:rPr>
              <w:t>。[0-</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]分</w:t>
            </w:r>
          </w:p>
        </w:tc>
      </w:tr>
    </w:tbl>
    <w:p>
      <w:pPr>
        <w:spacing w:line="324" w:lineRule="auto"/>
        <w:jc w:val="both"/>
        <w:rPr>
          <w:rFonts w:hint="eastAsia" w:ascii="宋体" w:hAnsi="宋体" w:eastAsia="宋体" w:cs="宋体"/>
          <w:color w:val="auto"/>
          <w:sz w:val="23"/>
          <w:szCs w:val="23"/>
          <w:highlight w:val="none"/>
        </w:rPr>
      </w:pPr>
    </w:p>
    <w:p>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□投标人提供的样品质量比较</w:t>
      </w:r>
    </w:p>
    <w:p>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☑其它 </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2</w:t>
      </w:r>
      <w:r>
        <w:rPr>
          <w:rFonts w:hint="eastAsia" w:ascii="宋体" w:hAnsi="宋体" w:eastAsia="宋体" w:cs="宋体"/>
          <w:b/>
          <w:bCs/>
          <w:color w:val="auto"/>
          <w:sz w:val="23"/>
          <w:szCs w:val="23"/>
          <w:highlight w:val="none"/>
        </w:rPr>
        <w:t>分）</w:t>
      </w:r>
    </w:p>
    <w:tbl>
      <w:tblPr>
        <w:tblStyle w:val="30"/>
        <w:tblW w:w="8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91"/>
        <w:gridCol w:w="1209"/>
        <w:gridCol w:w="6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jc w:val="center"/>
        </w:trPr>
        <w:tc>
          <w:tcPr>
            <w:tcW w:w="491"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pPr>
              <w:spacing w:line="324"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209" w:type="dxa"/>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pPr>
              <w:spacing w:line="324"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人员配置</w:t>
            </w:r>
          </w:p>
        </w:tc>
        <w:tc>
          <w:tcPr>
            <w:tcW w:w="6586" w:type="dxa"/>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拟派项目负责人具有注册在投标人企业的</w:t>
            </w:r>
            <w:r>
              <w:rPr>
                <w:rFonts w:hint="eastAsia" w:ascii="宋体" w:hAnsi="宋体" w:eastAsia="宋体" w:cs="宋体"/>
                <w:color w:val="auto"/>
                <w:sz w:val="24"/>
                <w:szCs w:val="24"/>
                <w:highlight w:val="none"/>
                <w:lang w:eastAsia="zh-CN"/>
              </w:rPr>
              <w:t>（专业：机电工程）</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级及以上注册建造师执业资格</w:t>
            </w:r>
            <w:r>
              <w:rPr>
                <w:rFonts w:hint="eastAsia" w:ascii="宋体" w:hAnsi="宋体" w:eastAsia="宋体" w:cs="宋体"/>
                <w:color w:val="auto"/>
                <w:sz w:val="24"/>
                <w:szCs w:val="24"/>
                <w:highlight w:val="none"/>
                <w:lang w:val="en-US" w:eastAsia="zh-CN"/>
              </w:rPr>
              <w:t>同时具有有效的专职安全生产管理人员B类证书</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注：①拟派项目负责人须为投标企业在职职工（在职职工不包括离退休、返聘人员），须提供缴费期限包含</w:t>
            </w:r>
            <w:r>
              <w:rPr>
                <w:rFonts w:hint="eastAsia" w:ascii="宋体" w:hAnsi="宋体" w:eastAsia="宋体" w:cs="宋体"/>
                <w:color w:val="auto"/>
                <w:sz w:val="24"/>
                <w:szCs w:val="24"/>
                <w:highlight w:val="none"/>
                <w:lang w:eastAsia="zh-CN"/>
              </w:rPr>
              <w:t>2025年</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月至2025年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rPr>
              <w:t>的投标人所属社保机构养老保险缴纳清单或证明（缴费单位和投标单位名称必须一致，并加盖社保缴费证明专用章或电子专用章，非独立法人的分公司社保证明有效）。</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若</w:t>
            </w:r>
            <w:r>
              <w:rPr>
                <w:rFonts w:hint="eastAsia" w:ascii="宋体" w:hAnsi="宋体" w:eastAsia="宋体" w:cs="宋体"/>
                <w:color w:val="auto"/>
                <w:sz w:val="24"/>
                <w:szCs w:val="24"/>
                <w:highlight w:val="none"/>
              </w:rPr>
              <w:t>拟派项目负责人</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rPr>
              <w:t>一级注册建造师电子证书</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，应符合《住房和城乡建设部办公厅关于全面实行一级建造师电子注册证书的通知》（建办市【2021】40号）文，须在个人签名处手写本人签名，未手写签名或与签名图像笔迹不一致的，该电子证书无效。</w:t>
            </w:r>
          </w:p>
          <w:p>
            <w:pPr>
              <w:spacing w:line="324"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③投标文件中提供相关证书复印件及社保缴纳证明并加盖投标人公章，未提供不得分。</w:t>
            </w:r>
          </w:p>
        </w:tc>
      </w:tr>
    </w:tbl>
    <w:p>
      <w:pPr>
        <w:spacing w:line="324" w:lineRule="auto"/>
        <w:jc w:val="both"/>
        <w:rPr>
          <w:rFonts w:hint="eastAsia" w:ascii="宋体" w:hAnsi="宋体" w:eastAsia="宋体" w:cs="宋体"/>
          <w:color w:val="auto"/>
          <w:sz w:val="23"/>
          <w:szCs w:val="23"/>
          <w:highlight w:val="none"/>
        </w:rPr>
      </w:pP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计算差错，仅限于以下两种情况：(1)纯算术性四则运算差错；(2)未按约定的计算方法，多计或者少计投标人报价的。由于评标差错，导致否决投标错误，重新评标纠正等其他情况，不属于计算差错。</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67</w:t>
      </w:r>
      <w:r>
        <w:rPr>
          <w:rFonts w:hint="eastAsia" w:ascii="宋体" w:hAnsi="宋体" w:eastAsia="宋体" w:cs="宋体"/>
          <w:b/>
          <w:bCs/>
          <w:color w:val="auto"/>
          <w:sz w:val="23"/>
          <w:szCs w:val="23"/>
          <w:highlight w:val="none"/>
        </w:rPr>
        <w:t>分)</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二次平均法（方法二）</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(1)评分范围：通过符合性审查的所有投标文件进入评分范围。</w:t>
      </w:r>
    </w:p>
    <w:p>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(2)报价平均值：进入评分范围的投标评标价的算术平均值为报价平均值(其中，投标评标价在5个至7个时，去除一个最高价和一个最低价；投标评标价在8个及以上时，去除一个最高、次高价和一个最低、次低价)。</w:t>
      </w:r>
    </w:p>
    <w:p>
      <w:pPr>
        <w:spacing w:line="324"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(3)评标基准价：报价平均值与进入评分范围的投标评标价中的次低投标评标价(不足4个的与最低投标评标价)的算术平均值为评标基准价。</w:t>
      </w:r>
    </w:p>
    <w:p>
      <w:pPr>
        <w:spacing w:line="324" w:lineRule="auto"/>
        <w:ind w:firstLine="47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(4)根据投标文件的投标评标价与评标基准价对比，计算投标人的商务报价的得分值。即：</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5"/>
          <w:sz w:val="23"/>
          <w:szCs w:val="23"/>
          <w:highlight w:val="none"/>
        </w:rPr>
        <w:t>a.投标评标价等于评标基准价时，得满分</w:t>
      </w:r>
      <w:r>
        <w:rPr>
          <w:rFonts w:hint="eastAsia" w:ascii="宋体" w:hAnsi="宋体" w:eastAsia="宋体" w:cs="宋体"/>
          <w:color w:val="auto"/>
          <w:position w:val="15"/>
          <w:sz w:val="23"/>
          <w:szCs w:val="23"/>
          <w:highlight w:val="none"/>
          <w:lang w:eastAsia="zh-CN"/>
        </w:rPr>
        <w:t>（</w:t>
      </w:r>
      <w:r>
        <w:rPr>
          <w:rFonts w:hint="eastAsia" w:ascii="宋体" w:hAnsi="宋体" w:eastAsia="宋体" w:cs="宋体"/>
          <w:color w:val="auto"/>
          <w:position w:val="15"/>
          <w:sz w:val="23"/>
          <w:szCs w:val="23"/>
          <w:highlight w:val="none"/>
          <w:lang w:val="en-US" w:eastAsia="zh-CN"/>
        </w:rPr>
        <w:t>67分</w:t>
      </w:r>
      <w:r>
        <w:rPr>
          <w:rFonts w:hint="eastAsia" w:ascii="宋体" w:hAnsi="宋体" w:eastAsia="宋体" w:cs="宋体"/>
          <w:color w:val="auto"/>
          <w:position w:val="15"/>
          <w:sz w:val="23"/>
          <w:szCs w:val="23"/>
          <w:highlight w:val="none"/>
          <w:lang w:eastAsia="zh-CN"/>
        </w:rPr>
        <w:t>）</w:t>
      </w:r>
      <w:r>
        <w:rPr>
          <w:rFonts w:hint="eastAsia" w:ascii="宋体" w:hAnsi="宋体" w:eastAsia="宋体" w:cs="宋体"/>
          <w:color w:val="auto"/>
          <w:position w:val="15"/>
          <w:sz w:val="23"/>
          <w:szCs w:val="23"/>
          <w:highlight w:val="none"/>
        </w:rPr>
        <w:t>；</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b.投标评标价每低于评标基准价1个百分点，扣0.5分；</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c.投标评标价每高于评标基准价1个百分点，扣1分。</w:t>
      </w:r>
    </w:p>
    <w:p>
      <w:pPr>
        <w:spacing w:line="324" w:lineRule="auto"/>
        <w:ind w:firstLine="460" w:firstLineChars="200"/>
        <w:jc w:val="both"/>
        <w:rPr>
          <w:rFonts w:hint="eastAsia" w:ascii="宋体" w:hAnsi="宋体" w:eastAsia="宋体" w:cs="宋体"/>
          <w:strike/>
          <w:color w:val="auto"/>
          <w:sz w:val="23"/>
          <w:szCs w:val="23"/>
          <w:highlight w:val="none"/>
        </w:rPr>
      </w:pPr>
      <w:r>
        <w:rPr>
          <w:rFonts w:hint="eastAsia" w:ascii="宋体" w:hAnsi="宋体" w:eastAsia="宋体" w:cs="宋体"/>
          <w:color w:val="auto"/>
          <w:sz w:val="23"/>
          <w:szCs w:val="23"/>
          <w:highlight w:val="none"/>
        </w:rPr>
        <w:t>以上报价得分不足一个百分点时，使用直线插入法计算，保留小数2位。投标文件的商务标评分不足10分的，计为10分。</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pPr>
        <w:spacing w:line="324" w:lineRule="auto"/>
        <w:jc w:val="both"/>
        <w:rPr>
          <w:rFonts w:hint="eastAsia" w:ascii="宋体" w:hAnsi="宋体" w:eastAsia="宋体" w:cs="宋体"/>
          <w:color w:val="auto"/>
          <w:highlight w:val="none"/>
        </w:rPr>
        <w:sectPr>
          <w:footerReference r:id="rId15" w:type="default"/>
          <w:pgSz w:w="11907" w:h="16840"/>
          <w:pgMar w:top="1418" w:right="1559" w:bottom="1418" w:left="1474" w:header="0" w:footer="723" w:gutter="0"/>
          <w:cols w:space="720" w:num="1"/>
        </w:sectPr>
      </w:pPr>
    </w:p>
    <w:p>
      <w:pPr>
        <w:spacing w:line="243" w:lineRule="auto"/>
        <w:jc w:val="both"/>
        <w:rPr>
          <w:rFonts w:hint="eastAsia" w:ascii="宋体" w:hAnsi="宋体" w:eastAsia="宋体" w:cs="宋体"/>
          <w:color w:val="auto"/>
          <w:highlight w:val="none"/>
        </w:rPr>
      </w:pPr>
    </w:p>
    <w:p>
      <w:pPr>
        <w:spacing w:line="243" w:lineRule="auto"/>
        <w:jc w:val="both"/>
        <w:rPr>
          <w:rFonts w:hint="eastAsia" w:ascii="宋体" w:hAnsi="宋体" w:eastAsia="宋体" w:cs="宋体"/>
          <w:color w:val="auto"/>
          <w:highlight w:val="none"/>
        </w:rPr>
      </w:pPr>
    </w:p>
    <w:p>
      <w:pPr>
        <w:spacing w:before="101" w:line="225" w:lineRule="auto"/>
        <w:ind w:left="2654"/>
        <w:jc w:val="both"/>
        <w:outlineLvl w:val="0"/>
        <w:rPr>
          <w:rFonts w:hint="eastAsia" w:ascii="宋体" w:hAnsi="宋体" w:eastAsia="宋体" w:cs="宋体"/>
          <w:color w:val="auto"/>
          <w:sz w:val="31"/>
          <w:szCs w:val="31"/>
          <w:highlight w:val="none"/>
        </w:rPr>
      </w:pPr>
      <w:bookmarkStart w:id="45" w:name="_bookmark12"/>
      <w:bookmarkEnd w:id="45"/>
      <w:r>
        <w:rPr>
          <w:rFonts w:hint="eastAsia" w:ascii="宋体" w:hAnsi="宋体" w:eastAsia="宋体" w:cs="宋体"/>
          <w:color w:val="auto"/>
          <w:sz w:val="31"/>
          <w:szCs w:val="31"/>
          <w:highlight w:val="none"/>
        </w:rPr>
        <w:t>第四章合同条款及格式</w:t>
      </w:r>
    </w:p>
    <w:p>
      <w:pPr>
        <w:bidi w:val="0"/>
        <w:jc w:val="center"/>
        <w:rPr>
          <w:rFonts w:hint="eastAsia" w:ascii="宋体" w:hAnsi="宋体" w:eastAsia="宋体" w:cs="宋体"/>
          <w:sz w:val="23"/>
          <w:szCs w:val="23"/>
          <w:highlight w:val="none"/>
        </w:rPr>
      </w:pPr>
      <w:bookmarkStart w:id="46" w:name="_Toc296890982"/>
      <w:bookmarkStart w:id="47" w:name="_Toc351203480"/>
      <w:bookmarkStart w:id="48" w:name="_Toc296503025"/>
    </w:p>
    <w:p>
      <w:pPr>
        <w:bidi w:val="0"/>
        <w:jc w:val="center"/>
        <w:rPr>
          <w:rFonts w:hint="eastAsia" w:ascii="宋体" w:hAnsi="宋体" w:eastAsia="宋体" w:cs="宋体"/>
          <w:b w:val="0"/>
          <w:color w:val="000000"/>
          <w:sz w:val="36"/>
          <w:szCs w:val="36"/>
          <w:highlight w:val="none"/>
        </w:rPr>
      </w:pPr>
      <w:r>
        <w:rPr>
          <w:rFonts w:hint="eastAsia" w:ascii="宋体" w:hAnsi="宋体" w:eastAsia="宋体" w:cs="宋体"/>
          <w:sz w:val="28"/>
          <w:szCs w:val="28"/>
          <w:highlight w:val="none"/>
        </w:rPr>
        <w:t>第一部分 合同协议书</w:t>
      </w:r>
      <w:bookmarkEnd w:id="46"/>
      <w:bookmarkEnd w:id="47"/>
      <w:bookmarkEnd w:id="48"/>
    </w:p>
    <w:p>
      <w:pPr>
        <w:spacing w:line="360" w:lineRule="auto"/>
        <w:rPr>
          <w:rFonts w:hint="eastAsia" w:ascii="宋体" w:hAnsi="宋体" w:eastAsia="宋体" w:cs="宋体"/>
          <w:b/>
          <w:color w:val="000000"/>
          <w:sz w:val="23"/>
          <w:szCs w:val="23"/>
          <w:highlight w:val="none"/>
        </w:rPr>
      </w:pPr>
    </w:p>
    <w:p>
      <w:pPr>
        <w:spacing w:line="360" w:lineRule="auto"/>
        <w:rPr>
          <w:rFonts w:hint="eastAsia" w:ascii="宋体" w:hAnsi="宋体" w:eastAsia="宋体" w:cs="宋体"/>
          <w:b/>
          <w:color w:val="000000"/>
          <w:sz w:val="23"/>
          <w:szCs w:val="23"/>
          <w:highlight w:val="none"/>
          <w:u w:val="single"/>
        </w:rPr>
      </w:pPr>
      <w:r>
        <w:rPr>
          <w:rFonts w:hint="eastAsia" w:ascii="宋体" w:hAnsi="宋体" w:eastAsia="宋体" w:cs="宋体"/>
          <w:b/>
          <w:color w:val="000000"/>
          <w:sz w:val="23"/>
          <w:szCs w:val="23"/>
          <w:highlight w:val="none"/>
          <w:lang w:val="en-US" w:eastAsia="zh-CN"/>
        </w:rPr>
        <w:t>甲方</w:t>
      </w:r>
      <w:r>
        <w:rPr>
          <w:rFonts w:hint="eastAsia" w:ascii="宋体" w:hAnsi="宋体" w:eastAsia="宋体" w:cs="宋体"/>
          <w:b/>
          <w:color w:val="000000"/>
          <w:sz w:val="23"/>
          <w:szCs w:val="23"/>
          <w:highlight w:val="none"/>
        </w:rPr>
        <w:t>（全称）</w:t>
      </w:r>
      <w:r>
        <w:rPr>
          <w:rFonts w:hint="eastAsia" w:ascii="宋体" w:hAnsi="宋体" w:eastAsia="宋体" w:cs="宋体"/>
          <w:b/>
          <w:color w:val="000000"/>
          <w:sz w:val="23"/>
          <w:szCs w:val="23"/>
          <w:highlight w:val="none"/>
          <w:lang w:eastAsia="zh-CN"/>
        </w:rPr>
        <w:t>：</w:t>
      </w:r>
      <w:r>
        <w:rPr>
          <w:rFonts w:hint="eastAsia" w:ascii="宋体" w:hAnsi="宋体" w:eastAsia="宋体" w:cs="宋体"/>
          <w:b/>
          <w:color w:val="000000"/>
          <w:sz w:val="23"/>
          <w:szCs w:val="23"/>
          <w:highlight w:val="none"/>
          <w:u w:val="single"/>
          <w:lang w:val="en-US" w:eastAsia="zh-CN"/>
        </w:rPr>
        <w:t xml:space="preserve">  浙江城华新能源发展有限公司  </w:t>
      </w:r>
      <w:r>
        <w:rPr>
          <w:rFonts w:hint="eastAsia" w:ascii="宋体" w:hAnsi="宋体" w:eastAsia="宋体" w:cs="宋体"/>
          <w:b/>
          <w:color w:val="auto"/>
          <w:sz w:val="23"/>
          <w:szCs w:val="23"/>
          <w:highlight w:val="none"/>
          <w:u w:val="none"/>
        </w:rPr>
        <w:t xml:space="preserve">    </w:t>
      </w:r>
    </w:p>
    <w:p>
      <w:pPr>
        <w:spacing w:line="360" w:lineRule="auto"/>
        <w:rPr>
          <w:rFonts w:hint="eastAsia" w:ascii="宋体" w:hAnsi="宋体" w:eastAsia="宋体" w:cs="宋体"/>
          <w:b/>
          <w:color w:val="000000"/>
          <w:sz w:val="23"/>
          <w:szCs w:val="23"/>
          <w:highlight w:val="none"/>
          <w:u w:val="single"/>
          <w:lang w:val="en-US" w:eastAsia="zh-CN"/>
        </w:rPr>
      </w:pPr>
      <w:r>
        <w:rPr>
          <w:rFonts w:hint="eastAsia" w:ascii="宋体" w:hAnsi="宋体" w:eastAsia="宋体" w:cs="宋体"/>
          <w:b/>
          <w:sz w:val="23"/>
          <w:szCs w:val="23"/>
          <w:highlight w:val="none"/>
          <w:lang w:val="en-US" w:eastAsia="zh-CN"/>
        </w:rPr>
        <w:t>乙方</w:t>
      </w:r>
      <w:r>
        <w:rPr>
          <w:rFonts w:hint="eastAsia" w:ascii="宋体" w:hAnsi="宋体" w:eastAsia="宋体" w:cs="宋体"/>
          <w:b/>
          <w:color w:val="000000"/>
          <w:sz w:val="23"/>
          <w:szCs w:val="23"/>
          <w:highlight w:val="none"/>
        </w:rPr>
        <w:t>（全称）：</w:t>
      </w:r>
      <w:r>
        <w:rPr>
          <w:rFonts w:hint="eastAsia" w:ascii="宋体" w:hAnsi="宋体" w:eastAsia="宋体" w:cs="宋体"/>
          <w:b/>
          <w:color w:val="000000"/>
          <w:sz w:val="23"/>
          <w:szCs w:val="23"/>
          <w:highlight w:val="none"/>
          <w:u w:val="single"/>
          <w:lang w:val="en-US" w:eastAsia="zh-CN"/>
        </w:rPr>
        <w:t xml:space="preserve">                          </w:t>
      </w:r>
      <w:r>
        <w:rPr>
          <w:rFonts w:hint="eastAsia" w:ascii="宋体" w:hAnsi="宋体" w:eastAsia="宋体" w:cs="宋体"/>
          <w:b/>
          <w:bCs w:val="0"/>
          <w:color w:val="000000"/>
          <w:sz w:val="23"/>
          <w:szCs w:val="23"/>
          <w:highlight w:val="none"/>
          <w:u w:val="single"/>
          <w:lang w:val="en-US" w:eastAsia="zh-CN"/>
        </w:rPr>
        <w:t xml:space="preserve">     </w:t>
      </w:r>
    </w:p>
    <w:p>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根据《中华人民共和国</w:t>
      </w:r>
      <w:r>
        <w:rPr>
          <w:rFonts w:hint="eastAsia" w:ascii="宋体" w:hAnsi="宋体" w:eastAsia="宋体" w:cs="宋体"/>
          <w:color w:val="000000"/>
          <w:sz w:val="23"/>
          <w:szCs w:val="23"/>
          <w:highlight w:val="none"/>
          <w:lang w:val="en-US" w:eastAsia="zh-CN"/>
        </w:rPr>
        <w:t>民法典</w:t>
      </w:r>
      <w:r>
        <w:rPr>
          <w:rFonts w:hint="eastAsia" w:ascii="宋体" w:hAnsi="宋体" w:eastAsia="宋体" w:cs="宋体"/>
          <w:color w:val="000000"/>
          <w:sz w:val="23"/>
          <w:szCs w:val="23"/>
          <w:highlight w:val="none"/>
        </w:rPr>
        <w:t>》及有关法律规定，遵循平等、自愿、公平和诚实信用的原则，双方就</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b/>
          <w:sz w:val="23"/>
          <w:szCs w:val="23"/>
          <w:highlight w:val="none"/>
          <w:u w:val="single"/>
          <w:lang w:val="en-US" w:eastAsia="zh-CN"/>
        </w:rPr>
        <w:t>浙江古越龙山绍兴酒股份有限公司4400KW屋顶分布式光伏发电项目（一期）</w:t>
      </w:r>
      <w:r>
        <w:rPr>
          <w:rFonts w:hint="eastAsia" w:ascii="宋体" w:hAnsi="宋体" w:eastAsia="宋体" w:cs="宋体"/>
          <w:color w:val="000000"/>
          <w:sz w:val="23"/>
          <w:szCs w:val="23"/>
          <w:highlight w:val="none"/>
        </w:rPr>
        <w:t>工程</w:t>
      </w:r>
      <w:r>
        <w:rPr>
          <w:rFonts w:hint="eastAsia" w:ascii="宋体" w:hAnsi="宋体" w:eastAsia="宋体" w:cs="宋体"/>
          <w:color w:val="000000"/>
          <w:sz w:val="23"/>
          <w:szCs w:val="23"/>
          <w:highlight w:val="none"/>
          <w:lang w:val="en-US" w:eastAsia="zh-CN"/>
        </w:rPr>
        <w:t>相关货物采购</w:t>
      </w:r>
      <w:r>
        <w:rPr>
          <w:rFonts w:hint="eastAsia" w:ascii="宋体" w:hAnsi="宋体" w:eastAsia="宋体" w:cs="宋体"/>
          <w:color w:val="000000"/>
          <w:sz w:val="23"/>
          <w:szCs w:val="23"/>
          <w:highlight w:val="none"/>
        </w:rPr>
        <w:t>及有关事项协商一致，共同达成如下协议：</w:t>
      </w:r>
    </w:p>
    <w:p>
      <w:pPr>
        <w:pStyle w:val="8"/>
        <w:numPr>
          <w:ilvl w:val="3"/>
          <w:numId w:val="0"/>
        </w:numPr>
        <w:spacing w:before="120" w:after="120" w:line="360" w:lineRule="auto"/>
        <w:ind w:leftChars="0"/>
        <w:rPr>
          <w:rFonts w:hint="eastAsia" w:ascii="宋体" w:hAnsi="宋体" w:eastAsia="宋体" w:cs="宋体"/>
          <w:bCs w:val="0"/>
          <w:color w:val="000000"/>
          <w:sz w:val="23"/>
          <w:szCs w:val="23"/>
          <w:highlight w:val="none"/>
        </w:rPr>
      </w:pPr>
      <w:bookmarkStart w:id="49" w:name="_Toc351203481"/>
      <w:r>
        <w:rPr>
          <w:rFonts w:hint="eastAsia" w:ascii="宋体" w:hAnsi="宋体" w:eastAsia="宋体" w:cs="宋体"/>
          <w:b w:val="0"/>
          <w:color w:val="000000"/>
          <w:sz w:val="23"/>
          <w:szCs w:val="23"/>
          <w:highlight w:val="none"/>
        </w:rPr>
        <w:t>一、</w:t>
      </w:r>
      <w:r>
        <w:rPr>
          <w:rFonts w:hint="eastAsia" w:ascii="宋体" w:hAnsi="宋体" w:eastAsia="宋体" w:cs="宋体"/>
          <w:b w:val="0"/>
          <w:color w:val="000000"/>
          <w:sz w:val="23"/>
          <w:szCs w:val="23"/>
          <w:highlight w:val="none"/>
          <w:lang w:val="en-US" w:eastAsia="zh-CN"/>
        </w:rPr>
        <w:t>项目</w:t>
      </w:r>
      <w:r>
        <w:rPr>
          <w:rFonts w:hint="eastAsia" w:ascii="宋体" w:hAnsi="宋体" w:eastAsia="宋体" w:cs="宋体"/>
          <w:b w:val="0"/>
          <w:color w:val="000000"/>
          <w:sz w:val="23"/>
          <w:szCs w:val="23"/>
          <w:highlight w:val="none"/>
        </w:rPr>
        <w:t>概况</w:t>
      </w:r>
      <w:bookmarkEnd w:id="49"/>
    </w:p>
    <w:p>
      <w:pPr>
        <w:spacing w:line="360" w:lineRule="auto"/>
        <w:ind w:firstLine="460" w:firstLineChars="200"/>
        <w:rPr>
          <w:rFonts w:hint="eastAsia" w:ascii="宋体" w:hAnsi="宋体" w:eastAsia="宋体" w:cs="宋体"/>
          <w:color w:val="000000"/>
          <w:sz w:val="23"/>
          <w:szCs w:val="23"/>
          <w:highlight w:val="none"/>
          <w:u w:val="single"/>
        </w:rPr>
      </w:pPr>
      <w:r>
        <w:rPr>
          <w:rFonts w:hint="eastAsia" w:ascii="宋体" w:hAnsi="宋体" w:eastAsia="宋体" w:cs="宋体"/>
          <w:bCs/>
          <w:color w:val="000000"/>
          <w:sz w:val="23"/>
          <w:szCs w:val="23"/>
          <w:highlight w:val="none"/>
          <w:lang w:val="en-US" w:eastAsia="zh-CN"/>
        </w:rPr>
        <w:t>1.项目</w:t>
      </w:r>
      <w:r>
        <w:rPr>
          <w:rFonts w:hint="eastAsia" w:ascii="宋体" w:hAnsi="宋体" w:eastAsia="宋体" w:cs="宋体"/>
          <w:bCs/>
          <w:color w:val="000000"/>
          <w:sz w:val="23"/>
          <w:szCs w:val="23"/>
          <w:highlight w:val="none"/>
        </w:rPr>
        <w:t>名称</w:t>
      </w:r>
      <w:r>
        <w:rPr>
          <w:rFonts w:hint="eastAsia" w:ascii="宋体" w:hAnsi="宋体" w:eastAsia="宋体" w:cs="宋体"/>
          <w:color w:val="000000"/>
          <w:sz w:val="23"/>
          <w:szCs w:val="23"/>
          <w:highlight w:val="none"/>
        </w:rPr>
        <w:t>：</w:t>
      </w:r>
      <w:r>
        <w:rPr>
          <w:rFonts w:hint="eastAsia" w:ascii="宋体" w:hAnsi="宋体" w:eastAsia="宋体" w:cs="宋体"/>
          <w:b/>
          <w:sz w:val="23"/>
          <w:szCs w:val="23"/>
          <w:highlight w:val="none"/>
          <w:u w:val="single"/>
          <w:lang w:val="en-US" w:eastAsia="zh-CN"/>
        </w:rPr>
        <w:t>浙江古越龙山绍兴酒股份有限公司4400KW屋顶分布式光伏发电项目（一期）</w:t>
      </w:r>
    </w:p>
    <w:p>
      <w:pPr>
        <w:spacing w:line="360" w:lineRule="auto"/>
        <w:ind w:firstLine="460" w:firstLineChars="200"/>
        <w:jc w:val="left"/>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2.工程地点：</w:t>
      </w:r>
      <w:r>
        <w:rPr>
          <w:rFonts w:hint="eastAsia" w:ascii="宋体" w:hAnsi="宋体" w:eastAsia="宋体" w:cs="宋体"/>
          <w:bCs/>
          <w:color w:val="000000"/>
          <w:sz w:val="23"/>
          <w:szCs w:val="23"/>
          <w:highlight w:val="none"/>
          <w:u w:val="single"/>
          <w:lang w:val="en-US" w:eastAsia="zh-CN"/>
        </w:rPr>
        <w:t>浙江省绍兴市越城区马山街道三江路98号</w:t>
      </w:r>
      <w:r>
        <w:rPr>
          <w:rFonts w:hint="eastAsia" w:ascii="宋体" w:hAnsi="宋体" w:eastAsia="宋体" w:cs="宋体"/>
          <w:color w:val="000000"/>
          <w:sz w:val="23"/>
          <w:szCs w:val="23"/>
          <w:highlight w:val="none"/>
        </w:rPr>
        <w:t>。</w:t>
      </w:r>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3.工程立项批准文号：</w:t>
      </w:r>
      <w:r>
        <w:rPr>
          <w:rFonts w:hint="eastAsia" w:ascii="宋体" w:hAnsi="宋体" w:eastAsia="宋体" w:cs="宋体"/>
          <w:bCs/>
          <w:color w:val="000000"/>
          <w:sz w:val="23"/>
          <w:szCs w:val="23"/>
          <w:highlight w:val="none"/>
          <w:u w:val="single"/>
          <w:lang w:val="en-US" w:eastAsia="zh-CN"/>
        </w:rPr>
        <w:t>2511-330652-04-01-895927</w:t>
      </w:r>
      <w:r>
        <w:rPr>
          <w:rFonts w:hint="eastAsia" w:ascii="宋体" w:hAnsi="宋体" w:eastAsia="宋体" w:cs="宋体"/>
          <w:bCs/>
          <w:color w:val="000000"/>
          <w:sz w:val="23"/>
          <w:szCs w:val="23"/>
          <w:highlight w:val="none"/>
        </w:rPr>
        <w:t>。</w:t>
      </w:r>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4.资金来源：</w:t>
      </w:r>
      <w:r>
        <w:rPr>
          <w:rFonts w:hint="eastAsia" w:ascii="宋体" w:hAnsi="宋体" w:eastAsia="宋体" w:cs="宋体"/>
          <w:color w:val="000000"/>
          <w:sz w:val="23"/>
          <w:szCs w:val="23"/>
          <w:highlight w:val="none"/>
          <w:u w:val="single"/>
          <w:lang w:val="en-US" w:eastAsia="zh-CN"/>
        </w:rPr>
        <w:t>自筹</w:t>
      </w:r>
      <w:r>
        <w:rPr>
          <w:rFonts w:hint="eastAsia" w:ascii="宋体" w:hAnsi="宋体" w:eastAsia="宋体" w:cs="宋体"/>
          <w:bCs/>
          <w:color w:val="000000"/>
          <w:sz w:val="23"/>
          <w:szCs w:val="23"/>
          <w:highlight w:val="none"/>
        </w:rPr>
        <w:t>。</w:t>
      </w:r>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5.工程内容：</w:t>
      </w:r>
      <w:r>
        <w:rPr>
          <w:rFonts w:hint="eastAsia" w:ascii="宋体" w:hAnsi="宋体" w:eastAsia="宋体" w:cs="宋体"/>
          <w:color w:val="000000"/>
          <w:sz w:val="23"/>
          <w:szCs w:val="23"/>
          <w:highlight w:val="none"/>
          <w:u w:val="single"/>
          <w:lang w:val="en-US" w:eastAsia="zh-CN"/>
        </w:rPr>
        <w:t>浙江古越龙山绍兴酒股份有限公司4400KW屋顶分布式光伏发电项目（一期）设计图纸范围内全部内容</w:t>
      </w:r>
      <w:r>
        <w:rPr>
          <w:rFonts w:hint="eastAsia" w:ascii="宋体" w:hAnsi="宋体" w:eastAsia="宋体" w:cs="宋体"/>
          <w:bCs/>
          <w:color w:val="000000"/>
          <w:sz w:val="23"/>
          <w:szCs w:val="23"/>
          <w:highlight w:val="none"/>
        </w:rPr>
        <w:t>。</w:t>
      </w:r>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6.工程承包范围：</w:t>
      </w:r>
    </w:p>
    <w:p>
      <w:pPr>
        <w:spacing w:line="360" w:lineRule="auto"/>
        <w:ind w:firstLine="460" w:firstLineChars="200"/>
        <w:rPr>
          <w:rFonts w:hint="eastAsia" w:ascii="宋体" w:hAnsi="宋体" w:eastAsia="宋体" w:cs="宋体"/>
          <w:color w:val="000000"/>
          <w:sz w:val="23"/>
          <w:szCs w:val="23"/>
          <w:highlight w:val="none"/>
          <w:u w:val="single"/>
        </w:rPr>
      </w:pPr>
      <w:r>
        <w:rPr>
          <w:rFonts w:hint="eastAsia" w:ascii="宋体" w:hAnsi="宋体" w:eastAsia="宋体" w:cs="宋体"/>
          <w:color w:val="000000"/>
          <w:sz w:val="23"/>
          <w:szCs w:val="23"/>
          <w:highlight w:val="none"/>
          <w:u w:val="single"/>
          <w:lang w:val="en-US" w:eastAsia="zh-CN"/>
        </w:rPr>
        <w:t>浙江古越龙山绍兴酒股份有限公司4400KW屋顶分布式光伏发电项目（一期）设计图纸范围内包括但不限于全部设备材料的采购、装卸、运输、安装、调试、涉网调试、电网验收、竣工验收、试运行、缺陷责任期的技术服务与缺陷修复、质保期的保修工作</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eastAsia="zh-CN"/>
        </w:rPr>
        <w:t>，</w:t>
      </w:r>
      <w:r>
        <w:rPr>
          <w:rFonts w:hint="eastAsia" w:ascii="宋体" w:hAnsi="宋体" w:eastAsia="宋体" w:cs="宋体"/>
          <w:color w:val="000000"/>
          <w:sz w:val="23"/>
          <w:szCs w:val="23"/>
          <w:highlight w:val="none"/>
          <w:u w:val="single"/>
          <w:lang w:val="en-US" w:eastAsia="zh-CN"/>
        </w:rPr>
        <w:t>具体详见设计图纸及标底</w:t>
      </w:r>
      <w:r>
        <w:rPr>
          <w:rFonts w:hint="eastAsia" w:ascii="宋体" w:hAnsi="宋体" w:eastAsia="宋体" w:cs="宋体"/>
          <w:color w:val="000000"/>
          <w:sz w:val="23"/>
          <w:szCs w:val="23"/>
          <w:highlight w:val="none"/>
          <w:u w:val="none"/>
        </w:rPr>
        <w:t>。</w:t>
      </w:r>
    </w:p>
    <w:p>
      <w:pPr>
        <w:pStyle w:val="8"/>
        <w:numPr>
          <w:ilvl w:val="3"/>
          <w:numId w:val="0"/>
        </w:numPr>
        <w:spacing w:before="120" w:after="120" w:line="360" w:lineRule="auto"/>
        <w:ind w:leftChars="0"/>
        <w:rPr>
          <w:rFonts w:hint="eastAsia" w:ascii="宋体" w:hAnsi="宋体" w:eastAsia="宋体" w:cs="宋体"/>
          <w:b w:val="0"/>
          <w:color w:val="000000"/>
          <w:sz w:val="23"/>
          <w:szCs w:val="23"/>
          <w:highlight w:val="none"/>
        </w:rPr>
      </w:pPr>
      <w:bookmarkStart w:id="50" w:name="_Toc351203482"/>
      <w:r>
        <w:rPr>
          <w:rFonts w:hint="eastAsia" w:ascii="宋体" w:hAnsi="宋体" w:eastAsia="宋体" w:cs="宋体"/>
          <w:b w:val="0"/>
          <w:color w:val="000000"/>
          <w:sz w:val="23"/>
          <w:szCs w:val="23"/>
          <w:highlight w:val="none"/>
        </w:rPr>
        <w:t>二、合同工期</w:t>
      </w:r>
      <w:bookmarkEnd w:id="50"/>
    </w:p>
    <w:p>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计划开工日期：</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rPr>
        <w:t>年</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rPr>
        <w:t>月</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rPr>
        <w:t>日。</w:t>
      </w:r>
    </w:p>
    <w:p>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计划竣工日期：</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rPr>
        <w:t>年</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rPr>
        <w:t>月</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rPr>
        <w:t>日。</w:t>
      </w:r>
    </w:p>
    <w:p>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项目服务期</w:t>
      </w:r>
      <w:r>
        <w:rPr>
          <w:rFonts w:hint="eastAsia" w:ascii="宋体" w:hAnsi="宋体" w:eastAsia="宋体" w:cs="宋体"/>
          <w:color w:val="000000"/>
          <w:sz w:val="23"/>
          <w:szCs w:val="23"/>
          <w:highlight w:val="none"/>
        </w:rPr>
        <w:t>总日历天数：</w:t>
      </w:r>
      <w:r>
        <w:rPr>
          <w:rFonts w:hint="eastAsia" w:ascii="宋体" w:hAnsi="宋体" w:eastAsia="宋体" w:cs="宋体"/>
          <w:color w:val="000000"/>
          <w:sz w:val="23"/>
          <w:szCs w:val="23"/>
          <w:highlight w:val="none"/>
          <w:u w:val="single"/>
          <w:lang w:val="en-US" w:eastAsia="zh-CN"/>
        </w:rPr>
        <w:t>150个日历天内完成光伏电站全部设备安装调试且光伏阵列并网发电，项目具体实施根据业主下发的指令为准</w:t>
      </w: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lang w:val="en-US" w:eastAsia="zh-CN"/>
        </w:rPr>
        <w:t>项目服务期</w:t>
      </w:r>
      <w:r>
        <w:rPr>
          <w:rFonts w:hint="eastAsia" w:ascii="宋体" w:hAnsi="宋体" w:eastAsia="宋体" w:cs="宋体"/>
          <w:color w:val="000000"/>
          <w:sz w:val="23"/>
          <w:szCs w:val="23"/>
          <w:highlight w:val="none"/>
        </w:rPr>
        <w:t>天数与根据前述计划开竣工日期计算的工期天数不一致的，以</w:t>
      </w:r>
      <w:r>
        <w:rPr>
          <w:rFonts w:hint="eastAsia" w:ascii="宋体" w:hAnsi="宋体" w:eastAsia="宋体" w:cs="宋体"/>
          <w:color w:val="000000"/>
          <w:sz w:val="23"/>
          <w:szCs w:val="23"/>
          <w:highlight w:val="none"/>
          <w:lang w:val="en-US" w:eastAsia="zh-CN"/>
        </w:rPr>
        <w:t>项目服务期</w:t>
      </w:r>
      <w:r>
        <w:rPr>
          <w:rFonts w:hint="eastAsia" w:ascii="宋体" w:hAnsi="宋体" w:eastAsia="宋体" w:cs="宋体"/>
          <w:color w:val="000000"/>
          <w:sz w:val="23"/>
          <w:szCs w:val="23"/>
          <w:highlight w:val="none"/>
        </w:rPr>
        <w:t>总日历天数为准。</w:t>
      </w:r>
    </w:p>
    <w:p>
      <w:pPr>
        <w:pStyle w:val="8"/>
        <w:numPr>
          <w:ilvl w:val="3"/>
          <w:numId w:val="0"/>
        </w:numPr>
        <w:spacing w:before="120" w:after="120" w:line="360" w:lineRule="auto"/>
        <w:ind w:leftChars="0"/>
        <w:rPr>
          <w:rFonts w:hint="eastAsia" w:ascii="宋体" w:hAnsi="宋体" w:eastAsia="宋体" w:cs="宋体"/>
          <w:bCs w:val="0"/>
          <w:color w:val="000000"/>
          <w:sz w:val="23"/>
          <w:szCs w:val="23"/>
          <w:highlight w:val="none"/>
        </w:rPr>
      </w:pPr>
      <w:bookmarkStart w:id="51" w:name="_Toc351203483"/>
      <w:r>
        <w:rPr>
          <w:rFonts w:hint="eastAsia" w:ascii="宋体" w:hAnsi="宋体" w:eastAsia="宋体" w:cs="宋体"/>
          <w:b w:val="0"/>
          <w:color w:val="000000"/>
          <w:sz w:val="23"/>
          <w:szCs w:val="23"/>
          <w:highlight w:val="none"/>
        </w:rPr>
        <w:t>三、质量标准</w:t>
      </w:r>
      <w:bookmarkEnd w:id="51"/>
    </w:p>
    <w:p>
      <w:pPr>
        <w:spacing w:line="360" w:lineRule="auto"/>
        <w:ind w:firstLine="459"/>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项目</w:t>
      </w:r>
      <w:r>
        <w:rPr>
          <w:rFonts w:hint="eastAsia" w:ascii="宋体" w:hAnsi="宋体" w:eastAsia="宋体" w:cs="宋体"/>
          <w:color w:val="000000"/>
          <w:sz w:val="23"/>
          <w:szCs w:val="23"/>
          <w:highlight w:val="none"/>
        </w:rPr>
        <w:t>质量符合</w:t>
      </w:r>
      <w:r>
        <w:rPr>
          <w:rFonts w:hint="eastAsia" w:ascii="宋体" w:hAnsi="宋体" w:eastAsia="宋体" w:cs="宋体"/>
          <w:color w:val="000000"/>
          <w:sz w:val="23"/>
          <w:szCs w:val="23"/>
          <w:highlight w:val="none"/>
          <w:u w:val="single"/>
          <w:lang w:val="en-US" w:eastAsia="zh-CN"/>
        </w:rPr>
        <w:t>合格</w:t>
      </w:r>
      <w:r>
        <w:rPr>
          <w:rFonts w:hint="eastAsia" w:ascii="宋体" w:hAnsi="宋体" w:eastAsia="宋体" w:cs="宋体"/>
          <w:color w:val="000000"/>
          <w:sz w:val="23"/>
          <w:szCs w:val="23"/>
          <w:highlight w:val="none"/>
        </w:rPr>
        <w:t>标准。</w:t>
      </w:r>
    </w:p>
    <w:p>
      <w:pPr>
        <w:pStyle w:val="8"/>
        <w:numPr>
          <w:ilvl w:val="0"/>
          <w:numId w:val="3"/>
        </w:numPr>
        <w:spacing w:before="120" w:after="120" w:line="360" w:lineRule="auto"/>
        <w:ind w:left="105" w:leftChars="50" w:firstLine="0" w:firstLineChars="0"/>
        <w:rPr>
          <w:rFonts w:hint="eastAsia" w:ascii="宋体" w:hAnsi="宋体" w:eastAsia="宋体" w:cs="宋体"/>
          <w:b w:val="0"/>
          <w:color w:val="000000"/>
          <w:sz w:val="23"/>
          <w:szCs w:val="23"/>
          <w:highlight w:val="none"/>
        </w:rPr>
      </w:pPr>
      <w:bookmarkStart w:id="52" w:name="_Toc351203484"/>
      <w:r>
        <w:rPr>
          <w:rFonts w:hint="eastAsia" w:ascii="宋体" w:hAnsi="宋体" w:eastAsia="宋体" w:cs="宋体"/>
          <w:b w:val="0"/>
          <w:color w:val="000000"/>
          <w:sz w:val="23"/>
          <w:szCs w:val="23"/>
          <w:highlight w:val="none"/>
        </w:rPr>
        <w:t>签约合同价与合同价格形式</w:t>
      </w:r>
      <w:bookmarkEnd w:id="52"/>
      <w:r>
        <w:rPr>
          <w:rFonts w:hint="eastAsia" w:ascii="宋体" w:hAnsi="宋体" w:eastAsia="宋体" w:cs="宋体"/>
          <w:b w:val="0"/>
          <w:color w:val="000000"/>
          <w:sz w:val="23"/>
          <w:szCs w:val="23"/>
          <w:highlight w:val="none"/>
        </w:rPr>
        <w:tab/>
      </w:r>
    </w:p>
    <w:p>
      <w:pPr>
        <w:spacing w:line="360" w:lineRule="auto"/>
        <w:ind w:firstLine="460" w:firstLineChars="200"/>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rPr>
        <w:t>1.签约合同价为：</w:t>
      </w:r>
    </w:p>
    <w:p>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人民币（大写）</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元)；</w:t>
      </w:r>
    </w:p>
    <w:p>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2.合同价格</w:t>
      </w:r>
      <w:r>
        <w:rPr>
          <w:rFonts w:hint="eastAsia" w:ascii="宋体" w:hAnsi="宋体" w:eastAsia="宋体" w:cs="宋体"/>
          <w:color w:val="auto"/>
          <w:sz w:val="23"/>
          <w:szCs w:val="23"/>
          <w:highlight w:val="none"/>
        </w:rPr>
        <w:t>形式</w:t>
      </w:r>
      <w:r>
        <w:rPr>
          <w:rFonts w:hint="eastAsia" w:ascii="宋体" w:hAnsi="宋体" w:eastAsia="宋体" w:cs="宋体"/>
          <w:color w:val="auto"/>
          <w:sz w:val="23"/>
          <w:szCs w:val="23"/>
          <w:highlight w:val="none"/>
          <w:lang w:eastAsia="zh-CN"/>
        </w:rPr>
        <w:t>：</w:t>
      </w:r>
      <w:r>
        <w:rPr>
          <w:rFonts w:hint="eastAsia" w:ascii="宋体" w:hAnsi="宋体" w:eastAsia="宋体" w:cs="宋体"/>
          <w:color w:val="000000"/>
          <w:sz w:val="23"/>
          <w:szCs w:val="23"/>
          <w:highlight w:val="none"/>
          <w:u w:val="single"/>
          <w:lang w:val="en-US" w:eastAsia="zh-CN"/>
        </w:rPr>
        <w:t>约定范围内固定总价</w:t>
      </w:r>
      <w:r>
        <w:rPr>
          <w:rFonts w:hint="eastAsia" w:ascii="宋体" w:hAnsi="宋体" w:eastAsia="宋体" w:cs="宋体"/>
          <w:color w:val="000000"/>
          <w:sz w:val="23"/>
          <w:szCs w:val="23"/>
          <w:highlight w:val="none"/>
          <w:u w:val="single"/>
          <w:lang w:eastAsia="zh-CN"/>
        </w:rPr>
        <w:t>合同</w:t>
      </w:r>
      <w:r>
        <w:rPr>
          <w:rFonts w:hint="eastAsia" w:ascii="宋体" w:hAnsi="宋体" w:eastAsia="宋体" w:cs="宋体"/>
          <w:color w:val="auto"/>
          <w:sz w:val="23"/>
          <w:szCs w:val="23"/>
          <w:highlight w:val="none"/>
        </w:rPr>
        <w:t>。</w:t>
      </w:r>
    </w:p>
    <w:p>
      <w:pPr>
        <w:pStyle w:val="8"/>
        <w:numPr>
          <w:ilvl w:val="3"/>
          <w:numId w:val="0"/>
        </w:numPr>
        <w:spacing w:before="120" w:after="120" w:line="360" w:lineRule="auto"/>
        <w:ind w:leftChars="0"/>
        <w:rPr>
          <w:rFonts w:hint="eastAsia" w:ascii="宋体" w:hAnsi="宋体" w:eastAsia="宋体" w:cs="宋体"/>
          <w:b w:val="0"/>
          <w:color w:val="000000"/>
          <w:sz w:val="23"/>
          <w:szCs w:val="23"/>
          <w:highlight w:val="none"/>
        </w:rPr>
      </w:pPr>
      <w:bookmarkStart w:id="53" w:name="_Toc351203485"/>
      <w:r>
        <w:rPr>
          <w:rFonts w:hint="eastAsia" w:ascii="宋体" w:hAnsi="宋体" w:eastAsia="宋体" w:cs="宋体"/>
          <w:b w:val="0"/>
          <w:color w:val="000000"/>
          <w:sz w:val="23"/>
          <w:szCs w:val="23"/>
          <w:highlight w:val="none"/>
        </w:rPr>
        <w:t>五、</w:t>
      </w:r>
      <w:bookmarkEnd w:id="53"/>
      <w:r>
        <w:rPr>
          <w:rFonts w:hint="eastAsia" w:ascii="宋体" w:hAnsi="宋体" w:eastAsia="宋体" w:cs="宋体"/>
          <w:b w:val="0"/>
          <w:color w:val="000000"/>
          <w:sz w:val="23"/>
          <w:szCs w:val="23"/>
          <w:highlight w:val="none"/>
        </w:rPr>
        <w:t>项目经理</w:t>
      </w:r>
    </w:p>
    <w:p>
      <w:pPr>
        <w:spacing w:line="360" w:lineRule="auto"/>
        <w:ind w:firstLine="460" w:firstLineChars="2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项目经理：</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w:t>
      </w:r>
    </w:p>
    <w:p>
      <w:pPr>
        <w:pStyle w:val="8"/>
        <w:numPr>
          <w:ilvl w:val="3"/>
          <w:numId w:val="0"/>
        </w:numPr>
        <w:spacing w:before="120" w:after="120" w:line="360" w:lineRule="auto"/>
        <w:ind w:leftChars="0"/>
        <w:rPr>
          <w:rFonts w:hint="eastAsia" w:ascii="宋体" w:hAnsi="宋体" w:eastAsia="宋体" w:cs="宋体"/>
          <w:bCs w:val="0"/>
          <w:color w:val="000000"/>
          <w:sz w:val="23"/>
          <w:szCs w:val="23"/>
          <w:highlight w:val="none"/>
        </w:rPr>
      </w:pPr>
      <w:r>
        <w:rPr>
          <w:rFonts w:hint="eastAsia" w:ascii="宋体" w:hAnsi="宋体" w:eastAsia="宋体" w:cs="宋体"/>
          <w:b w:val="0"/>
          <w:color w:val="000000"/>
          <w:sz w:val="23"/>
          <w:szCs w:val="23"/>
          <w:highlight w:val="none"/>
        </w:rPr>
        <w:t xml:space="preserve"> </w:t>
      </w:r>
      <w:bookmarkStart w:id="54" w:name="_Toc351203486"/>
      <w:r>
        <w:rPr>
          <w:rFonts w:hint="eastAsia" w:ascii="宋体" w:hAnsi="宋体" w:eastAsia="宋体" w:cs="宋体"/>
          <w:b w:val="0"/>
          <w:color w:val="000000"/>
          <w:sz w:val="23"/>
          <w:szCs w:val="23"/>
          <w:highlight w:val="none"/>
        </w:rPr>
        <w:t>六、合同文件构成</w:t>
      </w:r>
      <w:bookmarkEnd w:id="54"/>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本协议书与下列文件一起构成合同文件：</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（1）中标通知书（如果有）；</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（2）投标函及其附录（如果有）； </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（3）专用合同条款及其附件；</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（4）通用合同条款；</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（5）技术标准和要求；</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lang w:val="en-US" w:eastAsia="zh-CN"/>
        </w:rPr>
        <w:t>6</w:t>
      </w:r>
      <w:r>
        <w:rPr>
          <w:rFonts w:hint="eastAsia" w:ascii="宋体" w:hAnsi="宋体" w:eastAsia="宋体" w:cs="宋体"/>
          <w:color w:val="000000"/>
          <w:sz w:val="23"/>
          <w:szCs w:val="23"/>
          <w:highlight w:val="none"/>
        </w:rPr>
        <w:t>）已标价工程量清单或预算书；</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lang w:val="en-US" w:eastAsia="zh-CN"/>
        </w:rPr>
        <w:t>7</w:t>
      </w:r>
      <w:r>
        <w:rPr>
          <w:rFonts w:hint="eastAsia" w:ascii="宋体" w:hAnsi="宋体" w:eastAsia="宋体" w:cs="宋体"/>
          <w:color w:val="000000"/>
          <w:sz w:val="23"/>
          <w:szCs w:val="23"/>
          <w:highlight w:val="none"/>
        </w:rPr>
        <w:t>）其他合同文件</w:t>
      </w: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lang w:val="en-US" w:eastAsia="zh-CN"/>
        </w:rPr>
        <w:t>补充协议</w:t>
      </w: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在合同订立及履行过程中形成的与合同有关的文件均构成合同文件组成部分。</w:t>
      </w:r>
    </w:p>
    <w:p>
      <w:pPr>
        <w:autoSpaceDE w:val="0"/>
        <w:autoSpaceDN w:val="0"/>
        <w:adjustRightInd w:val="0"/>
        <w:spacing w:line="360" w:lineRule="auto"/>
        <w:ind w:firstLine="460" w:firstLineChars="200"/>
        <w:jc w:val="left"/>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上述各项合同文件包括合同当事人就该项合同文件所作出的补充和修改，属于同一类内容的文件，应以最新签署的为准。专用合同条款及其附件须经合同当事人签字或盖章。</w:t>
      </w:r>
    </w:p>
    <w:p>
      <w:pPr>
        <w:pStyle w:val="8"/>
        <w:numPr>
          <w:ilvl w:val="3"/>
          <w:numId w:val="0"/>
        </w:numPr>
        <w:spacing w:before="120" w:after="120" w:line="360" w:lineRule="auto"/>
        <w:ind w:leftChars="0"/>
        <w:rPr>
          <w:rFonts w:hint="eastAsia" w:ascii="宋体" w:hAnsi="宋体" w:eastAsia="宋体" w:cs="宋体"/>
          <w:b w:val="0"/>
          <w:bCs w:val="0"/>
          <w:color w:val="000000"/>
          <w:sz w:val="23"/>
          <w:szCs w:val="23"/>
          <w:highlight w:val="none"/>
        </w:rPr>
      </w:pPr>
      <w:bookmarkStart w:id="55" w:name="_Toc351203487"/>
      <w:r>
        <w:rPr>
          <w:rFonts w:hint="eastAsia" w:ascii="宋体" w:hAnsi="宋体" w:eastAsia="宋体" w:cs="宋体"/>
          <w:b w:val="0"/>
          <w:color w:val="000000"/>
          <w:sz w:val="23"/>
          <w:szCs w:val="23"/>
          <w:highlight w:val="none"/>
        </w:rPr>
        <w:t>七、承诺</w:t>
      </w:r>
      <w:bookmarkEnd w:id="55"/>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1.</w:t>
      </w:r>
      <w:r>
        <w:rPr>
          <w:rFonts w:hint="eastAsia" w:ascii="宋体" w:hAnsi="宋体" w:eastAsia="宋体" w:cs="宋体"/>
          <w:bCs/>
          <w:color w:val="000000"/>
          <w:sz w:val="23"/>
          <w:szCs w:val="23"/>
          <w:highlight w:val="none"/>
          <w:lang w:val="en-US" w:eastAsia="zh-CN"/>
        </w:rPr>
        <w:t>甲方</w:t>
      </w:r>
      <w:r>
        <w:rPr>
          <w:rFonts w:hint="eastAsia" w:ascii="宋体" w:hAnsi="宋体" w:eastAsia="宋体" w:cs="宋体"/>
          <w:bCs/>
          <w:color w:val="000000"/>
          <w:sz w:val="23"/>
          <w:szCs w:val="23"/>
          <w:highlight w:val="none"/>
        </w:rPr>
        <w:t>承诺按照法律规定履行项目审批手续、筹集</w:t>
      </w:r>
      <w:r>
        <w:rPr>
          <w:rFonts w:hint="eastAsia" w:ascii="宋体" w:hAnsi="宋体" w:eastAsia="宋体" w:cs="宋体"/>
          <w:bCs/>
          <w:color w:val="000000"/>
          <w:sz w:val="23"/>
          <w:szCs w:val="23"/>
          <w:highlight w:val="none"/>
          <w:lang w:val="en-US" w:eastAsia="zh-CN"/>
        </w:rPr>
        <w:t>项目</w:t>
      </w:r>
      <w:r>
        <w:rPr>
          <w:rFonts w:hint="eastAsia" w:ascii="宋体" w:hAnsi="宋体" w:eastAsia="宋体" w:cs="宋体"/>
          <w:bCs/>
          <w:color w:val="000000"/>
          <w:sz w:val="23"/>
          <w:szCs w:val="23"/>
          <w:highlight w:val="none"/>
        </w:rPr>
        <w:t>建设资金并按照合同约定的期限和方式支付合同价款。</w:t>
      </w:r>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2.</w:t>
      </w:r>
      <w:r>
        <w:rPr>
          <w:rFonts w:hint="eastAsia" w:ascii="宋体" w:hAnsi="宋体" w:eastAsia="宋体" w:cs="宋体"/>
          <w:bCs/>
          <w:color w:val="000000"/>
          <w:sz w:val="23"/>
          <w:szCs w:val="23"/>
          <w:highlight w:val="none"/>
          <w:lang w:val="en-US" w:eastAsia="zh-CN"/>
        </w:rPr>
        <w:t>乙方</w:t>
      </w:r>
      <w:r>
        <w:rPr>
          <w:rFonts w:hint="eastAsia" w:ascii="宋体" w:hAnsi="宋体" w:eastAsia="宋体" w:cs="宋体"/>
          <w:bCs/>
          <w:color w:val="000000"/>
          <w:sz w:val="23"/>
          <w:szCs w:val="23"/>
          <w:highlight w:val="none"/>
        </w:rPr>
        <w:t>承诺按照法律规定及合同约定组织完成工程施工，确保工程质量和安全，不进行转包及违法分包，并在缺陷责任期及保修期内承担相应的工程维修责任。</w:t>
      </w:r>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3.</w:t>
      </w:r>
      <w:r>
        <w:rPr>
          <w:rFonts w:hint="eastAsia" w:ascii="宋体" w:hAnsi="宋体" w:eastAsia="宋体" w:cs="宋体"/>
          <w:bCs/>
          <w:color w:val="000000"/>
          <w:sz w:val="23"/>
          <w:szCs w:val="23"/>
          <w:highlight w:val="none"/>
          <w:lang w:val="en-US" w:eastAsia="zh-CN"/>
        </w:rPr>
        <w:t>甲方</w:t>
      </w:r>
      <w:r>
        <w:rPr>
          <w:rFonts w:hint="eastAsia" w:ascii="宋体" w:hAnsi="宋体" w:eastAsia="宋体" w:cs="宋体"/>
          <w:bCs/>
          <w:color w:val="000000"/>
          <w:sz w:val="23"/>
          <w:szCs w:val="23"/>
          <w:highlight w:val="none"/>
        </w:rPr>
        <w:t>和</w:t>
      </w:r>
      <w:r>
        <w:rPr>
          <w:rFonts w:hint="eastAsia" w:ascii="宋体" w:hAnsi="宋体" w:eastAsia="宋体" w:cs="宋体"/>
          <w:bCs/>
          <w:color w:val="000000"/>
          <w:sz w:val="23"/>
          <w:szCs w:val="23"/>
          <w:highlight w:val="none"/>
          <w:lang w:val="en-US" w:eastAsia="zh-CN"/>
        </w:rPr>
        <w:t>乙方</w:t>
      </w:r>
      <w:r>
        <w:rPr>
          <w:rFonts w:hint="eastAsia" w:ascii="宋体" w:hAnsi="宋体" w:eastAsia="宋体" w:cs="宋体"/>
          <w:bCs/>
          <w:color w:val="000000"/>
          <w:sz w:val="23"/>
          <w:szCs w:val="23"/>
          <w:highlight w:val="none"/>
        </w:rPr>
        <w:t>通过招投标形式签订合同的，双方理解并承诺不再就同一</w:t>
      </w:r>
      <w:r>
        <w:rPr>
          <w:rFonts w:hint="eastAsia" w:ascii="宋体" w:hAnsi="宋体" w:eastAsia="宋体" w:cs="宋体"/>
          <w:bCs/>
          <w:color w:val="000000"/>
          <w:sz w:val="23"/>
          <w:szCs w:val="23"/>
          <w:highlight w:val="none"/>
          <w:lang w:val="en-US" w:eastAsia="zh-CN"/>
        </w:rPr>
        <w:t>项目</w:t>
      </w:r>
      <w:r>
        <w:rPr>
          <w:rFonts w:hint="eastAsia" w:ascii="宋体" w:hAnsi="宋体" w:eastAsia="宋体" w:cs="宋体"/>
          <w:bCs/>
          <w:color w:val="000000"/>
          <w:sz w:val="23"/>
          <w:szCs w:val="23"/>
          <w:highlight w:val="none"/>
        </w:rPr>
        <w:t>另行签订与合同实质性内容相背离的协议。</w:t>
      </w:r>
    </w:p>
    <w:p>
      <w:pPr>
        <w:spacing w:line="360" w:lineRule="auto"/>
        <w:rPr>
          <w:rFonts w:hint="eastAsia" w:ascii="宋体" w:hAnsi="宋体" w:eastAsia="宋体" w:cs="宋体"/>
          <w:bCs/>
          <w:color w:val="000000"/>
          <w:sz w:val="23"/>
          <w:szCs w:val="23"/>
          <w:highlight w:val="none"/>
        </w:rPr>
      </w:pPr>
      <w:bookmarkStart w:id="56" w:name="_Toc351203488"/>
      <w:r>
        <w:rPr>
          <w:rFonts w:hint="eastAsia" w:ascii="宋体" w:hAnsi="宋体" w:eastAsia="宋体" w:cs="宋体"/>
          <w:b/>
          <w:color w:val="000000"/>
          <w:sz w:val="23"/>
          <w:szCs w:val="23"/>
          <w:highlight w:val="none"/>
        </w:rPr>
        <w:t>八、词语含义</w:t>
      </w:r>
      <w:bookmarkEnd w:id="56"/>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本协议书中词语含义与第二部分通用合同条款中赋予的含义相同。</w:t>
      </w:r>
    </w:p>
    <w:p>
      <w:pPr>
        <w:pStyle w:val="8"/>
        <w:numPr>
          <w:ilvl w:val="3"/>
          <w:numId w:val="0"/>
        </w:numPr>
        <w:spacing w:before="120" w:after="120" w:line="360" w:lineRule="auto"/>
        <w:ind w:leftChars="0"/>
        <w:rPr>
          <w:rFonts w:hint="eastAsia" w:ascii="宋体" w:hAnsi="宋体" w:eastAsia="宋体" w:cs="宋体"/>
          <w:bCs w:val="0"/>
          <w:color w:val="000000"/>
          <w:sz w:val="23"/>
          <w:szCs w:val="23"/>
          <w:highlight w:val="none"/>
        </w:rPr>
      </w:pPr>
      <w:bookmarkStart w:id="57" w:name="_Toc351203489"/>
      <w:r>
        <w:rPr>
          <w:rFonts w:hint="eastAsia" w:ascii="宋体" w:hAnsi="宋体" w:eastAsia="宋体" w:cs="宋体"/>
          <w:b w:val="0"/>
          <w:color w:val="000000"/>
          <w:sz w:val="23"/>
          <w:szCs w:val="23"/>
          <w:highlight w:val="none"/>
        </w:rPr>
        <w:t>九、签订时间</w:t>
      </w:r>
      <w:bookmarkEnd w:id="57"/>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本合同于</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年</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u w:val="single"/>
          <w:lang w:val="en-US" w:eastAsia="zh-CN"/>
        </w:rPr>
        <w:t xml:space="preserve"> </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月</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日签订。</w:t>
      </w:r>
    </w:p>
    <w:p>
      <w:pPr>
        <w:spacing w:line="360" w:lineRule="auto"/>
        <w:rPr>
          <w:rFonts w:hint="eastAsia" w:ascii="宋体" w:hAnsi="宋体" w:eastAsia="宋体" w:cs="宋体"/>
          <w:bCs w:val="0"/>
          <w:color w:val="000000"/>
          <w:sz w:val="23"/>
          <w:szCs w:val="23"/>
          <w:highlight w:val="none"/>
        </w:rPr>
      </w:pPr>
      <w:bookmarkStart w:id="58" w:name="_Toc351203490"/>
      <w:r>
        <w:rPr>
          <w:rFonts w:hint="eastAsia" w:ascii="宋体" w:hAnsi="宋体" w:eastAsia="宋体" w:cs="宋体"/>
          <w:b w:val="0"/>
          <w:color w:val="000000"/>
          <w:sz w:val="23"/>
          <w:szCs w:val="23"/>
          <w:highlight w:val="none"/>
        </w:rPr>
        <w:t>十、签订地点</w:t>
      </w:r>
      <w:bookmarkEnd w:id="58"/>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本合同在</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u w:val="single"/>
          <w:lang w:val="en-US" w:eastAsia="zh-CN"/>
        </w:rPr>
        <w:t>绍兴市</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签订。</w:t>
      </w:r>
    </w:p>
    <w:p>
      <w:pPr>
        <w:pStyle w:val="8"/>
        <w:numPr>
          <w:ilvl w:val="3"/>
          <w:numId w:val="0"/>
        </w:numPr>
        <w:spacing w:before="120" w:after="120" w:line="360" w:lineRule="auto"/>
        <w:ind w:leftChars="0"/>
        <w:rPr>
          <w:rFonts w:hint="eastAsia" w:ascii="宋体" w:hAnsi="宋体" w:eastAsia="宋体" w:cs="宋体"/>
          <w:bCs w:val="0"/>
          <w:color w:val="000000"/>
          <w:sz w:val="23"/>
          <w:szCs w:val="23"/>
          <w:highlight w:val="none"/>
        </w:rPr>
      </w:pPr>
      <w:bookmarkStart w:id="59" w:name="_Toc351203491"/>
      <w:r>
        <w:rPr>
          <w:rFonts w:hint="eastAsia" w:ascii="宋体" w:hAnsi="宋体" w:eastAsia="宋体" w:cs="宋体"/>
          <w:b w:val="0"/>
          <w:color w:val="000000"/>
          <w:sz w:val="23"/>
          <w:szCs w:val="23"/>
          <w:highlight w:val="none"/>
        </w:rPr>
        <w:t>十一、补充协议</w:t>
      </w:r>
      <w:bookmarkEnd w:id="59"/>
    </w:p>
    <w:p>
      <w:pPr>
        <w:spacing w:line="360" w:lineRule="auto"/>
        <w:ind w:firstLine="460" w:firstLineChars="200"/>
        <w:rPr>
          <w:rFonts w:hint="eastAsia" w:ascii="宋体" w:hAnsi="宋体" w:eastAsia="宋体" w:cs="宋体"/>
          <w:b/>
          <w:bCs/>
          <w:color w:val="000000"/>
          <w:sz w:val="23"/>
          <w:szCs w:val="23"/>
          <w:highlight w:val="none"/>
        </w:rPr>
      </w:pPr>
      <w:r>
        <w:rPr>
          <w:rFonts w:hint="eastAsia" w:ascii="宋体" w:hAnsi="宋体" w:eastAsia="宋体" w:cs="宋体"/>
          <w:bCs/>
          <w:color w:val="000000"/>
          <w:sz w:val="23"/>
          <w:szCs w:val="23"/>
          <w:highlight w:val="none"/>
        </w:rPr>
        <w:t>合同未尽事宜，合同当事人另行签订补充协议，补充协议是合同的组成部分。</w:t>
      </w:r>
    </w:p>
    <w:p>
      <w:pPr>
        <w:pStyle w:val="8"/>
        <w:numPr>
          <w:ilvl w:val="3"/>
          <w:numId w:val="0"/>
        </w:numPr>
        <w:spacing w:before="120" w:after="120" w:line="360" w:lineRule="auto"/>
        <w:ind w:leftChars="0"/>
        <w:rPr>
          <w:rFonts w:hint="eastAsia" w:ascii="宋体" w:hAnsi="宋体" w:eastAsia="宋体" w:cs="宋体"/>
          <w:bCs w:val="0"/>
          <w:color w:val="000000"/>
          <w:sz w:val="23"/>
          <w:szCs w:val="23"/>
          <w:highlight w:val="none"/>
        </w:rPr>
      </w:pPr>
      <w:bookmarkStart w:id="60" w:name="_Toc351203492"/>
      <w:r>
        <w:rPr>
          <w:rFonts w:hint="eastAsia" w:ascii="宋体" w:hAnsi="宋体" w:eastAsia="宋体" w:cs="宋体"/>
          <w:b w:val="0"/>
          <w:color w:val="000000"/>
          <w:sz w:val="23"/>
          <w:szCs w:val="23"/>
          <w:highlight w:val="none"/>
        </w:rPr>
        <w:t>十二、合同生效</w:t>
      </w:r>
      <w:bookmarkEnd w:id="60"/>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本合同自</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u w:val="single"/>
          <w:lang w:val="zh-CN" w:eastAsia="zh-CN"/>
        </w:rPr>
        <w:t>双方签</w:t>
      </w:r>
      <w:r>
        <w:rPr>
          <w:rFonts w:hint="eastAsia" w:ascii="宋体" w:hAnsi="宋体" w:eastAsia="宋体" w:cs="宋体"/>
          <w:bCs/>
          <w:color w:val="000000"/>
          <w:sz w:val="23"/>
          <w:szCs w:val="23"/>
          <w:highlight w:val="none"/>
          <w:u w:val="single"/>
          <w:lang w:val="en-US" w:eastAsia="zh-CN"/>
        </w:rPr>
        <w:t>字</w:t>
      </w:r>
      <w:r>
        <w:rPr>
          <w:rFonts w:hint="eastAsia" w:ascii="宋体" w:hAnsi="宋体" w:eastAsia="宋体" w:cs="宋体"/>
          <w:bCs/>
          <w:color w:val="000000"/>
          <w:sz w:val="23"/>
          <w:szCs w:val="23"/>
          <w:highlight w:val="none"/>
          <w:u w:val="single"/>
          <w:lang w:val="zh-CN" w:eastAsia="zh-CN"/>
        </w:rPr>
        <w:t>并加盖单位公章或合同专用章后</w:t>
      </w:r>
      <w:r>
        <w:rPr>
          <w:rFonts w:hint="eastAsia" w:ascii="宋体" w:hAnsi="宋体" w:eastAsia="宋体" w:cs="宋体"/>
          <w:bCs/>
          <w:color w:val="000000"/>
          <w:sz w:val="23"/>
          <w:szCs w:val="23"/>
          <w:highlight w:val="none"/>
          <w:u w:val="single"/>
          <w:lang w:val="en-US" w:eastAsia="zh-CN"/>
        </w:rPr>
        <w:t xml:space="preserve"> </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生效。</w:t>
      </w:r>
    </w:p>
    <w:p>
      <w:pPr>
        <w:pStyle w:val="8"/>
        <w:numPr>
          <w:ilvl w:val="3"/>
          <w:numId w:val="0"/>
        </w:numPr>
        <w:spacing w:before="120" w:after="120" w:line="360" w:lineRule="auto"/>
        <w:ind w:leftChars="0"/>
        <w:rPr>
          <w:rFonts w:hint="eastAsia" w:ascii="宋体" w:hAnsi="宋体" w:eastAsia="宋体" w:cs="宋体"/>
          <w:bCs w:val="0"/>
          <w:color w:val="000000"/>
          <w:sz w:val="23"/>
          <w:szCs w:val="23"/>
          <w:highlight w:val="none"/>
        </w:rPr>
      </w:pPr>
      <w:bookmarkStart w:id="61" w:name="_Toc351203493"/>
      <w:r>
        <w:rPr>
          <w:rFonts w:hint="eastAsia" w:ascii="宋体" w:hAnsi="宋体" w:eastAsia="宋体" w:cs="宋体"/>
          <w:b w:val="0"/>
          <w:color w:val="000000"/>
          <w:sz w:val="23"/>
          <w:szCs w:val="23"/>
          <w:highlight w:val="none"/>
        </w:rPr>
        <w:t>十三、合同份数</w:t>
      </w:r>
      <w:bookmarkEnd w:id="61"/>
    </w:p>
    <w:p>
      <w:pPr>
        <w:spacing w:line="360" w:lineRule="auto"/>
        <w:ind w:firstLine="460" w:firstLineChars="200"/>
        <w:rPr>
          <w:rFonts w:hint="eastAsia" w:ascii="宋体" w:hAnsi="宋体" w:eastAsia="宋体" w:cs="宋体"/>
          <w:bCs/>
          <w:color w:val="000000"/>
          <w:sz w:val="23"/>
          <w:szCs w:val="23"/>
          <w:highlight w:val="none"/>
        </w:rPr>
      </w:pPr>
      <w:r>
        <w:rPr>
          <w:rFonts w:hint="eastAsia" w:ascii="宋体" w:hAnsi="宋体" w:eastAsia="宋体" w:cs="宋体"/>
          <w:bCs/>
          <w:color w:val="000000"/>
          <w:sz w:val="23"/>
          <w:szCs w:val="23"/>
          <w:highlight w:val="none"/>
        </w:rPr>
        <w:t>本合同一式</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u w:val="single"/>
          <w:lang w:val="en-US" w:eastAsia="zh-CN"/>
        </w:rPr>
        <w:t>肆</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份，均具有同等法律效力，</w:t>
      </w:r>
      <w:r>
        <w:rPr>
          <w:rFonts w:hint="eastAsia" w:ascii="宋体" w:hAnsi="宋体" w:eastAsia="宋体" w:cs="宋体"/>
          <w:bCs/>
          <w:color w:val="000000"/>
          <w:sz w:val="23"/>
          <w:szCs w:val="23"/>
          <w:highlight w:val="none"/>
          <w:lang w:val="en-US" w:eastAsia="zh-CN"/>
        </w:rPr>
        <w:t>甲方</w:t>
      </w:r>
      <w:r>
        <w:rPr>
          <w:rFonts w:hint="eastAsia" w:ascii="宋体" w:hAnsi="宋体" w:eastAsia="宋体" w:cs="宋体"/>
          <w:bCs/>
          <w:color w:val="000000"/>
          <w:sz w:val="23"/>
          <w:szCs w:val="23"/>
          <w:highlight w:val="none"/>
        </w:rPr>
        <w:t>执</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u w:val="single"/>
          <w:lang w:val="en-US" w:eastAsia="zh-CN"/>
        </w:rPr>
        <w:t>贰</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份，</w:t>
      </w:r>
      <w:r>
        <w:rPr>
          <w:rFonts w:hint="eastAsia" w:ascii="宋体" w:hAnsi="宋体" w:eastAsia="宋体" w:cs="宋体"/>
          <w:bCs/>
          <w:color w:val="000000"/>
          <w:sz w:val="23"/>
          <w:szCs w:val="23"/>
          <w:highlight w:val="none"/>
          <w:lang w:val="en-US" w:eastAsia="zh-CN"/>
        </w:rPr>
        <w:t>乙方</w:t>
      </w:r>
      <w:r>
        <w:rPr>
          <w:rFonts w:hint="eastAsia" w:ascii="宋体" w:hAnsi="宋体" w:eastAsia="宋体" w:cs="宋体"/>
          <w:bCs/>
          <w:color w:val="000000"/>
          <w:sz w:val="23"/>
          <w:szCs w:val="23"/>
          <w:highlight w:val="none"/>
        </w:rPr>
        <w:t>执</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u w:val="single"/>
          <w:lang w:val="en-US" w:eastAsia="zh-CN"/>
        </w:rPr>
        <w:t>贰</w:t>
      </w:r>
      <w:r>
        <w:rPr>
          <w:rFonts w:hint="eastAsia" w:ascii="宋体" w:hAnsi="宋体" w:eastAsia="宋体" w:cs="宋体"/>
          <w:bCs/>
          <w:color w:val="000000"/>
          <w:sz w:val="23"/>
          <w:szCs w:val="23"/>
          <w:highlight w:val="none"/>
          <w:u w:val="single"/>
        </w:rPr>
        <w:t xml:space="preserve">  </w:t>
      </w:r>
      <w:r>
        <w:rPr>
          <w:rFonts w:hint="eastAsia" w:ascii="宋体" w:hAnsi="宋体" w:eastAsia="宋体" w:cs="宋体"/>
          <w:bCs/>
          <w:color w:val="000000"/>
          <w:sz w:val="23"/>
          <w:szCs w:val="23"/>
          <w:highlight w:val="none"/>
        </w:rPr>
        <w:t>份。</w:t>
      </w:r>
    </w:p>
    <w:p>
      <w:pPr>
        <w:spacing w:line="360" w:lineRule="auto"/>
        <w:rPr>
          <w:rFonts w:hint="eastAsia" w:ascii="宋体" w:hAnsi="宋体" w:eastAsia="宋体" w:cs="宋体"/>
          <w:bCs/>
          <w:color w:val="000000"/>
          <w:sz w:val="23"/>
          <w:szCs w:val="23"/>
          <w:highlight w:val="none"/>
        </w:rPr>
      </w:pPr>
    </w:p>
    <w:p>
      <w:pPr>
        <w:spacing w:line="360" w:lineRule="auto"/>
        <w:rPr>
          <w:rFonts w:hint="eastAsia" w:ascii="宋体" w:hAnsi="宋体" w:eastAsia="宋体" w:cs="宋体"/>
          <w:bCs/>
          <w:color w:val="000000"/>
          <w:sz w:val="23"/>
          <w:szCs w:val="23"/>
          <w:highlight w:val="none"/>
        </w:rPr>
      </w:pPr>
    </w:p>
    <w:p>
      <w:pPr>
        <w:spacing w:line="360" w:lineRule="auto"/>
        <w:rPr>
          <w:rFonts w:hint="eastAsia" w:ascii="宋体" w:hAnsi="宋体" w:eastAsia="宋体" w:cs="宋体"/>
          <w:color w:val="000000"/>
          <w:sz w:val="23"/>
          <w:szCs w:val="23"/>
          <w:highlight w:val="none"/>
        </w:rPr>
      </w:pP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甲方</w:t>
      </w:r>
      <w:r>
        <w:rPr>
          <w:rFonts w:hint="eastAsia" w:ascii="宋体" w:hAnsi="宋体" w:eastAsia="宋体" w:cs="宋体"/>
          <w:color w:val="000000"/>
          <w:sz w:val="23"/>
          <w:szCs w:val="23"/>
          <w:highlight w:val="none"/>
        </w:rPr>
        <w:t xml:space="preserve">：  (公章)            </w:t>
      </w:r>
      <w:r>
        <w:rPr>
          <w:rFonts w:hint="eastAsia" w:ascii="宋体" w:hAnsi="宋体" w:eastAsia="宋体" w:cs="宋体"/>
          <w:color w:val="000000"/>
          <w:sz w:val="23"/>
          <w:szCs w:val="23"/>
          <w:highlight w:val="none"/>
          <w:lang w:val="en-US" w:eastAsia="zh-CN"/>
        </w:rPr>
        <w:t>乙方</w:t>
      </w:r>
      <w:r>
        <w:rPr>
          <w:rFonts w:hint="eastAsia" w:ascii="宋体" w:hAnsi="宋体" w:eastAsia="宋体" w:cs="宋体"/>
          <w:color w:val="000000"/>
          <w:sz w:val="23"/>
          <w:szCs w:val="23"/>
          <w:highlight w:val="none"/>
        </w:rPr>
        <w:t>：  (公章)</w:t>
      </w:r>
    </w:p>
    <w:p>
      <w:pPr>
        <w:spacing w:line="360" w:lineRule="auto"/>
        <w:rPr>
          <w:rFonts w:hint="eastAsia" w:ascii="宋体" w:hAnsi="宋体" w:eastAsia="宋体" w:cs="宋体"/>
          <w:color w:val="000000"/>
          <w:sz w:val="23"/>
          <w:szCs w:val="23"/>
          <w:highlight w:val="none"/>
          <w:u w:val="single"/>
        </w:rPr>
      </w:pPr>
      <w:r>
        <w:rPr>
          <w:rFonts w:hint="eastAsia" w:ascii="宋体" w:hAnsi="宋体" w:eastAsia="宋体" w:cs="宋体"/>
          <w:color w:val="000000"/>
          <w:sz w:val="23"/>
          <w:szCs w:val="23"/>
          <w:highlight w:val="none"/>
        </w:rPr>
        <w:t xml:space="preserve">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法定代表人或其委托代理人：  法定代表人或其委托代理人：</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（签字）                    （签字）</w:t>
      </w:r>
    </w:p>
    <w:p>
      <w:pPr>
        <w:spacing w:line="360" w:lineRule="auto"/>
        <w:rPr>
          <w:rFonts w:hint="eastAsia" w:ascii="宋体" w:hAnsi="宋体" w:eastAsia="宋体" w:cs="宋体"/>
          <w:color w:val="000000"/>
          <w:sz w:val="23"/>
          <w:szCs w:val="23"/>
          <w:highlight w:val="none"/>
          <w:u w:val="single"/>
        </w:rPr>
      </w:pPr>
    </w:p>
    <w:p>
      <w:pPr>
        <w:tabs>
          <w:tab w:val="left" w:pos="4410"/>
        </w:tabs>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组织机构代码：</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组织机构代码：</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w:t>
      </w:r>
      <w:r>
        <w:rPr>
          <w:rFonts w:hint="eastAsia" w:ascii="宋体" w:hAnsi="宋体" w:eastAsia="宋体" w:cs="宋体"/>
          <w:color w:val="000000"/>
          <w:sz w:val="23"/>
          <w:szCs w:val="23"/>
          <w:highlight w:val="none"/>
          <w:u w:val="none"/>
          <w:lang w:val="en-US" w:eastAsia="zh-CN"/>
        </w:rPr>
        <w:t xml:space="preserve">      </w:t>
      </w:r>
    </w:p>
    <w:p>
      <w:pPr>
        <w:spacing w:line="360" w:lineRule="auto"/>
        <w:ind w:left="5400" w:hanging="4140" w:hangingChars="1800"/>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地  址：</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w:t>
      </w:r>
      <w:r>
        <w:rPr>
          <w:rFonts w:hint="eastAsia" w:ascii="宋体" w:hAnsi="宋体" w:eastAsia="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rPr>
        <w:t>地  址：</w:t>
      </w:r>
      <w:r>
        <w:rPr>
          <w:rFonts w:hint="eastAsia" w:ascii="宋体" w:hAnsi="宋体" w:eastAsia="宋体" w:cs="宋体"/>
          <w:color w:val="000000"/>
          <w:sz w:val="23"/>
          <w:szCs w:val="23"/>
          <w:highlight w:val="none"/>
          <w:u w:val="single"/>
          <w:lang w:val="en-US" w:eastAsia="zh-CN"/>
        </w:rPr>
        <w:t xml:space="preserve">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邮政编码：</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邮政编码：</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法定代表人：</w:t>
      </w:r>
      <w:r>
        <w:rPr>
          <w:rFonts w:hint="eastAsia" w:ascii="宋体" w:hAnsi="宋体" w:eastAsia="宋体" w:cs="宋体"/>
          <w:color w:val="000000"/>
          <w:sz w:val="23"/>
          <w:szCs w:val="23"/>
          <w:highlight w:val="none"/>
          <w:u w:val="single"/>
        </w:rPr>
        <w:t></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w:t>
      </w:r>
      <w:r>
        <w:rPr>
          <w:rFonts w:hint="eastAsia" w:ascii="宋体" w:hAnsi="宋体" w:eastAsia="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rPr>
        <w:t>法定代表人：</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委托代理人：</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委托代理人：</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电  话：</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电  话：</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传  真：</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传  真：</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电子信箱：</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电子信箱：</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p>
    <w:p>
      <w:pPr>
        <w:spacing w:line="360" w:lineRule="auto"/>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开户银行：</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开户银行：</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p>
    <w:p>
      <w:pPr>
        <w:spacing w:line="360" w:lineRule="auto"/>
        <w:jc w:val="both"/>
        <w:rPr>
          <w:rFonts w:hint="eastAsia" w:ascii="宋体" w:hAnsi="宋体" w:eastAsia="宋体" w:cs="宋体"/>
          <w:b/>
          <w:bCs/>
          <w:color w:val="auto"/>
          <w:sz w:val="23"/>
          <w:szCs w:val="23"/>
          <w:highlight w:val="none"/>
        </w:rPr>
      </w:pPr>
      <w:r>
        <w:rPr>
          <w:rFonts w:hint="eastAsia" w:ascii="宋体" w:hAnsi="宋体" w:eastAsia="宋体" w:cs="宋体"/>
          <w:color w:val="000000"/>
          <w:sz w:val="23"/>
          <w:szCs w:val="23"/>
          <w:highlight w:val="none"/>
        </w:rPr>
        <w:t>账  号：</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rPr>
        <w:t xml:space="preserve">   账  号：</w:t>
      </w:r>
      <w:r>
        <w:rPr>
          <w:rFonts w:hint="eastAsia" w:ascii="宋体" w:hAnsi="宋体" w:eastAsia="宋体" w:cs="宋体"/>
          <w:color w:val="000000"/>
          <w:sz w:val="23"/>
          <w:szCs w:val="23"/>
          <w:highlight w:val="none"/>
          <w:u w:val="single"/>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rPr>
        <w:t xml:space="preserve">  </w:t>
      </w:r>
    </w:p>
    <w:p>
      <w:pPr>
        <w:spacing w:line="360" w:lineRule="auto"/>
        <w:ind w:firstLine="462" w:firstLineChars="200"/>
        <w:jc w:val="both"/>
        <w:rPr>
          <w:rFonts w:hint="eastAsia" w:ascii="宋体" w:hAnsi="宋体" w:eastAsia="宋体" w:cs="宋体"/>
          <w:b/>
          <w:bCs/>
          <w:color w:val="auto"/>
          <w:sz w:val="23"/>
          <w:szCs w:val="23"/>
          <w:highlight w:val="none"/>
        </w:rPr>
      </w:pPr>
    </w:p>
    <w:p>
      <w:pPr>
        <w:bidi w:val="0"/>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第二部分合同条款</w:t>
      </w:r>
    </w:p>
    <w:p>
      <w:pPr>
        <w:spacing w:line="360" w:lineRule="auto"/>
        <w:ind w:firstLine="462" w:firstLineChars="200"/>
        <w:jc w:val="both"/>
        <w:rPr>
          <w:rFonts w:hint="eastAsia" w:ascii="宋体" w:hAnsi="宋体" w:eastAsia="宋体" w:cs="宋体"/>
          <w:b/>
          <w:bCs/>
          <w:color w:val="auto"/>
          <w:sz w:val="23"/>
          <w:szCs w:val="23"/>
          <w:highlight w:val="none"/>
        </w:rPr>
      </w:pPr>
    </w:p>
    <w:p>
      <w:pPr>
        <w:spacing w:line="360" w:lineRule="auto"/>
        <w:ind w:firstLine="462" w:firstLineChars="200"/>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第一节通用合同条款</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1.一般约定</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1.1词语定义</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除专用合同条款另有约定外，合同中的下列词语应具有本款所赋予的含义。</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1.1.1合同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1.1.1.2合同协议书：指</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和</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共同签署的合同协议书。</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1.1.1.3中标通知书：指</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通知</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中标的函件。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1.1.1.4投标函：指由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填写并签署的，名为“投标函”的函件。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1.1.1.5商务和技术偏差表：指</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投标文件中的商务和技术偏差表。</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1.1.1.6供货要求：指合同文件中名为“供货要求”的文件。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1.1.1.7中标设备(材料)技术性能指标的详细描述：指</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投标文件中的投标设备(材料)技术性能指标的详细描述。</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1.1.1.8技术服务和质保期服务计划：指</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投标文件中的技术服务和质保期服务计划。</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1.1.1.9分项报价表：指</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投标文件中的分项报价表。</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1.1.1.10其他合同文件：指经合同双方当事人确认构成合同文件的其他文件。</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1.1.2合同当事人</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1.1.2.1合同当事人：指</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和（或）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1.1.2.2</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：指与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签订合同协议书，购买合同设备(材料)和技术服务和质保期服务的当事人，及其合法继承人。</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1.1.2.3</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：指与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签订合同协议书，提供合同设备(材料)和技术服务和质保期服务的当事人，及其合法继承人。</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1.1.3合同价格</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1.1.3.1签约合同价：是签订合同时合同协议书中写明的合同总金额。</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1.1.3.2合同价格：指</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按合同约定履行了全部合同义务后，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应付给</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的金额。</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1.1.4合同设备(材料)：指</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按合同约定应向</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提供的设备(材料)、装置、备品、备件、易损易耗件、配套使用的软件或其他辅助电子应用程序及技术资料，或其中任何一部分。</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1.1.5技术资料：指各种纸质及电子载体的与合同设备(材料)的设计、检验、安装、调试、考核、操作、维修以及保养等有关的技术指标、规格、图纸和说明文件。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1.1.6安装：指对合同设备(材料)进行的组装、连接以及根据需要将合同设备(材料)固定在施工场地内一定的位置上，使其就位并与相关设备(材料)、工程实现连接。</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1.1.7调试：指在合同设备(材料)安装完成后，对合同设备(材料)所进行的调校和测试。</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1.1.8考核：指在合同设备(材料)调试完成后，对合同设备(材料)进行的用于确定其是否达到合同约定的技术性能考核指标的考核。</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1.1.9验收：指合同设备(材料)通过考核达到合同约定的技术性能考核指标后，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作出</w:t>
      </w:r>
      <w:r>
        <w:rPr>
          <w:rFonts w:hint="eastAsia" w:ascii="宋体" w:hAnsi="宋体" w:eastAsia="宋体" w:cs="宋体"/>
          <w:color w:val="auto"/>
          <w:sz w:val="23"/>
          <w:szCs w:val="23"/>
          <w:highlight w:val="none"/>
          <w:lang w:eastAsia="zh-CN"/>
        </w:rPr>
        <w:t>接收</w:t>
      </w:r>
      <w:r>
        <w:rPr>
          <w:rFonts w:hint="eastAsia" w:ascii="宋体" w:hAnsi="宋体" w:eastAsia="宋体" w:cs="宋体"/>
          <w:color w:val="auto"/>
          <w:sz w:val="23"/>
          <w:szCs w:val="23"/>
          <w:highlight w:val="none"/>
        </w:rPr>
        <w:t>合同设备(材料)的确认。</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1.1.10技术服务：指</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按合同约定，在合同设备(材料)验收前，向</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提供的安装、调试服务，或者在由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负责的安装、调试、考核中对</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进行的技术指导、协助、监督和培训等。</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1.1.11质量保证期：指合同设备(材料)验收后，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按合同约定保证合同设备(材料)适当、稳定运行，并负责消除合同设备(材料)故障的期限。</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1.1.12质保期服务：指在质量保证期内，</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向</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提供的合同设备(材料)维护服务、咨询服务、技术指导、协助以及对出现故障的合同设备(材料)进行修理或更换的服务。</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1.1.13工程</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1.1.13.1工程：指在专用合同条款中指明的，安装运行合同设备(材料)的工程。</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1.1.13.2施工场地（或称工地、施工现场）：指</w:t>
      </w:r>
      <w:r>
        <w:rPr>
          <w:rFonts w:hint="eastAsia" w:ascii="宋体" w:hAnsi="宋体" w:eastAsia="宋体" w:cs="宋体"/>
          <w:color w:val="auto"/>
          <w:sz w:val="23"/>
          <w:szCs w:val="23"/>
          <w:highlight w:val="none"/>
          <w:lang w:val="en-US" w:eastAsia="zh-CN"/>
        </w:rPr>
        <w:t>合同协议书</w:t>
      </w:r>
      <w:r>
        <w:rPr>
          <w:rFonts w:hint="eastAsia" w:ascii="宋体" w:hAnsi="宋体" w:eastAsia="宋体" w:cs="宋体"/>
          <w:color w:val="auto"/>
          <w:sz w:val="23"/>
          <w:szCs w:val="23"/>
          <w:highlight w:val="none"/>
        </w:rPr>
        <w:t>中指明的工程所在场所。</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1.1.15月：按照公历月计算。合同中按月计算时间的，开始当天不计入，从次日开始计算。合同约定的期间的最后一天是星期日或者其他法定休假日的，以休假日的次日为期间的最后一天。</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1.1.16书面形式：指合同文件、信件和数据电文（包括电报、电传、传真、电子数据交换和电子邮件）等可以有形地表现所载内容的形式。</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1.2语言文字</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合同使用的语言文字为中文。专用术语使用外文的，应附有中文注释。</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1.3合同文件的优先顺序</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组成合同的各项文件应互相解释，互为说明。除专用合同条款另有约定外，解释合同文件的优先顺序如下：</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（1）合同协议书；</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（2）中标通知书；</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（3）投标函；</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（4）商务和技术偏差表；</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（5）专用合同条款；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（6）通用合同条款；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（7）供货要求；</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（8）分项报价表；</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（9）中标设备(材料)技术性能指标的详细描述；</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（10）技术服务和质保期服务计划；</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（11）其他合同文件。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1.4合同的生效及变更</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1.4.1除专用合同条款另有约定外，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和</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的法定代表人（单位负责人）或其授权代表在合同协议书上签字并加盖单位</w:t>
      </w:r>
      <w:r>
        <w:rPr>
          <w:rFonts w:hint="eastAsia" w:ascii="宋体" w:hAnsi="宋体" w:eastAsia="宋体" w:cs="宋体"/>
          <w:color w:val="auto"/>
          <w:sz w:val="23"/>
          <w:szCs w:val="23"/>
          <w:highlight w:val="none"/>
          <w:lang w:eastAsia="zh-CN"/>
        </w:rPr>
        <w:t>公</w:t>
      </w:r>
      <w:r>
        <w:rPr>
          <w:rFonts w:hint="eastAsia" w:ascii="宋体" w:hAnsi="宋体" w:eastAsia="宋体" w:cs="宋体"/>
          <w:color w:val="auto"/>
          <w:sz w:val="23"/>
          <w:szCs w:val="23"/>
          <w:highlight w:val="none"/>
        </w:rPr>
        <w:t>章后，合同生效。</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1.4.2除专用合同条款另有约定外，在合同履行过程中，如需对合同进行变更，双方应签订书面协议，并经双方法定代表人（单位负责人）或其授权代表签字并加盖单位章后生效。</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1.5联络</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1.5.1买卖双方应就合同履行中有关的事项及时进行联络，重要事项应通过书面形式进行联络或确认。合同履行过程中的任何联络及相关文件的签署，均应通过</w:t>
      </w:r>
      <w:r>
        <w:rPr>
          <w:rFonts w:hint="eastAsia" w:ascii="宋体" w:hAnsi="宋体" w:eastAsia="宋体" w:cs="宋体"/>
          <w:color w:val="auto"/>
          <w:sz w:val="23"/>
          <w:szCs w:val="23"/>
          <w:highlight w:val="none"/>
          <w:lang w:val="en-US" w:eastAsia="zh-CN"/>
        </w:rPr>
        <w:t>合同协议书</w:t>
      </w:r>
      <w:r>
        <w:rPr>
          <w:rFonts w:hint="eastAsia" w:ascii="宋体" w:hAnsi="宋体" w:eastAsia="宋体" w:cs="宋体"/>
          <w:color w:val="auto"/>
          <w:sz w:val="23"/>
          <w:szCs w:val="23"/>
          <w:highlight w:val="none"/>
        </w:rPr>
        <w:t>的联系人和联系方式进行。合同履行过程中，双方可以书面形式增加或变更指定联系人。</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1.5.2合同履行中或与合同有关的任何联络，送达到第1.5.1项指定的联系人即视为送达。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1.5.3</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可以安排监理等相关人员作为</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人员，与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进行联络或参加合同设备(材料)的监造（如有）、交货前检验（如有）、开箱检验、安装、调试、考核、验收等，但应按照第1.5.1项的约定事先书面通知</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rPr>
        <w:t>转让</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未经对方当事人书面同意，合同任何一方均不得转让其在合同项下的权利和（或）义务。</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2.合同范围</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应根据供货要求、中标设备(材料)技术性能指标的详细描述、技术服务和质保期服务计划等合同文件的约定向</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提供合同设备(材料)、技术服务和质保期服务。</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3.合同价格与支付</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3.1合同价格</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3.1.1合同协议书中载明的签约合同价包括</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为完成合同全部义务应承担的一切成本、费用和支出以及</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的合理利润。</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3.1.2除专用合同条款另有约定外，签约合同价为固定价格。</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3.2合同价款的支付</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应通过以下方式和比例向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支付合同价款：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3.2.1预付款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合同签订生效且收到</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交纳的履约保证金后，同时</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收到</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递交的合法票据后15个工作日内，</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支付合同总价的30%作为预付款；</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支付预付款后，如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未履行合同义务，则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有权收回预付款；如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依约履行了合同义务，则预付款抵作合同价款。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3.2.2交货款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设备到货后招标人根据招标文件、施工图及中标人在投标文件中所投设备，进行开箱检查，确认设备的数量、规格、外观质量、其余资料（包括但不限于操作手册，设备参数等）等符合合同约定、满足使用需求并安装完成后支付至合同总价的40%；</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3.2.3验收款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（1）单项验收合格且经试运行完成后，支付至合同价总价的70%；</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（2）项目整体竣工验收合格后15个工作日内支付至合同价的85%；</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3.2.4结清款</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递交完整的经济技术资料后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无息退还相应的履约保证金（如有）；</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（2）审核结算完成且资料齐全移交</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后15个工作日内支付至审定价的98.5%。</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（3）根据中标人投标时承诺的质保期时间，余款1.5%在承诺的质保期满且无质量和服务问题后一次性付清。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3.3</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扣款的权利</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当</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应向</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支付合同项下的违约金或赔偿金时，</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有权从上述任何一笔应付款中予以直接扣除和（或）兑付履约保证金。</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4.监造及交货前检验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4.1监造</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对合同设备(材料)进行监造的，双方应按本款及专用合同条款约定履行。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4.1.1在合同设备(材料)的制造过程中，</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可派出监造人员，对合同设备(材料)的生产制造进行监造，</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监督合同设备(材料)制造、检验等情况。监造的范围、方式等应符合专用合同条款和（或）供货要求等合同文件的约定。</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4.1.2除专用合同条款和（或）供货要求等合同文件另有约定外，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监造人员可到合同设备及其关键部件的生产制造现场进行监造，</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应予配合。</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应免费为</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监造人员提供工作条件及便利，包括但不限于必要的办公场所、技术资料、检测工具及出入许可等。除专用合同条款另有约定外，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监造人员的交通、食宿费用由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承担。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4.1.3</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制订生产制造合同设备(材料)的进度计划时，应将</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监造纳入计划安排，并提前通知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进行监造不应影响合同设备(材料)的正常生产。除专用合同条款和（或）供货要求等合同文件另有约定外，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应提前7日将需要</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监造人员现场监造事项通知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；如</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监造人员未按通知出席，不影响合同设备(材料)及其关键部件的制造或检验，但</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监造人员有权事后了解、查阅、复制相关制造或检验记录。</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4.1.4</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监造人员在监造中如发现合同设备(材料)及其关键部件不符合合同约定的标准，则有权提出意见和建议。</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应采取必要措施消除合同设备(材料)的不符，由此增加的费用和（或）造成的延误由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负责。</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4.1.5</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监造人员对合同设备(材料)的监造，不视为对合同设备(材料)质量的确认，不影响</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交货后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依照合同约定对合同设备(材料)提出质量异议和（或）退货的权利，也不免除</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依照合同约定对合同设备(材料)所应承担的任何义务或责任。</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4.2交货前检验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参与交货前检验的，双方应按本款及专用合同条款约定履行。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4.2.1合同设备(材料)交货前，</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应会同</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代表根据合同约定对合同设备(材料)进行交货前检验并出具交货前检验记录，有关费用由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承担。</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应免费为</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代表提供工作条件及便利，包括但不限于必要的办公场所、技术资料、检测工具及出入许可等。除专用合同条款另有约定外，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代表的交通、食宿费用由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承担。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4.2.2除专用合同条款和（或）供货要求等合同文件另有约定外，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应提前7日将需要</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代表检验事项通知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；如</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代表未按通知出席，不影响合同设备(材料)的检验。若</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未依照合同约定提前通知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而自行检验，则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有权要求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暂停发货并重新进行检验，由此增加的费用和（或）造成的延误由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负责。</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4.2.3</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代表在检验中如发现合同设备(材料)不符合合同约定的标准，则有权提出异议。</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应采取必要措施消除合同设备(材料)的不符，由此增加的费用和（或）造成的延误由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负责。</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4.2.4</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代表参与交货前检验及签署交货前检验记录的行为，不视为对合同设备(材料)质量的确认，不影响</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交货后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依照合同约定对合同设备(材料)提出质量异议和（或）退货的权利，也不免除</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依照合同约定对合同设备(材料)所应承担的任何义务或责任。</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5.包装、标记、运输和交付</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5.1包装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5.1.1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5.1.2每个独立包装箱内应附装箱清单、质量合格证、装配图、说明书、操作指南等资料。</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5.1.3除专用合同条款另有约定外，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无需将包装物退还给</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5.2标记</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5.2.1除专用合同条款另有约定外，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应在每一包装箱相邻的四个侧面以不可擦除的、明显的方式标记必要的装运信息和标记，以满足合同设备(材料)运输和保管的需要。</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5.2.2根据合同设备(材料)的特点和运输、保管的不同要求，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应在包装箱上清楚地标注“小心轻放”、“此端朝上，请勿倒置”、“保持干燥”等字样和其他适当标记。</w:t>
      </w:r>
      <w:r>
        <w:rPr>
          <w:rFonts w:hint="eastAsia" w:ascii="宋体" w:hAnsi="宋体" w:eastAsia="宋体" w:cs="宋体"/>
          <w:color w:val="auto"/>
          <w:sz w:val="23"/>
          <w:szCs w:val="23"/>
          <w:highlight w:val="none"/>
          <w:lang w:val="en-US" w:eastAsia="zh-CN"/>
        </w:rPr>
        <w:t>若组件为</w:t>
      </w:r>
      <w:r>
        <w:rPr>
          <w:rFonts w:hint="eastAsia" w:ascii="宋体" w:hAnsi="宋体" w:eastAsia="宋体" w:cs="宋体"/>
          <w:color w:val="auto"/>
          <w:sz w:val="23"/>
          <w:szCs w:val="23"/>
          <w:highlight w:val="none"/>
        </w:rPr>
        <w:t>超大超重件，</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应在包装箱两侧标注“重心”和“起吊点”以便装卸和搬运。如果发运合同设备(材料)中含有易燃易爆物品、腐蚀物品、放射性物质等危险品，则应在包装箱上标明危险品标志。</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5.3运输</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5.3.1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应自行选择适宜的运输工具及线路安排合同设备(材料)运输。</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5.3.2除专用合同条款另有约定外，每件能够独立运行的设备(材料)应整套装运。该设备(材料)安装、调试、考核和运行所使用的备品、备件、易损易耗件等应随相关的主机一齐装运。</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5.3.3除专用合同条款另有约定外，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表示）、每箱尺寸（长×宽×高）、装运合同设备(材料)总金额、运输方式、预计交付日期和合同设备(材料)在运输、装卸、保管中的注意事项等预通知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，并在合同设备(材料)启运后24小时之内正式通知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5.3.4</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在根据第5.3.3项进行通知时，如果发运合同设备(材料)中包括专用合同条款约定的超大超重包装，则</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应将超大和（或）超重的每个包装箱的重量和尺寸通知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；如果发运合同设备(材料)中包括易燃易爆物品、腐蚀物品、放射性物质等危险品，</w:t>
      </w:r>
      <w:r>
        <w:rPr>
          <w:rFonts w:hint="eastAsia" w:ascii="宋体" w:hAnsi="宋体" w:eastAsia="宋体" w:cs="宋体"/>
          <w:color w:val="auto"/>
          <w:sz w:val="23"/>
          <w:szCs w:val="23"/>
          <w:highlight w:val="none"/>
          <w:lang w:eastAsia="zh-CN"/>
        </w:rPr>
        <w:t>对</w:t>
      </w:r>
      <w:r>
        <w:rPr>
          <w:rFonts w:hint="eastAsia" w:ascii="宋体" w:hAnsi="宋体" w:eastAsia="宋体" w:cs="宋体"/>
          <w:color w:val="auto"/>
          <w:sz w:val="23"/>
          <w:szCs w:val="23"/>
          <w:highlight w:val="none"/>
        </w:rPr>
        <w:t>危险品的品名、性质、在运输、装卸、保管方面的特殊要求、注意事项和处理意外情况的方法等，也应一并通知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5.4交付</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5.4.1除专用合同条款另有约定外，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应根据合同约定的交付时间和批次在施工场地车面上将合同设备(材料)交付给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对</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交付的包装的合同设备(材料)的外观及件数进行清点核验后应签发收货清单，并自负风险和费用进行卸货。</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签发收货清单不代表对合同设备(材料)的接受，双方还应按合同约定进行后续的检验和验收。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5.4.2合同设备(材料)的所有权和风险自交付时起由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转移至</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，合同设备(材料)交付给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之前包括运输在内的所有风险均由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承担。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5.4.3除专用合同条款另有约定外，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如果发现技术资料存在短缺和（或）损坏，</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应在收到</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的通知后7日内免费补齐短缺和（或）损坏的部分。如果</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发现</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提供的技术资料有误，</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应在收到</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通知后7日内免费替换。如由于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原因导致技术资料丢失和（或）损坏，</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应在收到</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的通知后7日内补齐丢失和（或）损坏的部分，但</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支付合理的复制、邮寄费用。</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6.开箱检验、安装、调试、考核、验收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6.1开箱检验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6.1.1合同设备(材料)交付后应进行开箱检验，即合同设备(材料)数量及外观检验。开箱检验在专用合同条款约定的下列任一种时间进行：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（1）合同设备(材料)交付时；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（2）合同设备(材料)交付后的一定期限内。如开箱检验不在合同设备(材料)交付时进行，</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应在开箱检验3日前将开箱检验的时间和地点通知</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6.1.2除专用合同条款另有约定外，合同设备(材料)的开箱检验应在施工场地进行。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6.1.3开箱检验由买卖双方共同进行，</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应自负费用派遣代表到场参加开箱检验。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6.1.4在开箱检验中，</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和</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应共同签署数量、外观检验报告，报告应列明检验结果，包括检验合格或发现的任何短缺、损坏或其它与合同约定不符的情形。</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6.1.5如果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代表未能依约或按</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通知到场参加开箱检验，</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有权在</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代表未在场的情况下进行开箱检验，并签署数量、外观检验报告，对于该检验报告和检验结果，视为</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已接受，但</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确有合理理由且事先与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协商推迟开箱检验时间的除外。</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6.1.6如开箱检验不在合同设备(材料)交付时进行，则合同设备(材料)交付以后到开箱检验之前，应由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负责按交货时外包装原样对合同设备(材料)进行妥善保管。除专用合同条款另有约定外，在开箱检验时如果合同设备(材料)外包装与交货时一致，则开箱检验中发现的合同设备(材料)的短缺、损坏或其它与合同约定不符的情形，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负责，</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承担，但</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能够证明是由于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原因或合同设备(材料)交付前非</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原因导致的除外。</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6.1.8开箱检验的检验结果不能对抗在合同设备(材料)的安装、调试、考核、验收中及质量保证期内发现的合同设备(材料)质量问题，也不能免除或影响</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依照合同约定对</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负有的包括合同设备(材料)质量在内的任何义务或责任。</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6.2安装、调试</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6.2.1开箱检验完成后，双方应对合同设备(材料)进行安装、调试，以使其具备考核的状态。安装、调试应按照专用合同条款约定的下列任一种方式进行：</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按照合同约定完成合同设备(材料)的安装、调试工作；</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安排第三方负责合同设备(材料)的安装、调试工作，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提供技术服务。除专用合同条款另有约定外，在安装、调试过程中，如由于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安排的第三方未按照</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现场服务人员的指导导致安装、调试不成功和（或）出现合同设备(材料)损坏，</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应自行承担责任。如在</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安排的第三方按照</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现场服务人员的指导进行安装、调试的情况下出现安装、调试不成功和（或）造成合同设备(材料)损坏的情况，</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应承担责任。</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6.2.2除专用合同条款另有约定外，安装、调试中合同设备(材料)运行需要的用水、用电、其他动力和原材料（如需要）等均由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承担。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6.2.3双方应对合同设备(材料)的安装、调试情况共同及时进行记录。</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6.3考核</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承担。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6.3.2如由于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原因合同设备(材料)在考核中未能达到合同约定的技术性能考核指标，则</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应在双方同意的期限内采取措施消除合同设备(材料)中存在的缺陷，并在缺陷消除以后，尽快进行再次考核。</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6.3.3由于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原因未能达到技术性能考核指标时，为</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进行考核的机会不超过三次。如果由于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原因，三次考核均未能达到合同约定的技术性能考核指标，则买卖双方应就合同的后续履行进行协商，协商不成的，</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有权解除合同。但如合同中约定了或双方在考核中另行达成了合同设备(材料)的最低技术性能考核指标，且合同设备(材料)达到了最低技术性能考核指标的，视为合同设备(材料)已达到技术性能考核指标，</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无权解除合同，且应接受合同设备(材料)，但</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应按专用合同条款的约定进行减价或向</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支付补偿金。</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6.3.4如由于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原因合同设备(材料)在考核中未能达到合同约定的技术性能考核指标，则</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应协助</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安排再次考核。由于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原因未能达到技术性能考核指标时，为</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进行考核的机会不超过三次。</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6.4验收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6.4.2如由于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原因合同设备(材料)在三次考核中均未能达到技术性能考核指标，买卖双方应在考核结束后7日内或专用合同条款另行约定的时间内签署验收款支付函。除专用合同条款另有约定外，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有义务在验收款支付函签署后12个月内应</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要求提供相关技术服务，协助</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采取一切必要措施使合同设备(材料)达到技术性能考核指标。</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应承担</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因此产生的全部费用。在上述12个月的期限内，如合同设备(材料)经过考核达到或视为达到技术性能考核指标，则买卖双方应按照第6.4.1项的约定签署合同设备(材料)验收证书。</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6.4.3除专用合同条款另有约定外，如由于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原因在最后一批合同设备(材料)交货后6个月内未能开始考核，则买卖双方应在上述期限届满后7日内或专用合同条款另行约定的时间内签署验收款支付函。除专用合同条款另有约定外，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有义务在验收款支付函签署后6个月内应</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要求提供不超出合同范围的技术服务，协助</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采取一切必要措施使合同设备(材料)达到技术性能考核指标，且</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无需因此向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支付费用。在上述6个月的期限内，如合同设备(材料)经过考核达到或视为达到技术性能考核指标，则买卖双方应按照第6.4.1项的约定签署合同设备(材料)验收证书。</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6.4.4在第6.4.2项和第6.4.3项情形下，</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也可单方签署验收款支付函提交</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，如果</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在收到</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签署的验收款支付函后14日内未向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提出书面异议，则验收款支付函自签署之日起生效。</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6.4.5合同设备(材料)验收证书的签署不能免除</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在质量保证期内对合同设备(材料)应承担的保证责任。</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7.技术服务</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应派遣技术熟练、称职的技术人员到施工场地为</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提供技术服务。</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的技术服务应符合合同的约定。</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7.2</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应免费为</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技术人员提供工作条件及便利，包括但不限于必要的办公场所、技术资料及出入许可等。除专用合同条款另有约定外，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技术人员的交通、食宿费用由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承担。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7.3</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技术人员应遵守</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施工现场的各项规章制度和安全操作规程，并服从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的现场管理。</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7.4如果任何技术人员不合格，</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有权要求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撤换，因撤换而产生的费用应由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承担。在不影响技术服务并且征得</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同意的条件下，</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也可自负费用更换其技术人员。</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8.质量保证期</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8.1除专用合同条款和（或）供货要求等合同文件另有约定外，合同设备(材料)整体质量保证期为验收之日起</w:t>
      </w:r>
      <w:r>
        <w:rPr>
          <w:rFonts w:hint="eastAsia" w:ascii="宋体" w:hAnsi="宋体" w:eastAsia="宋体" w:cs="宋体"/>
          <w:color w:val="auto"/>
          <w:sz w:val="23"/>
          <w:szCs w:val="23"/>
          <w:highlight w:val="none"/>
          <w:lang w:val="en-US" w:eastAsia="zh-CN"/>
        </w:rPr>
        <w:t>24</w:t>
      </w:r>
      <w:r>
        <w:rPr>
          <w:rFonts w:hint="eastAsia" w:ascii="宋体" w:hAnsi="宋体" w:eastAsia="宋体" w:cs="宋体"/>
          <w:color w:val="auto"/>
          <w:sz w:val="23"/>
          <w:szCs w:val="23"/>
          <w:highlight w:val="none"/>
        </w:rPr>
        <w:t>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8.2在质量保证期内如果合同设备(材料)出现故障，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应自负费用提供质保期服务，对相关合同设备(材料)进行修理或更换以消除故障。更换的合同设备(材料)和（或）关键部件的质量保证期应重新计算。但如果合同设备(材料)的故障是由于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原因造成的，则对合同设备(材料)进行修理和更换的费用应由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承担。</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8.3质量保证期届满后，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应在7日内或专用合同条款另行约定的时间内向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出具合同设备(材料)的质量保证期届满证书。</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8.4在合同第6.4.2项情形下，如在验收款支付函签署后12个月内由于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原因合同设备(材料)仍未能达到技术性能考核指标，则买卖双方应在该12个月届满后7日内或专用合同条款另行约定的时间内签署结清款支付函。</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8.5在合同第6.4.3项情形下，如在验收款支付函签署后6个月内由于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原因合同设备(材料)仍未进行考核或仍未达到技术性能考核指标，则买卖双方应在该6个月届满后7日内或专用合同条款另行约定的时间内签署结清款支付函。</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8.6在第8.4款和第8.5款情形下，</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也可单方签署结清款支付函提交</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，如果</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在收到</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签署的结清款支付函后14日内未向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提出书面异议，则结清款支付函自签署之日起生效。</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9.质保期服务</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9.1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应为质保期服务配备充足的技术人员、工具和备件并保证提供的联系方式畅通。除专用合同条款和（或）供货要求等合同文件另有约定外，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应在收到</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通知后24小时内做出响应，如需</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到合同设备(材料)现场，</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应在收到</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通知后48小时内到达，并在到达后7日内解决合同设备(材料)的故障（重大故障除外）。如果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未在上述时间内作出响应，则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有权自行或委托他人解决相关问题或查找和解决合同设备(材料)的故障，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应承担由此发生的全部费用。</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9.2如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技术人员需到合同设备(材料)现场进行质保期服务，则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应免费为</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技术人员提供工作条件及便利，包括但不限于必要的办公场所、技术资料及出入许可等。除专用合同条款另有约定外，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技术人员的交通、食宿费用由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承担。</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技术人员应遵守</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施工现场的各项规章制度和安全操作规程，并服从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的现场管理。</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9.3如果任何技术人员不合格，</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有权要求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撤换，因撤换而产生的费用应由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承担。在不影响质保期服务并且征得</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同意的条件下，</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也可自负费用更换其技术人员。</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9.4除专用合同条款另有约定外，</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应就在施工现场进行质保期服务的情况进行记录，记载合同设备(材料)故障发生的时间、原因及解决情况等，由</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签字确认，并在质量保证期结束后提交给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10.履约保证金</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除专用合同条款另有约定外，履约保证金自合同生效之日起生效，在合同设备(材料)验收证书或验收款支付函签署之日起28日后失效。如果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不履行合同约定的义务或其履行不符合合同的约定，</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有权扣划相应金额的履约保证金。</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11.保证</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保证其具有完全的能力履行本合同项下的全部义务。</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11.2</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保证其所提供的合同设备(材料)及对合同的履行符合所有应适用的法律、行政法规、地方性法规、自治条例和单行条例、规章及其他规范性文件的强制性规定。</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11.3</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保证其对合同设备(材料)的销售不损害任何第三方的合法权益和社会公众利益。任何第三方不会因</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原因而基于所有权、抵押权、留置权或其他任何权利或事由对合同设备(材料)主张权利。</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11.4</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合同设备(材料)符合合同约定的规格、标准、技术性能考核指标等，能够安全和稳定地运行，且合同设备(材料)（包括全部部件）全新、完整、未使用过，除非专用合同条款和（或）供货要求等合同文件另有约定。</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11.5</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所提供的技术资料完整、清晰、准确，符合合同约定并且能够满足合同设备(材料)的安装、调试、考核、操作以及维修和保养的需要。</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11.6</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保证合同范围内提供的备品备件能够满足合同设备(材料)在质量保证期结束前正常运行及维修的需要，如在质量保证期结束前因</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原因出现备品备件短缺影响合同设备(材料)正常运行的，</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应免费提供。</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11.7除专用合同条款和（或）供货要求等合同文件另有约定外，如果在合同设备(材料)设计使用寿命期内发生合同项下备品备件停止生产的情况，</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应事先将拟停止生产的计划通知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，使</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有足够的时间考虑备品备件的需求量。根据</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要求，</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应：</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（1）以不高于同期市场价格或其向任何第三方销售同类产品的价格提供合同设备(材料)正常运行所需的全部备品备件。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（2）免费提供可供</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或第三方制造停产备品备件所需的全部技术资料，以便</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持续获得上述备品备件以满足合同设备(材料)在寿命期内正常运行的需要。</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委托的第三方制造及</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使用这些备品备件不侵犯任何人的知识产权。</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11.8</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保证，在合同设备(材料)设计使用寿命期内，如果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发现合同设备(材料)由于设计、制造、标识等原因存在足以危及人身、财产安全的缺陷，</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将及时通知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并及时采取修正或者补充标识、修理、更换等措施消除缺陷。</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12.知识产权</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12.1</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在履行合同过程中提供给</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的全部图纸、文件和其他含有数据和信息的资料，其知识产权属于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12.2除专用合同条款另有约定外，</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不因签署和履行合同而享有</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在履行合同过程中提供给</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的图纸、文件、配套软件、电子辅助程序和其他含有数据和信息的资料的知识产权。</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12.3如合同设备(材料)涉及知识产权，则</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在使用合同设备(材料)过程中免于受到第三方提出的有关知识产权侵权的主张、索赔或诉讼的伤害。</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12.4如果</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收到任何第三方有关知识产权的主张、索赔或诉讼，</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在收到</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通知后，应以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名义并在</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的协助下，自负费用处理与第三方的索赔或诉讼，并赔偿</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因此发生的费用和遭受的损失。除专用合同条款另有约定外，如果</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拒绝处理前述索赔或诉讼或在收到</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通知后28日内未作表示，</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可以自己的名义进行这些索赔或诉讼，因此发生的费用和遭受的损失均应由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承担。</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13.保密</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合同当事人的保密义务不适用于下列信息：</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（1）非因接受信息一方的过失现在或以后进入公共领域的信息；</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（2）接受信息一方当事人合法地从第三方获得并且据其善意了解第三方也不对此承担保密义务的信息；</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（3）法律或法律的执行要求披露的信息。</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14.违约责任</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14.1合同一方不履行合同义务、履行合同义务不符合约定或者违反合同项下所作保证的，应向对方承担继续履行、采取修理、更换、退货等补救措施或者赔偿损失等违约责任。</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14.2</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未能按时交付合同设备(材料)（包括仅迟延交付技术资料但足以导致合同设备(材料)安装、调试、考核、验收工作推迟的）的，应向</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支付迟延交付违约金。除专用合同条款另有约定外，迟延交付违约金的计算方法如下：</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（1）从迟交的第一周到第四周，每周迟延交付违约金为迟交合同设备(材料)价格的0.5%；</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（2）从迟交的第五周到第八周，每周迟延交付违约金为迟交合同设备(材料)价格的1%；</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继续交付相关合同设备(材料)的义务，但如迟延交付必然导致合同设备(材料)安装、调试、考核、验收工作推迟的，相关工作应相应顺延。</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14.3</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未能按合同约定支付合同价款的，应向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支付延迟付款违约金。除专用合同条款另有约定外，迟延付款违约金的计算方法如下：</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（1）从迟付的第一周到第四周，每周迟延付款违约金为迟延付款金额的0.5%；</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（2）从迟付的第五周到第八周，每周迟延付款违约金为迟延付款金额的1%；</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（3）从迟付第九周起，每周迟延付款违约金为迟延付款金额的1.5%。在计算迟延付款违约金时，迟付不足一周的按一周计算。迟延付款违约金的总额不得超过合同价格的10%。</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15.合同的解除</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除专用合同条款另有约定外，有下述情形之一，当事人可发出书面通知全部或部分地解除合同，合同自通知到达对方时全部或部分地解除：</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迟延交付合同设备(材料)超过3个月；</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（2）合同设备(材料)由于</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原因三次考核均未能达到技术性能考核指标或在合同约定了或双方在考核中另行达成了最低技术性能考核指标时均未能达到最低技术性能考核指标，且买卖双方未就合同的后续履行协商达成一致；</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迟延付款超过3个月；</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（5）合同一方当事人出现破产、清算、资不抵债、成为失信被执行人等可能丧失履约能力的情形，且未能提供令对方满意的履约保证金。</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16.不可抗力</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17.争议的解决</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因本合同引起的或与本合同有关的任何争议,双方可通过友好协商解决。友好协商解决不成的，可在专用合同条款中约定下列一种方式解决：</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（1）向约定的仲裁委员会申请仲裁；</w:t>
      </w:r>
    </w:p>
    <w:p>
      <w:pPr>
        <w:spacing w:line="360" w:lineRule="auto"/>
        <w:ind w:firstLine="460" w:firstLineChars="200"/>
        <w:jc w:val="both"/>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t>（2）向有管辖权的人民法院提起诉讼。</w:t>
      </w:r>
    </w:p>
    <w:p>
      <w:pPr>
        <w:spacing w:line="360" w:lineRule="auto"/>
        <w:ind w:firstLine="462" w:firstLineChars="200"/>
        <w:jc w:val="both"/>
        <w:rPr>
          <w:rFonts w:hint="eastAsia" w:ascii="宋体" w:hAnsi="宋体" w:eastAsia="宋体" w:cs="宋体"/>
          <w:b/>
          <w:bCs/>
          <w:color w:val="auto"/>
          <w:sz w:val="23"/>
          <w:szCs w:val="23"/>
          <w:highlight w:val="none"/>
        </w:rPr>
      </w:pPr>
    </w:p>
    <w:p>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br w:type="column"/>
      </w:r>
      <w:r>
        <w:rPr>
          <w:rFonts w:hint="eastAsia" w:ascii="宋体" w:hAnsi="宋体" w:eastAsia="宋体" w:cs="宋体"/>
          <w:b/>
          <w:bCs/>
          <w:color w:val="auto"/>
          <w:sz w:val="23"/>
          <w:szCs w:val="23"/>
          <w:highlight w:val="none"/>
        </w:rPr>
        <w:t>第二节专用合同条款</w:t>
      </w:r>
    </w:p>
    <w:p>
      <w:pPr>
        <w:spacing w:line="360" w:lineRule="auto"/>
        <w:ind w:firstLine="460" w:firstLineChars="200"/>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1.合同价格形式：</w:t>
      </w:r>
      <w:r>
        <w:rPr>
          <w:rFonts w:hint="eastAsia" w:ascii="宋体" w:hAnsi="宋体" w:eastAsia="宋体" w:cs="宋体"/>
          <w:color w:val="auto"/>
          <w:sz w:val="23"/>
          <w:szCs w:val="23"/>
          <w:highlight w:val="none"/>
          <w:lang w:val="en-US" w:eastAsia="zh-CN"/>
        </w:rPr>
        <w:t>约定范围内固定总价</w:t>
      </w:r>
      <w:r>
        <w:rPr>
          <w:rFonts w:hint="eastAsia" w:ascii="宋体" w:hAnsi="宋体" w:eastAsia="宋体" w:cs="宋体"/>
          <w:color w:val="auto"/>
          <w:sz w:val="23"/>
          <w:szCs w:val="23"/>
          <w:highlight w:val="none"/>
          <w:lang w:eastAsia="zh-CN"/>
        </w:rPr>
        <w:t>合同</w:t>
      </w:r>
      <w:r>
        <w:rPr>
          <w:rFonts w:hint="eastAsia" w:ascii="宋体" w:hAnsi="宋体" w:eastAsia="宋体" w:cs="宋体"/>
          <w:color w:val="auto"/>
          <w:sz w:val="23"/>
          <w:szCs w:val="23"/>
          <w:highlight w:val="none"/>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2.价款确定：</w:t>
      </w:r>
      <w:r>
        <w:rPr>
          <w:rFonts w:hint="eastAsia" w:ascii="宋体" w:hAnsi="宋体" w:eastAsia="宋体" w:cs="宋体"/>
          <w:color w:val="auto"/>
          <w:sz w:val="23"/>
          <w:szCs w:val="23"/>
          <w:highlight w:val="none"/>
          <w:lang w:val="en-US" w:eastAsia="zh-CN"/>
        </w:rPr>
        <w:t>合同约定范围内</w:t>
      </w:r>
      <w:r>
        <w:rPr>
          <w:rFonts w:hint="eastAsia" w:ascii="宋体" w:hAnsi="宋体" w:eastAsia="宋体" w:cs="宋体"/>
          <w:color w:val="auto"/>
          <w:sz w:val="23"/>
          <w:szCs w:val="23"/>
          <w:highlight w:val="none"/>
        </w:rPr>
        <w:t>中标总价</w:t>
      </w:r>
      <w:r>
        <w:rPr>
          <w:rFonts w:hint="eastAsia" w:ascii="宋体" w:hAnsi="宋体" w:eastAsia="宋体" w:cs="宋体"/>
          <w:color w:val="auto"/>
          <w:sz w:val="23"/>
          <w:szCs w:val="23"/>
          <w:highlight w:val="none"/>
          <w:lang w:val="en-US" w:eastAsia="zh-CN"/>
        </w:rPr>
        <w:t>包干</w:t>
      </w:r>
      <w:r>
        <w:rPr>
          <w:rFonts w:hint="eastAsia" w:ascii="宋体" w:hAnsi="宋体" w:eastAsia="宋体" w:cs="宋体"/>
          <w:color w:val="auto"/>
          <w:sz w:val="23"/>
          <w:szCs w:val="23"/>
          <w:highlight w:val="none"/>
        </w:rPr>
        <w:t>，不再调整。</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有权增减工作范围，该费用应予以增减，在结算时按中标单价按实调整。</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如因</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原因需进行设计变更，则变更内容必须经过设计单位书面同意后方可实施。</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设计变更内容结算口径：投标清单中有中标综合单价的，按中标综合单价；投标清单中有类似子项中标综合单价的，参照该子项中标综合单价；投标清单中没有该子项的，由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报价</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审核，结算时按照</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签证价结算。</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履约保证金：合同签订后，</w:t>
      </w:r>
      <w:r>
        <w:rPr>
          <w:rFonts w:hint="eastAsia" w:ascii="宋体" w:hAnsi="宋体" w:eastAsia="宋体" w:cs="宋体"/>
          <w:color w:val="auto"/>
          <w:sz w:val="23"/>
          <w:szCs w:val="23"/>
          <w:highlight w:val="none"/>
          <w:lang w:val="en-US" w:eastAsia="zh-CN"/>
        </w:rPr>
        <w:t>乙方</w:t>
      </w:r>
      <w:r>
        <w:rPr>
          <w:rFonts w:hint="eastAsia" w:ascii="宋体" w:hAnsi="宋体" w:eastAsia="宋体" w:cs="宋体"/>
          <w:color w:val="auto"/>
          <w:sz w:val="23"/>
          <w:szCs w:val="23"/>
          <w:highlight w:val="none"/>
        </w:rPr>
        <w:t>缴纳中标价的</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%履约保证金后合同生效，在项目</w:t>
      </w:r>
      <w:r>
        <w:rPr>
          <w:rFonts w:hint="eastAsia" w:ascii="宋体" w:hAnsi="宋体" w:eastAsia="宋体" w:cs="宋体"/>
          <w:color w:val="auto"/>
          <w:sz w:val="23"/>
          <w:szCs w:val="23"/>
          <w:highlight w:val="none"/>
          <w:lang w:eastAsia="zh-CN"/>
        </w:rPr>
        <w:t>服务期满并</w:t>
      </w:r>
      <w:r>
        <w:rPr>
          <w:rFonts w:hint="eastAsia" w:ascii="宋体" w:hAnsi="宋体" w:eastAsia="宋体" w:cs="宋体"/>
          <w:color w:val="auto"/>
          <w:sz w:val="23"/>
          <w:szCs w:val="23"/>
          <w:highlight w:val="none"/>
        </w:rPr>
        <w:t>验收</w:t>
      </w:r>
      <w:r>
        <w:rPr>
          <w:rFonts w:hint="eastAsia" w:ascii="宋体" w:hAnsi="宋体" w:eastAsia="宋体" w:cs="宋体"/>
          <w:color w:val="auto"/>
          <w:sz w:val="23"/>
          <w:szCs w:val="23"/>
          <w:highlight w:val="none"/>
          <w:lang w:eastAsia="zh-CN"/>
        </w:rPr>
        <w:t>合格且无其他违约行为</w:t>
      </w:r>
      <w:r>
        <w:rPr>
          <w:rFonts w:hint="eastAsia" w:ascii="宋体" w:hAnsi="宋体" w:eastAsia="宋体" w:cs="宋体"/>
          <w:color w:val="auto"/>
          <w:sz w:val="23"/>
          <w:szCs w:val="23"/>
          <w:highlight w:val="none"/>
        </w:rPr>
        <w:t>后予以退还（不计息）。履约保证金的形式：现金、支票、汇票、转账、银行保函、保险机构保证保险保单等。</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原因导致合同解除的，履约保证金不予退还。</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4.付款方式：</w:t>
      </w:r>
    </w:p>
    <w:p>
      <w:pPr>
        <w:spacing w:line="360" w:lineRule="auto"/>
        <w:ind w:firstLine="460" w:firstLineChars="200"/>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合同签订生效且收到</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交纳的履约保证金后，同时</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收到</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递交的合法票据后15个工作日内，</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向</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支付合同总价的</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0%作为预付款</w:t>
      </w:r>
      <w:r>
        <w:rPr>
          <w:rFonts w:hint="eastAsia" w:ascii="宋体" w:hAnsi="宋体" w:eastAsia="宋体" w:cs="宋体"/>
          <w:color w:val="auto"/>
          <w:sz w:val="23"/>
          <w:szCs w:val="23"/>
          <w:highlight w:val="none"/>
          <w:lang w:eastAsia="zh-CN"/>
        </w:rPr>
        <w:t>；</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组件</w:t>
      </w:r>
      <w:r>
        <w:rPr>
          <w:rFonts w:hint="eastAsia" w:ascii="宋体" w:hAnsi="宋体" w:eastAsia="宋体" w:cs="宋体"/>
          <w:color w:val="auto"/>
          <w:sz w:val="23"/>
          <w:szCs w:val="23"/>
          <w:highlight w:val="none"/>
        </w:rPr>
        <w:t>到货</w:t>
      </w:r>
      <w:r>
        <w:rPr>
          <w:rFonts w:hint="eastAsia" w:ascii="宋体" w:hAnsi="宋体" w:eastAsia="宋体" w:cs="宋体"/>
          <w:color w:val="auto"/>
          <w:sz w:val="23"/>
          <w:szCs w:val="23"/>
          <w:highlight w:val="none"/>
          <w:lang w:val="en-US" w:eastAsia="zh-CN"/>
        </w:rPr>
        <w:t>进场后甲方根据招标文件、施工图及乙方在投标文件中所投组件，进行开箱检查，确认组件的</w:t>
      </w:r>
      <w:r>
        <w:rPr>
          <w:rFonts w:hint="eastAsia" w:ascii="宋体" w:hAnsi="宋体" w:eastAsia="宋体" w:cs="宋体"/>
          <w:color w:val="auto"/>
          <w:sz w:val="23"/>
          <w:szCs w:val="23"/>
          <w:highlight w:val="none"/>
        </w:rPr>
        <w:t>数量、规格、外观质量</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其余资料（包括但不限于设备参数等）等符合合同约定、满足使用需求。组件进场后30</w:t>
      </w:r>
      <w:r>
        <w:rPr>
          <w:rFonts w:hint="eastAsia" w:ascii="宋体" w:hAnsi="宋体" w:eastAsia="宋体" w:cs="宋体"/>
          <w:color w:val="auto"/>
          <w:sz w:val="23"/>
          <w:szCs w:val="23"/>
          <w:highlight w:val="none"/>
        </w:rPr>
        <w:t>个工作日内</w:t>
      </w:r>
      <w:r>
        <w:rPr>
          <w:rFonts w:hint="eastAsia" w:ascii="宋体" w:hAnsi="宋体" w:eastAsia="宋体" w:cs="宋体"/>
          <w:color w:val="auto"/>
          <w:sz w:val="23"/>
          <w:szCs w:val="23"/>
          <w:highlight w:val="none"/>
          <w:lang w:val="en-US" w:eastAsia="zh-CN"/>
        </w:rPr>
        <w:t>支付至合同总价的30%；</w:t>
      </w:r>
    </w:p>
    <w:p>
      <w:pPr>
        <w:spacing w:line="360" w:lineRule="auto"/>
        <w:ind w:firstLine="460" w:firstLineChars="200"/>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lang w:eastAsia="zh-CN"/>
        </w:rPr>
        <w:t>验收</w:t>
      </w:r>
      <w:r>
        <w:rPr>
          <w:rFonts w:hint="eastAsia" w:ascii="宋体" w:hAnsi="宋体" w:eastAsia="宋体" w:cs="宋体"/>
          <w:color w:val="auto"/>
          <w:sz w:val="23"/>
          <w:szCs w:val="23"/>
          <w:highlight w:val="none"/>
          <w:lang w:val="en-US" w:eastAsia="zh-CN"/>
        </w:rPr>
        <w:t>合格且并网后</w:t>
      </w:r>
      <w:r>
        <w:rPr>
          <w:rFonts w:hint="eastAsia" w:ascii="宋体" w:hAnsi="宋体" w:eastAsia="宋体" w:cs="宋体"/>
          <w:color w:val="auto"/>
          <w:sz w:val="23"/>
          <w:szCs w:val="23"/>
          <w:highlight w:val="none"/>
        </w:rPr>
        <w:t>，支付至合同价</w:t>
      </w:r>
      <w:r>
        <w:rPr>
          <w:rFonts w:hint="eastAsia" w:ascii="宋体" w:hAnsi="宋体" w:eastAsia="宋体" w:cs="宋体"/>
          <w:color w:val="auto"/>
          <w:sz w:val="23"/>
          <w:szCs w:val="23"/>
          <w:highlight w:val="none"/>
          <w:lang w:val="en-US" w:eastAsia="zh-CN"/>
        </w:rPr>
        <w:t>总价的70</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eastAsia="zh-CN"/>
        </w:rPr>
        <w:t>；</w:t>
      </w:r>
    </w:p>
    <w:p>
      <w:pPr>
        <w:spacing w:line="360" w:lineRule="auto"/>
        <w:ind w:firstLine="460" w:firstLineChars="200"/>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lang w:eastAsia="zh-CN"/>
        </w:rPr>
        <w:t>）项目整体竣工</w:t>
      </w:r>
      <w:r>
        <w:rPr>
          <w:rFonts w:hint="eastAsia" w:ascii="宋体" w:hAnsi="宋体" w:eastAsia="宋体" w:cs="宋体"/>
          <w:color w:val="auto"/>
          <w:sz w:val="23"/>
          <w:szCs w:val="23"/>
          <w:highlight w:val="none"/>
        </w:rPr>
        <w:t>验收合格后15个工作日内支付至合同价的</w:t>
      </w:r>
      <w:r>
        <w:rPr>
          <w:rFonts w:hint="eastAsia" w:ascii="宋体" w:hAnsi="宋体" w:eastAsia="宋体" w:cs="宋体"/>
          <w:color w:val="auto"/>
          <w:sz w:val="23"/>
          <w:szCs w:val="23"/>
          <w:highlight w:val="none"/>
          <w:lang w:val="en-US" w:eastAsia="zh-CN"/>
        </w:rPr>
        <w:t>80</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eastAsia="zh-CN"/>
        </w:rPr>
        <w:t>；</w:t>
      </w:r>
    </w:p>
    <w:p>
      <w:pPr>
        <w:spacing w:line="360" w:lineRule="auto"/>
        <w:ind w:firstLine="460" w:firstLineChars="200"/>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递交完整的经济技术资料后</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无息退还相应的履约保证金（如有）</w:t>
      </w:r>
      <w:r>
        <w:rPr>
          <w:rFonts w:hint="eastAsia" w:ascii="宋体" w:hAnsi="宋体" w:eastAsia="宋体" w:cs="宋体"/>
          <w:color w:val="auto"/>
          <w:sz w:val="23"/>
          <w:szCs w:val="23"/>
          <w:highlight w:val="none"/>
          <w:lang w:eastAsia="zh-CN"/>
        </w:rPr>
        <w:t>；</w:t>
      </w:r>
    </w:p>
    <w:p>
      <w:pPr>
        <w:spacing w:line="360" w:lineRule="auto"/>
        <w:ind w:firstLine="460" w:firstLineChars="200"/>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审</w:t>
      </w:r>
      <w:r>
        <w:rPr>
          <w:rFonts w:hint="eastAsia" w:ascii="宋体" w:hAnsi="宋体" w:eastAsia="宋体" w:cs="宋体"/>
          <w:color w:val="auto"/>
          <w:sz w:val="23"/>
          <w:szCs w:val="23"/>
          <w:highlight w:val="none"/>
          <w:lang w:val="en-US" w:eastAsia="zh-CN"/>
        </w:rPr>
        <w:t>核</w:t>
      </w:r>
      <w:r>
        <w:rPr>
          <w:rFonts w:hint="eastAsia" w:ascii="宋体" w:hAnsi="宋体" w:eastAsia="宋体" w:cs="宋体"/>
          <w:color w:val="auto"/>
          <w:sz w:val="23"/>
          <w:szCs w:val="23"/>
          <w:highlight w:val="none"/>
        </w:rPr>
        <w:t>结算完成且资料齐全移交</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后15个工作日内支付至审定价的</w:t>
      </w:r>
      <w:r>
        <w:rPr>
          <w:rFonts w:hint="eastAsia" w:ascii="宋体" w:hAnsi="宋体" w:eastAsia="宋体" w:cs="宋体"/>
          <w:color w:val="auto"/>
          <w:sz w:val="23"/>
          <w:szCs w:val="23"/>
          <w:highlight w:val="none"/>
          <w:lang w:val="en-US" w:eastAsia="zh-CN"/>
        </w:rPr>
        <w:t>98.5</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eastAsia="zh-CN"/>
        </w:rPr>
        <w:t>；</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根据乙方投标时承诺的</w:t>
      </w:r>
      <w:r>
        <w:rPr>
          <w:rFonts w:hint="eastAsia" w:ascii="宋体" w:hAnsi="宋体" w:eastAsia="宋体" w:cs="宋体"/>
          <w:color w:val="auto"/>
          <w:sz w:val="23"/>
          <w:szCs w:val="23"/>
          <w:highlight w:val="none"/>
        </w:rPr>
        <w:t>质保期</w:t>
      </w:r>
      <w:r>
        <w:rPr>
          <w:rFonts w:hint="eastAsia" w:ascii="宋体" w:hAnsi="宋体" w:eastAsia="宋体" w:cs="宋体"/>
          <w:color w:val="auto"/>
          <w:sz w:val="23"/>
          <w:szCs w:val="23"/>
          <w:highlight w:val="none"/>
          <w:lang w:val="en-US" w:eastAsia="zh-CN"/>
        </w:rPr>
        <w:t>时间，</w:t>
      </w:r>
      <w:r>
        <w:rPr>
          <w:rFonts w:hint="eastAsia" w:ascii="宋体" w:hAnsi="宋体" w:eastAsia="宋体" w:cs="宋体"/>
          <w:color w:val="auto"/>
          <w:sz w:val="23"/>
          <w:szCs w:val="23"/>
          <w:highlight w:val="none"/>
        </w:rPr>
        <w:t>余款</w:t>
      </w:r>
      <w:r>
        <w:rPr>
          <w:rFonts w:hint="eastAsia" w:ascii="宋体" w:hAnsi="宋体" w:eastAsia="宋体" w:cs="宋体"/>
          <w:color w:val="auto"/>
          <w:sz w:val="23"/>
          <w:szCs w:val="23"/>
          <w:highlight w:val="none"/>
          <w:lang w:val="en-US" w:eastAsia="zh-CN"/>
        </w:rPr>
        <w:t>1.5</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在承诺的质保期</w:t>
      </w:r>
      <w:r>
        <w:rPr>
          <w:rFonts w:hint="eastAsia" w:ascii="宋体" w:hAnsi="宋体" w:eastAsia="宋体" w:cs="宋体"/>
          <w:color w:val="auto"/>
          <w:sz w:val="23"/>
          <w:szCs w:val="23"/>
          <w:highlight w:val="none"/>
        </w:rPr>
        <w:t>满且无质量和服务问题</w:t>
      </w:r>
      <w:r>
        <w:rPr>
          <w:rFonts w:hint="eastAsia" w:ascii="宋体" w:hAnsi="宋体" w:eastAsia="宋体" w:cs="宋体"/>
          <w:color w:val="auto"/>
          <w:sz w:val="23"/>
          <w:szCs w:val="23"/>
          <w:highlight w:val="none"/>
          <w:lang w:val="en-US" w:eastAsia="zh-CN"/>
        </w:rPr>
        <w:t>后</w:t>
      </w:r>
      <w:r>
        <w:rPr>
          <w:rFonts w:hint="eastAsia" w:ascii="宋体" w:hAnsi="宋体" w:eastAsia="宋体" w:cs="宋体"/>
          <w:color w:val="auto"/>
          <w:sz w:val="23"/>
          <w:szCs w:val="23"/>
          <w:highlight w:val="none"/>
        </w:rPr>
        <w:t>一次性付清。</w:t>
      </w:r>
    </w:p>
    <w:p>
      <w:pPr>
        <w:pStyle w:val="16"/>
        <w:rPr>
          <w:rFonts w:hint="eastAsia" w:ascii="宋体" w:hAnsi="宋体" w:eastAsia="宋体" w:cs="宋体"/>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8</w:t>
      </w:r>
      <w:r>
        <w:rPr>
          <w:rFonts w:hint="eastAsia" w:ascii="宋体" w:hAnsi="宋体" w:eastAsia="宋体" w:cs="宋体"/>
          <w:color w:val="auto"/>
          <w:sz w:val="23"/>
          <w:szCs w:val="23"/>
          <w:highlight w:val="none"/>
          <w:lang w:eastAsia="zh-CN"/>
        </w:rPr>
        <w:t>）</w:t>
      </w:r>
      <w:r>
        <w:rPr>
          <w:rFonts w:hint="eastAsia" w:ascii="宋体" w:hAnsi="宋体" w:eastAsia="宋体" w:cs="宋体"/>
          <w:snapToGrid w:val="0"/>
          <w:color w:val="auto"/>
          <w:kern w:val="0"/>
          <w:sz w:val="23"/>
          <w:szCs w:val="23"/>
          <w:highlight w:val="none"/>
          <w:lang w:val="en-US" w:eastAsia="zh-CN" w:bidi="ar-SA"/>
        </w:rPr>
        <w:t>根据甲方规定开具相关发票（必须提供足额有效且符合税法规定的增值税专用发票，具体根据国家税务总局税率变化做相应调整）并随付款进度及时提供。</w:t>
      </w:r>
    </w:p>
    <w:p>
      <w:pPr>
        <w:spacing w:line="360" w:lineRule="auto"/>
        <w:ind w:firstLine="460" w:firstLineChars="200"/>
        <w:jc w:val="both"/>
        <w:rPr>
          <w:rFonts w:hint="eastAsia" w:ascii="宋体" w:hAnsi="宋体" w:eastAsia="宋体" w:cs="宋体"/>
          <w:color w:val="auto"/>
          <w:sz w:val="23"/>
          <w:szCs w:val="23"/>
          <w:highlight w:val="none"/>
          <w:lang w:val="en-US" w:eastAsia="zh-CN"/>
        </w:rPr>
      </w:pPr>
      <w:bookmarkStart w:id="62" w:name="_Toc12174"/>
      <w:r>
        <w:rPr>
          <w:rFonts w:hint="eastAsia" w:ascii="宋体" w:hAnsi="宋体" w:eastAsia="宋体" w:cs="宋体"/>
          <w:color w:val="auto"/>
          <w:sz w:val="23"/>
          <w:szCs w:val="23"/>
          <w:highlight w:val="none"/>
          <w:lang w:val="en-US" w:eastAsia="zh-CN"/>
        </w:rPr>
        <w:t>5.接货通知</w:t>
      </w:r>
    </w:p>
    <w:p>
      <w:pPr>
        <w:spacing w:line="360" w:lineRule="auto"/>
        <w:ind w:firstLine="460" w:firstLineChars="200"/>
        <w:jc w:val="both"/>
        <w:rPr>
          <w:rFonts w:hint="eastAsia" w:ascii="宋体" w:hAnsi="宋体" w:eastAsia="宋体" w:cs="宋体"/>
          <w:color w:val="auto"/>
          <w:sz w:val="23"/>
          <w:szCs w:val="23"/>
          <w:highlight w:val="none"/>
          <w:lang w:val="en-US"/>
        </w:rPr>
      </w:pP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在</w:t>
      </w:r>
      <w:r>
        <w:rPr>
          <w:rFonts w:hint="eastAsia" w:ascii="宋体" w:hAnsi="宋体" w:eastAsia="宋体" w:cs="宋体"/>
          <w:color w:val="auto"/>
          <w:sz w:val="23"/>
          <w:szCs w:val="23"/>
          <w:highlight w:val="none"/>
          <w:lang w:eastAsia="zh-CN"/>
        </w:rPr>
        <w:t>组件</w:t>
      </w:r>
      <w:r>
        <w:rPr>
          <w:rFonts w:hint="eastAsia" w:ascii="宋体" w:hAnsi="宋体" w:eastAsia="宋体" w:cs="宋体"/>
          <w:color w:val="auto"/>
          <w:sz w:val="23"/>
          <w:szCs w:val="23"/>
          <w:highlight w:val="none"/>
        </w:rPr>
        <w:t>发运前10天，需将准备发运的</w:t>
      </w:r>
      <w:r>
        <w:rPr>
          <w:rFonts w:hint="eastAsia" w:ascii="宋体" w:hAnsi="宋体" w:eastAsia="宋体" w:cs="宋体"/>
          <w:color w:val="auto"/>
          <w:sz w:val="23"/>
          <w:szCs w:val="23"/>
          <w:highlight w:val="none"/>
          <w:lang w:eastAsia="zh-CN"/>
        </w:rPr>
        <w:t>组件</w:t>
      </w:r>
      <w:r>
        <w:rPr>
          <w:rFonts w:hint="eastAsia" w:ascii="宋体" w:hAnsi="宋体" w:eastAsia="宋体" w:cs="宋体"/>
          <w:color w:val="auto"/>
          <w:sz w:val="23"/>
          <w:szCs w:val="23"/>
          <w:highlight w:val="none"/>
        </w:rPr>
        <w:t>名称、规格、数量、包装箱件数、每件包装箱的尺码、毛重及对货物的卸车、贮存的特殊要求以传真的形式通知</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，以便接货。</w:t>
      </w:r>
      <w:r>
        <w:rPr>
          <w:rFonts w:hint="eastAsia" w:ascii="宋体" w:hAnsi="宋体" w:eastAsia="宋体" w:cs="宋体"/>
          <w:color w:val="auto"/>
          <w:sz w:val="23"/>
          <w:szCs w:val="23"/>
          <w:highlight w:val="none"/>
          <w:lang w:eastAsia="zh-CN"/>
        </w:rPr>
        <w:t>甲方</w:t>
      </w:r>
      <w:r>
        <w:rPr>
          <w:rFonts w:hint="eastAsia" w:ascii="宋体" w:hAnsi="宋体" w:eastAsia="宋体" w:cs="宋体"/>
          <w:color w:val="auto"/>
          <w:sz w:val="23"/>
          <w:szCs w:val="23"/>
          <w:highlight w:val="none"/>
        </w:rPr>
        <w:t>只协助</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接货。</w:t>
      </w:r>
      <w:r>
        <w:rPr>
          <w:rFonts w:hint="eastAsia" w:ascii="宋体" w:hAnsi="宋体" w:eastAsia="宋体" w:cs="宋体"/>
          <w:color w:val="auto"/>
          <w:sz w:val="23"/>
          <w:szCs w:val="23"/>
          <w:highlight w:val="none"/>
          <w:lang w:eastAsia="zh-CN"/>
        </w:rPr>
        <w:t>卸</w:t>
      </w:r>
      <w:r>
        <w:rPr>
          <w:rFonts w:hint="eastAsia" w:ascii="宋体" w:hAnsi="宋体" w:eastAsia="宋体" w:cs="宋体"/>
          <w:color w:val="auto"/>
          <w:sz w:val="23"/>
          <w:szCs w:val="23"/>
          <w:highlight w:val="none"/>
        </w:rPr>
        <w:t>货、清点、搬运、保管、安装调试、试运行等均由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负责，并承担相应费用。</w:t>
      </w:r>
    </w:p>
    <w:bookmarkEnd w:id="62"/>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rPr>
        <w:t>运输及装卸保险</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货物在装运前由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投保，一旦货物在装卸、运输过程中发生损坏或短缺，由</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负责索赔。</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保证在确认货物因装卸、运输中发生损坏或短缺后，尽快给予调换、修复和补齐缺件，不管其造成的原因如何，也不以办理索赔为由而拖延。</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lang w:eastAsia="zh-CN"/>
        </w:rPr>
        <w:t>）乙方</w:t>
      </w:r>
      <w:r>
        <w:rPr>
          <w:rFonts w:hint="eastAsia" w:ascii="宋体" w:hAnsi="宋体" w:eastAsia="宋体" w:cs="宋体"/>
          <w:color w:val="auto"/>
          <w:sz w:val="23"/>
          <w:szCs w:val="23"/>
          <w:highlight w:val="none"/>
        </w:rPr>
        <w:t>工作人员及</w:t>
      </w:r>
      <w:r>
        <w:rPr>
          <w:rFonts w:hint="eastAsia" w:ascii="宋体" w:hAnsi="宋体" w:eastAsia="宋体" w:cs="宋体"/>
          <w:color w:val="auto"/>
          <w:sz w:val="23"/>
          <w:szCs w:val="23"/>
          <w:highlight w:val="none"/>
          <w:lang w:eastAsia="zh-CN"/>
        </w:rPr>
        <w:t>组件</w:t>
      </w:r>
      <w:r>
        <w:rPr>
          <w:rFonts w:hint="eastAsia" w:ascii="宋体" w:hAnsi="宋体" w:eastAsia="宋体" w:cs="宋体"/>
          <w:color w:val="auto"/>
          <w:sz w:val="23"/>
          <w:szCs w:val="23"/>
          <w:highlight w:val="none"/>
        </w:rPr>
        <w:t>进场时，应遵守交货现场环境卫生管理、安全管理的有关规定，配备相应的环境保护及安全措施。承担因自身原因违反有关规定而导致的所有责任。</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7.人员培训</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乙方免费对甲方的操作、维修人员在厂方或使用地进行技术培训。组件交货时乙方向甲方提供组件技术资料、图纸和甲方认为有必要提供的其他技术资料。</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乙方应针对项目系统中的不同操作角色对使用方的人员进行相应的培训，培训的目标是使使用方能熟练使用和维护该系统，培训具体形式应至少包括集中的基础理论、系统日常管理、运维等内容，培训至熟练使用。</w:t>
      </w:r>
    </w:p>
    <w:p>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乙方必须为所有被培训人员提供培训用文字资料和讲义等相关用品。所有的资料必须是中文书写。</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8.质量、技术标准</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组件的制造、安装、验收标准及技术规范，必须符合中国国家标准，或甲方认可的其他标准。乙方必须保证交货产品各项性能不得低于中国国家标准或甲方认可的其他标准，甲方随时有抽检及送检产品的权利，检验机构为政府法定检验机构。对于产品的任何技术及质量不合格，乙方承担检测费用，甲方有权拒收、部分拒收、退货、部分退货直至解除本合同，追究乙方违约责任，并要求乙方支付承担因此造成的所有损失。因此造成工期违约的，同时承担工期违约的违约责任。</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（2）未经甲方同意，乙方不得擅自更改或换用投标产品的零部件或配件，否则，乙方承担由此发生的费用，并赔偿甲方的有关损失，延误的供货日期不予顺延。</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 xml:space="preserve">9.设备、材料检验 </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甲方认为有必要在组件制造过程中派人到生产厂监制，乙方应予以积极配合并对监制或预验收工作提供方便并承担相关费用。</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在第一批组件供货之前，甲方到乙方的组件制造厂进行样品审核，乙方应积极配合并对甲方的工作提供方便并承担相关费用。</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所有的货物备进场时须同时提供货物出厂合格证书、检测报告。国外生产的必须有合法的进货渠道证明，如海关报关单、原产地证明、商检证明等。</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样品的报送与封存：需要乙方报送样品的材料或工程组件，样品的种类、名称、规格、数量要求：以符合设计和规范要求为原则。a、一般材料由甲方、监理看样认可后自行采购；主要组件应由甲方和监理共同看样定货认可后采购。b 、所有材料必须有质保书和合格证，经认证许可，并符合施工图纸和规范要求，若材料质量不符合规定要求，乙方无条件退换并承担返工损失及工期、质量违约责任 。</w:t>
      </w:r>
    </w:p>
    <w:p>
      <w:pPr>
        <w:spacing w:line="360" w:lineRule="auto"/>
        <w:ind w:firstLine="460" w:firstLineChars="200"/>
        <w:jc w:val="both"/>
        <w:rPr>
          <w:rFonts w:hint="eastAsia" w:ascii="宋体" w:hAnsi="宋体" w:eastAsia="宋体" w:cs="宋体"/>
          <w:color w:val="auto"/>
          <w:sz w:val="23"/>
          <w:szCs w:val="23"/>
          <w:highlight w:val="none"/>
          <w:lang w:val="en-US" w:eastAsia="zh-CN"/>
        </w:rPr>
      </w:pPr>
      <w:bookmarkStart w:id="63" w:name="_Toc812"/>
      <w:r>
        <w:rPr>
          <w:rFonts w:hint="eastAsia" w:ascii="宋体" w:hAnsi="宋体" w:eastAsia="宋体" w:cs="宋体"/>
          <w:color w:val="auto"/>
          <w:sz w:val="23"/>
          <w:szCs w:val="23"/>
          <w:highlight w:val="none"/>
          <w:lang w:val="en-US" w:eastAsia="zh-CN"/>
        </w:rPr>
        <w:t>10.设备的安装、调试</w:t>
      </w:r>
      <w:bookmarkEnd w:id="63"/>
      <w:r>
        <w:rPr>
          <w:rFonts w:hint="eastAsia" w:ascii="宋体" w:hAnsi="宋体" w:eastAsia="宋体" w:cs="宋体"/>
          <w:color w:val="auto"/>
          <w:sz w:val="23"/>
          <w:szCs w:val="23"/>
          <w:highlight w:val="none"/>
          <w:lang w:val="en-US" w:eastAsia="zh-CN"/>
        </w:rPr>
        <w:t>、试运行</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（1）合同所订的货物到达甲方指定地点后，乙方应在收到甲方通知后2天内，及时派人前往组件交货地点对组件进行安装调试。</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（2）乙方人员在安装及组件调试期间，所有费用由乙方负责。</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（3）乙方应在组件安装完毕后的5日内完成组件调试工作；调试完毕后须经过三个月的试运行。如因乙方责任而造成的延期，所有因安装延期而产生的费用由乙方负担并乙方应承担相应的违约责任。</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安装完毕后，乙方应派遣有经验的工程技术人员进行组件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组件安装调试前一周提出需配合工作人员的工种、人数等计划书交与甲方，以便甲方提前做好准备，确保整个工程顺利进行。甲方组织相关专家进行验收，验收人员、会务等相关的一切费用，由乙方负责。</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11.设备验收</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（1）乙方在合同签订后7天内应提供验收大纲和验收标准供甲方参考，经甲方确认后，作为验收的依据。</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（2）开箱检查：组件到达现场后，乙方派人到现场与甲方一起检查，组件的数量、规格、外观质量、其余资料（包括但不限于组件参数等）需</w:t>
      </w:r>
      <w:r>
        <w:rPr>
          <w:rFonts w:hint="eastAsia" w:ascii="宋体" w:hAnsi="宋体" w:eastAsia="宋体" w:cs="宋体"/>
          <w:color w:val="auto"/>
          <w:sz w:val="23"/>
          <w:szCs w:val="23"/>
          <w:highlight w:val="none"/>
        </w:rPr>
        <w:t>符合合同约定、满足使用需求的关键环节</w:t>
      </w:r>
      <w:r>
        <w:rPr>
          <w:rFonts w:hint="eastAsia" w:ascii="宋体" w:hAnsi="宋体" w:eastAsia="宋体" w:cs="宋体"/>
          <w:color w:val="auto"/>
          <w:sz w:val="23"/>
          <w:szCs w:val="23"/>
          <w:highlight w:val="none"/>
          <w:lang w:val="en-US" w:eastAsia="zh-CN"/>
        </w:rPr>
        <w:t>并进行纸质记录。</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（3）单项验收：</w:t>
      </w:r>
    </w:p>
    <w:p>
      <w:pPr>
        <w:spacing w:line="360" w:lineRule="auto"/>
        <w:ind w:firstLine="460" w:firstLineChars="200"/>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在</w:t>
      </w:r>
      <w:r>
        <w:rPr>
          <w:rFonts w:hint="eastAsia" w:ascii="宋体" w:hAnsi="宋体" w:eastAsia="宋体" w:cs="宋体"/>
          <w:color w:val="auto"/>
          <w:sz w:val="23"/>
          <w:szCs w:val="23"/>
          <w:highlight w:val="none"/>
          <w:lang w:eastAsia="zh-CN"/>
        </w:rPr>
        <w:t>组件</w:t>
      </w:r>
      <w:r>
        <w:rPr>
          <w:rFonts w:hint="eastAsia" w:ascii="宋体" w:hAnsi="宋体" w:eastAsia="宋体" w:cs="宋体"/>
          <w:color w:val="auto"/>
          <w:sz w:val="23"/>
          <w:szCs w:val="23"/>
          <w:highlight w:val="none"/>
        </w:rPr>
        <w:t>安装调试完成后、系统正式交付前，对</w:t>
      </w:r>
      <w:r>
        <w:rPr>
          <w:rFonts w:hint="eastAsia" w:ascii="宋体" w:hAnsi="宋体" w:eastAsia="宋体" w:cs="宋体"/>
          <w:color w:val="auto"/>
          <w:sz w:val="23"/>
          <w:szCs w:val="23"/>
          <w:highlight w:val="none"/>
          <w:lang w:val="en-US" w:eastAsia="zh-CN"/>
        </w:rPr>
        <w:t>组件及</w:t>
      </w:r>
      <w:r>
        <w:rPr>
          <w:rFonts w:hint="eastAsia" w:ascii="宋体" w:hAnsi="宋体" w:eastAsia="宋体" w:cs="宋体"/>
          <w:color w:val="auto"/>
          <w:sz w:val="23"/>
          <w:szCs w:val="23"/>
          <w:highlight w:val="none"/>
        </w:rPr>
        <w:t>系统功能完整性、性能达标性、运行稳定性及文档规范性进行综合性</w:t>
      </w:r>
      <w:r>
        <w:rPr>
          <w:rFonts w:hint="eastAsia" w:ascii="宋体" w:hAnsi="宋体" w:eastAsia="宋体" w:cs="宋体"/>
          <w:color w:val="auto"/>
          <w:sz w:val="23"/>
          <w:szCs w:val="23"/>
          <w:highlight w:val="none"/>
          <w:lang w:val="en-US" w:eastAsia="zh-CN"/>
        </w:rPr>
        <w:t>初步验收。</w:t>
      </w:r>
    </w:p>
    <w:p>
      <w:pPr>
        <w:numPr>
          <w:ilvl w:val="0"/>
          <w:numId w:val="4"/>
        </w:numPr>
        <w:spacing w:line="360" w:lineRule="auto"/>
        <w:ind w:firstLine="460" w:firstLineChars="200"/>
        <w:jc w:val="both"/>
        <w:rPr>
          <w:rFonts w:hint="eastAsia" w:ascii="宋体" w:hAnsi="宋体" w:eastAsia="宋体" w:cs="宋体"/>
          <w:color w:val="auto"/>
          <w:sz w:val="23"/>
          <w:szCs w:val="23"/>
          <w:highlight w:val="none"/>
          <w:lang w:val="en-US" w:eastAsia="zh-CN"/>
        </w:rPr>
      </w:pPr>
      <w:bookmarkStart w:id="64" w:name="_Toc8150"/>
      <w:r>
        <w:rPr>
          <w:rFonts w:hint="eastAsia" w:ascii="宋体" w:hAnsi="宋体" w:eastAsia="宋体" w:cs="宋体"/>
          <w:color w:val="auto"/>
          <w:sz w:val="23"/>
          <w:szCs w:val="23"/>
          <w:highlight w:val="none"/>
          <w:lang w:val="en-US" w:eastAsia="zh-CN"/>
        </w:rPr>
        <w:t>质保及维修</w:t>
      </w:r>
      <w:bookmarkEnd w:id="64"/>
    </w:p>
    <w:p>
      <w:pPr>
        <w:numPr>
          <w:ilvl w:val="0"/>
          <w:numId w:val="0"/>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（1）本项目质保期为试运行3个月并提交整体验收合格之日起至少24个月（提供厂家及乙方盖章承诺）；</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（2）质保期内如无问题，则在质保期满时，由乙方提交质保期验收申请，验收由甲方签字认可。</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（3）在项目质保期内，因组件本身的缺陷导致各种故障，乙方应负责组件维修更换，若无法维修的则负责免费更换产品，更换后的产品的质量保证期为更换后的产品使用之日起24个月。</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（4）如组件在质保期后发生故障，乙方在收到甲方的书面维修通知后，应及时给予响应。在质保期内的工作应包括对所有设备每月至少1次的常规检查、调整和润滑。</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（5）乙方在投标文件中所承诺的辅材、配件价格作为本合同的有效组成部分。</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（6）乙方应按法律、行政法规或国家关于设备质量保修的有关规定，对交付甲方使用的设备在质量保修期内承担质量保修责任。</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（7）无论在质量保证期内还是质量保证期满后，一旦设备发生故障，而甲方无法自行排除时，乙方须在接到甲方通知后24小时内赶到现场维修并及时提供备品、备件，并于4小时内完成维修</w:t>
      </w:r>
      <w:r>
        <w:rPr>
          <w:rFonts w:hint="eastAsia" w:ascii="宋体" w:hAnsi="宋体" w:eastAsia="宋体" w:cs="宋体"/>
          <w:color w:val="auto"/>
          <w:kern w:val="0"/>
          <w:sz w:val="23"/>
          <w:szCs w:val="23"/>
          <w:highlight w:val="none"/>
        </w:rPr>
        <w:t>，特殊情况</w:t>
      </w:r>
      <w:r>
        <w:rPr>
          <w:rFonts w:hint="eastAsia" w:ascii="宋体" w:hAnsi="宋体" w:eastAsia="宋体" w:cs="宋体"/>
          <w:color w:val="auto"/>
          <w:kern w:val="0"/>
          <w:sz w:val="23"/>
          <w:szCs w:val="23"/>
          <w:highlight w:val="none"/>
          <w:lang w:eastAsia="zh-CN"/>
        </w:rPr>
        <w:t>经</w:t>
      </w:r>
      <w:r>
        <w:rPr>
          <w:rFonts w:hint="eastAsia" w:ascii="宋体" w:hAnsi="宋体" w:eastAsia="宋体" w:cs="宋体"/>
          <w:color w:val="auto"/>
          <w:kern w:val="0"/>
          <w:sz w:val="23"/>
          <w:szCs w:val="23"/>
          <w:highlight w:val="none"/>
        </w:rPr>
        <w:t>采购人同意后可延迟</w:t>
      </w:r>
      <w:r>
        <w:rPr>
          <w:rFonts w:hint="eastAsia" w:ascii="宋体" w:hAnsi="宋体" w:eastAsia="宋体" w:cs="宋体"/>
          <w:color w:val="auto"/>
          <w:sz w:val="23"/>
          <w:szCs w:val="23"/>
          <w:highlight w:val="none"/>
          <w:lang w:val="en-US" w:eastAsia="zh-CN"/>
        </w:rPr>
        <w:t>。</w:t>
      </w:r>
    </w:p>
    <w:p>
      <w:pPr>
        <w:snapToGrid/>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8）乙方承诺，无论故障责任归属乙方或其他方，在接到通知后，均须无条件遵守本合同约定的时限要求开展维修工作，并在维修过程中与甲方及管理方共同取证，以判断责任原因，经核实不属乙方责任的，相关维修材料及人工费用由责任方承担并支付给乙方。质保期内，若乙方未按甲方要求及时响应，且未遵照本合同约定履行质保服务义务的，每发生一次，甲方有权对乙方处以5000元整的违约金。</w:t>
      </w:r>
    </w:p>
    <w:p>
      <w:pPr>
        <w:pStyle w:val="2"/>
        <w:spacing w:line="360" w:lineRule="auto"/>
        <w:rPr>
          <w:rFonts w:hint="eastAsia" w:ascii="宋体" w:hAnsi="宋体" w:eastAsia="宋体" w:cs="宋体"/>
          <w:color w:val="auto"/>
          <w:spacing w:val="0"/>
          <w:kern w:val="2"/>
          <w:sz w:val="23"/>
          <w:szCs w:val="23"/>
          <w:highlight w:val="none"/>
          <w:lang w:val="en-US" w:eastAsia="zh-CN" w:bidi="ar-SA"/>
        </w:rPr>
      </w:pPr>
      <w:r>
        <w:rPr>
          <w:rFonts w:hint="eastAsia" w:ascii="宋体" w:hAnsi="宋体" w:eastAsia="宋体" w:cs="宋体"/>
          <w:color w:val="auto"/>
          <w:spacing w:val="0"/>
          <w:kern w:val="2"/>
          <w:sz w:val="23"/>
          <w:szCs w:val="23"/>
          <w:highlight w:val="none"/>
          <w:lang w:val="en-US" w:eastAsia="zh-CN" w:bidi="ar-SA"/>
        </w:rPr>
        <w:t>（9）质保期内，光伏安装区域屋面因乙方施工、安装原因发生渗漏的，由乙方无偿维修并承担全部相关费用。乙方</w:t>
      </w:r>
      <w:r>
        <w:rPr>
          <w:rFonts w:hint="eastAsia" w:ascii="宋体" w:hAnsi="宋体" w:eastAsia="宋体" w:cs="宋体"/>
          <w:color w:val="auto"/>
          <w:sz w:val="23"/>
          <w:szCs w:val="23"/>
          <w:highlight w:val="none"/>
          <w:lang w:val="en-US" w:eastAsia="zh-CN"/>
        </w:rPr>
        <w:t>须在接到甲方通知后24小时内赶到现场勘查漏水点，等待天气晴朗后5天内完成维修工作。因乙方未及时维修或维修不合格造成甲方损失的，乙方应予全额赔偿。</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13.安全要求：</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乙方在实施作业期间，必须做好安全生产工作。实施过程中，必须严格按照安全程序进行，同时应做好加强安全教育和安全监督，确保不出现各类安全事故。接受行业监督人员依法实施的检查和监督，乙方在所属现场施工期间，所发生的一切安全问题和治安问题由乙方负责。</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（2）乙方在实施过程中应采取必要的安全防护和消防措施，保障作业人员及出入施工现场人员的安全。乙方应为施工人员办理所需的工伤等保险，费用由乙方自行负责。</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乙方在实施过程中如发生质量事故责任全部自行承担，及时报告甲方。做到及时查清事故原因，分清事故责任，并采取有效的补救措施。一般质量事故的处理方案应送甲方共同研究实施；重大质量事故的处理按国家相关条例执行。</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（4）本项目合同期内出现的作业人员或因乙方原因引起的第三方人员、财务损失，造成的责任和因此发生的费用，由乙方承担。</w:t>
      </w:r>
    </w:p>
    <w:p>
      <w:pPr>
        <w:spacing w:line="360" w:lineRule="auto"/>
        <w:ind w:firstLine="460" w:firstLineChars="200"/>
        <w:jc w:val="both"/>
        <w:rPr>
          <w:rFonts w:hint="eastAsia" w:ascii="宋体" w:hAnsi="宋体" w:eastAsia="宋体" w:cs="宋体"/>
          <w:sz w:val="23"/>
          <w:szCs w:val="23"/>
          <w:highlight w:val="none"/>
          <w:lang w:val="en-US" w:eastAsia="zh-CN"/>
        </w:rPr>
      </w:pPr>
      <w:r>
        <w:rPr>
          <w:rFonts w:hint="eastAsia" w:ascii="宋体" w:hAnsi="宋体" w:eastAsia="宋体" w:cs="宋体"/>
          <w:color w:val="auto"/>
          <w:sz w:val="23"/>
          <w:szCs w:val="23"/>
          <w:highlight w:val="none"/>
          <w:lang w:val="en-US" w:eastAsia="zh-CN"/>
        </w:rPr>
        <w:t>（5）本项目实施过程中，由乙方引起的管线、线路等损坏由乙方承担相应的责任和损失。</w:t>
      </w:r>
    </w:p>
    <w:p>
      <w:pPr>
        <w:spacing w:line="360" w:lineRule="auto"/>
        <w:ind w:firstLine="460" w:firstLineChars="200"/>
        <w:jc w:val="both"/>
        <w:rPr>
          <w:rFonts w:hint="eastAsia" w:ascii="宋体" w:hAnsi="宋体" w:eastAsia="宋体" w:cs="宋体"/>
          <w:color w:val="auto"/>
          <w:sz w:val="23"/>
          <w:szCs w:val="23"/>
          <w:highlight w:val="none"/>
          <w:lang w:val="en-US" w:eastAsia="zh-CN"/>
        </w:rPr>
      </w:pPr>
      <w:bookmarkStart w:id="65" w:name="_Toc10358"/>
      <w:r>
        <w:rPr>
          <w:rFonts w:hint="eastAsia" w:ascii="宋体" w:hAnsi="宋体" w:eastAsia="宋体" w:cs="宋体"/>
          <w:color w:val="auto"/>
          <w:sz w:val="23"/>
          <w:szCs w:val="23"/>
          <w:highlight w:val="none"/>
          <w:lang w:val="en-US" w:eastAsia="zh-CN"/>
        </w:rPr>
        <w:t>14.违约责任</w:t>
      </w:r>
      <w:bookmarkEnd w:id="65"/>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合同约定工期节点的，每逾期一天，乙方按2000元/天向甲方支付违约金；逾期超过30天的，乙方按4000元/天向甲方支付违约金直至扣除全部的履约保证金且甲方有权解除合同，乙方承担所有的违约责任并承担由此造成的甲方的全部损失。乙方总工期超过本合同约定期限的，按照逾期交货承担违约责任。</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乙方交付的货品不能满足招标文件及合同主要技术标准及质量要求的，应按照要求更换、重做、修理直至按照甲方的要求退货并每发生一次，乙方应向甲方支付违约金2000元，累计发生3次（含）以上的，甲方有权解除本合同、甲方有权没收全部的履约保证金，乙方承担全部的违约责任并乙方应承担因此造成的甲方的所有损失。</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（3）乙方接受甲方对供货期调整的要求，具体方式为：甲方提前十五天发出由甲方代表签发的书面通知，乙方进行书面确认后即可执行，对此甲方不承担违约责任。</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如果乙方对本合同的执行敷衍了事，或忽视履行本合同约定的乙方任何工作及责任，而且从甲方发出书面要求其改正之日起30日内仍未采取有效措施并体现效果的，甲方有权解除本合同，并书面通知乙方，由此造成的经济损失，甲方有权在给乙方的任何款项中先行提取补偿，不足部分乙方仍应予以赔偿。</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（5）因乙方原因解除本合同时，乙方应向甲方支付签约合同价款20%的违约金，且甲方有权决定是否接受属于乙方在现场的一切设施、设备、材料使用于本工程，并乙方应承担由此造成的甲方的全部损失。</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若需分包，需经甲方同意后方可分包；未经甲方书面同意，乙方将本合同的权利、义务以任何形式全部或部分转让他人的，甲方有权解除本合同、没收全部的履约保证金，乙方应按照附件二中约定的相关标准向甲方支付违约金，并赔偿由此造成的甲方的全部损失。</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（7）因乙方原因延误工期给甲方造成损失的（包括但不限于直接损失与间接损失）均由乙方承担相应责任及费用，甲方有权从乙方工程款中扣除相应费用，不足部分甲方有权追偿。</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8）因乙方原因造成本项目工程单项或整体验收不合格或验收标准的，甲方有权没收乙方缴纳的履约保证金，同时由此产生的一切责任与费用均由乙方承担，甲方有权在乙方工程款中扣除相应费用，不足部分甲方有权追偿。</w:t>
      </w:r>
    </w:p>
    <w:p>
      <w:pPr>
        <w:numPr>
          <w:ilvl w:val="0"/>
          <w:numId w:val="0"/>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（9）若发生本合同附件二所列违约情形，乙方应支付的违约金数额，严格按照附件二对应表格约定的标准执行。</w:t>
      </w:r>
    </w:p>
    <w:p>
      <w:pPr>
        <w:spacing w:line="360" w:lineRule="auto"/>
        <w:ind w:firstLine="460" w:firstLineChars="200"/>
        <w:jc w:val="both"/>
        <w:rPr>
          <w:rFonts w:hint="eastAsia" w:ascii="宋体" w:hAnsi="宋体" w:eastAsia="宋体" w:cs="宋体"/>
          <w:color w:val="auto"/>
          <w:sz w:val="23"/>
          <w:szCs w:val="23"/>
          <w:highlight w:val="none"/>
          <w:lang w:val="en-US" w:eastAsia="zh-CN"/>
        </w:rPr>
      </w:pPr>
      <w:bookmarkStart w:id="66" w:name="_Toc18664"/>
      <w:r>
        <w:rPr>
          <w:rFonts w:hint="eastAsia" w:ascii="宋体" w:hAnsi="宋体" w:eastAsia="宋体" w:cs="宋体"/>
          <w:color w:val="auto"/>
          <w:sz w:val="23"/>
          <w:szCs w:val="23"/>
          <w:highlight w:val="none"/>
          <w:lang w:val="en-US" w:eastAsia="zh-CN"/>
        </w:rPr>
        <w:t>15.其他</w:t>
      </w:r>
      <w:bookmarkEnd w:id="66"/>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（1）乙方提出使用其他专利技术或特殊工艺，应取得甲方和监理单位认可，乙方负责办理许可手续并承担有关费用。</w:t>
      </w:r>
    </w:p>
    <w:p>
      <w:p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（2）乙方擅自使用专利技术侵犯他人专利权的因此产生的侵权纠纷，由乙方自行承担并每发生一次，乙方应向甲方支付违约金 50000 元，如造成甲方损失的，甲方有权全额向乙方追索且甲方有权视情形解除本合同。</w:t>
      </w:r>
    </w:p>
    <w:p>
      <w:pPr>
        <w:spacing w:line="360" w:lineRule="auto"/>
        <w:ind w:firstLine="460" w:firstLineChars="200"/>
        <w:jc w:val="both"/>
        <w:rPr>
          <w:rFonts w:hint="eastAsia" w:ascii="宋体" w:hAnsi="宋体" w:eastAsia="宋体" w:cs="宋体"/>
          <w:strike/>
          <w:dstrike w:val="0"/>
          <w:color w:val="auto"/>
          <w:sz w:val="23"/>
          <w:szCs w:val="23"/>
          <w:highlight w:val="none"/>
          <w:lang w:val="en-US" w:eastAsia="zh-CN"/>
        </w:rPr>
      </w:pPr>
      <w:r>
        <w:rPr>
          <w:rFonts w:hint="eastAsia" w:ascii="宋体" w:hAnsi="宋体" w:eastAsia="宋体" w:cs="宋体"/>
          <w:color w:val="auto"/>
          <w:sz w:val="23"/>
          <w:szCs w:val="23"/>
          <w:highlight w:val="none"/>
          <w:lang w:val="en-US" w:eastAsia="zh-CN"/>
        </w:rPr>
        <w:t>特别注明：本项目所有涉及到的方案或者深化图纸及变更都需经甲方书面确认并同意后实施</w:t>
      </w:r>
      <w:r>
        <w:rPr>
          <w:rFonts w:hint="eastAsia" w:ascii="宋体" w:hAnsi="宋体" w:eastAsia="宋体" w:cs="宋体"/>
          <w:strike w:val="0"/>
          <w:dstrike w:val="0"/>
          <w:color w:val="auto"/>
          <w:sz w:val="23"/>
          <w:szCs w:val="23"/>
          <w:highlight w:val="none"/>
          <w:lang w:val="en-US" w:eastAsia="zh-CN"/>
        </w:rPr>
        <w:t>。</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乙方作业人员年龄必须在18岁-55岁之间；作业人员需身体健康，无恐高症、高血压、心脏病等危险疾病（需要提供当年有关健康报告）；特种作业人员及施工机械操作人员需取得国家相应上岗证书（复印件留档）。</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乙方应约束本合同项下所有作业人员，严禁在工作时间、正常工作日午餐及午休时段饮酒（无论是否在工作场所内），每查实一次，乙方支付甲方违约金5000元。若因此造成安全事故、工期延误或甲方损失的，乙方除支付违约金外，还需承担全部赔偿及相关违约责任。</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本项目不得转包，甲方发现乙方转包或违法分包时，可要求其改正，拒不改正的，可终止合同。</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本项目合同签订前，乙方必须提供该项目现场项目负责人及项目施工管理班组成员名单；甲方严格审查项目负责人及项目施工管理班组成员有无不良行为或不良记录，若被甲方查实有类似情节的，甲方有权责令中标方更换涉及到的人员。</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未经甲方书面同意，擅自超过标底工程量施工（即多做）的，超出部分甲方在结算时有权不予计量，且乙方不得因此拆除、挖除或拔除超过部分的工程实体，如乙方强行拆除、挖除或拔除的，由此造成的损失，甲方有权在支付时进行双倍扣除。</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本项目完结后，乙方应提供存档及各类相关验收工程送审所需的全部竣工技术资料、竣工图及结算资料，并作为付款的必要条件（具体份数由甲方明确）投标时需考虑此项费用。</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项目竣工验收后使用过程中，若发生因施工质量原因引起的任何问题甲方有权向乙方追究法律责任。</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因质量、安全或文明施工等问题被甲方、上级部门、审计部门或主管部门等有关部门通报的，甲方有权要求乙方无条件进行整改并承担由此产生的一切费用。</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zh-TW" w:eastAsia="zh-CN"/>
        </w:rPr>
      </w:pPr>
      <w:r>
        <w:rPr>
          <w:rFonts w:hint="eastAsia" w:ascii="宋体" w:hAnsi="宋体" w:eastAsia="宋体" w:cs="宋体"/>
          <w:color w:val="auto"/>
          <w:sz w:val="23"/>
          <w:szCs w:val="23"/>
          <w:highlight w:val="none"/>
          <w:lang w:val="en-US" w:eastAsia="zh-CN"/>
        </w:rPr>
        <w:t>项目</w:t>
      </w:r>
      <w:r>
        <w:rPr>
          <w:rFonts w:hint="eastAsia" w:ascii="宋体" w:hAnsi="宋体" w:eastAsia="宋体" w:cs="宋体"/>
          <w:color w:val="auto"/>
          <w:sz w:val="23"/>
          <w:szCs w:val="23"/>
          <w:highlight w:val="none"/>
          <w:lang w:val="zh-TW" w:eastAsia="zh-CN"/>
        </w:rPr>
        <w:t>管理：</w:t>
      </w:r>
      <w:r>
        <w:rPr>
          <w:rFonts w:hint="eastAsia" w:ascii="宋体" w:hAnsi="宋体" w:eastAsia="宋体" w:cs="宋体"/>
          <w:color w:val="auto"/>
          <w:sz w:val="23"/>
          <w:szCs w:val="23"/>
          <w:highlight w:val="none"/>
          <w:lang w:val="zh-TW" w:eastAsia="zh-TW"/>
        </w:rPr>
        <w:t>每项工程</w:t>
      </w:r>
      <w:r>
        <w:rPr>
          <w:rFonts w:hint="eastAsia" w:ascii="宋体" w:hAnsi="宋体" w:eastAsia="宋体" w:cs="宋体"/>
          <w:color w:val="auto"/>
          <w:sz w:val="23"/>
          <w:szCs w:val="23"/>
          <w:highlight w:val="none"/>
          <w:lang w:val="zh-TW" w:eastAsia="zh-CN"/>
        </w:rPr>
        <w:t>根据甲方</w:t>
      </w:r>
      <w:r>
        <w:rPr>
          <w:rFonts w:hint="eastAsia" w:ascii="宋体" w:hAnsi="宋体" w:eastAsia="宋体" w:cs="宋体"/>
          <w:color w:val="auto"/>
          <w:sz w:val="23"/>
          <w:szCs w:val="23"/>
          <w:highlight w:val="none"/>
          <w:lang w:val="en-US" w:eastAsia="zh-CN"/>
        </w:rPr>
        <w:t>管理办法做好安全文明施工措施，根据甲方要求</w:t>
      </w:r>
      <w:r>
        <w:rPr>
          <w:rFonts w:hint="eastAsia" w:ascii="宋体" w:hAnsi="宋体" w:eastAsia="宋体" w:cs="宋体"/>
          <w:color w:val="auto"/>
          <w:sz w:val="23"/>
          <w:szCs w:val="23"/>
          <w:highlight w:val="none"/>
          <w:lang w:val="zh-TW" w:eastAsia="zh-CN"/>
        </w:rPr>
        <w:t>及时上报各项资料，获得甲方批准后才能进入下一步施工环节；每项工程验收合格后必须做好工完场清工作，验收合格5个工作日内乙方必须提供由项目经理及加盖公司印章的工程量确认单交甲方管理人员审核。</w:t>
      </w:r>
      <w:r>
        <w:rPr>
          <w:rFonts w:hint="eastAsia" w:ascii="宋体" w:hAnsi="宋体" w:eastAsia="宋体" w:cs="宋体"/>
          <w:color w:val="auto"/>
          <w:sz w:val="23"/>
          <w:szCs w:val="23"/>
          <w:highlight w:val="none"/>
          <w:lang w:val="en-US" w:eastAsia="zh-CN"/>
        </w:rPr>
        <w:t>验收合格后20个工作日内未递交工程量确认单，本项货款不予支付，</w:t>
      </w:r>
      <w:r>
        <w:rPr>
          <w:rFonts w:hint="eastAsia" w:ascii="宋体" w:hAnsi="宋体" w:eastAsia="宋体" w:cs="宋体"/>
          <w:color w:val="auto"/>
          <w:sz w:val="23"/>
          <w:szCs w:val="23"/>
          <w:highlight w:val="none"/>
          <w:lang w:val="zh-TW" w:eastAsia="zh-CN"/>
        </w:rPr>
        <w:t>性质特别恶劣的甲方有权终止合同履行，并上报区公管办。</w:t>
      </w:r>
    </w:p>
    <w:p>
      <w:pPr>
        <w:numPr>
          <w:ilvl w:val="0"/>
          <w:numId w:val="5"/>
        </w:numPr>
        <w:spacing w:line="360" w:lineRule="auto"/>
        <w:ind w:firstLine="460" w:firstLineChars="200"/>
        <w:jc w:val="both"/>
        <w:rPr>
          <w:rFonts w:hint="eastAsia" w:ascii="宋体" w:hAnsi="宋体" w:eastAsia="宋体" w:cs="宋体"/>
          <w:sz w:val="23"/>
          <w:szCs w:val="23"/>
          <w:highlight w:val="none"/>
          <w:lang w:val="zh-TW" w:eastAsia="zh-CN"/>
        </w:rPr>
      </w:pPr>
      <w:r>
        <w:rPr>
          <w:rFonts w:hint="eastAsia" w:ascii="宋体" w:hAnsi="宋体" w:eastAsia="宋体" w:cs="宋体"/>
          <w:color w:val="auto"/>
          <w:sz w:val="23"/>
          <w:szCs w:val="23"/>
          <w:highlight w:val="none"/>
          <w:lang w:val="en-US" w:eastAsia="zh-CN"/>
        </w:rPr>
        <w:t>施工临时用房场地由甲方统一安排，乙方须按甲方要求搭建施工用房，施工水源、电源由甲方负责提供，乙方须自备标准电箱，规范接电操作，每项工程须记录用电量，施工发生的水、电费由乙方承担。</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本招标文件、招标答疑会纪要、投标书作为合同附件，具有法律效力。</w:t>
      </w:r>
    </w:p>
    <w:p>
      <w:pPr>
        <w:numPr>
          <w:ilvl w:val="0"/>
          <w:numId w:val="5"/>
        </w:numPr>
        <w:spacing w:line="360" w:lineRule="auto"/>
        <w:ind w:firstLine="460" w:firstLineChars="2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未尽事宜由双方协商解决。</w:t>
      </w:r>
    </w:p>
    <w:p>
      <w:pPr>
        <w:spacing w:line="360" w:lineRule="auto"/>
        <w:ind w:firstLine="460" w:firstLineChars="200"/>
        <w:jc w:val="both"/>
        <w:rPr>
          <w:rFonts w:hint="eastAsia" w:ascii="宋体" w:hAnsi="宋体" w:eastAsia="宋体" w:cs="宋体"/>
          <w:color w:val="auto"/>
          <w:sz w:val="23"/>
          <w:szCs w:val="23"/>
          <w:highlight w:val="none"/>
          <w:lang w:eastAsia="zh-CN"/>
        </w:rPr>
      </w:pPr>
      <w:bookmarkStart w:id="67" w:name="_Toc16021"/>
      <w:bookmarkStart w:id="68" w:name="_Toc15583"/>
      <w:bookmarkStart w:id="69" w:name="_Toc19951"/>
      <w:bookmarkStart w:id="70" w:name="_Toc28375"/>
      <w:r>
        <w:rPr>
          <w:rFonts w:hint="eastAsia" w:ascii="宋体" w:hAnsi="宋体" w:eastAsia="宋体" w:cs="宋体"/>
          <w:color w:val="auto"/>
          <w:sz w:val="23"/>
          <w:szCs w:val="23"/>
          <w:highlight w:val="none"/>
          <w:lang w:val="en-US" w:eastAsia="zh-CN"/>
        </w:rPr>
        <w:t>16.</w:t>
      </w:r>
      <w:r>
        <w:rPr>
          <w:rFonts w:hint="eastAsia" w:ascii="宋体" w:hAnsi="宋体" w:eastAsia="宋体" w:cs="宋体"/>
          <w:color w:val="auto"/>
          <w:sz w:val="23"/>
          <w:szCs w:val="23"/>
          <w:highlight w:val="none"/>
          <w:lang w:eastAsia="zh-CN"/>
        </w:rPr>
        <w:t>合同争议的解决</w:t>
      </w:r>
      <w:bookmarkEnd w:id="67"/>
      <w:bookmarkEnd w:id="68"/>
      <w:bookmarkEnd w:id="69"/>
      <w:bookmarkEnd w:id="70"/>
    </w:p>
    <w:p>
      <w:pPr>
        <w:spacing w:line="480" w:lineRule="auto"/>
        <w:rPr>
          <w:rFonts w:hint="eastAsia" w:ascii="微软雅黑" w:hAnsi="微软雅黑" w:eastAsia="微软雅黑" w:cs="微软雅黑"/>
          <w:b/>
          <w:sz w:val="28"/>
          <w:szCs w:val="28"/>
          <w:highlight w:val="none"/>
          <w:lang w:val="en-US" w:eastAsia="zh-CN"/>
        </w:rPr>
      </w:pPr>
      <w:r>
        <w:rPr>
          <w:rFonts w:hint="eastAsia" w:ascii="宋体" w:hAnsi="宋体" w:eastAsia="宋体" w:cs="宋体"/>
          <w:color w:val="auto"/>
          <w:sz w:val="23"/>
          <w:szCs w:val="23"/>
          <w:highlight w:val="none"/>
          <w:lang w:eastAsia="zh-CN"/>
        </w:rPr>
        <w:t>本合同履行过程中发生的任何争议，双方当事人均可通过和解或者调解解决；不愿和解、调解或者和解、调解不成的，将争议向有管辖权的人民法院提起诉讼。</w:t>
      </w:r>
    </w:p>
    <w:p>
      <w:pPr>
        <w:spacing w:line="480" w:lineRule="auto"/>
        <w:rPr>
          <w:rFonts w:hint="eastAsia" w:ascii="宋体" w:hAnsi="宋体" w:eastAsia="宋体" w:cs="宋体"/>
          <w:b/>
          <w:sz w:val="28"/>
          <w:szCs w:val="28"/>
          <w:highlight w:val="none"/>
        </w:rPr>
      </w:pPr>
      <w:r>
        <w:rPr>
          <w:rFonts w:hint="eastAsia" w:ascii="微软雅黑" w:hAnsi="微软雅黑" w:eastAsia="微软雅黑" w:cs="微软雅黑"/>
          <w:b/>
          <w:sz w:val="28"/>
          <w:szCs w:val="28"/>
          <w:highlight w:val="none"/>
          <w:lang w:val="en-US" w:eastAsia="zh-CN"/>
        </w:rPr>
        <w:br w:type="column"/>
      </w:r>
      <w:r>
        <w:rPr>
          <w:rFonts w:hint="eastAsia" w:ascii="宋体" w:hAnsi="宋体" w:eastAsia="宋体" w:cs="宋体"/>
          <w:b/>
          <w:sz w:val="28"/>
          <w:szCs w:val="28"/>
          <w:highlight w:val="none"/>
          <w:lang w:val="en-US" w:eastAsia="zh-CN"/>
        </w:rPr>
        <w:t>附件一</w:t>
      </w:r>
      <w:r>
        <w:rPr>
          <w:rFonts w:hint="eastAsia" w:ascii="宋体" w:hAnsi="宋体" w:eastAsia="宋体" w:cs="宋体"/>
          <w:b/>
          <w:sz w:val="28"/>
          <w:szCs w:val="28"/>
          <w:highlight w:val="none"/>
        </w:rPr>
        <w:t>：安全生产管理协议</w:t>
      </w:r>
    </w:p>
    <w:p>
      <w:pPr>
        <w:spacing w:line="0" w:lineRule="atLeast"/>
        <w:rPr>
          <w:rFonts w:hint="eastAsia" w:ascii="宋体" w:hAnsi="宋体" w:eastAsia="宋体" w:cs="宋体"/>
          <w:b/>
          <w:sz w:val="18"/>
          <w:szCs w:val="18"/>
          <w:highlight w:val="none"/>
        </w:rPr>
      </w:pPr>
    </w:p>
    <w:p>
      <w:pPr>
        <w:adjustRightInd w:val="0"/>
        <w:snapToGrid w:val="0"/>
        <w:spacing w:line="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安全生产管理协议</w:t>
      </w:r>
    </w:p>
    <w:p>
      <w:pPr>
        <w:spacing w:line="0" w:lineRule="atLeast"/>
        <w:rPr>
          <w:rFonts w:hint="eastAsia" w:ascii="宋体" w:hAnsi="宋体" w:eastAsia="宋体" w:cs="宋体"/>
          <w:b/>
          <w:sz w:val="18"/>
          <w:szCs w:val="18"/>
          <w:highlight w:val="none"/>
        </w:rPr>
      </w:pPr>
    </w:p>
    <w:p>
      <w:pPr>
        <w:spacing w:line="48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rPr>
        <w:t>甲方：</w:t>
      </w:r>
      <w:r>
        <w:rPr>
          <w:rFonts w:hint="eastAsia" w:ascii="宋体" w:hAnsi="宋体" w:eastAsia="宋体" w:cs="宋体"/>
          <w:b/>
          <w:sz w:val="24"/>
          <w:highlight w:val="none"/>
          <w:lang w:val="en-US" w:eastAsia="zh-CN"/>
        </w:rPr>
        <w:t xml:space="preserve"> </w:t>
      </w:r>
    </w:p>
    <w:p>
      <w:pPr>
        <w:spacing w:line="48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乙方：</w:t>
      </w:r>
      <w:r>
        <w:rPr>
          <w:rFonts w:hint="eastAsia" w:ascii="宋体" w:hAnsi="宋体" w:eastAsia="宋体" w:cs="宋体"/>
          <w:b/>
          <w:sz w:val="24"/>
          <w:highlight w:val="none"/>
          <w:lang w:val="en-US" w:eastAsia="zh-CN"/>
        </w:rPr>
        <w:t xml:space="preserve">   </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为了加强综合能源施工安全管理，维护人身和财产安全，保障工程施工顺利进行，防止发生安全事故，根据《中华人民共和国建筑法》、《中华人民共和国安全生产法》及其他法律、行政法规的基本原则，甲乙双方经协商一致，现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作为</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综合能源的劳务分包方的安全生产事宜达成本协议。</w:t>
      </w:r>
    </w:p>
    <w:p>
      <w:pPr>
        <w:spacing w:line="440" w:lineRule="atLeast"/>
        <w:ind w:firstLine="482" w:firstLineChars="200"/>
        <w:rPr>
          <w:rStyle w:val="63"/>
          <w:rFonts w:hint="eastAsia" w:ascii="宋体" w:hAnsi="宋体" w:eastAsia="宋体" w:cs="宋体"/>
          <w:b/>
          <w:bCs/>
          <w:sz w:val="24"/>
          <w:highlight w:val="none"/>
        </w:rPr>
      </w:pPr>
      <w:r>
        <w:rPr>
          <w:rStyle w:val="63"/>
          <w:rFonts w:hint="eastAsia" w:ascii="宋体" w:hAnsi="宋体" w:eastAsia="宋体" w:cs="宋体"/>
          <w:b/>
          <w:bCs/>
          <w:sz w:val="24"/>
          <w:highlight w:val="none"/>
        </w:rPr>
        <w:t>一、概述</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1、本协议适用的范围：自本协议签订之日起，凡是</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及其下属各地市业务区分包给</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劳务施工的综合能源均适用本协议，</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的施工安全应当贯穿工程施工全部区域范围的全过程。</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的施工安全应当符合国家建设工程施工安全标准以及</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施工安全要求。</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2、本合同</w:t>
      </w:r>
      <w:r>
        <w:rPr>
          <w:rStyle w:val="63"/>
          <w:rFonts w:hint="eastAsia" w:ascii="宋体" w:hAnsi="宋体" w:eastAsia="宋体" w:cs="宋体"/>
          <w:sz w:val="24"/>
          <w:highlight w:val="none"/>
          <w:lang w:eastAsia="zh-CN"/>
        </w:rPr>
        <w:t>适用</w:t>
      </w:r>
      <w:r>
        <w:rPr>
          <w:rStyle w:val="63"/>
          <w:rFonts w:hint="eastAsia" w:ascii="宋体" w:hAnsi="宋体" w:eastAsia="宋体" w:cs="宋体"/>
          <w:sz w:val="24"/>
          <w:highlight w:val="none"/>
        </w:rPr>
        <w:t>的法律法规及相关依据：《中华人民共和国建筑法》、《中华人民共和国安全生产法》、《中华人民共和国民法典》、原邮电部门、信息产业部及地方相关条例规定。</w:t>
      </w:r>
    </w:p>
    <w:p>
      <w:pPr>
        <w:spacing w:line="440" w:lineRule="atLeast"/>
        <w:ind w:firstLine="482" w:firstLineChars="200"/>
        <w:rPr>
          <w:rStyle w:val="63"/>
          <w:rFonts w:hint="eastAsia" w:ascii="宋体" w:hAnsi="宋体" w:eastAsia="宋体" w:cs="宋体"/>
          <w:b/>
          <w:bCs/>
          <w:sz w:val="24"/>
          <w:highlight w:val="none"/>
        </w:rPr>
      </w:pPr>
      <w:r>
        <w:rPr>
          <w:rStyle w:val="63"/>
          <w:rFonts w:hint="eastAsia" w:ascii="宋体" w:hAnsi="宋体" w:eastAsia="宋体" w:cs="宋体"/>
          <w:b/>
          <w:bCs/>
          <w:sz w:val="24"/>
          <w:highlight w:val="none"/>
        </w:rPr>
        <w:t>二、</w:t>
      </w:r>
      <w:r>
        <w:rPr>
          <w:rStyle w:val="63"/>
          <w:rFonts w:hint="eastAsia" w:ascii="宋体" w:hAnsi="宋体" w:eastAsia="宋体" w:cs="宋体"/>
          <w:b/>
          <w:bCs/>
          <w:sz w:val="24"/>
          <w:highlight w:val="none"/>
          <w:lang w:eastAsia="zh-CN"/>
        </w:rPr>
        <w:t>甲方</w:t>
      </w:r>
      <w:r>
        <w:rPr>
          <w:rStyle w:val="63"/>
          <w:rFonts w:hint="eastAsia" w:ascii="宋体" w:hAnsi="宋体" w:eastAsia="宋体" w:cs="宋体"/>
          <w:b/>
          <w:bCs/>
          <w:sz w:val="24"/>
          <w:highlight w:val="none"/>
        </w:rPr>
        <w:t>责任</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1、施工期间</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对施工生产安全措施及安全管理进行检查监督时，发现违章作业及危及人身、设备安全时，可及时制止、纠正，必要时有权停止其工作，并向</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提出整改要求。</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2、</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对</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事先提交的人员资格条件、保险购买情况或者公司资质等进行审查及备案，了解此前的施工业绩及施工安全情况。</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3、审查由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提供的承揽企业法人代表资格证书和一般承揽人进行以往施工安全审查及备案。</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4、审查由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填写的劳务施工人员概况、特种作业人员及“上岗证”复印件，审查由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提供须</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确认的工程负责人、现场安全负责人名单证明原件。</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5、</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对</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事先提交的该工程的施工合同指导，签订后监督</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严格执行，必要时或根据</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请求及相关安全工作规程要求增设</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专人监护。</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6、协调</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提出的沿线交叉跨越线路停电配合等协调工作，必要时应会同</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现场实地踏勘，商定施工方案。</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7、开工前</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负责向</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负责人和现场施工负责人、工程技术人员及施工人员全面</w:t>
      </w:r>
      <w:r>
        <w:rPr>
          <w:rStyle w:val="63"/>
          <w:rFonts w:hint="eastAsia" w:ascii="宋体" w:hAnsi="宋体" w:eastAsia="宋体" w:cs="宋体"/>
          <w:sz w:val="24"/>
          <w:highlight w:val="none"/>
          <w:lang w:eastAsia="zh-CN"/>
        </w:rPr>
        <w:t>交代</w:t>
      </w:r>
      <w:r>
        <w:rPr>
          <w:rStyle w:val="63"/>
          <w:rFonts w:hint="eastAsia" w:ascii="宋体" w:hAnsi="宋体" w:eastAsia="宋体" w:cs="宋体"/>
          <w:sz w:val="24"/>
          <w:highlight w:val="none"/>
        </w:rPr>
        <w:t>现场工作条件及工作环境，对有关安全注意事项进行交底，并应有完整的记录或资料。</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8、负责承担与建设单位签订的监理合同中规定由</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承担有关职责。</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9、</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在工程施工过程中发生的一切安全事故，由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自行承担责任，</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不负任何责任，但可协助</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进行事故处理。</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10、</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根据本协议的约定对</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进行监督、检查，并不视为可以免除、减免或降低</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应当承担的合同项下的义务或法律责任，也并不视为</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对于应由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承担的合同项下的义务或法律责任的分担。</w:t>
      </w:r>
    </w:p>
    <w:p>
      <w:pPr>
        <w:spacing w:line="440" w:lineRule="atLeast"/>
        <w:ind w:firstLine="482" w:firstLineChars="200"/>
        <w:rPr>
          <w:rStyle w:val="63"/>
          <w:rFonts w:hint="eastAsia" w:ascii="宋体" w:hAnsi="宋体" w:eastAsia="宋体" w:cs="宋体"/>
          <w:b/>
          <w:bCs/>
          <w:sz w:val="24"/>
          <w:highlight w:val="none"/>
        </w:rPr>
      </w:pPr>
      <w:r>
        <w:rPr>
          <w:rStyle w:val="63"/>
          <w:rFonts w:hint="eastAsia" w:ascii="宋体" w:hAnsi="宋体" w:eastAsia="宋体" w:cs="宋体"/>
          <w:b/>
          <w:bCs/>
          <w:sz w:val="24"/>
          <w:highlight w:val="none"/>
        </w:rPr>
        <w:t>三、</w:t>
      </w:r>
      <w:r>
        <w:rPr>
          <w:rStyle w:val="63"/>
          <w:rFonts w:hint="eastAsia" w:ascii="宋体" w:hAnsi="宋体" w:eastAsia="宋体" w:cs="宋体"/>
          <w:b/>
          <w:bCs/>
          <w:sz w:val="24"/>
          <w:highlight w:val="none"/>
          <w:lang w:eastAsia="zh-CN"/>
        </w:rPr>
        <w:t>乙方</w:t>
      </w:r>
      <w:r>
        <w:rPr>
          <w:rStyle w:val="63"/>
          <w:rFonts w:hint="eastAsia" w:ascii="宋体" w:hAnsi="宋体" w:eastAsia="宋体" w:cs="宋体"/>
          <w:b/>
          <w:bCs/>
          <w:sz w:val="24"/>
          <w:highlight w:val="none"/>
        </w:rPr>
        <w:t>责任</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施工队伍应做好安全生产培训工作；强化安全思想意识，加强对员工的安全操作技术教育，自觉认真执行施工安全及文明生产的各种规章制度及管理办法；对安全隐患的整改应责任到人，对整改内容、整改时间进行落实，及时消除事故苗头。</w:t>
      </w:r>
    </w:p>
    <w:p>
      <w:pPr>
        <w:spacing w:line="440" w:lineRule="atLeast"/>
        <w:ind w:firstLine="480" w:firstLineChars="200"/>
        <w:rPr>
          <w:rFonts w:hint="eastAsia" w:ascii="宋体" w:hAnsi="宋体" w:eastAsia="宋体" w:cs="宋体"/>
          <w:highlight w:val="none"/>
        </w:rPr>
      </w:pPr>
      <w:r>
        <w:rPr>
          <w:rStyle w:val="63"/>
          <w:rFonts w:hint="eastAsia" w:ascii="宋体" w:hAnsi="宋体" w:eastAsia="宋体" w:cs="宋体"/>
          <w:sz w:val="24"/>
          <w:highlight w:val="none"/>
        </w:rPr>
        <w:t>2、</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聘用的施工人员必须为18岁-55岁之间，不能聘用老、弱、病、残、孕人员。</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3、开工前</w:t>
      </w:r>
      <w:r>
        <w:rPr>
          <w:rFonts w:hint="eastAsia" w:ascii="宋体" w:hAnsi="宋体" w:eastAsia="宋体" w:cs="宋体"/>
          <w:sz w:val="24"/>
          <w:highlight w:val="none"/>
          <w:lang w:val="zh-CN"/>
        </w:rPr>
        <w:t>自行编制施工组织设计或施工方案；制定有针对性的安全技术措施，</w:t>
      </w:r>
      <w:r>
        <w:rPr>
          <w:rStyle w:val="63"/>
          <w:rFonts w:hint="eastAsia" w:ascii="宋体" w:hAnsi="宋体" w:eastAsia="宋体" w:cs="宋体"/>
          <w:sz w:val="24"/>
          <w:highlight w:val="none"/>
        </w:rPr>
        <w:t>组织对全体现场施工作业人员进行安全、技术交底，明确工作任务，</w:t>
      </w:r>
      <w:r>
        <w:rPr>
          <w:rFonts w:hint="eastAsia" w:ascii="宋体" w:hAnsi="宋体" w:eastAsia="宋体" w:cs="宋体"/>
          <w:sz w:val="24"/>
          <w:highlight w:val="none"/>
          <w:lang w:val="zh-CN"/>
        </w:rPr>
        <w:t>并报</w:t>
      </w:r>
      <w:r>
        <w:rPr>
          <w:rFonts w:hint="eastAsia" w:ascii="宋体" w:hAnsi="宋体" w:eastAsia="宋体" w:cs="宋体"/>
          <w:sz w:val="24"/>
          <w:highlight w:val="none"/>
          <w:lang w:eastAsia="zh-CN"/>
        </w:rPr>
        <w:t>甲方</w:t>
      </w:r>
      <w:r>
        <w:rPr>
          <w:rFonts w:hint="eastAsia" w:ascii="宋体" w:hAnsi="宋体" w:eastAsia="宋体" w:cs="宋体"/>
          <w:sz w:val="24"/>
          <w:highlight w:val="none"/>
          <w:lang w:val="zh-CN"/>
        </w:rPr>
        <w:t>审核。按项目管理要求做好月清月结。</w:t>
      </w:r>
      <w:r>
        <w:rPr>
          <w:rStyle w:val="63"/>
          <w:rFonts w:hint="eastAsia" w:ascii="宋体" w:hAnsi="宋体" w:eastAsia="宋体" w:cs="宋体"/>
          <w:sz w:val="24"/>
          <w:highlight w:val="none"/>
        </w:rPr>
        <w:t>使全体施工现场各级人员掌握工程特点及安全操作规程、施工安全措施、安全注意事项。对施工作业人员定期进行安全活动和总结，并有记录，必要时请</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派员参加。</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4、开工前研究工程的图纸计划组织好施工方案、施工作业计划、安全管理制度、组织措施和技术措施，对复杂或危险性较大的工程必须制定专项施工方案。</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5、严禁未经</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同意擅自变更施工设计方案，如遇特殊情况需要调整的，必须提前告知</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，经</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征得业主、设计方同意，办理相关手续后方能变更。</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6、禁止使用未成年人及老弱、残人员。对施工现场的新入人员（包括临时工、合同工与参加劳动人员）必须进行三级安全教育及</w:t>
      </w:r>
      <w:r>
        <w:rPr>
          <w:rStyle w:val="63"/>
          <w:rFonts w:hint="eastAsia" w:ascii="宋体" w:hAnsi="宋体" w:eastAsia="宋体" w:cs="宋体"/>
          <w:sz w:val="24"/>
          <w:highlight w:val="none"/>
          <w:lang w:eastAsia="zh-CN"/>
        </w:rPr>
        <w:t>交代</w:t>
      </w:r>
      <w:r>
        <w:rPr>
          <w:rStyle w:val="63"/>
          <w:rFonts w:hint="eastAsia" w:ascii="宋体" w:hAnsi="宋体" w:eastAsia="宋体" w:cs="宋体"/>
          <w:sz w:val="24"/>
          <w:highlight w:val="none"/>
        </w:rPr>
        <w:t>现场安全注意事项，相关记录、资料正确齐全，方可进场作业。对技术性较强的工作禁止使用临时工、民工或劳务协作工，临时招用的民工进行适合现场作业的安全教育后方可进行地面辅助作业工作，民工、临时工的安全责任均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负责。</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7、施工期间，各种交通工具、设备和工具等均由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自备。工程使用的施工机械、工器具及防护设施必须有安全检查记录。交通工具、设备和工具的维修与保养，以及在使用过程中发生故障或伤亡事故的费用由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负责承担。</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不负任何连带责任。</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8、施工时，</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严格执行安全操作规程，并做好各种安全防范措施，指定专人负责安全工作，明确安全员。对在网设备上施工的，应先提交详细的施工方案待</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审核确认后才能施工。施工中一旦发现有安全隐患的，</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应立即停工，并报告</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 xml:space="preserve">及其他有关职能部门，采取措施整治后确保安全的情况下再施工。施工人员进行作业时必须正确穿戴好安全防护用品，切实保证施工中的人身、设备安全。 </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9、</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施工技术人员对从事垂直运输机械、安装拆卸、切割、电焊、登高、带电作业等特种作业的，必须按照国家有关规定经过专门的安全作业培训，并取得特种作业操作资格证书后方可上岗作业。</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10、</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应在施工现场的危险部位设置明显的安全警示标志。</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对工程施工可能造成损害的毗邻建筑物、构筑物和地下管线、电力、通信线路等，应当采取专项防护措施。如没有防护，或防护不当而导致既有设施损坏，由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承担一切责任。</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11、及时详细地对沿线交叉跨越、高低压线路、公路等进行实地踏勘，提供书面资料，便于</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协调配合，对与高低压线路、公路交叉跨越的工程完工后进行检查确保无安全隐患。</w:t>
      </w:r>
    </w:p>
    <w:p>
      <w:pPr>
        <w:spacing w:line="440" w:lineRule="atLeast"/>
        <w:ind w:firstLine="480" w:firstLineChars="200"/>
        <w:rPr>
          <w:rStyle w:val="63"/>
          <w:rFonts w:hint="eastAsia" w:ascii="宋体" w:hAnsi="宋体" w:eastAsia="宋体" w:cs="宋体"/>
          <w:color w:val="0000FF"/>
          <w:sz w:val="24"/>
          <w:highlight w:val="none"/>
        </w:rPr>
      </w:pPr>
      <w:r>
        <w:rPr>
          <w:rStyle w:val="63"/>
          <w:rFonts w:hint="eastAsia" w:ascii="宋体" w:hAnsi="宋体" w:eastAsia="宋体" w:cs="宋体"/>
          <w:sz w:val="24"/>
          <w:highlight w:val="none"/>
        </w:rPr>
        <w:t>12、</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必须接受</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监督和指导，发生人身事故或危及施工安全情况，必须立即报告</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负责人（安全施工第一责任者）对</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提出的有效意见必须及时整改。</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13、假期期间设备在中心机房内原则上不可以进行施工，如确实需要进机房施工务必通知督导、项目经理，待工程管理督导与监控等相关单位申请取得允许后方可进场施工，并做好相关安全措施。</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14、</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对各单项工程施工进行安全自检，定期召开安全施工例会，总结分析安全生产情况，提交安全生产记录及安全工作例会纪要，确保施工全过程的安全生产。</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15、施工现场必须有安全人员负责安全管理；施工前必须对施工现场环境及安全条件进行检查，在施工过程中，要配备警示牌、警示带等警示标志，施工人员要戴好安全帽，确保施工人员的安全；施工现场必须有安全员和现场负责人在场。施工操作时必须严格按规范施工工序进行；</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16、配备齐全安全防范用品，</w:t>
      </w:r>
      <w:r>
        <w:rPr>
          <w:rStyle w:val="63"/>
          <w:rFonts w:hint="eastAsia" w:ascii="宋体" w:hAnsi="宋体" w:eastAsia="宋体" w:cs="宋体"/>
          <w:sz w:val="24"/>
          <w:highlight w:val="none"/>
          <w:lang w:eastAsia="zh-CN"/>
        </w:rPr>
        <w:t>乙方</w:t>
      </w:r>
      <w:r>
        <w:rPr>
          <w:rFonts w:hint="eastAsia" w:ascii="宋体" w:hAnsi="宋体" w:eastAsia="宋体" w:cs="宋体"/>
          <w:sz w:val="24"/>
          <w:highlight w:val="none"/>
          <w:lang w:val="zh-CN"/>
        </w:rPr>
        <w:t>所有进场的施工人员的安全帽、反光马甲由</w:t>
      </w:r>
      <w:r>
        <w:rPr>
          <w:rFonts w:hint="eastAsia" w:ascii="宋体" w:hAnsi="宋体" w:eastAsia="宋体" w:cs="宋体"/>
          <w:sz w:val="24"/>
          <w:highlight w:val="none"/>
          <w:lang w:eastAsia="zh-CN"/>
        </w:rPr>
        <w:t>乙方</w:t>
      </w:r>
      <w:r>
        <w:rPr>
          <w:rFonts w:hint="eastAsia" w:ascii="宋体" w:hAnsi="宋体" w:eastAsia="宋体" w:cs="宋体"/>
          <w:sz w:val="24"/>
          <w:highlight w:val="none"/>
          <w:lang w:val="zh-CN"/>
        </w:rPr>
        <w:t>按</w:t>
      </w:r>
      <w:r>
        <w:rPr>
          <w:rFonts w:hint="eastAsia" w:ascii="宋体" w:hAnsi="宋体" w:eastAsia="宋体" w:cs="宋体"/>
          <w:sz w:val="24"/>
          <w:highlight w:val="none"/>
          <w:lang w:eastAsia="zh-CN"/>
        </w:rPr>
        <w:t>甲方</w:t>
      </w:r>
      <w:r>
        <w:rPr>
          <w:rFonts w:hint="eastAsia" w:ascii="宋体" w:hAnsi="宋体" w:eastAsia="宋体" w:cs="宋体"/>
          <w:sz w:val="24"/>
          <w:highlight w:val="none"/>
          <w:lang w:val="zh-CN"/>
        </w:rPr>
        <w:t>要求自行配备。其他安全防护和劳保用品由</w:t>
      </w:r>
      <w:r>
        <w:rPr>
          <w:rFonts w:hint="eastAsia" w:ascii="宋体" w:hAnsi="宋体" w:eastAsia="宋体" w:cs="宋体"/>
          <w:sz w:val="24"/>
          <w:highlight w:val="none"/>
          <w:lang w:eastAsia="zh-CN"/>
        </w:rPr>
        <w:t>乙方</w:t>
      </w:r>
      <w:r>
        <w:rPr>
          <w:rFonts w:hint="eastAsia" w:ascii="宋体" w:hAnsi="宋体" w:eastAsia="宋体" w:cs="宋体"/>
          <w:sz w:val="24"/>
          <w:highlight w:val="none"/>
          <w:lang w:val="zh-CN"/>
        </w:rPr>
        <w:t>自行配置，如果</w:t>
      </w:r>
      <w:r>
        <w:rPr>
          <w:rFonts w:hint="eastAsia" w:ascii="宋体" w:hAnsi="宋体" w:eastAsia="宋体" w:cs="宋体"/>
          <w:sz w:val="24"/>
          <w:highlight w:val="none"/>
          <w:lang w:eastAsia="zh-CN"/>
        </w:rPr>
        <w:t>乙方</w:t>
      </w:r>
      <w:r>
        <w:rPr>
          <w:rFonts w:hint="eastAsia" w:ascii="宋体" w:hAnsi="宋体" w:eastAsia="宋体" w:cs="宋体"/>
          <w:sz w:val="24"/>
          <w:highlight w:val="none"/>
          <w:lang w:val="zh-CN"/>
        </w:rPr>
        <w:t>不按要求配备，</w:t>
      </w:r>
      <w:r>
        <w:rPr>
          <w:rFonts w:hint="eastAsia" w:ascii="宋体" w:hAnsi="宋体" w:eastAsia="宋体" w:cs="宋体"/>
          <w:sz w:val="24"/>
          <w:highlight w:val="none"/>
          <w:lang w:eastAsia="zh-CN"/>
        </w:rPr>
        <w:t>甲方</w:t>
      </w:r>
      <w:r>
        <w:rPr>
          <w:rFonts w:hint="eastAsia" w:ascii="宋体" w:hAnsi="宋体" w:eastAsia="宋体" w:cs="宋体"/>
          <w:sz w:val="24"/>
          <w:highlight w:val="none"/>
          <w:lang w:val="zh-CN"/>
        </w:rPr>
        <w:t>有权在</w:t>
      </w:r>
      <w:r>
        <w:rPr>
          <w:rFonts w:hint="eastAsia" w:ascii="宋体" w:hAnsi="宋体" w:eastAsia="宋体" w:cs="宋体"/>
          <w:sz w:val="24"/>
          <w:highlight w:val="none"/>
          <w:lang w:eastAsia="zh-CN"/>
        </w:rPr>
        <w:t>乙方</w:t>
      </w:r>
      <w:r>
        <w:rPr>
          <w:rFonts w:hint="eastAsia" w:ascii="宋体" w:hAnsi="宋体" w:eastAsia="宋体" w:cs="宋体"/>
          <w:sz w:val="24"/>
          <w:highlight w:val="none"/>
          <w:lang w:val="zh-CN"/>
        </w:rPr>
        <w:t>工程款中双倍扣除。</w:t>
      </w:r>
      <w:r>
        <w:rPr>
          <w:rStyle w:val="63"/>
          <w:rFonts w:hint="eastAsia" w:ascii="宋体" w:hAnsi="宋体" w:eastAsia="宋体" w:cs="宋体"/>
          <w:sz w:val="24"/>
          <w:highlight w:val="none"/>
        </w:rPr>
        <w:t>给所有施工人员购买齐全相关意外保险，新参加施工的人员必须要做好安全教育；内部仓库的安全管理规范、消防安全规范等，要配备灭火器材和起火时自救器材并摆放在合理、显眼位置。</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17、负责承担与</w:t>
      </w:r>
      <w:r>
        <w:rPr>
          <w:rStyle w:val="63"/>
          <w:rFonts w:hint="eastAsia" w:ascii="宋体" w:hAnsi="宋体" w:eastAsia="宋体" w:cs="宋体"/>
          <w:sz w:val="24"/>
          <w:highlight w:val="none"/>
          <w:lang w:eastAsia="zh-CN"/>
        </w:rPr>
        <w:t>甲方签订</w:t>
      </w:r>
      <w:r>
        <w:rPr>
          <w:rStyle w:val="63"/>
          <w:rFonts w:hint="eastAsia" w:ascii="宋体" w:hAnsi="宋体" w:eastAsia="宋体" w:cs="宋体"/>
          <w:sz w:val="24"/>
          <w:highlight w:val="none"/>
        </w:rPr>
        <w:t>的施工合同中规定由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承担有关职责。</w:t>
      </w:r>
    </w:p>
    <w:p>
      <w:pPr>
        <w:spacing w:line="440" w:lineRule="atLeast"/>
        <w:ind w:firstLine="482" w:firstLineChars="200"/>
        <w:rPr>
          <w:rStyle w:val="63"/>
          <w:rFonts w:hint="eastAsia" w:ascii="宋体" w:hAnsi="宋体" w:eastAsia="宋体" w:cs="宋体"/>
          <w:b/>
          <w:bCs/>
          <w:sz w:val="24"/>
          <w:highlight w:val="none"/>
        </w:rPr>
      </w:pPr>
      <w:r>
        <w:rPr>
          <w:rStyle w:val="63"/>
          <w:rFonts w:hint="eastAsia" w:ascii="宋体" w:hAnsi="宋体" w:eastAsia="宋体" w:cs="宋体"/>
          <w:b/>
          <w:bCs/>
          <w:sz w:val="24"/>
          <w:highlight w:val="none"/>
        </w:rPr>
        <w:t>四、违约责任</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1、若</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违反本协议约定而导致发生各类安全事故的，造成的一切法律后果由</w:t>
      </w:r>
      <w:r>
        <w:rPr>
          <w:rStyle w:val="63"/>
          <w:rFonts w:hint="eastAsia" w:ascii="宋体" w:hAnsi="宋体" w:eastAsia="宋体" w:cs="宋体"/>
          <w:sz w:val="24"/>
          <w:highlight w:val="none"/>
          <w:lang w:val="en-US" w:eastAsia="zh-CN"/>
        </w:rPr>
        <w:t>乙</w:t>
      </w:r>
      <w:r>
        <w:rPr>
          <w:rStyle w:val="63"/>
          <w:rFonts w:hint="eastAsia" w:ascii="宋体" w:hAnsi="宋体" w:eastAsia="宋体" w:cs="宋体"/>
          <w:sz w:val="24"/>
          <w:highlight w:val="none"/>
          <w:lang w:eastAsia="zh-CN"/>
        </w:rPr>
        <w:t>方</w:t>
      </w:r>
      <w:r>
        <w:rPr>
          <w:rStyle w:val="63"/>
          <w:rFonts w:hint="eastAsia" w:ascii="宋体" w:hAnsi="宋体" w:eastAsia="宋体" w:cs="宋体"/>
          <w:sz w:val="24"/>
          <w:highlight w:val="none"/>
        </w:rPr>
        <w:t>自行承担，</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不负任何责任。</w:t>
      </w:r>
    </w:p>
    <w:p>
      <w:pPr>
        <w:spacing w:line="440" w:lineRule="atLeast"/>
        <w:ind w:firstLine="480" w:firstLineChars="200"/>
        <w:rPr>
          <w:rStyle w:val="63"/>
          <w:rFonts w:hint="eastAsia" w:ascii="宋体" w:hAnsi="宋体" w:eastAsia="宋体" w:cs="宋体"/>
          <w:color w:val="0000FF"/>
          <w:sz w:val="24"/>
          <w:highlight w:val="none"/>
        </w:rPr>
      </w:pPr>
      <w:r>
        <w:rPr>
          <w:rStyle w:val="63"/>
          <w:rFonts w:hint="eastAsia" w:ascii="宋体" w:hAnsi="宋体" w:eastAsia="宋体" w:cs="宋体"/>
          <w:sz w:val="24"/>
          <w:highlight w:val="none"/>
        </w:rPr>
        <w:t>2、若因合同期内</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施工不力或安全防护措施不到位，造成安全责任事故，一切后果均由</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承担全部责任。</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可以作出取消其施工资格，合同终止的处理。</w:t>
      </w:r>
    </w:p>
    <w:p>
      <w:pPr>
        <w:spacing w:line="440" w:lineRule="atLeast"/>
        <w:ind w:firstLine="482" w:firstLineChars="200"/>
        <w:rPr>
          <w:rStyle w:val="63"/>
          <w:rFonts w:hint="eastAsia" w:ascii="宋体" w:hAnsi="宋体" w:eastAsia="宋体" w:cs="宋体"/>
          <w:b/>
          <w:bCs/>
          <w:sz w:val="24"/>
          <w:highlight w:val="none"/>
        </w:rPr>
      </w:pPr>
      <w:r>
        <w:rPr>
          <w:rStyle w:val="63"/>
          <w:rFonts w:hint="eastAsia" w:ascii="宋体" w:hAnsi="宋体" w:eastAsia="宋体" w:cs="宋体"/>
          <w:b/>
          <w:bCs/>
          <w:sz w:val="24"/>
          <w:highlight w:val="none"/>
        </w:rPr>
        <w:t>五、其它</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1、本协议自双方签字盖章之日起生效，有效期与主合同一致；协议一式三份，</w:t>
      </w: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执二份，</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执一份，一经签署即产生法律效力，受法律保护。</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2、本协议书将成为</w:t>
      </w:r>
      <w:r>
        <w:rPr>
          <w:rStyle w:val="63"/>
          <w:rFonts w:hint="eastAsia" w:ascii="宋体" w:hAnsi="宋体" w:eastAsia="宋体" w:cs="宋体"/>
          <w:sz w:val="24"/>
          <w:highlight w:val="none"/>
          <w:lang w:val="en-US" w:eastAsia="zh-CN"/>
        </w:rPr>
        <w:t>合同</w:t>
      </w:r>
      <w:r>
        <w:rPr>
          <w:rStyle w:val="63"/>
          <w:rFonts w:hint="eastAsia" w:ascii="宋体" w:hAnsi="宋体" w:eastAsia="宋体" w:cs="宋体"/>
          <w:sz w:val="24"/>
          <w:highlight w:val="none"/>
        </w:rPr>
        <w:t>不可分割的一部分，与</w:t>
      </w:r>
      <w:r>
        <w:rPr>
          <w:rStyle w:val="63"/>
          <w:rFonts w:hint="eastAsia" w:ascii="宋体" w:hAnsi="宋体" w:eastAsia="宋体" w:cs="宋体"/>
          <w:sz w:val="24"/>
          <w:highlight w:val="none"/>
          <w:lang w:val="en-US" w:eastAsia="zh-CN"/>
        </w:rPr>
        <w:t>合同</w:t>
      </w:r>
      <w:r>
        <w:rPr>
          <w:rStyle w:val="63"/>
          <w:rFonts w:hint="eastAsia" w:ascii="宋体" w:hAnsi="宋体" w:eastAsia="宋体" w:cs="宋体"/>
          <w:sz w:val="24"/>
          <w:highlight w:val="none"/>
        </w:rPr>
        <w:t>具有同等的法律效力。</w:t>
      </w:r>
    </w:p>
    <w:p>
      <w:pPr>
        <w:spacing w:line="0" w:lineRule="atLeast"/>
        <w:rPr>
          <w:rFonts w:hint="eastAsia" w:ascii="宋体" w:hAnsi="宋体" w:eastAsia="宋体" w:cs="宋体"/>
          <w:b/>
          <w:sz w:val="18"/>
          <w:szCs w:val="18"/>
          <w:highlight w:val="none"/>
        </w:rPr>
      </w:pPr>
    </w:p>
    <w:p>
      <w:pPr>
        <w:spacing w:line="0" w:lineRule="atLeast"/>
        <w:rPr>
          <w:rFonts w:hint="eastAsia" w:ascii="宋体" w:hAnsi="宋体" w:eastAsia="宋体" w:cs="宋体"/>
          <w:b/>
          <w:sz w:val="18"/>
          <w:szCs w:val="18"/>
          <w:highlight w:val="none"/>
        </w:rPr>
      </w:pPr>
    </w:p>
    <w:p>
      <w:pPr>
        <w:spacing w:line="0" w:lineRule="atLeast"/>
        <w:rPr>
          <w:rFonts w:hint="eastAsia" w:ascii="宋体" w:hAnsi="宋体" w:eastAsia="宋体" w:cs="宋体"/>
          <w:b/>
          <w:sz w:val="18"/>
          <w:szCs w:val="18"/>
          <w:highlight w:val="none"/>
        </w:rPr>
      </w:pPr>
    </w:p>
    <w:p>
      <w:pPr>
        <w:spacing w:line="360" w:lineRule="auto"/>
        <w:rPr>
          <w:rStyle w:val="63"/>
          <w:rFonts w:hint="eastAsia" w:ascii="宋体" w:hAnsi="宋体" w:eastAsia="宋体" w:cs="宋体"/>
          <w:sz w:val="24"/>
          <w:highlight w:val="none"/>
        </w:rPr>
      </w:pPr>
      <w:r>
        <w:rPr>
          <w:rStyle w:val="63"/>
          <w:rFonts w:hint="eastAsia" w:ascii="宋体" w:hAnsi="宋体" w:eastAsia="宋体" w:cs="宋体"/>
          <w:sz w:val="24"/>
          <w:highlight w:val="none"/>
          <w:lang w:eastAsia="zh-CN"/>
        </w:rPr>
        <w:t>甲方</w:t>
      </w:r>
      <w:r>
        <w:rPr>
          <w:rStyle w:val="63"/>
          <w:rFonts w:hint="eastAsia" w:ascii="宋体" w:hAnsi="宋体" w:eastAsia="宋体" w:cs="宋体"/>
          <w:sz w:val="24"/>
          <w:highlight w:val="none"/>
        </w:rPr>
        <w:t xml:space="preserve">：                            </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w:t>
      </w:r>
    </w:p>
    <w:p>
      <w:pPr>
        <w:spacing w:line="0" w:lineRule="atLeast"/>
        <w:rPr>
          <w:rFonts w:hint="eastAsia" w:ascii="宋体" w:hAnsi="宋体" w:eastAsia="宋体" w:cs="宋体"/>
          <w:b/>
          <w:sz w:val="18"/>
          <w:szCs w:val="18"/>
          <w:highlight w:val="none"/>
        </w:rPr>
      </w:pPr>
    </w:p>
    <w:p>
      <w:pPr>
        <w:spacing w:line="360" w:lineRule="auto"/>
        <w:rPr>
          <w:rStyle w:val="63"/>
          <w:rFonts w:hint="eastAsia" w:ascii="宋体" w:hAnsi="宋体" w:eastAsia="宋体" w:cs="宋体"/>
          <w:sz w:val="24"/>
          <w:highlight w:val="none"/>
        </w:rPr>
      </w:pPr>
      <w:r>
        <w:rPr>
          <w:rStyle w:val="63"/>
          <w:rFonts w:hint="eastAsia" w:ascii="宋体" w:hAnsi="宋体" w:eastAsia="宋体" w:cs="宋体"/>
          <w:sz w:val="24"/>
          <w:highlight w:val="none"/>
        </w:rPr>
        <w:t>法定代表人（授权代表）：             法定代表人（授权代表）：</w:t>
      </w:r>
    </w:p>
    <w:p>
      <w:pPr>
        <w:spacing w:line="0" w:lineRule="atLeast"/>
        <w:rPr>
          <w:rFonts w:hint="eastAsia" w:ascii="宋体" w:hAnsi="宋体" w:eastAsia="宋体" w:cs="宋体"/>
          <w:b/>
          <w:sz w:val="18"/>
          <w:szCs w:val="18"/>
          <w:highlight w:val="none"/>
        </w:rPr>
      </w:pPr>
    </w:p>
    <w:p>
      <w:pPr>
        <w:spacing w:line="360" w:lineRule="auto"/>
        <w:rPr>
          <w:rStyle w:val="63"/>
          <w:rFonts w:hint="eastAsia" w:ascii="宋体" w:hAnsi="宋体" w:eastAsia="宋体" w:cs="宋体"/>
          <w:sz w:val="24"/>
          <w:highlight w:val="none"/>
        </w:rPr>
      </w:pPr>
      <w:r>
        <w:rPr>
          <w:rStyle w:val="63"/>
          <w:rFonts w:hint="eastAsia" w:ascii="宋体" w:hAnsi="宋体" w:eastAsia="宋体" w:cs="宋体"/>
          <w:sz w:val="24"/>
          <w:highlight w:val="none"/>
        </w:rPr>
        <w:t>签约时间：         年    月    日 </w:t>
      </w:r>
    </w:p>
    <w:p>
      <w:pPr>
        <w:spacing w:line="0" w:lineRule="atLeast"/>
        <w:rPr>
          <w:b/>
          <w:sz w:val="18"/>
          <w:szCs w:val="18"/>
          <w:highlight w:val="none"/>
        </w:rPr>
      </w:pPr>
    </w:p>
    <w:p>
      <w:pPr>
        <w:spacing w:line="0" w:lineRule="atLeast"/>
        <w:rPr>
          <w:rFonts w:hint="eastAsia"/>
          <w:b/>
          <w:sz w:val="18"/>
          <w:szCs w:val="18"/>
          <w:highlight w:val="none"/>
        </w:rPr>
      </w:pPr>
    </w:p>
    <w:p>
      <w:pPr>
        <w:spacing w:line="480" w:lineRule="auto"/>
        <w:rPr>
          <w:rFonts w:hint="eastAsia" w:ascii="微软雅黑" w:hAnsi="微软雅黑" w:eastAsia="微软雅黑" w:cs="微软雅黑"/>
          <w:b/>
          <w:sz w:val="28"/>
          <w:szCs w:val="28"/>
          <w:highlight w:val="none"/>
        </w:rPr>
      </w:pPr>
    </w:p>
    <w:p>
      <w:pPr>
        <w:spacing w:line="480" w:lineRule="auto"/>
        <w:rPr>
          <w:rFonts w:hint="eastAsia"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rPr>
        <w:br w:type="column"/>
      </w:r>
      <w:r>
        <w:rPr>
          <w:rFonts w:hint="eastAsia" w:ascii="微软雅黑" w:hAnsi="微软雅黑" w:eastAsia="微软雅黑" w:cs="微软雅黑"/>
          <w:b/>
          <w:sz w:val="28"/>
          <w:szCs w:val="28"/>
          <w:highlight w:val="none"/>
        </w:rPr>
        <w:t>附件</w:t>
      </w:r>
      <w:r>
        <w:rPr>
          <w:rFonts w:hint="eastAsia" w:ascii="微软雅黑" w:hAnsi="微软雅黑" w:eastAsia="微软雅黑" w:cs="微软雅黑"/>
          <w:b/>
          <w:sz w:val="28"/>
          <w:szCs w:val="28"/>
          <w:highlight w:val="none"/>
          <w:lang w:val="en-US" w:eastAsia="zh-CN"/>
        </w:rPr>
        <w:t>二</w:t>
      </w:r>
      <w:r>
        <w:rPr>
          <w:rFonts w:hint="eastAsia" w:ascii="微软雅黑" w:hAnsi="微软雅黑" w:eastAsia="微软雅黑" w:cs="微软雅黑"/>
          <w:b/>
          <w:sz w:val="28"/>
          <w:szCs w:val="28"/>
          <w:highlight w:val="none"/>
        </w:rPr>
        <w:t>：施工安全、质量及进度考核</w:t>
      </w:r>
    </w:p>
    <w:tbl>
      <w:tblPr>
        <w:tblStyle w:val="30"/>
        <w:tblW w:w="835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0"/>
        <w:gridCol w:w="5975"/>
        <w:gridCol w:w="152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12"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
                <w:kern w:val="0"/>
                <w:sz w:val="24"/>
                <w:highlight w:val="none"/>
              </w:rPr>
            </w:pPr>
            <w:r>
              <w:rPr>
                <w:rFonts w:hint="eastAsia" w:ascii="微软雅黑" w:hAnsi="微软雅黑" w:eastAsia="微软雅黑" w:cs="微软雅黑"/>
                <w:b/>
                <w:kern w:val="0"/>
                <w:sz w:val="24"/>
                <w:highlight w:val="none"/>
              </w:rPr>
              <w:t>序号</w:t>
            </w:r>
          </w:p>
        </w:tc>
        <w:tc>
          <w:tcPr>
            <w:tcW w:w="5975" w:type="dxa"/>
            <w:tcBorders>
              <w:top w:val="single" w:color="auto" w:sz="12" w:space="0"/>
              <w:left w:val="single" w:color="auto" w:sz="4" w:space="0"/>
              <w:bottom w:val="single" w:color="auto" w:sz="4" w:space="0"/>
              <w:right w:val="single" w:color="auto" w:sz="4" w:space="0"/>
            </w:tcBorders>
            <w:vAlign w:val="center"/>
          </w:tcPr>
          <w:p>
            <w:pPr>
              <w:widowControl/>
              <w:spacing w:line="0" w:lineRule="atLeast"/>
              <w:jc w:val="center"/>
              <w:rPr>
                <w:rFonts w:hint="eastAsia" w:ascii="微软雅黑" w:hAnsi="微软雅黑" w:eastAsia="微软雅黑" w:cs="微软雅黑"/>
                <w:b/>
                <w:kern w:val="0"/>
                <w:sz w:val="24"/>
                <w:highlight w:val="none"/>
                <w:lang w:eastAsia="zh-CN"/>
              </w:rPr>
            </w:pPr>
            <w:r>
              <w:rPr>
                <w:rFonts w:hint="eastAsia" w:ascii="微软雅黑" w:hAnsi="微软雅黑" w:eastAsia="微软雅黑" w:cs="微软雅黑"/>
                <w:b/>
                <w:kern w:val="0"/>
                <w:sz w:val="24"/>
                <w:highlight w:val="none"/>
                <w:lang w:eastAsia="zh-CN"/>
              </w:rPr>
              <w:t>违约情形</w:t>
            </w:r>
          </w:p>
        </w:tc>
        <w:tc>
          <w:tcPr>
            <w:tcW w:w="1525" w:type="dxa"/>
            <w:tcBorders>
              <w:top w:val="single" w:color="auto" w:sz="12" w:space="0"/>
              <w:left w:val="single" w:color="auto" w:sz="4" w:space="0"/>
              <w:bottom w:val="single" w:color="auto" w:sz="4" w:space="0"/>
              <w:right w:val="single" w:color="auto" w:sz="12" w:space="0"/>
            </w:tcBorders>
            <w:vAlign w:val="center"/>
          </w:tcPr>
          <w:p>
            <w:pPr>
              <w:widowControl/>
              <w:spacing w:line="0" w:lineRule="atLeast"/>
              <w:jc w:val="center"/>
              <w:rPr>
                <w:rFonts w:hint="eastAsia" w:ascii="微软雅黑" w:hAnsi="微软雅黑" w:eastAsia="微软雅黑" w:cs="微软雅黑"/>
                <w:b/>
                <w:kern w:val="0"/>
                <w:sz w:val="24"/>
                <w:highlight w:val="none"/>
                <w:lang w:eastAsia="zh-CN"/>
              </w:rPr>
            </w:pPr>
            <w:r>
              <w:rPr>
                <w:rFonts w:hint="eastAsia" w:ascii="微软雅黑" w:hAnsi="微软雅黑" w:eastAsia="微软雅黑" w:cs="微软雅黑"/>
                <w:b/>
                <w:kern w:val="0"/>
                <w:sz w:val="24"/>
                <w:highlight w:val="none"/>
                <w:lang w:eastAsia="zh-CN"/>
              </w:rPr>
              <w:t>违约金标准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对较大安全、质量隐患不及时报告、瞒报的</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对发生的不安全事件不按照四不放过原则进行处理的（造成后果的，从重处理并承担赔偿责任）</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2000元/次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3</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对</w:t>
            </w:r>
            <w:r>
              <w:rPr>
                <w:rFonts w:hint="eastAsia" w:ascii="微软雅黑" w:hAnsi="微软雅黑" w:eastAsia="微软雅黑" w:cs="微软雅黑"/>
                <w:kern w:val="0"/>
                <w:szCs w:val="21"/>
                <w:highlight w:val="none"/>
                <w:lang w:eastAsia="zh-CN"/>
              </w:rPr>
              <w:t>甲方</w:t>
            </w:r>
            <w:r>
              <w:rPr>
                <w:rFonts w:hint="eastAsia" w:ascii="微软雅黑" w:hAnsi="微软雅黑" w:eastAsia="微软雅黑" w:cs="微软雅黑"/>
                <w:kern w:val="0"/>
                <w:szCs w:val="21"/>
                <w:highlight w:val="none"/>
              </w:rPr>
              <w:t>要求整改的项目未按时整改到位，重复发生的从重处罚</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4</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使用国家明令禁止的施工设备、机具，或设备、机具存在安全缺陷，或违章使用的</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500元/次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5</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物料提升机、塔吊等吊装设备没有特种设备专业检测机构检验合格的特种设备，未提供操作证或驾驶员驾驶证。</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20000元/次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6</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安全设施未经验收擅自投入使用</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2000元/处·次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7</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擅自解除运行设备联锁、报警、保护装置</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8</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未及时向作业人员发放劳保用品，或未按期检查、更换</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100元/人·次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9</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进入施工现场不正确使用安全帽、安全带等劳保用品</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100元/人·次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10</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进入施工现场不按规范着装</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100元/人·次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11</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作业现场易燃、易爆物品、有毒、有害物品的存放、运输、看管、防护、使用不符合规定</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300元/处·次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12</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较大危险场所、设施、设备及其四周无明显安全警示标志、安全防护措施；或现场警示标志牌不够，或不规范、不清晰、不整洁</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13</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楼梯口、电梯井口、预留洞口、通道口、未砌</w:t>
            </w:r>
            <w:r>
              <w:rPr>
                <w:rFonts w:hint="eastAsia" w:ascii="微软雅黑" w:hAnsi="微软雅黑" w:eastAsia="微软雅黑" w:cs="微软雅黑"/>
                <w:kern w:val="0"/>
                <w:szCs w:val="21"/>
                <w:highlight w:val="none"/>
                <w:lang w:eastAsia="zh-CN"/>
              </w:rPr>
              <w:t>栏板</w:t>
            </w:r>
            <w:r>
              <w:rPr>
                <w:rFonts w:hint="eastAsia" w:ascii="微软雅黑" w:hAnsi="微软雅黑" w:eastAsia="微软雅黑" w:cs="微软雅黑"/>
                <w:kern w:val="0"/>
                <w:szCs w:val="21"/>
                <w:highlight w:val="none"/>
              </w:rPr>
              <w:t>的平台、楼梯侧无防护和警戒措施</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14</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揭开的沟、坑、孔洞不按照规定设置临时围栏，拆除孔洞盖板、栏杆、隔离层等设施，不设明显标志，不及时恢复</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15</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作业高度超过2米的临边处未设置护栏，或搭设不规范</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16</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无证驾驶、违章驾驶，人货混装</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500元/人·次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17</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现场消防不符合安全要求</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1000元/处·次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18</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现场电、气焊等动火作业不符合安全要求</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19</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现场临时用电违反《施工现场临时用电安全技术规范JGJ46-2005》要求</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20</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高处作业不符合安全要求</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21</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违反起重吊装“十不吊”原则进行起吊的</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2000元/次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22</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违反安全操作规程进行开挖作业</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23</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交叉作业无安全防护或安全防护措施不力</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24</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不按施工组织设计进行现场定置管理的，</w:t>
            </w:r>
            <w:r>
              <w:rPr>
                <w:rFonts w:hint="eastAsia" w:ascii="微软雅黑" w:hAnsi="微软雅黑" w:eastAsia="微软雅黑" w:cs="微软雅黑"/>
                <w:szCs w:val="21"/>
                <w:highlight w:val="none"/>
              </w:rPr>
              <w:t>设备材料堆放不服从</w:t>
            </w:r>
            <w:r>
              <w:rPr>
                <w:rFonts w:hint="eastAsia" w:ascii="微软雅黑" w:hAnsi="微软雅黑" w:eastAsia="微软雅黑" w:cs="微软雅黑"/>
                <w:szCs w:val="21"/>
                <w:highlight w:val="none"/>
                <w:lang w:eastAsia="zh-CN"/>
              </w:rPr>
              <w:t>甲方</w:t>
            </w:r>
            <w:r>
              <w:rPr>
                <w:rFonts w:hint="eastAsia" w:ascii="微软雅黑" w:hAnsi="微软雅黑" w:eastAsia="微软雅黑" w:cs="微软雅黑"/>
                <w:szCs w:val="21"/>
                <w:highlight w:val="none"/>
              </w:rPr>
              <w:t>的统一安排</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25</w:t>
            </w:r>
          </w:p>
        </w:tc>
        <w:tc>
          <w:tcPr>
            <w:tcW w:w="597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建筑垃圾未及时处理，</w:t>
            </w:r>
            <w:r>
              <w:rPr>
                <w:rFonts w:hint="eastAsia" w:ascii="微软雅黑" w:hAnsi="微软雅黑" w:eastAsia="微软雅黑" w:cs="微软雅黑"/>
                <w:szCs w:val="21"/>
                <w:highlight w:val="none"/>
              </w:rPr>
              <w:t>施工中产生的废物料未按要求回收或存放到指定场所，</w:t>
            </w:r>
            <w:r>
              <w:rPr>
                <w:rFonts w:hint="eastAsia" w:ascii="微软雅黑" w:hAnsi="微软雅黑" w:eastAsia="微软雅黑" w:cs="微软雅黑"/>
                <w:kern w:val="0"/>
                <w:szCs w:val="21"/>
                <w:highlight w:val="none"/>
              </w:rPr>
              <w:t>垃圾未按规定处理，现场未做到工完料净场地清，材料堆放不整</w:t>
            </w:r>
            <w:r>
              <w:rPr>
                <w:rFonts w:hint="eastAsia" w:ascii="微软雅黑" w:hAnsi="微软雅黑" w:eastAsia="微软雅黑" w:cs="微软雅黑"/>
                <w:szCs w:val="21"/>
                <w:highlight w:val="none"/>
              </w:rPr>
              <w:t>，其它</w:t>
            </w:r>
            <w:r>
              <w:rPr>
                <w:rFonts w:hint="eastAsia" w:ascii="微软雅黑" w:hAnsi="微软雅黑" w:eastAsia="微软雅黑" w:cs="微软雅黑"/>
                <w:kern w:val="0"/>
                <w:szCs w:val="21"/>
                <w:highlight w:val="none"/>
              </w:rPr>
              <w:t>不符合工地文明施工要求的</w:t>
            </w:r>
          </w:p>
        </w:tc>
        <w:tc>
          <w:tcPr>
            <w:tcW w:w="1525" w:type="dxa"/>
            <w:tcBorders>
              <w:top w:val="single" w:color="auto" w:sz="4" w:space="0"/>
              <w:left w:val="single" w:color="auto" w:sz="4" w:space="0"/>
              <w:bottom w:val="single" w:color="auto" w:sz="4"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12" w:space="0"/>
              <w:right w:val="single" w:color="auto" w:sz="4" w:space="0"/>
            </w:tcBorders>
            <w:vAlign w:val="center"/>
          </w:tcPr>
          <w:p>
            <w:pPr>
              <w:widowControl/>
              <w:spacing w:line="0" w:lineRule="atLeast"/>
              <w:jc w:val="center"/>
              <w:rPr>
                <w:rFonts w:ascii="微软雅黑" w:hAnsi="微软雅黑" w:eastAsia="微软雅黑" w:cs="微软雅黑"/>
                <w:bCs/>
                <w:kern w:val="0"/>
                <w:szCs w:val="21"/>
                <w:highlight w:val="none"/>
              </w:rPr>
            </w:pPr>
            <w:r>
              <w:rPr>
                <w:rFonts w:hint="eastAsia" w:ascii="微软雅黑" w:hAnsi="微软雅黑" w:eastAsia="微软雅黑" w:cs="微软雅黑"/>
                <w:bCs/>
                <w:kern w:val="0"/>
                <w:szCs w:val="21"/>
                <w:highlight w:val="none"/>
              </w:rPr>
              <w:t>26</w:t>
            </w:r>
          </w:p>
        </w:tc>
        <w:tc>
          <w:tcPr>
            <w:tcW w:w="5975" w:type="dxa"/>
            <w:tcBorders>
              <w:top w:val="single" w:color="auto" w:sz="4" w:space="0"/>
              <w:left w:val="single" w:color="auto" w:sz="4" w:space="0"/>
              <w:bottom w:val="single" w:color="auto" w:sz="12" w:space="0"/>
              <w:right w:val="single" w:color="auto" w:sz="4" w:space="0"/>
            </w:tcBorders>
            <w:vAlign w:val="center"/>
          </w:tcPr>
          <w:p>
            <w:pPr>
              <w:widowControl/>
              <w:spacing w:line="0" w:lineRule="atLeas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现场作业面夜间施工照明不足</w:t>
            </w:r>
          </w:p>
        </w:tc>
        <w:tc>
          <w:tcPr>
            <w:tcW w:w="1525" w:type="dxa"/>
            <w:tcBorders>
              <w:top w:val="single" w:color="auto" w:sz="4" w:space="0"/>
              <w:left w:val="single" w:color="auto" w:sz="4" w:space="0"/>
              <w:bottom w:val="single" w:color="auto" w:sz="12" w:space="0"/>
              <w:right w:val="single" w:color="auto" w:sz="12" w:space="0"/>
            </w:tcBorders>
            <w:vAlign w:val="center"/>
          </w:tcPr>
          <w:p>
            <w:pPr>
              <w:widowControl/>
              <w:spacing w:line="0" w:lineRule="atLeast"/>
              <w:jc w:val="center"/>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200元/处·次</w:t>
            </w:r>
          </w:p>
        </w:tc>
      </w:tr>
    </w:tbl>
    <w:p>
      <w:pPr>
        <w:spacing w:line="360" w:lineRule="auto"/>
        <w:rPr>
          <w:rFonts w:ascii="微软雅黑" w:hAnsi="微软雅黑" w:eastAsia="微软雅黑" w:cs="微软雅黑"/>
          <w:szCs w:val="21"/>
          <w:highlight w:val="none"/>
        </w:rPr>
      </w:pPr>
    </w:p>
    <w:tbl>
      <w:tblPr>
        <w:tblStyle w:val="30"/>
        <w:tblW w:w="834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1"/>
        <w:gridCol w:w="5974"/>
        <w:gridCol w:w="152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atLeast"/>
          <w:jc w:val="center"/>
        </w:trPr>
        <w:tc>
          <w:tcPr>
            <w:tcW w:w="851" w:type="dxa"/>
            <w:tcBorders>
              <w:top w:val="single" w:color="000000" w:sz="12" w:space="0"/>
              <w:left w:val="single" w:color="000000" w:sz="12" w:space="0"/>
              <w:bottom w:val="single" w:color="000000" w:sz="6" w:space="0"/>
              <w:right w:val="single" w:color="000000" w:sz="6" w:space="0"/>
            </w:tcBorders>
            <w:vAlign w:val="center"/>
          </w:tcPr>
          <w:p>
            <w:pPr>
              <w:widowControl/>
              <w:spacing w:line="0" w:lineRule="atLeast"/>
              <w:jc w:val="center"/>
              <w:rPr>
                <w:rFonts w:ascii="微软雅黑" w:hAnsi="微软雅黑" w:eastAsia="微软雅黑" w:cs="微软雅黑"/>
                <w:b/>
                <w:kern w:val="0"/>
                <w:sz w:val="24"/>
                <w:highlight w:val="none"/>
              </w:rPr>
            </w:pPr>
            <w:r>
              <w:rPr>
                <w:rFonts w:hint="eastAsia" w:ascii="微软雅黑" w:hAnsi="微软雅黑" w:eastAsia="微软雅黑" w:cs="微软雅黑"/>
                <w:b/>
                <w:kern w:val="0"/>
                <w:sz w:val="24"/>
                <w:highlight w:val="none"/>
              </w:rPr>
              <w:t>序号</w:t>
            </w:r>
          </w:p>
        </w:tc>
        <w:tc>
          <w:tcPr>
            <w:tcW w:w="5974" w:type="dxa"/>
            <w:tcBorders>
              <w:top w:val="single" w:color="000000" w:sz="12" w:space="0"/>
              <w:left w:val="single" w:color="000000" w:sz="6" w:space="0"/>
              <w:bottom w:val="single" w:color="000000" w:sz="6" w:space="0"/>
              <w:right w:val="single" w:color="000000" w:sz="6" w:space="0"/>
            </w:tcBorders>
            <w:vAlign w:val="center"/>
          </w:tcPr>
          <w:p>
            <w:pPr>
              <w:widowControl/>
              <w:spacing w:line="0" w:lineRule="atLeast"/>
              <w:jc w:val="center"/>
              <w:rPr>
                <w:rFonts w:hint="eastAsia" w:ascii="微软雅黑" w:hAnsi="微软雅黑" w:eastAsia="微软雅黑" w:cs="微软雅黑"/>
                <w:b/>
                <w:kern w:val="0"/>
                <w:sz w:val="24"/>
                <w:highlight w:val="none"/>
                <w:lang w:eastAsia="zh-CN"/>
              </w:rPr>
            </w:pPr>
            <w:r>
              <w:rPr>
                <w:rFonts w:hint="eastAsia" w:ascii="微软雅黑" w:hAnsi="微软雅黑" w:eastAsia="微软雅黑" w:cs="微软雅黑"/>
                <w:b/>
                <w:kern w:val="0"/>
                <w:sz w:val="24"/>
                <w:highlight w:val="none"/>
                <w:lang w:eastAsia="zh-CN"/>
              </w:rPr>
              <w:t>违约情形</w:t>
            </w:r>
          </w:p>
        </w:tc>
        <w:tc>
          <w:tcPr>
            <w:tcW w:w="1523" w:type="dxa"/>
            <w:tcBorders>
              <w:top w:val="single" w:color="000000" w:sz="12" w:space="0"/>
              <w:left w:val="single" w:color="000000" w:sz="6" w:space="0"/>
              <w:bottom w:val="single" w:color="000000" w:sz="6" w:space="0"/>
              <w:right w:val="single" w:color="000000" w:sz="12" w:space="0"/>
            </w:tcBorders>
            <w:vAlign w:val="center"/>
          </w:tcPr>
          <w:p>
            <w:pPr>
              <w:widowControl/>
              <w:spacing w:line="0" w:lineRule="atLeast"/>
              <w:jc w:val="center"/>
              <w:rPr>
                <w:rFonts w:hint="eastAsia" w:ascii="微软雅黑" w:hAnsi="微软雅黑" w:eastAsia="微软雅黑" w:cs="微软雅黑"/>
                <w:b/>
                <w:kern w:val="0"/>
                <w:sz w:val="24"/>
                <w:highlight w:val="none"/>
                <w:lang w:eastAsia="zh-CN"/>
              </w:rPr>
            </w:pPr>
            <w:r>
              <w:rPr>
                <w:rFonts w:hint="eastAsia" w:ascii="微软雅黑" w:hAnsi="微软雅黑" w:eastAsia="微软雅黑" w:cs="微软雅黑"/>
                <w:b/>
                <w:kern w:val="0"/>
                <w:sz w:val="24"/>
                <w:highlight w:val="none"/>
                <w:lang w:eastAsia="zh-CN"/>
              </w:rPr>
              <w:t>违约金标准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对劳务</w:t>
            </w:r>
            <w:r>
              <w:rPr>
                <w:rFonts w:hint="eastAsia" w:ascii="微软雅黑" w:hAnsi="微软雅黑" w:eastAsia="微软雅黑" w:cs="微软雅黑"/>
                <w:szCs w:val="21"/>
                <w:highlight w:val="none"/>
                <w:lang w:eastAsia="zh-CN"/>
              </w:rPr>
              <w:t>乙方</w:t>
            </w:r>
            <w:r>
              <w:rPr>
                <w:rFonts w:hint="eastAsia" w:ascii="微软雅黑" w:hAnsi="微软雅黑" w:eastAsia="微软雅黑" w:cs="微软雅黑"/>
                <w:szCs w:val="21"/>
                <w:highlight w:val="none"/>
              </w:rPr>
              <w:t>以包代管，未制定有效的管控措施，或管理失控的</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未经</w:t>
            </w:r>
            <w:r>
              <w:rPr>
                <w:rFonts w:hint="eastAsia" w:ascii="微软雅黑" w:hAnsi="微软雅黑" w:eastAsia="微软雅黑" w:cs="微软雅黑"/>
                <w:szCs w:val="21"/>
                <w:highlight w:val="none"/>
                <w:lang w:eastAsia="zh-CN"/>
              </w:rPr>
              <w:t>甲方</w:t>
            </w:r>
            <w:r>
              <w:rPr>
                <w:rFonts w:hint="eastAsia" w:ascii="微软雅黑" w:hAnsi="微软雅黑" w:eastAsia="微软雅黑" w:cs="微软雅黑"/>
                <w:szCs w:val="21"/>
                <w:highlight w:val="none"/>
              </w:rPr>
              <w:t>许可擅自转包</w:t>
            </w:r>
            <w:r>
              <w:rPr>
                <w:rFonts w:hint="eastAsia" w:ascii="微软雅黑" w:hAnsi="微软雅黑" w:eastAsia="微软雅黑" w:cs="微软雅黑"/>
                <w:color w:val="auto"/>
                <w:szCs w:val="21"/>
                <w:highlight w:val="none"/>
                <w:lang w:eastAsia="zh-CN"/>
              </w:rPr>
              <w:t>、</w:t>
            </w:r>
            <w:r>
              <w:rPr>
                <w:rFonts w:hint="eastAsia" w:ascii="微软雅黑" w:hAnsi="微软雅黑" w:eastAsia="微软雅黑" w:cs="微软雅黑"/>
                <w:color w:val="auto"/>
                <w:szCs w:val="21"/>
                <w:highlight w:val="none"/>
                <w:lang w:val="en-US" w:eastAsia="zh-CN"/>
              </w:rPr>
              <w:t>分包的</w:t>
            </w:r>
            <w:r>
              <w:rPr>
                <w:rFonts w:hint="eastAsia" w:ascii="微软雅黑" w:hAnsi="微软雅黑" w:eastAsia="微软雅黑" w:cs="微软雅黑"/>
                <w:szCs w:val="21"/>
                <w:highlight w:val="none"/>
              </w:rPr>
              <w:t>，或出现质量事故问题的</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3</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未按照甲方的要求及时更换不合格分包商</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4</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未经</w:t>
            </w:r>
            <w:r>
              <w:rPr>
                <w:rFonts w:hint="eastAsia" w:ascii="微软雅黑" w:hAnsi="微软雅黑" w:eastAsia="微软雅黑" w:cs="微软雅黑"/>
                <w:szCs w:val="21"/>
                <w:highlight w:val="none"/>
                <w:lang w:eastAsia="zh-CN"/>
              </w:rPr>
              <w:t>甲方</w:t>
            </w:r>
            <w:r>
              <w:rPr>
                <w:rFonts w:hint="eastAsia" w:ascii="微软雅黑" w:hAnsi="微软雅黑" w:eastAsia="微软雅黑" w:cs="微软雅黑"/>
                <w:szCs w:val="21"/>
                <w:highlight w:val="none"/>
              </w:rPr>
              <w:t>同意，主要管理人员、班组长擅自离场</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5000元/人·次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未按照工程设计施工图纸或施工技术标准、规范等施工</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6</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lang w:eastAsia="zh-CN"/>
              </w:rPr>
              <w:t>乙方</w:t>
            </w:r>
            <w:r>
              <w:rPr>
                <w:rFonts w:hint="eastAsia" w:ascii="微软雅黑" w:hAnsi="微软雅黑" w:eastAsia="微软雅黑" w:cs="微软雅黑"/>
                <w:szCs w:val="21"/>
                <w:highlight w:val="none"/>
              </w:rPr>
              <w:t>未按照技术标准规定对材料、设备进行检验，或检验不合格擅自使用</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7</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未按照施工技术标准规定对隐蔽工程的质量进行检查和记录</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8</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施工工序未完或未经检查、检验合格即进行下道工序</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9</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施工过程中不对材料、设备或半成品、成品采取保护措施，或保护不力造成二次污染和损毁</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10</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使用不合格的计量器具</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11</w:t>
            </w:r>
          </w:p>
        </w:tc>
        <w:tc>
          <w:tcPr>
            <w:tcW w:w="5974" w:type="dxa"/>
            <w:tcBorders>
              <w:top w:val="single" w:color="000000" w:sz="6" w:space="0"/>
              <w:left w:val="single" w:color="000000" w:sz="6" w:space="0"/>
              <w:bottom w:val="single" w:color="000000" w:sz="6" w:space="0"/>
              <w:right w:val="single" w:color="000000" w:sz="6"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对较大质量隐患不及时报告、瞒报的</w:t>
            </w:r>
          </w:p>
        </w:tc>
        <w:tc>
          <w:tcPr>
            <w:tcW w:w="1523" w:type="dxa"/>
            <w:tcBorders>
              <w:top w:val="single" w:color="000000" w:sz="6" w:space="0"/>
              <w:left w:val="single" w:color="000000" w:sz="6" w:space="0"/>
              <w:bottom w:val="single" w:color="000000" w:sz="6" w:space="0"/>
              <w:right w:val="single" w:color="000000" w:sz="12"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12</w:t>
            </w:r>
          </w:p>
        </w:tc>
        <w:tc>
          <w:tcPr>
            <w:tcW w:w="5974" w:type="dxa"/>
            <w:tcBorders>
              <w:top w:val="single" w:color="000000" w:sz="6" w:space="0"/>
              <w:left w:val="single" w:color="000000" w:sz="6" w:space="0"/>
              <w:bottom w:val="single" w:color="000000" w:sz="6" w:space="0"/>
              <w:right w:val="single" w:color="000000" w:sz="6"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对发生的质量事件不按照四不放过原则进行处理的（造成后果的，从重处理并承担赔偿责任）</w:t>
            </w:r>
          </w:p>
        </w:tc>
        <w:tc>
          <w:tcPr>
            <w:tcW w:w="1523" w:type="dxa"/>
            <w:tcBorders>
              <w:top w:val="single" w:color="000000" w:sz="6" w:space="0"/>
              <w:left w:val="single" w:color="000000" w:sz="6" w:space="0"/>
              <w:bottom w:val="single" w:color="000000" w:sz="6" w:space="0"/>
              <w:right w:val="single" w:color="000000" w:sz="12"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2000元/次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13</w:t>
            </w:r>
          </w:p>
        </w:tc>
        <w:tc>
          <w:tcPr>
            <w:tcW w:w="5974" w:type="dxa"/>
            <w:tcBorders>
              <w:top w:val="single" w:color="000000" w:sz="6" w:space="0"/>
              <w:left w:val="single" w:color="000000" w:sz="6" w:space="0"/>
              <w:bottom w:val="single" w:color="000000" w:sz="6" w:space="0"/>
              <w:right w:val="single" w:color="000000" w:sz="6"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对要求整改的项目未按时整改到位，重复发生的从重处罚</w:t>
            </w:r>
          </w:p>
        </w:tc>
        <w:tc>
          <w:tcPr>
            <w:tcW w:w="1523" w:type="dxa"/>
            <w:tcBorders>
              <w:top w:val="single" w:color="000000" w:sz="6" w:space="0"/>
              <w:left w:val="single" w:color="000000" w:sz="6" w:space="0"/>
              <w:bottom w:val="single" w:color="000000" w:sz="6" w:space="0"/>
              <w:right w:val="single" w:color="000000" w:sz="12"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1000元/项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14</w:t>
            </w:r>
          </w:p>
        </w:tc>
        <w:tc>
          <w:tcPr>
            <w:tcW w:w="5974" w:type="dxa"/>
            <w:tcBorders>
              <w:top w:val="single" w:color="000000" w:sz="6" w:space="0"/>
              <w:left w:val="single" w:color="000000" w:sz="6" w:space="0"/>
              <w:bottom w:val="single" w:color="000000" w:sz="6" w:space="0"/>
              <w:right w:val="single" w:color="000000" w:sz="6"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szCs w:val="21"/>
                <w:highlight w:val="none"/>
              </w:rPr>
              <w:t>拒绝执行设计变更或新增加的工作内容时</w:t>
            </w:r>
          </w:p>
        </w:tc>
        <w:tc>
          <w:tcPr>
            <w:tcW w:w="1523" w:type="dxa"/>
            <w:tcBorders>
              <w:top w:val="single" w:color="000000" w:sz="6" w:space="0"/>
              <w:left w:val="single" w:color="000000" w:sz="6" w:space="0"/>
              <w:bottom w:val="single" w:color="000000" w:sz="6" w:space="0"/>
              <w:right w:val="single" w:color="000000" w:sz="12" w:space="0"/>
            </w:tcBorders>
            <w:vAlign w:val="center"/>
          </w:tcPr>
          <w:p>
            <w:pPr>
              <w:widowControl/>
              <w:spacing w:line="0" w:lineRule="atLeast"/>
              <w:jc w:val="left"/>
              <w:rPr>
                <w:rFonts w:ascii="微软雅黑" w:hAnsi="微软雅黑" w:eastAsia="微软雅黑" w:cs="微软雅黑"/>
                <w:kern w:val="0"/>
                <w:szCs w:val="21"/>
                <w:highlight w:val="none"/>
              </w:rPr>
            </w:pPr>
            <w:r>
              <w:rPr>
                <w:rFonts w:hint="eastAsia" w:ascii="微软雅黑" w:hAnsi="微软雅黑" w:eastAsia="微软雅黑" w:cs="微软雅黑"/>
                <w:kern w:val="0"/>
                <w:szCs w:val="21"/>
                <w:highlight w:val="none"/>
              </w:rPr>
              <w:t>20000元/次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15</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未执行强制性标准条文的</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16</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偷工减料、不按工艺标准施工使工程质量无法保证的</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10000元/次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17</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故意刁难参与项目的</w:t>
            </w:r>
            <w:r>
              <w:rPr>
                <w:rFonts w:hint="eastAsia" w:ascii="微软雅黑" w:hAnsi="微软雅黑" w:eastAsia="微软雅黑" w:cs="微软雅黑"/>
                <w:szCs w:val="21"/>
                <w:highlight w:val="none"/>
                <w:lang w:eastAsia="zh-CN"/>
              </w:rPr>
              <w:t>乙方</w:t>
            </w:r>
            <w:r>
              <w:rPr>
                <w:rFonts w:hint="eastAsia" w:ascii="微软雅黑" w:hAnsi="微软雅黑" w:eastAsia="微软雅黑" w:cs="微软雅黑"/>
                <w:szCs w:val="21"/>
                <w:highlight w:val="none"/>
              </w:rPr>
              <w:t>，对</w:t>
            </w:r>
            <w:r>
              <w:rPr>
                <w:rFonts w:hint="eastAsia" w:ascii="微软雅黑" w:hAnsi="微软雅黑" w:eastAsia="微软雅黑" w:cs="微软雅黑"/>
                <w:szCs w:val="21"/>
                <w:highlight w:val="none"/>
                <w:lang w:eastAsia="zh-CN"/>
              </w:rPr>
              <w:t>甲方</w:t>
            </w:r>
            <w:r>
              <w:rPr>
                <w:rFonts w:hint="eastAsia" w:ascii="微软雅黑" w:hAnsi="微软雅黑" w:eastAsia="微软雅黑" w:cs="微软雅黑"/>
                <w:szCs w:val="21"/>
                <w:highlight w:val="none"/>
              </w:rPr>
              <w:t>参与确定的</w:t>
            </w:r>
            <w:r>
              <w:rPr>
                <w:rFonts w:hint="eastAsia" w:ascii="微软雅黑" w:hAnsi="微软雅黑" w:eastAsia="微软雅黑" w:cs="微软雅黑"/>
                <w:szCs w:val="21"/>
                <w:highlight w:val="none"/>
                <w:lang w:eastAsia="zh-CN"/>
              </w:rPr>
              <w:t>乙方</w:t>
            </w:r>
            <w:r>
              <w:rPr>
                <w:rFonts w:hint="eastAsia" w:ascii="微软雅黑" w:hAnsi="微软雅黑" w:eastAsia="微软雅黑" w:cs="微软雅黑"/>
                <w:szCs w:val="21"/>
                <w:highlight w:val="none"/>
              </w:rPr>
              <w:t>供货设置障碍</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18</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设备、材料存放不符合规范要求</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19</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分项工程主控项目质量一次检验不合格</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1000元/项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20</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劳务</w:t>
            </w:r>
            <w:r>
              <w:rPr>
                <w:rFonts w:hint="eastAsia" w:ascii="微软雅黑" w:hAnsi="微软雅黑" w:eastAsia="微软雅黑" w:cs="微软雅黑"/>
                <w:szCs w:val="21"/>
                <w:highlight w:val="none"/>
                <w:lang w:eastAsia="zh-CN"/>
              </w:rPr>
              <w:t>乙方</w:t>
            </w:r>
            <w:r>
              <w:rPr>
                <w:rFonts w:hint="eastAsia" w:ascii="微软雅黑" w:hAnsi="微软雅黑" w:eastAsia="微软雅黑" w:cs="微软雅黑"/>
                <w:szCs w:val="21"/>
                <w:highlight w:val="none"/>
              </w:rPr>
              <w:t>未妥善保管</w:t>
            </w:r>
            <w:r>
              <w:rPr>
                <w:rFonts w:hint="eastAsia" w:ascii="微软雅黑" w:hAnsi="微软雅黑" w:eastAsia="微软雅黑" w:cs="微软雅黑"/>
                <w:szCs w:val="21"/>
                <w:highlight w:val="none"/>
                <w:lang w:eastAsia="zh-CN"/>
              </w:rPr>
              <w:t>甲方</w:t>
            </w:r>
            <w:r>
              <w:rPr>
                <w:rFonts w:hint="eastAsia" w:ascii="微软雅黑" w:hAnsi="微软雅黑" w:eastAsia="微软雅黑" w:cs="微软雅黑"/>
                <w:szCs w:val="21"/>
                <w:highlight w:val="none"/>
              </w:rPr>
              <w:t>供应的材料，保管不善造成损失</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21</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劳务</w:t>
            </w:r>
            <w:r>
              <w:rPr>
                <w:rFonts w:hint="eastAsia" w:ascii="微软雅黑" w:hAnsi="微软雅黑" w:eastAsia="微软雅黑" w:cs="微软雅黑"/>
                <w:szCs w:val="21"/>
                <w:highlight w:val="none"/>
                <w:lang w:eastAsia="zh-CN"/>
              </w:rPr>
              <w:t>乙方</w:t>
            </w:r>
            <w:r>
              <w:rPr>
                <w:rFonts w:hint="eastAsia" w:ascii="微软雅黑" w:hAnsi="微软雅黑" w:eastAsia="微软雅黑" w:cs="微软雅黑"/>
                <w:szCs w:val="21"/>
                <w:highlight w:val="none"/>
              </w:rPr>
              <w:t>私自带材料进场</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22</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擅自将现场的设备、材料带出场外</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材料价格10倍</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23</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未经</w:t>
            </w:r>
            <w:r>
              <w:rPr>
                <w:rFonts w:hint="eastAsia" w:ascii="微软雅黑" w:hAnsi="微软雅黑" w:eastAsia="微软雅黑" w:cs="微软雅黑"/>
                <w:szCs w:val="21"/>
                <w:highlight w:val="none"/>
                <w:lang w:eastAsia="zh-CN"/>
              </w:rPr>
              <w:t>甲方</w:t>
            </w:r>
            <w:r>
              <w:rPr>
                <w:rFonts w:hint="eastAsia" w:ascii="微软雅黑" w:hAnsi="微软雅黑" w:eastAsia="微软雅黑" w:cs="微软雅黑"/>
                <w:szCs w:val="21"/>
                <w:highlight w:val="none"/>
              </w:rPr>
              <w:t>培训合格及认可的人员，擅自制作接线、电缆头制作、光伏专用接头</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1" w:type="dxa"/>
            <w:tcBorders>
              <w:top w:val="single" w:color="000000" w:sz="6" w:space="0"/>
              <w:left w:val="single" w:color="000000" w:sz="12" w:space="0"/>
              <w:bottom w:val="single" w:color="000000" w:sz="6" w:space="0"/>
              <w:right w:val="single" w:color="000000" w:sz="6" w:space="0"/>
            </w:tcBorders>
            <w:vAlign w:val="center"/>
          </w:tcPr>
          <w:p>
            <w:pPr>
              <w:spacing w:line="0" w:lineRule="atLeast"/>
              <w:jc w:val="center"/>
              <w:rPr>
                <w:rFonts w:ascii="微软雅黑" w:hAnsi="微软雅黑" w:eastAsia="微软雅黑" w:cs="微软雅黑"/>
                <w:szCs w:val="21"/>
                <w:highlight w:val="none"/>
              </w:rPr>
            </w:pPr>
            <w:r>
              <w:rPr>
                <w:rFonts w:hint="eastAsia" w:ascii="微软雅黑" w:hAnsi="微软雅黑" w:eastAsia="微软雅黑" w:cs="微软雅黑"/>
                <w:szCs w:val="21"/>
                <w:highlight w:val="none"/>
              </w:rPr>
              <w:t>24</w:t>
            </w:r>
          </w:p>
        </w:tc>
        <w:tc>
          <w:tcPr>
            <w:tcW w:w="5974" w:type="dxa"/>
            <w:tcBorders>
              <w:top w:val="single" w:color="000000" w:sz="6" w:space="0"/>
              <w:left w:val="single" w:color="000000" w:sz="6" w:space="0"/>
              <w:bottom w:val="single" w:color="000000" w:sz="6" w:space="0"/>
              <w:right w:val="single" w:color="000000" w:sz="6"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踩踏、按压组件或在组件上放置物品</w:t>
            </w:r>
          </w:p>
        </w:tc>
        <w:tc>
          <w:tcPr>
            <w:tcW w:w="1523" w:type="dxa"/>
            <w:tcBorders>
              <w:top w:val="single" w:color="000000" w:sz="6" w:space="0"/>
              <w:left w:val="single" w:color="000000" w:sz="6" w:space="0"/>
              <w:bottom w:val="single" w:color="000000" w:sz="6" w:space="0"/>
              <w:right w:val="single" w:color="000000" w:sz="12" w:space="0"/>
            </w:tcBorders>
            <w:vAlign w:val="center"/>
          </w:tcPr>
          <w:p>
            <w:pPr>
              <w:spacing w:line="0" w:lineRule="atLeast"/>
              <w:jc w:val="left"/>
              <w:rPr>
                <w:rFonts w:ascii="微软雅黑" w:hAnsi="微软雅黑" w:eastAsia="微软雅黑" w:cs="微软雅黑"/>
                <w:szCs w:val="21"/>
                <w:highlight w:val="none"/>
              </w:rPr>
            </w:pPr>
            <w:r>
              <w:rPr>
                <w:rFonts w:hint="eastAsia" w:ascii="微软雅黑" w:hAnsi="微软雅黑" w:eastAsia="微软雅黑" w:cs="微软雅黑"/>
                <w:szCs w:val="21"/>
                <w:highlight w:val="none"/>
              </w:rPr>
              <w:t>500元/次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1" w:type="dxa"/>
            <w:tcBorders>
              <w:top w:val="single" w:color="000000" w:sz="6" w:space="0"/>
              <w:left w:val="single" w:color="000000" w:sz="12" w:space="0"/>
              <w:bottom w:val="single" w:color="000000" w:sz="12" w:space="0"/>
              <w:right w:val="single" w:color="000000" w:sz="6" w:space="0"/>
            </w:tcBorders>
            <w:vAlign w:val="center"/>
          </w:tcPr>
          <w:p>
            <w:pPr>
              <w:spacing w:line="440" w:lineRule="exact"/>
              <w:jc w:val="center"/>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w:t>
            </w:r>
          </w:p>
        </w:tc>
        <w:tc>
          <w:tcPr>
            <w:tcW w:w="5974" w:type="dxa"/>
            <w:tcBorders>
              <w:top w:val="single" w:color="000000" w:sz="6" w:space="0"/>
              <w:left w:val="single" w:color="000000" w:sz="6" w:space="0"/>
              <w:bottom w:val="single" w:color="000000" w:sz="12" w:space="0"/>
              <w:right w:val="single" w:color="000000" w:sz="6" w:space="0"/>
            </w:tcBorders>
            <w:vAlign w:val="center"/>
          </w:tcPr>
          <w:p>
            <w:pPr>
              <w:spacing w:line="440" w:lineRule="exact"/>
              <w:jc w:val="center"/>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w:t>
            </w:r>
          </w:p>
        </w:tc>
        <w:tc>
          <w:tcPr>
            <w:tcW w:w="1523" w:type="dxa"/>
            <w:tcBorders>
              <w:top w:val="single" w:color="000000" w:sz="6" w:space="0"/>
              <w:left w:val="single" w:color="000000" w:sz="6" w:space="0"/>
              <w:bottom w:val="single" w:color="000000" w:sz="12" w:space="0"/>
              <w:right w:val="single" w:color="000000" w:sz="12" w:space="0"/>
            </w:tcBorders>
            <w:vAlign w:val="center"/>
          </w:tcPr>
          <w:p>
            <w:pPr>
              <w:spacing w:line="440" w:lineRule="exact"/>
              <w:jc w:val="center"/>
              <w:rPr>
                <w:rFonts w:hint="eastAsia" w:ascii="微软雅黑" w:hAnsi="微软雅黑" w:eastAsia="微软雅黑" w:cs="微软雅黑"/>
                <w:szCs w:val="21"/>
                <w:highlight w:val="none"/>
              </w:rPr>
            </w:pPr>
            <w:r>
              <w:rPr>
                <w:rFonts w:hint="eastAsia" w:ascii="微软雅黑" w:hAnsi="微软雅黑" w:eastAsia="微软雅黑" w:cs="微软雅黑"/>
                <w:szCs w:val="21"/>
                <w:highlight w:val="none"/>
              </w:rPr>
              <w:t>-</w:t>
            </w:r>
          </w:p>
        </w:tc>
      </w:tr>
    </w:tbl>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b/>
          <w:sz w:val="18"/>
          <w:szCs w:val="18"/>
          <w:highlight w:val="none"/>
        </w:rPr>
      </w:pPr>
    </w:p>
    <w:p>
      <w:pPr>
        <w:spacing w:line="0" w:lineRule="atLeast"/>
        <w:rPr>
          <w:rFonts w:hint="eastAsia"/>
          <w:b/>
          <w:sz w:val="18"/>
          <w:szCs w:val="18"/>
          <w:highlight w:val="none"/>
        </w:rPr>
      </w:pPr>
    </w:p>
    <w:p>
      <w:pPr>
        <w:spacing w:line="0" w:lineRule="atLeast"/>
        <w:rPr>
          <w:rFonts w:hint="eastAsia"/>
          <w:b/>
          <w:sz w:val="18"/>
          <w:szCs w:val="18"/>
          <w:highlight w:val="none"/>
        </w:rPr>
      </w:pPr>
    </w:p>
    <w:p>
      <w:pPr>
        <w:spacing w:line="480" w:lineRule="auto"/>
        <w:rPr>
          <w:rFonts w:hint="eastAsia"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rPr>
        <w:br w:type="column"/>
      </w:r>
      <w:r>
        <w:rPr>
          <w:rFonts w:hint="eastAsia" w:ascii="微软雅黑" w:hAnsi="微软雅黑" w:eastAsia="微软雅黑" w:cs="微软雅黑"/>
          <w:b/>
          <w:sz w:val="28"/>
          <w:szCs w:val="28"/>
          <w:highlight w:val="none"/>
        </w:rPr>
        <w:t>附件</w:t>
      </w:r>
      <w:r>
        <w:rPr>
          <w:rFonts w:hint="eastAsia" w:ascii="微软雅黑" w:hAnsi="微软雅黑" w:eastAsia="微软雅黑" w:cs="微软雅黑"/>
          <w:b/>
          <w:sz w:val="28"/>
          <w:szCs w:val="28"/>
          <w:highlight w:val="none"/>
          <w:lang w:val="en-US" w:eastAsia="zh-CN"/>
        </w:rPr>
        <w:t>三</w:t>
      </w:r>
      <w:r>
        <w:rPr>
          <w:rFonts w:hint="eastAsia" w:ascii="微软雅黑" w:hAnsi="微软雅黑" w:eastAsia="微软雅黑" w:cs="微软雅黑"/>
          <w:b/>
          <w:sz w:val="28"/>
          <w:szCs w:val="28"/>
          <w:highlight w:val="none"/>
        </w:rPr>
        <w:t>：施工现场临时用电安全管理协议</w:t>
      </w:r>
    </w:p>
    <w:p>
      <w:pPr>
        <w:spacing w:line="0" w:lineRule="atLeast"/>
        <w:rPr>
          <w:rFonts w:hint="eastAsia"/>
          <w:b/>
          <w:sz w:val="18"/>
          <w:szCs w:val="18"/>
          <w:highlight w:val="none"/>
        </w:rPr>
      </w:pPr>
    </w:p>
    <w:p>
      <w:pPr>
        <w:jc w:val="center"/>
        <w:rPr>
          <w:b/>
          <w:bCs/>
          <w:sz w:val="32"/>
          <w:szCs w:val="40"/>
          <w:highlight w:val="none"/>
        </w:rPr>
      </w:pPr>
      <w:r>
        <w:rPr>
          <w:rFonts w:hint="eastAsia"/>
          <w:b/>
          <w:bCs/>
          <w:sz w:val="32"/>
          <w:szCs w:val="40"/>
          <w:highlight w:val="none"/>
        </w:rPr>
        <w:t>施工现场临时用电安全管理协议</w:t>
      </w:r>
    </w:p>
    <w:p>
      <w:pPr>
        <w:spacing w:line="480" w:lineRule="auto"/>
        <w:rPr>
          <w:rFonts w:hint="eastAsia" w:eastAsia="宋体" w:cs="Times New Roman"/>
          <w:b/>
          <w:sz w:val="24"/>
          <w:highlight w:val="none"/>
          <w:lang w:val="en-US" w:eastAsia="zh-CN"/>
        </w:rPr>
      </w:pPr>
      <w:r>
        <w:rPr>
          <w:rFonts w:hint="eastAsia" w:eastAsia="宋体" w:cs="Times New Roman"/>
          <w:b/>
          <w:sz w:val="24"/>
          <w:highlight w:val="none"/>
        </w:rPr>
        <w:t>甲方：</w:t>
      </w:r>
      <w:r>
        <w:rPr>
          <w:rFonts w:hint="eastAsia" w:eastAsia="宋体" w:cs="Times New Roman"/>
          <w:b/>
          <w:sz w:val="24"/>
          <w:highlight w:val="none"/>
          <w:lang w:val="en-US" w:eastAsia="zh-CN"/>
        </w:rPr>
        <w:t xml:space="preserve"> </w:t>
      </w:r>
    </w:p>
    <w:p>
      <w:pPr>
        <w:spacing w:line="480" w:lineRule="auto"/>
        <w:rPr>
          <w:rFonts w:hint="eastAsia" w:eastAsia="宋体"/>
          <w:sz w:val="24"/>
          <w:highlight w:val="none"/>
          <w:lang w:eastAsia="zh-CN"/>
        </w:rPr>
      </w:pPr>
      <w:r>
        <w:rPr>
          <w:rFonts w:hint="eastAsia" w:eastAsia="宋体" w:cs="Times New Roman"/>
          <w:b/>
          <w:sz w:val="24"/>
          <w:highlight w:val="none"/>
        </w:rPr>
        <w:t>乙方：</w:t>
      </w:r>
      <w:r>
        <w:rPr>
          <w:rFonts w:hint="eastAsia" w:eastAsia="宋体" w:cs="Times New Roman"/>
          <w:b/>
          <w:sz w:val="24"/>
          <w:highlight w:val="none"/>
          <w:lang w:val="en-US" w:eastAsia="zh-CN"/>
        </w:rPr>
        <w:t xml:space="preserve">    </w:t>
      </w:r>
    </w:p>
    <w:p>
      <w:pPr>
        <w:widowControl/>
        <w:shd w:val="clear" w:color="auto" w:fill="FFFFFF"/>
        <w:spacing w:line="460" w:lineRule="exact"/>
        <w:jc w:val="left"/>
        <w:rPr>
          <w:rFonts w:hint="eastAsia" w:ascii="宋体" w:hAnsi="宋体" w:cs="宋体"/>
          <w:kern w:val="0"/>
          <w:sz w:val="24"/>
          <w:highlight w:val="none"/>
        </w:rPr>
      </w:pPr>
      <w:r>
        <w:rPr>
          <w:rFonts w:hint="eastAsia" w:ascii="宋体" w:hAnsi="宋体" w:cs="宋体"/>
          <w:kern w:val="0"/>
          <w:sz w:val="24"/>
          <w:highlight w:val="none"/>
        </w:rPr>
        <w:t xml:space="preserve">    为了确保施工现场临时用电安全，防止触电事故发生，依据《中华人民共和国安全生产法》、《建设工程安全生产管理条例》、建设部《施工现场临时用电安全技术规范》（JGJ46-2023）、《建筑施工安全检查标准》（JGJ59-2022）及《绍兴市建设工程施工现场安全防护标准》的有关规定</w:t>
      </w:r>
      <w:r>
        <w:rPr>
          <w:rFonts w:hint="eastAsia" w:ascii="宋体" w:hAnsi="宋体" w:eastAsia="Arial" w:cs="宋体"/>
          <w:kern w:val="0"/>
          <w:sz w:val="24"/>
          <w:highlight w:val="none"/>
          <w:lang w:eastAsia="zh-CN"/>
        </w:rPr>
        <w:t>签订</w:t>
      </w:r>
      <w:r>
        <w:rPr>
          <w:rFonts w:hint="eastAsia" w:ascii="宋体" w:hAnsi="宋体" w:cs="宋体"/>
          <w:kern w:val="0"/>
          <w:sz w:val="24"/>
          <w:highlight w:val="none"/>
        </w:rPr>
        <w:t>本协议书。甲方和乙方应当按照各自职责，对建设工程临时用电进行监督管理，严格遵守本协议书规定的权利、责任和义务，保障施工现场临时用电安全。</w:t>
      </w:r>
    </w:p>
    <w:p>
      <w:pPr>
        <w:widowControl/>
        <w:shd w:val="clear" w:color="auto" w:fill="FFFFFF"/>
        <w:spacing w:line="460" w:lineRule="exact"/>
        <w:jc w:val="left"/>
        <w:rPr>
          <w:rFonts w:hint="eastAsia" w:ascii="宋体" w:hAnsi="宋体" w:cs="宋体"/>
          <w:kern w:val="0"/>
          <w:sz w:val="24"/>
          <w:highlight w:val="none"/>
        </w:rPr>
      </w:pPr>
      <w:r>
        <w:rPr>
          <w:rFonts w:hint="eastAsia" w:ascii="宋体" w:hAnsi="宋体" w:cs="宋体"/>
          <w:b/>
          <w:bCs/>
          <w:kern w:val="0"/>
          <w:sz w:val="24"/>
          <w:highlight w:val="none"/>
        </w:rPr>
        <w:t>一、 甲方的权利、职责和义务</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1、贯彻落实国家及</w:t>
      </w:r>
      <w:r>
        <w:rPr>
          <w:rFonts w:hint="eastAsia" w:ascii="宋体" w:hAnsi="宋体" w:cs="宋体"/>
          <w:kern w:val="0"/>
          <w:sz w:val="24"/>
          <w:highlight w:val="none"/>
          <w:lang w:val="en-US" w:eastAsia="zh-CN"/>
        </w:rPr>
        <w:t>项目当地</w:t>
      </w:r>
      <w:r>
        <w:rPr>
          <w:rFonts w:hint="eastAsia" w:ascii="宋体" w:hAnsi="宋体" w:cs="宋体"/>
          <w:kern w:val="0"/>
          <w:sz w:val="24"/>
          <w:highlight w:val="none"/>
        </w:rPr>
        <w:t>施工现场临时用电的有关规定。负责对施工现场临时用电进行全面监督、管理，并对施工现场用电进行安全检查和指导。</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2、乙方临时用电申请，应将乙方临时用电安全技术措施和电气防火措施向甲方进行备案。</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3、乙方三级电箱进场前经安全部、电工班验收，张贴明显</w:t>
      </w:r>
      <w:r>
        <w:rPr>
          <w:rFonts w:hint="eastAsia" w:ascii="宋体" w:hAnsi="宋体" w:eastAsia="Arial" w:cs="宋体"/>
          <w:kern w:val="0"/>
          <w:sz w:val="24"/>
          <w:highlight w:val="none"/>
          <w:lang w:eastAsia="zh-CN"/>
        </w:rPr>
        <w:t>标识</w:t>
      </w:r>
      <w:r>
        <w:rPr>
          <w:rFonts w:hint="eastAsia" w:ascii="宋体" w:hAnsi="宋体" w:cs="宋体"/>
          <w:kern w:val="0"/>
          <w:sz w:val="24"/>
          <w:highlight w:val="none"/>
        </w:rPr>
        <w:t>后予以进场，否则将对现场电箱进行</w:t>
      </w:r>
      <w:r>
        <w:rPr>
          <w:rFonts w:hint="eastAsia" w:ascii="宋体" w:hAnsi="宋体" w:eastAsia="Arial" w:cs="宋体"/>
          <w:kern w:val="0"/>
          <w:sz w:val="24"/>
          <w:highlight w:val="none"/>
          <w:lang w:eastAsia="zh-CN"/>
        </w:rPr>
        <w:t>清理</w:t>
      </w:r>
      <w:r>
        <w:rPr>
          <w:rFonts w:hint="eastAsia" w:ascii="宋体" w:hAnsi="宋体" w:cs="宋体"/>
          <w:kern w:val="0"/>
          <w:sz w:val="24"/>
          <w:highlight w:val="none"/>
        </w:rPr>
        <w:t>。</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4、负责提供施工电源，并把施工电源送到（经双方共同验收）符合安全标准的二级配电箱。并对乙方的使用情况进行监督检查。</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5、向乙方提供电源时，应与乙方办理交接监守手续。</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6、按照有关临时用电标准对乙方的临时用电设备、设施进行监督和检查。发现乙方在临时用电中存在隐患必须责成乙方整改。并监督整改落实情况。</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7、乙方应将乙方特种作业人员的花名册、操作证复印件及培训记录提供于甲方进行存档备案。未经安全生产教育培训和无证人员，不得上岗作业。</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8、甲方</w:t>
      </w:r>
      <w:r>
        <w:rPr>
          <w:rStyle w:val="63"/>
          <w:rFonts w:hint="eastAsia" w:eastAsia="宋体" w:cs="宋体"/>
          <w:sz w:val="24"/>
          <w:highlight w:val="none"/>
        </w:rPr>
        <w:t>根据本协议的约定对乙方进行监督、检查，并不视为可以免除、减免或降低乙方应当承担的合同项下的义务或法律责任，也并不视为甲方对于应由乙方承担的合同项下的义务或法律责任的分担。</w:t>
      </w:r>
    </w:p>
    <w:p>
      <w:pPr>
        <w:widowControl/>
        <w:shd w:val="clear" w:color="auto" w:fill="FFFFFF"/>
        <w:spacing w:line="460" w:lineRule="exact"/>
        <w:jc w:val="left"/>
        <w:rPr>
          <w:rFonts w:hint="eastAsia" w:ascii="宋体" w:hAnsi="宋体" w:cs="宋体"/>
          <w:kern w:val="0"/>
          <w:sz w:val="24"/>
          <w:highlight w:val="none"/>
        </w:rPr>
      </w:pPr>
      <w:r>
        <w:rPr>
          <w:rFonts w:hint="eastAsia" w:ascii="宋体" w:hAnsi="宋体" w:cs="宋体"/>
          <w:b/>
          <w:bCs/>
          <w:kern w:val="0"/>
          <w:sz w:val="24"/>
          <w:highlight w:val="none"/>
        </w:rPr>
        <w:t>二、乙方的权利、责任和义务</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1、严格执行国家及</w:t>
      </w:r>
      <w:r>
        <w:rPr>
          <w:rFonts w:hint="eastAsia" w:ascii="宋体" w:hAnsi="宋体" w:cs="宋体"/>
          <w:kern w:val="0"/>
          <w:sz w:val="24"/>
          <w:highlight w:val="none"/>
          <w:lang w:eastAsia="zh-CN"/>
        </w:rPr>
        <w:t>项目当地</w:t>
      </w:r>
      <w:r>
        <w:rPr>
          <w:rFonts w:hint="eastAsia" w:ascii="宋体" w:hAnsi="宋体" w:cs="宋体"/>
          <w:kern w:val="0"/>
          <w:sz w:val="24"/>
          <w:highlight w:val="none"/>
        </w:rPr>
        <w:t>施工现场临时用电的有关技术规范和安全操作规程，对施工区域内自行管辖的临时用电负全面管理责任。</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2、向甲方提供书面的临时用电申请。设备、设施需要增容时，必须重新办理用电申请手续。</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3、保证二级配电箱以下管辖区域内各种用电设备、设施完好，临时用电设施和器材必须使用正确厂家的合格产品，严禁使用假冒伪劣等不合格产品。加强维护保养工作，严禁各种机电设备带病运行。保证临时用电符合有关安全用电标准。定期对现场临时用电线路和设施进行安全排查，及时发现潜在安全隐患。因乙方疏于管理而发生触电等事故的，所有责任由乙方承担。</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4、执行临时用电安全技术交底制度，对施工区域内自行管辖的操作人员进行临时用电安全技术交底，避免违章指挥、违章操作和误操作，确保安全用电。</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a) 在使用甲方提供临时电源时，对不符合临时用电标准的电源，对甲方提出整改意见。有权拒绝在不符合临时用电标准的电源上拉接电源。对甲方在安全检查中提出的关于临时用电方面存在的问题或隐患，必须按要求认真落实整改。</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b) 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c) 现场发生触电事故时，经主管部门</w:t>
      </w:r>
      <w:r>
        <w:rPr>
          <w:rFonts w:hint="eastAsia" w:ascii="宋体" w:hAnsi="宋体" w:eastAsia="Arial" w:cs="宋体"/>
          <w:kern w:val="0"/>
          <w:sz w:val="24"/>
          <w:highlight w:val="none"/>
          <w:lang w:eastAsia="zh-CN"/>
        </w:rPr>
        <w:t>鉴定</w:t>
      </w:r>
      <w:r>
        <w:rPr>
          <w:rFonts w:hint="eastAsia" w:ascii="宋体" w:hAnsi="宋体" w:cs="宋体"/>
          <w:kern w:val="0"/>
          <w:sz w:val="24"/>
          <w:highlight w:val="none"/>
        </w:rPr>
        <w:t>属于乙方因违反上述协议和违章指挥、违章操作，对提供的电源线路设施未经甲方同意擅自拆、改、接，不服从甲方管理造成事故的，由乙方负全责。</w:t>
      </w:r>
    </w:p>
    <w:p>
      <w:pPr>
        <w:widowControl/>
        <w:shd w:val="clear" w:color="auto" w:fill="FFFFFF"/>
        <w:spacing w:line="460" w:lineRule="exact"/>
        <w:jc w:val="left"/>
        <w:rPr>
          <w:rFonts w:hint="eastAsia" w:ascii="宋体" w:hAnsi="宋体" w:cs="宋体"/>
          <w:kern w:val="0"/>
          <w:sz w:val="24"/>
          <w:highlight w:val="none"/>
        </w:rPr>
      </w:pPr>
      <w:r>
        <w:rPr>
          <w:rFonts w:hint="eastAsia" w:ascii="宋体" w:hAnsi="宋体" w:cs="宋体"/>
          <w:kern w:val="0"/>
          <w:sz w:val="24"/>
          <w:highlight w:val="none"/>
        </w:rPr>
        <w:t>三、</w:t>
      </w:r>
      <w:r>
        <w:rPr>
          <w:rFonts w:hint="eastAsia" w:ascii="宋体" w:hAnsi="宋体" w:cs="宋体"/>
          <w:b/>
          <w:bCs/>
          <w:kern w:val="0"/>
          <w:sz w:val="24"/>
          <w:highlight w:val="none"/>
        </w:rPr>
        <w:t>其他</w:t>
      </w:r>
    </w:p>
    <w:p>
      <w:pPr>
        <w:widowControl/>
        <w:shd w:val="clear" w:color="auto" w:fill="FFFFFF"/>
        <w:spacing w:line="460" w:lineRule="exact"/>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本协议书一式两份，</w:t>
      </w:r>
      <w:bookmarkStart w:id="71" w:name="_Hlk145596942"/>
      <w:r>
        <w:rPr>
          <w:rFonts w:hint="eastAsia" w:ascii="宋体" w:hAnsi="宋体" w:cs="宋体"/>
          <w:kern w:val="0"/>
          <w:sz w:val="24"/>
          <w:highlight w:val="none"/>
        </w:rPr>
        <w:t>自甲、乙双方签字盖章之日或作为主合同的</w:t>
      </w:r>
      <w:r>
        <w:rPr>
          <w:rFonts w:hint="eastAsia" w:ascii="宋体" w:hAnsi="宋体" w:eastAsia="宋体" w:cs="宋体"/>
          <w:kern w:val="0"/>
          <w:sz w:val="24"/>
          <w:highlight w:val="none"/>
          <w:lang w:val="en-US" w:eastAsia="zh-CN"/>
        </w:rPr>
        <w:t>附件</w:t>
      </w:r>
      <w:r>
        <w:rPr>
          <w:rFonts w:hint="eastAsia" w:ascii="宋体" w:hAnsi="宋体" w:cs="宋体"/>
          <w:kern w:val="0"/>
          <w:sz w:val="24"/>
          <w:highlight w:val="none"/>
        </w:rPr>
        <w:t>生效之日起立即生效，甲乙双方各保存一份。</w:t>
      </w:r>
      <w:bookmarkEnd w:id="71"/>
    </w:p>
    <w:p>
      <w:pPr>
        <w:spacing w:line="0" w:lineRule="atLeast"/>
        <w:rPr>
          <w:b/>
          <w:sz w:val="18"/>
          <w:szCs w:val="18"/>
          <w:highlight w:val="none"/>
        </w:rPr>
      </w:pPr>
    </w:p>
    <w:p>
      <w:pPr>
        <w:widowControl/>
        <w:shd w:val="clear" w:color="auto" w:fill="FFFFFF"/>
        <w:spacing w:line="360" w:lineRule="auto"/>
        <w:jc w:val="left"/>
        <w:rPr>
          <w:rFonts w:hint="eastAsia" w:ascii="宋体" w:hAnsi="宋体" w:cs="宋体"/>
          <w:kern w:val="0"/>
          <w:sz w:val="24"/>
          <w:highlight w:val="none"/>
        </w:rPr>
      </w:pPr>
      <w:r>
        <w:rPr>
          <w:rFonts w:hint="eastAsia" w:ascii="宋体" w:hAnsi="宋体" w:cs="宋体"/>
          <w:kern w:val="0"/>
          <w:sz w:val="24"/>
          <w:highlight w:val="none"/>
        </w:rPr>
        <w:t>甲方单位：（盖章）                 乙方单位：（盖章）</w:t>
      </w:r>
    </w:p>
    <w:p>
      <w:pPr>
        <w:spacing w:line="0" w:lineRule="atLeast"/>
        <w:rPr>
          <w:rFonts w:hint="eastAsia"/>
          <w:b/>
          <w:sz w:val="18"/>
          <w:szCs w:val="18"/>
          <w:highlight w:val="none"/>
        </w:rPr>
      </w:pPr>
    </w:p>
    <w:p>
      <w:pPr>
        <w:widowControl/>
        <w:shd w:val="clear" w:color="auto" w:fill="FFFFFF"/>
        <w:spacing w:line="360" w:lineRule="auto"/>
        <w:jc w:val="left"/>
        <w:rPr>
          <w:rFonts w:hint="eastAsia" w:ascii="宋体" w:hAnsi="宋体" w:cs="宋体"/>
          <w:kern w:val="0"/>
          <w:sz w:val="24"/>
          <w:highlight w:val="none"/>
        </w:rPr>
      </w:pPr>
      <w:r>
        <w:rPr>
          <w:rFonts w:hint="eastAsia" w:ascii="宋体" w:hAnsi="宋体" w:cs="宋体"/>
          <w:kern w:val="0"/>
          <w:sz w:val="24"/>
          <w:highlight w:val="none"/>
        </w:rPr>
        <w:t>负责人签字：                       负责人签字：</w:t>
      </w:r>
    </w:p>
    <w:p>
      <w:pPr>
        <w:spacing w:line="0" w:lineRule="atLeast"/>
        <w:rPr>
          <w:rFonts w:hint="eastAsia"/>
          <w:b/>
          <w:sz w:val="18"/>
          <w:szCs w:val="18"/>
          <w:highlight w:val="none"/>
        </w:rPr>
      </w:pPr>
    </w:p>
    <w:p>
      <w:pPr>
        <w:widowControl/>
        <w:shd w:val="clear" w:color="auto" w:fill="FFFFFF"/>
        <w:spacing w:line="360" w:lineRule="auto"/>
        <w:jc w:val="left"/>
        <w:rPr>
          <w:rFonts w:ascii="宋体" w:hAnsi="宋体" w:cs="宋体"/>
          <w:kern w:val="0"/>
          <w:sz w:val="24"/>
          <w:highlight w:val="none"/>
        </w:rPr>
      </w:pPr>
      <w:r>
        <w:rPr>
          <w:rFonts w:hint="eastAsia" w:ascii="宋体" w:hAnsi="宋体" w:cs="宋体"/>
          <w:kern w:val="0"/>
          <w:sz w:val="24"/>
          <w:highlight w:val="none"/>
        </w:rPr>
        <w:t xml:space="preserve">日期： </w:t>
      </w:r>
      <w:r>
        <w:rPr>
          <w:rFonts w:ascii="宋体" w:hAnsi="宋体" w:cs="宋体"/>
          <w:kern w:val="0"/>
          <w:sz w:val="24"/>
          <w:highlight w:val="none"/>
        </w:rPr>
        <w:t xml:space="preserve">    </w:t>
      </w:r>
      <w:r>
        <w:rPr>
          <w:rFonts w:hint="eastAsia" w:ascii="宋体" w:hAnsi="宋体" w:cs="宋体"/>
          <w:kern w:val="0"/>
          <w:sz w:val="24"/>
          <w:highlight w:val="none"/>
        </w:rPr>
        <w:t>年    月   日           日期：      年  月    日</w:t>
      </w:r>
    </w:p>
    <w:p>
      <w:pPr>
        <w:spacing w:line="480" w:lineRule="auto"/>
        <w:rPr>
          <w:rFonts w:hint="eastAsia" w:ascii="微软雅黑" w:hAnsi="微软雅黑" w:eastAsia="微软雅黑" w:cs="微软雅黑"/>
          <w:b/>
          <w:sz w:val="28"/>
          <w:szCs w:val="28"/>
          <w:highlight w:val="none"/>
        </w:rPr>
      </w:pPr>
    </w:p>
    <w:p>
      <w:pPr>
        <w:spacing w:line="480" w:lineRule="auto"/>
        <w:rPr>
          <w:rFonts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rPr>
        <w:t>附件</w:t>
      </w:r>
      <w:r>
        <w:rPr>
          <w:rFonts w:hint="eastAsia" w:ascii="微软雅黑" w:hAnsi="微软雅黑" w:eastAsia="微软雅黑" w:cs="微软雅黑"/>
          <w:b/>
          <w:sz w:val="28"/>
          <w:szCs w:val="28"/>
          <w:highlight w:val="none"/>
          <w:lang w:val="en-US" w:eastAsia="zh-CN"/>
        </w:rPr>
        <w:t>四</w:t>
      </w:r>
      <w:r>
        <w:rPr>
          <w:rFonts w:hint="eastAsia" w:ascii="微软雅黑" w:hAnsi="微软雅黑" w:eastAsia="微软雅黑" w:cs="微软雅黑"/>
          <w:b/>
          <w:sz w:val="28"/>
          <w:szCs w:val="28"/>
          <w:highlight w:val="none"/>
        </w:rPr>
        <w:t>：现场消防安全管理协议书</w:t>
      </w:r>
    </w:p>
    <w:p>
      <w:pPr>
        <w:spacing w:line="48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现场消防安全管理协议书</w:t>
      </w:r>
    </w:p>
    <w:p>
      <w:pPr>
        <w:spacing w:line="0" w:lineRule="atLeast"/>
        <w:rPr>
          <w:b/>
          <w:sz w:val="18"/>
          <w:szCs w:val="18"/>
          <w:highlight w:val="none"/>
        </w:rPr>
      </w:pPr>
    </w:p>
    <w:p>
      <w:pPr>
        <w:spacing w:line="480" w:lineRule="auto"/>
        <w:rPr>
          <w:rFonts w:hint="eastAsia" w:eastAsia="宋体" w:cs="Times New Roman"/>
          <w:b/>
          <w:sz w:val="24"/>
          <w:highlight w:val="none"/>
          <w:lang w:val="en-US" w:eastAsia="zh-CN"/>
        </w:rPr>
      </w:pPr>
      <w:r>
        <w:rPr>
          <w:rFonts w:hint="eastAsia" w:eastAsia="宋体" w:cs="Times New Roman"/>
          <w:b/>
          <w:sz w:val="24"/>
          <w:highlight w:val="none"/>
        </w:rPr>
        <w:t>甲方：</w:t>
      </w:r>
      <w:r>
        <w:rPr>
          <w:rFonts w:hint="eastAsia" w:eastAsia="宋体" w:cs="Times New Roman"/>
          <w:b/>
          <w:sz w:val="24"/>
          <w:highlight w:val="none"/>
          <w:lang w:val="en-US" w:eastAsia="zh-CN"/>
        </w:rPr>
        <w:t xml:space="preserve"> </w:t>
      </w:r>
    </w:p>
    <w:p>
      <w:pPr>
        <w:spacing w:line="480" w:lineRule="auto"/>
        <w:rPr>
          <w:rFonts w:hint="eastAsia" w:eastAsia="宋体"/>
          <w:sz w:val="24"/>
          <w:highlight w:val="none"/>
          <w:lang w:eastAsia="zh-CN"/>
        </w:rPr>
      </w:pPr>
      <w:r>
        <w:rPr>
          <w:rFonts w:hint="eastAsia" w:eastAsia="宋体" w:cs="Times New Roman"/>
          <w:b/>
          <w:sz w:val="24"/>
          <w:highlight w:val="none"/>
        </w:rPr>
        <w:t>乙方：</w:t>
      </w:r>
      <w:r>
        <w:rPr>
          <w:rFonts w:hint="eastAsia" w:eastAsia="宋体" w:cs="Times New Roman"/>
          <w:b/>
          <w:sz w:val="24"/>
          <w:highlight w:val="none"/>
          <w:lang w:val="en-US" w:eastAsia="zh-CN"/>
        </w:rPr>
        <w:t xml:space="preserve">   </w:t>
      </w:r>
    </w:p>
    <w:p>
      <w:pPr>
        <w:tabs>
          <w:tab w:val="left" w:pos="180"/>
          <w:tab w:val="left" w:pos="360"/>
        </w:tabs>
        <w:spacing w:line="360" w:lineRule="auto"/>
        <w:rPr>
          <w:rFonts w:hint="eastAsia" w:ascii="宋体" w:hAnsi="宋体" w:cs="宋体"/>
          <w:b/>
          <w:bCs/>
          <w:sz w:val="24"/>
          <w:highlight w:val="none"/>
        </w:rPr>
      </w:pPr>
      <w:r>
        <w:rPr>
          <w:rFonts w:hint="eastAsia" w:ascii="宋体" w:hAnsi="宋体" w:cs="宋体"/>
          <w:b/>
          <w:bCs/>
          <w:sz w:val="24"/>
          <w:highlight w:val="none"/>
        </w:rPr>
        <w:t>甲方消防安全责任人：</w:t>
      </w:r>
    </w:p>
    <w:p>
      <w:pPr>
        <w:tabs>
          <w:tab w:val="left" w:pos="180"/>
          <w:tab w:val="left" w:pos="360"/>
        </w:tabs>
        <w:spacing w:line="360" w:lineRule="auto"/>
        <w:rPr>
          <w:rFonts w:hint="eastAsia" w:ascii="宋体" w:hAnsi="宋体" w:cs="宋体"/>
          <w:sz w:val="24"/>
          <w:highlight w:val="none"/>
        </w:rPr>
      </w:pPr>
      <w:r>
        <w:rPr>
          <w:rFonts w:hint="eastAsia" w:ascii="宋体" w:hAnsi="宋体" w:cs="宋体"/>
          <w:b/>
          <w:bCs/>
          <w:sz w:val="24"/>
          <w:highlight w:val="none"/>
        </w:rPr>
        <w:t>乙方消防安全责任人：</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为了加强和规范施工现场消防安全管理，落实逐级消防安全责任制，依据《中华人民共和国消防法》、《机关、团体、企业、事业单位消防安全管理规定》（公安部61号令）、等法律、法规，本着“谁主管，谁负责”的原则，签订本协议书，双方应严格遵</w:t>
      </w:r>
      <w:r>
        <w:rPr>
          <w:rFonts w:hint="eastAsia" w:ascii="宋体" w:hAnsi="宋体" w:cs="宋体"/>
          <w:spacing w:val="-4"/>
          <w:sz w:val="24"/>
          <w:highlight w:val="none"/>
        </w:rPr>
        <w:t>守和执行本协议书规定的</w:t>
      </w:r>
      <w:r>
        <w:rPr>
          <w:rFonts w:hint="eastAsia" w:ascii="宋体" w:hAnsi="宋体" w:eastAsia="Arial" w:cs="宋体"/>
          <w:spacing w:val="-4"/>
          <w:sz w:val="24"/>
          <w:highlight w:val="none"/>
          <w:lang w:eastAsia="zh-CN"/>
        </w:rPr>
        <w:t>权利</w:t>
      </w:r>
      <w:r>
        <w:rPr>
          <w:rFonts w:hint="eastAsia" w:ascii="宋体" w:hAnsi="宋体" w:cs="宋体"/>
          <w:spacing w:val="-4"/>
          <w:sz w:val="24"/>
          <w:highlight w:val="none"/>
        </w:rPr>
        <w:t>、责任和义务，确保施工现场的消防安全。</w:t>
      </w:r>
    </w:p>
    <w:p>
      <w:pPr>
        <w:tabs>
          <w:tab w:val="left" w:pos="180"/>
          <w:tab w:val="left" w:pos="360"/>
        </w:tabs>
        <w:spacing w:line="480" w:lineRule="exact"/>
        <w:ind w:firstLine="480" w:firstLineChars="200"/>
        <w:outlineLvl w:val="0"/>
        <w:rPr>
          <w:rFonts w:hint="eastAsia" w:ascii="宋体" w:hAnsi="宋体" w:cs="宋体"/>
          <w:b/>
          <w:bCs/>
          <w:sz w:val="24"/>
          <w:highlight w:val="none"/>
        </w:rPr>
      </w:pPr>
      <w:r>
        <w:rPr>
          <w:rFonts w:hint="eastAsia" w:ascii="宋体" w:hAnsi="宋体" w:cs="宋体"/>
          <w:b/>
          <w:bCs/>
          <w:sz w:val="24"/>
          <w:highlight w:val="none"/>
        </w:rPr>
        <w:t>一、甲方的权力、责任和义务</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1、贯彻落实国家和</w:t>
      </w:r>
      <w:r>
        <w:rPr>
          <w:rFonts w:hint="eastAsia" w:ascii="宋体" w:hAnsi="宋体" w:cs="宋体"/>
          <w:kern w:val="0"/>
          <w:sz w:val="24"/>
          <w:highlight w:val="none"/>
          <w:lang w:eastAsia="zh-CN"/>
        </w:rPr>
        <w:t>项目当地</w:t>
      </w:r>
      <w:r>
        <w:rPr>
          <w:rFonts w:hint="eastAsia" w:ascii="宋体" w:hAnsi="宋体" w:cs="宋体"/>
          <w:sz w:val="24"/>
          <w:highlight w:val="none"/>
        </w:rPr>
        <w:t>有关施工现场消防安全法规和甲方的消防安全管理制度。</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2、可以运用多种形式开展经常性的消防安全宣传教育。</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3、建立健全各项消防安全管理制度和操作规程，并督促落实。明确逐级和岗位消防安全职责，确定现场各栋号、分包、外包单位和各职能部门、各工种和各区域、层段等各级别和岗位的消防安全责任人；建立健全施工现场各级消防安全组织机构和义务消防队组织；对重点工种人员如电气焊人员、防水作业人员进行登记，建立档案。</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4、严格落实有关动用明火的管理制度。施工现场动用明火，应当按照规定事先办理审批手续；用火操作前，乙方须对电气焊工作业人员以班组或分包为单位进行用火操作交底，填写《用火申请审批表》，由甲方项目主管负责人签字，并开具当天用火证。</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开具用火证人员必须由消防安全专职人员担任，其他人员代理应有书面委托；开具动火证时应严格把关，根据施工情况提出有针对性的防火措施。高层、外檐和孔洞周围作业，必须要求分包单位和有关作业人员配备接挡工具，并在动火证上注明具体要求和措施。有防水施工和火灾、爆炸危险作业的，应停止各种明火作业。</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5、甲方对在施工现场的用火、生活区的用火、用电、使用易燃易爆化学危险物品、防水作业及材料存储进行审查、批准和监督、检查。做到工程内不设置宿舍和住人，不做仓库使用和存放易燃易爆化学危险物品及易燃可燃材料；对违章指挥、违规操作等违章、违纪行为进行制止、纠正，并按有关规定进行处理。</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6、在施工现场内、生活区内，按有关规定设置、配备相应的消防设施和灭火器材，设置消防应急疏散通道和指示标志；制定整体的灭火和应急疏散预案，并至少每半年进行一次演练。</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7、可以定期召开施工现场消防安全会议，组织防火检查,督促落实火灾隐患整改；有针对性地部署做好防水施工、聚苯保温材料使用、冷却塔、贵重机器设备（电梯、冷水机组、空调机等）安装以及装修等各阶段的防火工作；协调和处理本施工现场的有关消防安全问题。</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8、要求乙方提供施工作业和生活住宿方面的消防应急救援预案，若乙方未提供甲方消防应急救援预案，甲方有停止乙方在现场施工的权力。</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9、发生火灾，应及时报警、迅速组织扑救和人员疏散。紧急情况下甲方有权调用乙方的相关人员及物资。</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10、积极配合各级消防监督</w:t>
      </w:r>
      <w:r>
        <w:rPr>
          <w:rFonts w:hint="eastAsia" w:ascii="宋体" w:hAnsi="宋体" w:eastAsia="Arial" w:cs="宋体"/>
          <w:sz w:val="24"/>
          <w:highlight w:val="none"/>
          <w:lang w:eastAsia="zh-CN"/>
        </w:rPr>
        <w:t>检察</w:t>
      </w:r>
      <w:r>
        <w:rPr>
          <w:rFonts w:hint="eastAsia" w:ascii="宋体" w:hAnsi="宋体" w:cs="宋体"/>
          <w:sz w:val="24"/>
          <w:highlight w:val="none"/>
        </w:rPr>
        <w:t>机关进行消防安全检查，参与火灾事故的调查、处理。</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eastAsia="Arial" w:cs="宋体"/>
          <w:kern w:val="0"/>
          <w:sz w:val="24"/>
          <w:highlight w:val="none"/>
        </w:rPr>
        <w:t>11、</w:t>
      </w:r>
      <w:r>
        <w:rPr>
          <w:rFonts w:hint="eastAsia" w:ascii="宋体" w:hAnsi="宋体" w:cs="宋体"/>
          <w:kern w:val="0"/>
          <w:sz w:val="24"/>
          <w:highlight w:val="none"/>
        </w:rPr>
        <w:t>甲方</w:t>
      </w:r>
      <w:r>
        <w:rPr>
          <w:rStyle w:val="32"/>
          <w:rFonts w:hint="eastAsia" w:ascii="宋体" w:hAnsi="宋体" w:eastAsia="Arial" w:cs="宋体"/>
          <w:sz w:val="24"/>
          <w:highlight w:val="none"/>
        </w:rPr>
        <w:t>根据本协议的约定对乙方进行监督、检查，并不视为可以免除、减免或降低乙方应当承担的合同项下的义务或法律责任，也并不视为甲方对于应由乙方承担的合同项下的义务或法律责任的分担。</w:t>
      </w:r>
    </w:p>
    <w:p>
      <w:pPr>
        <w:tabs>
          <w:tab w:val="left" w:pos="180"/>
          <w:tab w:val="left" w:pos="360"/>
        </w:tabs>
        <w:spacing w:line="480" w:lineRule="exact"/>
        <w:ind w:firstLine="480" w:firstLineChars="200"/>
        <w:outlineLvl w:val="0"/>
        <w:rPr>
          <w:rFonts w:hint="eastAsia" w:ascii="宋体" w:hAnsi="宋体" w:cs="宋体"/>
          <w:b/>
          <w:bCs/>
          <w:sz w:val="24"/>
          <w:highlight w:val="none"/>
        </w:rPr>
      </w:pPr>
      <w:r>
        <w:rPr>
          <w:rFonts w:hint="eastAsia" w:ascii="宋体" w:hAnsi="宋体" w:cs="宋体"/>
          <w:b/>
          <w:bCs/>
          <w:sz w:val="24"/>
          <w:highlight w:val="none"/>
        </w:rPr>
        <w:t>二、乙方的权利、责任和义务</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1、贯彻落实各级政府及相关部门有关施工现场消防安全的法规和总包的消防安全管理制度，对所属施工区域的消防安全管理负全面责任。</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2、负责建立健全本单位的防火组织及义务消防队组织，明确消防安全责任人、消防安全管理人</w:t>
      </w:r>
      <w:r>
        <w:rPr>
          <w:rFonts w:hint="eastAsia" w:ascii="宋体" w:hAnsi="宋体" w:eastAsia="Arial" w:cs="宋体"/>
          <w:sz w:val="24"/>
          <w:highlight w:val="none"/>
          <w:lang w:eastAsia="zh-CN"/>
        </w:rPr>
        <w:t>员</w:t>
      </w:r>
      <w:r>
        <w:rPr>
          <w:rFonts w:hint="eastAsia" w:ascii="宋体" w:hAnsi="宋体" w:cs="宋体"/>
          <w:sz w:val="24"/>
          <w:highlight w:val="none"/>
        </w:rPr>
        <w:t>、专兼职消防管理人员。根据现场实际情况编制专项消防保卫方案和火灾事故应急救援预案，并经监理审批后，报监理和总包单位备案。按照甲方的要求提供施工人员花名册及特殊工种的证件复印件及有关资料，在本施工区域内，尤其是重点部位按规定配备相应的灭火器材，并保证灵敏有效。</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3、电气焊等特种作业人员必须持证上岗。用火操作前，必须到甲方用火审批部门办理动火证，不得由他人代理。在操作中应确保高层、外檐和孔洞周围作业对电气焊割产生的火花、焊渣有接挡和封堵措施，并避免与防水施工、冷却塔安装等易燃危险性作业同时交叉进行；要清除周围易燃可燃物，配备灭火器材或灭火用水，设专人看火监护。禁止非焊工进行电气焊操作。</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4、负责对本单位在施人员进行消防法规、制度、操作规程和施工现场火灾危险性教育；进行报火警、扑救初起火灾和自救逃生知识、技能教育。对施工现场采用的新工艺、新技术、新材料或使用的新设备必须了解、掌握其安全消防技术特性，经培训教育后方可上岗作业。在消防安全教育或安全活动中，可要求甲方提供帮助。</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5、工程内不准作为仓库使用，不准存放易燃、易爆化学危险物品和易燃可燃材料，不得在建设工程内设置宿舍。甲方指令乙方违反上述规定的，乙方有权拒绝。在建设工程外设置宿舍和库房的，禁止使用可燃材料做</w:t>
      </w:r>
      <w:r>
        <w:rPr>
          <w:rFonts w:hint="eastAsia" w:ascii="宋体" w:hAnsi="宋体" w:eastAsia="Arial" w:cs="宋体"/>
          <w:sz w:val="24"/>
          <w:highlight w:val="none"/>
          <w:lang w:eastAsia="zh-CN"/>
        </w:rPr>
        <w:t>分隔</w:t>
      </w:r>
      <w:r>
        <w:rPr>
          <w:rFonts w:hint="eastAsia" w:ascii="宋体" w:hAnsi="宋体" w:cs="宋体"/>
          <w:sz w:val="24"/>
          <w:highlight w:val="none"/>
        </w:rPr>
        <w:t>和围挡。严禁在宿舍内私接乱拉电线，严禁使用“热得快”、电饭锅、电褥子等电热器具；使用液化石油气应经甲方批准，并办理合格证。乙方使用或存储易燃易爆化学危险品，应向甲方有关部门提出申请，经甲方批准和登记，并有可靠的防火安全措施后才准许使用和存储。</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6、负责所在施工区域的消防安全管理，保证所施工区域内的消防设施、器材等完好无损、灵敏有效，确保消防应急通道畅通，并有权拒绝甲方违反消防安全法规的指令。</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7、经常进行自我防火安全检查，及时制止、纠正各种违章用火、用电和违章操作行为，在防火安全检查中发现的消防隐患及问题，应及时整改或采取必要的安全措施，并及时通报甲方有关部门共同协商解决，消除消防隐患。</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8、积极配合、服从各级消防机关、部门及甲方的消防安全监督、检查和管理，对于查出的防火安全问题及时进行整改，并将整改情况书面报甲方备案。</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9、发生火灾事故，立即向甲方报告，并迅速组织扑救，事后积极协助有关部门进行调查，迟报或隐瞒不报造成严重后果的，要承担相应责任。</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10、因乙方责任造成的火灾事故，导致甲方或第三方人身伤亡和经济损</w:t>
      </w:r>
      <w:r>
        <w:rPr>
          <w:rFonts w:hint="eastAsia" w:ascii="宋体" w:hAnsi="宋体" w:eastAsia="Arial" w:cs="宋体"/>
          <w:sz w:val="24"/>
          <w:highlight w:val="none"/>
          <w:lang w:eastAsia="zh-CN"/>
        </w:rPr>
        <w:t>失</w:t>
      </w:r>
      <w:r>
        <w:rPr>
          <w:rFonts w:hint="eastAsia" w:ascii="宋体" w:hAnsi="宋体" w:cs="宋体"/>
          <w:sz w:val="24"/>
          <w:highlight w:val="none"/>
        </w:rPr>
        <w:t>的，乙方承担全部经济损失和法律责任。</w:t>
      </w:r>
    </w:p>
    <w:p>
      <w:pPr>
        <w:tabs>
          <w:tab w:val="left" w:pos="180"/>
          <w:tab w:val="left" w:pos="360"/>
        </w:tabs>
        <w:spacing w:line="480" w:lineRule="exact"/>
        <w:ind w:firstLine="480" w:firstLineChars="200"/>
        <w:outlineLvl w:val="0"/>
        <w:rPr>
          <w:rFonts w:hint="eastAsia" w:ascii="宋体" w:hAnsi="宋体" w:cs="宋体"/>
          <w:b/>
          <w:bCs/>
          <w:sz w:val="24"/>
          <w:highlight w:val="none"/>
        </w:rPr>
      </w:pPr>
      <w:r>
        <w:rPr>
          <w:rFonts w:hint="eastAsia" w:ascii="宋体" w:hAnsi="宋体" w:cs="宋体"/>
          <w:sz w:val="24"/>
          <w:highlight w:val="none"/>
        </w:rPr>
        <w:t>三、</w:t>
      </w:r>
      <w:r>
        <w:rPr>
          <w:rFonts w:hint="eastAsia" w:ascii="宋体" w:hAnsi="宋体" w:cs="宋体"/>
          <w:b/>
          <w:bCs/>
          <w:sz w:val="24"/>
          <w:highlight w:val="none"/>
        </w:rPr>
        <w:t>补充条款</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 xml:space="preserve">一、乙方施工区域内的消防器材由乙方配置，甲、乙双方有现场监督权、检查权，若乙方未按消防要求配置消防器材到位，甲方有权对乙方进行处罚、停工、限期改正。                                                  </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 xml:space="preserve">二、甲方施工区域移交乙方施工后，其消防主体责任一同转移至乙方。 </w:t>
      </w:r>
      <w:r>
        <w:rPr>
          <w:rFonts w:hint="eastAsia" w:ascii="宋体" w:hAnsi="宋体" w:cs="宋体"/>
          <w:sz w:val="24"/>
          <w:highlight w:val="none"/>
          <w:u w:val="single"/>
        </w:rPr>
        <w:t xml:space="preserve">                                                                                                       </w:t>
      </w:r>
    </w:p>
    <w:p>
      <w:pPr>
        <w:tabs>
          <w:tab w:val="left" w:pos="180"/>
          <w:tab w:val="left" w:pos="360"/>
        </w:tabs>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三、本协议书一式两份，甲乙双方各执一份。本协议自</w:t>
      </w:r>
      <w:r>
        <w:rPr>
          <w:rFonts w:hint="eastAsia" w:ascii="宋体" w:hAnsi="宋体" w:eastAsia="Arial" w:cs="宋体"/>
          <w:sz w:val="24"/>
          <w:highlight w:val="none"/>
          <w:lang w:eastAsia="zh-CN"/>
        </w:rPr>
        <w:t>签订</w:t>
      </w:r>
      <w:r>
        <w:rPr>
          <w:rFonts w:hint="eastAsia" w:ascii="宋体" w:hAnsi="宋体" w:cs="宋体"/>
          <w:sz w:val="24"/>
          <w:highlight w:val="none"/>
        </w:rPr>
        <w:t>之日或作为主合同的</w:t>
      </w:r>
      <w:r>
        <w:rPr>
          <w:rFonts w:hint="eastAsia" w:ascii="宋体" w:hAnsi="宋体" w:eastAsia="宋体" w:cs="宋体"/>
          <w:sz w:val="24"/>
          <w:highlight w:val="none"/>
          <w:lang w:val="en-US" w:eastAsia="zh-CN"/>
        </w:rPr>
        <w:t>附件</w:t>
      </w:r>
      <w:r>
        <w:rPr>
          <w:rFonts w:hint="eastAsia" w:ascii="宋体" w:hAnsi="宋体" w:cs="宋体"/>
          <w:sz w:val="24"/>
          <w:highlight w:val="none"/>
        </w:rPr>
        <w:t>生效之日起立即生效。</w:t>
      </w:r>
    </w:p>
    <w:p>
      <w:pPr>
        <w:spacing w:line="0" w:lineRule="atLeast"/>
        <w:rPr>
          <w:b/>
          <w:sz w:val="18"/>
          <w:szCs w:val="18"/>
          <w:highlight w:val="none"/>
        </w:rPr>
      </w:pPr>
    </w:p>
    <w:p>
      <w:pPr>
        <w:spacing w:line="0" w:lineRule="atLeast"/>
        <w:rPr>
          <w:b/>
          <w:sz w:val="18"/>
          <w:szCs w:val="18"/>
          <w:highlight w:val="none"/>
        </w:rPr>
      </w:pPr>
    </w:p>
    <w:p>
      <w:pPr>
        <w:spacing w:line="0" w:lineRule="atLeast"/>
        <w:rPr>
          <w:rFonts w:hint="eastAsia"/>
          <w:b/>
          <w:sz w:val="18"/>
          <w:szCs w:val="18"/>
          <w:highlight w:val="none"/>
        </w:rPr>
      </w:pPr>
    </w:p>
    <w:p>
      <w:pPr>
        <w:spacing w:line="360" w:lineRule="auto"/>
        <w:rPr>
          <w:rFonts w:hint="eastAsia" w:ascii="宋体" w:hAnsi="宋体" w:cs="宋体"/>
          <w:sz w:val="24"/>
          <w:highlight w:val="none"/>
        </w:rPr>
      </w:pPr>
      <w:r>
        <w:rPr>
          <w:rFonts w:hint="eastAsia" w:ascii="宋体" w:hAnsi="宋体" w:cs="宋体"/>
          <w:sz w:val="24"/>
          <w:highlight w:val="none"/>
        </w:rPr>
        <w:t>甲方单位：（章）                  乙方单位：（章）</w:t>
      </w:r>
    </w:p>
    <w:p>
      <w:pPr>
        <w:spacing w:line="0" w:lineRule="atLeast"/>
        <w:rPr>
          <w:b/>
          <w:sz w:val="18"/>
          <w:szCs w:val="18"/>
          <w:highlight w:val="none"/>
        </w:rPr>
      </w:pPr>
    </w:p>
    <w:p>
      <w:pPr>
        <w:spacing w:line="0" w:lineRule="atLeast"/>
        <w:rPr>
          <w:rFonts w:hint="eastAsia"/>
          <w:b/>
          <w:sz w:val="18"/>
          <w:szCs w:val="18"/>
          <w:highlight w:val="none"/>
        </w:rPr>
      </w:pPr>
    </w:p>
    <w:p>
      <w:pPr>
        <w:rPr>
          <w:rFonts w:hint="eastAsia" w:eastAsia="宋体"/>
          <w:highlight w:val="none"/>
          <w:lang w:eastAsia="zh-CN"/>
        </w:rPr>
      </w:pPr>
      <w:r>
        <w:rPr>
          <w:rFonts w:hint="eastAsia" w:ascii="宋体" w:hAnsi="宋体" w:cs="宋体"/>
          <w:sz w:val="24"/>
          <w:highlight w:val="none"/>
        </w:rPr>
        <w:t>负责人签</w:t>
      </w:r>
      <w:r>
        <w:rPr>
          <w:rFonts w:hint="eastAsia" w:ascii="宋体" w:hAnsi="宋体" w:cs="宋体"/>
          <w:color w:val="000000"/>
          <w:sz w:val="24"/>
          <w:highlight w:val="none"/>
        </w:rPr>
        <w:t>字：                      负责人签字：</w:t>
      </w:r>
    </w:p>
    <w:p>
      <w:pPr>
        <w:spacing w:line="360" w:lineRule="auto"/>
        <w:ind w:firstLine="480" w:firstLineChars="200"/>
        <w:jc w:val="both"/>
        <w:rPr>
          <w:rFonts w:hint="eastAsia" w:ascii="宋体" w:hAnsi="宋体" w:eastAsia="宋体" w:cs="宋体"/>
          <w:color w:val="auto"/>
          <w:kern w:val="2"/>
          <w:sz w:val="24"/>
          <w:szCs w:val="32"/>
          <w:highlight w:val="none"/>
        </w:rPr>
      </w:pPr>
    </w:p>
    <w:p>
      <w:pPr>
        <w:jc w:val="both"/>
        <w:rPr>
          <w:rFonts w:hint="eastAsia" w:ascii="宋体" w:hAnsi="宋体" w:eastAsia="宋体" w:cs="宋体"/>
          <w:color w:val="auto"/>
          <w:highlight w:val="none"/>
        </w:rPr>
      </w:pPr>
    </w:p>
    <w:p>
      <w:pPr>
        <w:spacing w:line="480" w:lineRule="auto"/>
        <w:rPr>
          <w:rFonts w:hint="eastAsia" w:ascii="微软雅黑" w:hAnsi="微软雅黑" w:eastAsia="微软雅黑" w:cs="微软雅黑"/>
          <w:b/>
          <w:sz w:val="28"/>
          <w:szCs w:val="28"/>
          <w:highlight w:val="none"/>
        </w:rPr>
      </w:pPr>
    </w:p>
    <w:p>
      <w:pPr>
        <w:spacing w:line="480" w:lineRule="auto"/>
        <w:rPr>
          <w:rFonts w:hint="eastAsia"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rPr>
        <w:br w:type="column"/>
      </w:r>
      <w:r>
        <w:rPr>
          <w:rFonts w:hint="eastAsia" w:ascii="微软雅黑" w:hAnsi="微软雅黑" w:eastAsia="微软雅黑" w:cs="微软雅黑"/>
          <w:b/>
          <w:sz w:val="28"/>
          <w:szCs w:val="28"/>
          <w:highlight w:val="none"/>
        </w:rPr>
        <w:t>附件</w:t>
      </w:r>
      <w:r>
        <w:rPr>
          <w:rFonts w:hint="eastAsia" w:ascii="微软雅黑" w:hAnsi="微软雅黑" w:eastAsia="微软雅黑" w:cs="微软雅黑"/>
          <w:b/>
          <w:sz w:val="28"/>
          <w:szCs w:val="28"/>
          <w:highlight w:val="none"/>
          <w:lang w:val="en-US" w:eastAsia="zh-CN"/>
        </w:rPr>
        <w:t>五</w:t>
      </w:r>
      <w:r>
        <w:rPr>
          <w:rFonts w:hint="eastAsia" w:ascii="微软雅黑" w:hAnsi="微软雅黑" w:eastAsia="微软雅黑" w:cs="微软雅黑"/>
          <w:b/>
          <w:sz w:val="28"/>
          <w:szCs w:val="28"/>
          <w:highlight w:val="none"/>
        </w:rPr>
        <w:t>：安全生产管理协议</w:t>
      </w:r>
    </w:p>
    <w:p>
      <w:pPr>
        <w:spacing w:line="0" w:lineRule="atLeast"/>
        <w:rPr>
          <w:rFonts w:hint="eastAsia"/>
          <w:b/>
          <w:sz w:val="18"/>
          <w:szCs w:val="18"/>
          <w:highlight w:val="none"/>
        </w:rPr>
      </w:pPr>
    </w:p>
    <w:p>
      <w:pPr>
        <w:adjustRightInd w:val="0"/>
        <w:snapToGrid w:val="0"/>
        <w:spacing w:line="0" w:lineRule="atLeast"/>
        <w:jc w:val="center"/>
        <w:rPr>
          <w:rFonts w:ascii="宋体" w:hAnsi="宋体" w:cs="宋体"/>
          <w:b/>
          <w:sz w:val="32"/>
          <w:szCs w:val="32"/>
          <w:highlight w:val="none"/>
        </w:rPr>
      </w:pPr>
      <w:r>
        <w:rPr>
          <w:rFonts w:hint="eastAsia" w:ascii="宋体" w:hAnsi="宋体" w:cs="宋体"/>
          <w:b/>
          <w:sz w:val="32"/>
          <w:szCs w:val="32"/>
          <w:highlight w:val="none"/>
        </w:rPr>
        <w:t>安全生产管理协议</w:t>
      </w:r>
    </w:p>
    <w:p>
      <w:pPr>
        <w:spacing w:line="0" w:lineRule="atLeast"/>
        <w:rPr>
          <w:rFonts w:hint="eastAsia"/>
          <w:b/>
          <w:sz w:val="18"/>
          <w:szCs w:val="18"/>
          <w:highlight w:val="none"/>
        </w:rPr>
      </w:pPr>
    </w:p>
    <w:p>
      <w:pPr>
        <w:spacing w:line="480" w:lineRule="auto"/>
        <w:rPr>
          <w:rFonts w:hint="eastAsia" w:eastAsia="宋体" w:cs="Times New Roman"/>
          <w:b/>
          <w:sz w:val="24"/>
          <w:highlight w:val="none"/>
          <w:lang w:val="en-US" w:eastAsia="zh-CN"/>
        </w:rPr>
      </w:pPr>
      <w:r>
        <w:rPr>
          <w:rFonts w:hint="eastAsia" w:eastAsia="宋体" w:cs="Times New Roman"/>
          <w:b/>
          <w:sz w:val="24"/>
          <w:highlight w:val="none"/>
        </w:rPr>
        <w:t>甲方：</w:t>
      </w:r>
      <w:r>
        <w:rPr>
          <w:rFonts w:hint="eastAsia" w:eastAsia="宋体" w:cs="Times New Roman"/>
          <w:b/>
          <w:sz w:val="24"/>
          <w:highlight w:val="none"/>
          <w:lang w:val="en-US" w:eastAsia="zh-CN"/>
        </w:rPr>
        <w:t xml:space="preserve"> </w:t>
      </w:r>
    </w:p>
    <w:p>
      <w:pPr>
        <w:spacing w:line="480" w:lineRule="auto"/>
        <w:rPr>
          <w:rFonts w:hint="eastAsia" w:eastAsia="宋体" w:cs="Times New Roman"/>
          <w:b/>
          <w:sz w:val="24"/>
          <w:highlight w:val="none"/>
          <w:lang w:eastAsia="zh-CN"/>
        </w:rPr>
      </w:pPr>
      <w:r>
        <w:rPr>
          <w:rFonts w:hint="eastAsia" w:eastAsia="宋体" w:cs="Times New Roman"/>
          <w:b/>
          <w:sz w:val="24"/>
          <w:highlight w:val="none"/>
        </w:rPr>
        <w:t>乙方：</w:t>
      </w:r>
      <w:r>
        <w:rPr>
          <w:rFonts w:hint="eastAsia" w:eastAsia="宋体" w:cs="Times New Roman"/>
          <w:b/>
          <w:sz w:val="24"/>
          <w:highlight w:val="none"/>
          <w:lang w:val="en-US" w:eastAsia="zh-CN"/>
        </w:rPr>
        <w:t xml:space="preserve">   </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为了加强综合能源施工安全管理，维护人身和财产安全，保障工程施工顺利进行，防止发生安全事故，根据《中华人民共和国建筑法》、《中华人民共和国安全生产法》及其他法律、行政法规的基本原则，甲乙双方经协商一致，现就</w:t>
      </w:r>
      <w:r>
        <w:rPr>
          <w:rStyle w:val="63"/>
          <w:rFonts w:hint="eastAsia" w:eastAsia="宋体" w:cs="宋体"/>
          <w:sz w:val="24"/>
          <w:highlight w:val="none"/>
          <w:lang w:eastAsia="zh-CN"/>
        </w:rPr>
        <w:t>乙方</w:t>
      </w:r>
      <w:r>
        <w:rPr>
          <w:rStyle w:val="63"/>
          <w:rFonts w:hint="eastAsia" w:eastAsia="宋体" w:cs="宋体"/>
          <w:sz w:val="24"/>
          <w:highlight w:val="none"/>
        </w:rPr>
        <w:t>作为</w:t>
      </w:r>
      <w:r>
        <w:rPr>
          <w:rStyle w:val="63"/>
          <w:rFonts w:hint="eastAsia" w:eastAsia="宋体" w:cs="宋体"/>
          <w:sz w:val="24"/>
          <w:highlight w:val="none"/>
          <w:lang w:eastAsia="zh-CN"/>
        </w:rPr>
        <w:t>甲方</w:t>
      </w:r>
      <w:r>
        <w:rPr>
          <w:rStyle w:val="63"/>
          <w:rFonts w:hint="eastAsia" w:eastAsia="宋体" w:cs="宋体"/>
          <w:sz w:val="24"/>
          <w:highlight w:val="none"/>
        </w:rPr>
        <w:t>综合能源的劳务分包方的安全生产事宜达成本协议。</w:t>
      </w:r>
    </w:p>
    <w:p>
      <w:pPr>
        <w:spacing w:line="440" w:lineRule="atLeast"/>
        <w:ind w:firstLine="482" w:firstLineChars="200"/>
        <w:rPr>
          <w:rStyle w:val="63"/>
          <w:rFonts w:hint="eastAsia" w:eastAsia="宋体" w:cs="宋体"/>
          <w:b/>
          <w:bCs/>
          <w:sz w:val="24"/>
          <w:highlight w:val="none"/>
        </w:rPr>
      </w:pPr>
      <w:r>
        <w:rPr>
          <w:rStyle w:val="63"/>
          <w:rFonts w:hint="eastAsia" w:eastAsia="宋体" w:cs="宋体"/>
          <w:b/>
          <w:bCs/>
          <w:sz w:val="24"/>
          <w:highlight w:val="none"/>
        </w:rPr>
        <w:t>一、概述</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1、本协议适用的范围：自本协议签订之日起，凡是</w:t>
      </w:r>
      <w:r>
        <w:rPr>
          <w:rStyle w:val="63"/>
          <w:rFonts w:hint="eastAsia" w:eastAsia="宋体" w:cs="宋体"/>
          <w:sz w:val="24"/>
          <w:highlight w:val="none"/>
          <w:lang w:eastAsia="zh-CN"/>
        </w:rPr>
        <w:t>甲方</w:t>
      </w:r>
      <w:r>
        <w:rPr>
          <w:rStyle w:val="63"/>
          <w:rFonts w:hint="eastAsia" w:eastAsia="宋体" w:cs="宋体"/>
          <w:sz w:val="24"/>
          <w:highlight w:val="none"/>
        </w:rPr>
        <w:t>及其下属各地市业务区分包给</w:t>
      </w:r>
      <w:r>
        <w:rPr>
          <w:rStyle w:val="63"/>
          <w:rFonts w:hint="eastAsia" w:eastAsia="宋体" w:cs="宋体"/>
          <w:sz w:val="24"/>
          <w:highlight w:val="none"/>
          <w:lang w:eastAsia="zh-CN"/>
        </w:rPr>
        <w:t>乙方</w:t>
      </w:r>
      <w:r>
        <w:rPr>
          <w:rStyle w:val="63"/>
          <w:rFonts w:hint="eastAsia" w:eastAsia="宋体" w:cs="宋体"/>
          <w:sz w:val="24"/>
          <w:highlight w:val="none"/>
        </w:rPr>
        <w:t>劳务施工的综合能源均适用本协议，</w:t>
      </w:r>
      <w:r>
        <w:rPr>
          <w:rStyle w:val="63"/>
          <w:rFonts w:hint="eastAsia" w:eastAsia="宋体" w:cs="宋体"/>
          <w:sz w:val="24"/>
          <w:highlight w:val="none"/>
          <w:lang w:eastAsia="zh-CN"/>
        </w:rPr>
        <w:t>乙方</w:t>
      </w:r>
      <w:r>
        <w:rPr>
          <w:rStyle w:val="63"/>
          <w:rFonts w:hint="eastAsia" w:eastAsia="宋体" w:cs="宋体"/>
          <w:sz w:val="24"/>
          <w:highlight w:val="none"/>
        </w:rPr>
        <w:t>的施工安全应当贯穿工程施工全部区域范围的全过程。</w:t>
      </w:r>
      <w:r>
        <w:rPr>
          <w:rStyle w:val="63"/>
          <w:rFonts w:hint="eastAsia" w:eastAsia="宋体" w:cs="宋体"/>
          <w:sz w:val="24"/>
          <w:highlight w:val="none"/>
          <w:lang w:eastAsia="zh-CN"/>
        </w:rPr>
        <w:t>乙方</w:t>
      </w:r>
      <w:r>
        <w:rPr>
          <w:rStyle w:val="63"/>
          <w:rFonts w:hint="eastAsia" w:eastAsia="宋体" w:cs="宋体"/>
          <w:sz w:val="24"/>
          <w:highlight w:val="none"/>
        </w:rPr>
        <w:t>的施工安全应当符合国家的建设工程施工安全标准以及</w:t>
      </w:r>
      <w:r>
        <w:rPr>
          <w:rStyle w:val="63"/>
          <w:rFonts w:hint="eastAsia" w:eastAsia="宋体" w:cs="宋体"/>
          <w:sz w:val="24"/>
          <w:highlight w:val="none"/>
          <w:lang w:eastAsia="zh-CN"/>
        </w:rPr>
        <w:t>甲方</w:t>
      </w:r>
      <w:r>
        <w:rPr>
          <w:rStyle w:val="63"/>
          <w:rFonts w:hint="eastAsia" w:eastAsia="宋体" w:cs="宋体"/>
          <w:sz w:val="24"/>
          <w:highlight w:val="none"/>
        </w:rPr>
        <w:t>施工安全要求。</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2、本合同使用的法律法规及相关依据：《中华人民共和国建筑法》、《中华人民共和国安全生产法》、《中华人民共和国民法典》、原邮电部门、信息产业部及地方相关条例规定。</w:t>
      </w:r>
    </w:p>
    <w:p>
      <w:pPr>
        <w:spacing w:line="440" w:lineRule="atLeast"/>
        <w:ind w:firstLine="482" w:firstLineChars="200"/>
        <w:rPr>
          <w:rStyle w:val="63"/>
          <w:rFonts w:hint="eastAsia" w:eastAsia="宋体" w:cs="宋体"/>
          <w:b/>
          <w:bCs/>
          <w:sz w:val="24"/>
          <w:highlight w:val="none"/>
        </w:rPr>
      </w:pPr>
      <w:r>
        <w:rPr>
          <w:rStyle w:val="63"/>
          <w:rFonts w:hint="eastAsia" w:eastAsia="宋体" w:cs="宋体"/>
          <w:b/>
          <w:bCs/>
          <w:sz w:val="24"/>
          <w:highlight w:val="none"/>
        </w:rPr>
        <w:t>二、</w:t>
      </w:r>
      <w:r>
        <w:rPr>
          <w:rStyle w:val="63"/>
          <w:rFonts w:hint="eastAsia" w:eastAsia="宋体" w:cs="宋体"/>
          <w:b/>
          <w:bCs/>
          <w:sz w:val="24"/>
          <w:highlight w:val="none"/>
          <w:lang w:eastAsia="zh-CN"/>
        </w:rPr>
        <w:t>甲方</w:t>
      </w:r>
      <w:r>
        <w:rPr>
          <w:rStyle w:val="63"/>
          <w:rFonts w:hint="eastAsia" w:eastAsia="宋体" w:cs="宋体"/>
          <w:b/>
          <w:bCs/>
          <w:sz w:val="24"/>
          <w:highlight w:val="none"/>
        </w:rPr>
        <w:t>责任</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1、施工期间</w:t>
      </w:r>
      <w:r>
        <w:rPr>
          <w:rStyle w:val="63"/>
          <w:rFonts w:hint="eastAsia" w:eastAsia="宋体" w:cs="宋体"/>
          <w:sz w:val="24"/>
          <w:highlight w:val="none"/>
          <w:lang w:eastAsia="zh-CN"/>
        </w:rPr>
        <w:t>甲方</w:t>
      </w:r>
      <w:r>
        <w:rPr>
          <w:rStyle w:val="63"/>
          <w:rFonts w:hint="eastAsia" w:eastAsia="宋体" w:cs="宋体"/>
          <w:sz w:val="24"/>
          <w:highlight w:val="none"/>
        </w:rPr>
        <w:t>对施工生产安全措施及安全管理进行检查监督时，发现违章作业及危及人身、设备安全时，可及时制止、纠正，必要时有权停止其工作，并向</w:t>
      </w:r>
      <w:r>
        <w:rPr>
          <w:rStyle w:val="63"/>
          <w:rFonts w:hint="eastAsia" w:eastAsia="宋体" w:cs="宋体"/>
          <w:sz w:val="24"/>
          <w:highlight w:val="none"/>
          <w:lang w:eastAsia="zh-CN"/>
        </w:rPr>
        <w:t>乙方</w:t>
      </w:r>
      <w:r>
        <w:rPr>
          <w:rStyle w:val="63"/>
          <w:rFonts w:hint="eastAsia" w:eastAsia="宋体" w:cs="宋体"/>
          <w:sz w:val="24"/>
          <w:highlight w:val="none"/>
        </w:rPr>
        <w:t>提出整改要求。</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2、</w:t>
      </w:r>
      <w:r>
        <w:rPr>
          <w:rStyle w:val="63"/>
          <w:rFonts w:hint="eastAsia" w:eastAsia="宋体" w:cs="宋体"/>
          <w:sz w:val="24"/>
          <w:highlight w:val="none"/>
          <w:lang w:eastAsia="zh-CN"/>
        </w:rPr>
        <w:t>甲方</w:t>
      </w:r>
      <w:r>
        <w:rPr>
          <w:rStyle w:val="63"/>
          <w:rFonts w:hint="eastAsia" w:eastAsia="宋体" w:cs="宋体"/>
          <w:sz w:val="24"/>
          <w:highlight w:val="none"/>
        </w:rPr>
        <w:t>对</w:t>
      </w:r>
      <w:r>
        <w:rPr>
          <w:rStyle w:val="63"/>
          <w:rFonts w:hint="eastAsia" w:eastAsia="宋体" w:cs="宋体"/>
          <w:sz w:val="24"/>
          <w:highlight w:val="none"/>
          <w:lang w:eastAsia="zh-CN"/>
        </w:rPr>
        <w:t>乙方</w:t>
      </w:r>
      <w:r>
        <w:rPr>
          <w:rStyle w:val="63"/>
          <w:rFonts w:hint="eastAsia" w:eastAsia="宋体" w:cs="宋体"/>
          <w:sz w:val="24"/>
          <w:highlight w:val="none"/>
        </w:rPr>
        <w:t>事先提交的人员资格条件、保险购买情况或者公司资质等进行审查及备案，了解此前的施工业绩及施工安全情况。</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3、审查由</w:t>
      </w:r>
      <w:r>
        <w:rPr>
          <w:rStyle w:val="63"/>
          <w:rFonts w:hint="eastAsia" w:eastAsia="宋体" w:cs="宋体"/>
          <w:sz w:val="24"/>
          <w:highlight w:val="none"/>
          <w:lang w:eastAsia="zh-CN"/>
        </w:rPr>
        <w:t>乙方</w:t>
      </w:r>
      <w:r>
        <w:rPr>
          <w:rStyle w:val="63"/>
          <w:rFonts w:hint="eastAsia" w:eastAsia="宋体" w:cs="宋体"/>
          <w:sz w:val="24"/>
          <w:highlight w:val="none"/>
        </w:rPr>
        <w:t>提供的承揽企业法人代表资格证书和一般承揽人进行以往施工安全审查及备案。</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4、审查由</w:t>
      </w:r>
      <w:r>
        <w:rPr>
          <w:rStyle w:val="63"/>
          <w:rFonts w:hint="eastAsia" w:eastAsia="宋体" w:cs="宋体"/>
          <w:sz w:val="24"/>
          <w:highlight w:val="none"/>
          <w:lang w:eastAsia="zh-CN"/>
        </w:rPr>
        <w:t>乙方</w:t>
      </w:r>
      <w:r>
        <w:rPr>
          <w:rStyle w:val="63"/>
          <w:rFonts w:hint="eastAsia" w:eastAsia="宋体" w:cs="宋体"/>
          <w:sz w:val="24"/>
          <w:highlight w:val="none"/>
        </w:rPr>
        <w:t>填写的劳务施工人员概况、特种作业人员及“上岗证”复印件，审查由</w:t>
      </w:r>
      <w:r>
        <w:rPr>
          <w:rStyle w:val="63"/>
          <w:rFonts w:hint="eastAsia" w:eastAsia="宋体" w:cs="宋体"/>
          <w:sz w:val="24"/>
          <w:highlight w:val="none"/>
          <w:lang w:eastAsia="zh-CN"/>
        </w:rPr>
        <w:t>乙方</w:t>
      </w:r>
      <w:r>
        <w:rPr>
          <w:rStyle w:val="63"/>
          <w:rFonts w:hint="eastAsia" w:eastAsia="宋体" w:cs="宋体"/>
          <w:sz w:val="24"/>
          <w:highlight w:val="none"/>
        </w:rPr>
        <w:t>提供须</w:t>
      </w:r>
      <w:r>
        <w:rPr>
          <w:rStyle w:val="63"/>
          <w:rFonts w:hint="eastAsia" w:eastAsia="宋体" w:cs="宋体"/>
          <w:sz w:val="24"/>
          <w:highlight w:val="none"/>
          <w:lang w:eastAsia="zh-CN"/>
        </w:rPr>
        <w:t>甲方</w:t>
      </w:r>
      <w:r>
        <w:rPr>
          <w:rStyle w:val="63"/>
          <w:rFonts w:hint="eastAsia" w:eastAsia="宋体" w:cs="宋体"/>
          <w:sz w:val="24"/>
          <w:highlight w:val="none"/>
        </w:rPr>
        <w:t>确认的工程负责人、现场安全负责人名单证明原件。</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5、</w:t>
      </w:r>
      <w:r>
        <w:rPr>
          <w:rStyle w:val="63"/>
          <w:rFonts w:hint="eastAsia" w:eastAsia="宋体" w:cs="宋体"/>
          <w:sz w:val="24"/>
          <w:highlight w:val="none"/>
          <w:lang w:eastAsia="zh-CN"/>
        </w:rPr>
        <w:t>甲方</w:t>
      </w:r>
      <w:r>
        <w:rPr>
          <w:rStyle w:val="63"/>
          <w:rFonts w:hint="eastAsia" w:eastAsia="宋体" w:cs="宋体"/>
          <w:sz w:val="24"/>
          <w:highlight w:val="none"/>
        </w:rPr>
        <w:t>对</w:t>
      </w:r>
      <w:r>
        <w:rPr>
          <w:rStyle w:val="63"/>
          <w:rFonts w:hint="eastAsia" w:eastAsia="宋体" w:cs="宋体"/>
          <w:sz w:val="24"/>
          <w:highlight w:val="none"/>
          <w:lang w:eastAsia="zh-CN"/>
        </w:rPr>
        <w:t>乙方</w:t>
      </w:r>
      <w:r>
        <w:rPr>
          <w:rStyle w:val="63"/>
          <w:rFonts w:hint="eastAsia" w:eastAsia="宋体" w:cs="宋体"/>
          <w:sz w:val="24"/>
          <w:highlight w:val="none"/>
        </w:rPr>
        <w:t>事先提交的该工程的施工合同指导，签订后监督</w:t>
      </w:r>
      <w:r>
        <w:rPr>
          <w:rStyle w:val="63"/>
          <w:rFonts w:hint="eastAsia" w:eastAsia="宋体" w:cs="宋体"/>
          <w:sz w:val="24"/>
          <w:highlight w:val="none"/>
          <w:lang w:eastAsia="zh-CN"/>
        </w:rPr>
        <w:t>乙方</w:t>
      </w:r>
      <w:r>
        <w:rPr>
          <w:rStyle w:val="63"/>
          <w:rFonts w:hint="eastAsia" w:eastAsia="宋体" w:cs="宋体"/>
          <w:sz w:val="24"/>
          <w:highlight w:val="none"/>
        </w:rPr>
        <w:t>严格执行，必要时或根据</w:t>
      </w:r>
      <w:r>
        <w:rPr>
          <w:rStyle w:val="63"/>
          <w:rFonts w:hint="eastAsia" w:eastAsia="宋体" w:cs="宋体"/>
          <w:sz w:val="24"/>
          <w:highlight w:val="none"/>
          <w:lang w:eastAsia="zh-CN"/>
        </w:rPr>
        <w:t>乙方</w:t>
      </w:r>
      <w:r>
        <w:rPr>
          <w:rStyle w:val="63"/>
          <w:rFonts w:hint="eastAsia" w:eastAsia="宋体" w:cs="宋体"/>
          <w:sz w:val="24"/>
          <w:highlight w:val="none"/>
        </w:rPr>
        <w:t>请求及相关安全工作规程要求增设</w:t>
      </w:r>
      <w:r>
        <w:rPr>
          <w:rStyle w:val="63"/>
          <w:rFonts w:hint="eastAsia" w:eastAsia="宋体" w:cs="宋体"/>
          <w:sz w:val="24"/>
          <w:highlight w:val="none"/>
          <w:lang w:eastAsia="zh-CN"/>
        </w:rPr>
        <w:t>甲方</w:t>
      </w:r>
      <w:r>
        <w:rPr>
          <w:rStyle w:val="63"/>
          <w:rFonts w:hint="eastAsia" w:eastAsia="宋体" w:cs="宋体"/>
          <w:sz w:val="24"/>
          <w:highlight w:val="none"/>
        </w:rPr>
        <w:t>专人监护。</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6、协调</w:t>
      </w:r>
      <w:r>
        <w:rPr>
          <w:rStyle w:val="63"/>
          <w:rFonts w:hint="eastAsia" w:eastAsia="宋体" w:cs="宋体"/>
          <w:sz w:val="24"/>
          <w:highlight w:val="none"/>
          <w:lang w:eastAsia="zh-CN"/>
        </w:rPr>
        <w:t>乙方</w:t>
      </w:r>
      <w:r>
        <w:rPr>
          <w:rStyle w:val="63"/>
          <w:rFonts w:hint="eastAsia" w:eastAsia="宋体" w:cs="宋体"/>
          <w:sz w:val="24"/>
          <w:highlight w:val="none"/>
        </w:rPr>
        <w:t>提出的沿线交叉跨越线路停电配合等协调工作，必要时应会同</w:t>
      </w:r>
      <w:r>
        <w:rPr>
          <w:rStyle w:val="63"/>
          <w:rFonts w:hint="eastAsia" w:eastAsia="宋体" w:cs="宋体"/>
          <w:sz w:val="24"/>
          <w:highlight w:val="none"/>
          <w:lang w:eastAsia="zh-CN"/>
        </w:rPr>
        <w:t>乙方</w:t>
      </w:r>
      <w:r>
        <w:rPr>
          <w:rStyle w:val="63"/>
          <w:rFonts w:hint="eastAsia" w:eastAsia="宋体" w:cs="宋体"/>
          <w:sz w:val="24"/>
          <w:highlight w:val="none"/>
        </w:rPr>
        <w:t>现场实地踏勘，商定施工方案。</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7、开工前</w:t>
      </w:r>
      <w:r>
        <w:rPr>
          <w:rStyle w:val="63"/>
          <w:rFonts w:hint="eastAsia" w:eastAsia="宋体" w:cs="宋体"/>
          <w:sz w:val="24"/>
          <w:highlight w:val="none"/>
          <w:lang w:eastAsia="zh-CN"/>
        </w:rPr>
        <w:t>甲方</w:t>
      </w:r>
      <w:r>
        <w:rPr>
          <w:rStyle w:val="63"/>
          <w:rFonts w:hint="eastAsia" w:eastAsia="宋体" w:cs="宋体"/>
          <w:sz w:val="24"/>
          <w:highlight w:val="none"/>
        </w:rPr>
        <w:t>负责向</w:t>
      </w:r>
      <w:r>
        <w:rPr>
          <w:rStyle w:val="63"/>
          <w:rFonts w:hint="eastAsia" w:eastAsia="宋体" w:cs="宋体"/>
          <w:sz w:val="24"/>
          <w:highlight w:val="none"/>
          <w:lang w:eastAsia="zh-CN"/>
        </w:rPr>
        <w:t>乙方</w:t>
      </w:r>
      <w:r>
        <w:rPr>
          <w:rStyle w:val="63"/>
          <w:rFonts w:hint="eastAsia" w:eastAsia="宋体" w:cs="宋体"/>
          <w:sz w:val="24"/>
          <w:highlight w:val="none"/>
        </w:rPr>
        <w:t>负责人和现场施工负责人、工程技术人员及施工人员全面</w:t>
      </w:r>
      <w:r>
        <w:rPr>
          <w:rStyle w:val="63"/>
          <w:rFonts w:hint="eastAsia" w:eastAsia="宋体" w:cs="宋体"/>
          <w:sz w:val="24"/>
          <w:highlight w:val="none"/>
          <w:lang w:eastAsia="zh-CN"/>
        </w:rPr>
        <w:t>交代</w:t>
      </w:r>
      <w:r>
        <w:rPr>
          <w:rStyle w:val="63"/>
          <w:rFonts w:hint="eastAsia" w:eastAsia="宋体" w:cs="宋体"/>
          <w:sz w:val="24"/>
          <w:highlight w:val="none"/>
        </w:rPr>
        <w:t>现场工作条件及工作环境，对有关安全注意事项进行交底，并应有完整的记录或资料。</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8、负责承担与建设单位签订的监理合同中规定由</w:t>
      </w:r>
      <w:r>
        <w:rPr>
          <w:rStyle w:val="63"/>
          <w:rFonts w:hint="eastAsia" w:eastAsia="宋体" w:cs="宋体"/>
          <w:sz w:val="24"/>
          <w:highlight w:val="none"/>
          <w:lang w:eastAsia="zh-CN"/>
        </w:rPr>
        <w:t>甲方</w:t>
      </w:r>
      <w:r>
        <w:rPr>
          <w:rStyle w:val="63"/>
          <w:rFonts w:hint="eastAsia" w:eastAsia="宋体" w:cs="宋体"/>
          <w:sz w:val="24"/>
          <w:highlight w:val="none"/>
        </w:rPr>
        <w:t>承担有关职责。</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9、</w:t>
      </w:r>
      <w:r>
        <w:rPr>
          <w:rStyle w:val="63"/>
          <w:rFonts w:hint="eastAsia" w:eastAsia="宋体" w:cs="宋体"/>
          <w:sz w:val="24"/>
          <w:highlight w:val="none"/>
          <w:lang w:eastAsia="zh-CN"/>
        </w:rPr>
        <w:t>乙方</w:t>
      </w:r>
      <w:r>
        <w:rPr>
          <w:rStyle w:val="63"/>
          <w:rFonts w:hint="eastAsia" w:eastAsia="宋体" w:cs="宋体"/>
          <w:sz w:val="24"/>
          <w:highlight w:val="none"/>
        </w:rPr>
        <w:t>在工程施工过程中发生的一切安全事故，由</w:t>
      </w:r>
      <w:r>
        <w:rPr>
          <w:rStyle w:val="63"/>
          <w:rFonts w:hint="eastAsia" w:eastAsia="宋体" w:cs="宋体"/>
          <w:sz w:val="24"/>
          <w:highlight w:val="none"/>
          <w:lang w:eastAsia="zh-CN"/>
        </w:rPr>
        <w:t>乙方</w:t>
      </w:r>
      <w:r>
        <w:rPr>
          <w:rStyle w:val="63"/>
          <w:rFonts w:hint="eastAsia" w:eastAsia="宋体" w:cs="宋体"/>
          <w:sz w:val="24"/>
          <w:highlight w:val="none"/>
        </w:rPr>
        <w:t>自行承担责任，</w:t>
      </w:r>
      <w:r>
        <w:rPr>
          <w:rStyle w:val="63"/>
          <w:rFonts w:hint="eastAsia" w:eastAsia="宋体" w:cs="宋体"/>
          <w:sz w:val="24"/>
          <w:highlight w:val="none"/>
          <w:lang w:eastAsia="zh-CN"/>
        </w:rPr>
        <w:t>甲方</w:t>
      </w:r>
      <w:r>
        <w:rPr>
          <w:rStyle w:val="63"/>
          <w:rFonts w:hint="eastAsia" w:eastAsia="宋体" w:cs="宋体"/>
          <w:sz w:val="24"/>
          <w:highlight w:val="none"/>
        </w:rPr>
        <w:t>不负任何责任，但可协助</w:t>
      </w:r>
      <w:r>
        <w:rPr>
          <w:rStyle w:val="63"/>
          <w:rFonts w:hint="eastAsia" w:eastAsia="宋体" w:cs="宋体"/>
          <w:sz w:val="24"/>
          <w:highlight w:val="none"/>
          <w:lang w:eastAsia="zh-CN"/>
        </w:rPr>
        <w:t>乙方</w:t>
      </w:r>
      <w:r>
        <w:rPr>
          <w:rStyle w:val="63"/>
          <w:rFonts w:hint="eastAsia" w:eastAsia="宋体" w:cs="宋体"/>
          <w:sz w:val="24"/>
          <w:highlight w:val="none"/>
        </w:rPr>
        <w:t>进行事故处理。</w:t>
      </w:r>
    </w:p>
    <w:p>
      <w:pPr>
        <w:spacing w:line="440" w:lineRule="atLeast"/>
        <w:ind w:firstLine="480" w:firstLineChars="200"/>
        <w:rPr>
          <w:rStyle w:val="63"/>
          <w:rFonts w:eastAsia="宋体" w:cs="宋体"/>
          <w:sz w:val="24"/>
          <w:highlight w:val="none"/>
        </w:rPr>
      </w:pPr>
      <w:r>
        <w:rPr>
          <w:rStyle w:val="63"/>
          <w:rFonts w:hint="eastAsia" w:eastAsia="宋体" w:cs="宋体"/>
          <w:sz w:val="24"/>
          <w:highlight w:val="none"/>
        </w:rPr>
        <w:t>10、</w:t>
      </w:r>
      <w:r>
        <w:rPr>
          <w:rStyle w:val="63"/>
          <w:rFonts w:hint="eastAsia" w:eastAsia="宋体" w:cs="宋体"/>
          <w:sz w:val="24"/>
          <w:highlight w:val="none"/>
          <w:lang w:eastAsia="zh-CN"/>
        </w:rPr>
        <w:t>乙方</w:t>
      </w:r>
      <w:r>
        <w:rPr>
          <w:rStyle w:val="63"/>
          <w:rFonts w:hint="eastAsia" w:eastAsia="宋体" w:cs="宋体"/>
          <w:sz w:val="24"/>
          <w:highlight w:val="none"/>
        </w:rPr>
        <w:t>根据本协议的约定对</w:t>
      </w:r>
      <w:r>
        <w:rPr>
          <w:rStyle w:val="63"/>
          <w:rFonts w:hint="eastAsia" w:eastAsia="宋体" w:cs="宋体"/>
          <w:sz w:val="24"/>
          <w:highlight w:val="none"/>
          <w:lang w:eastAsia="zh-CN"/>
        </w:rPr>
        <w:t>乙方</w:t>
      </w:r>
      <w:r>
        <w:rPr>
          <w:rStyle w:val="63"/>
          <w:rFonts w:hint="eastAsia" w:eastAsia="宋体" w:cs="宋体"/>
          <w:sz w:val="24"/>
          <w:highlight w:val="none"/>
        </w:rPr>
        <w:t>进行监督、检查，并不视为可以免除、减免或降低</w:t>
      </w:r>
      <w:r>
        <w:rPr>
          <w:rStyle w:val="63"/>
          <w:rFonts w:hint="eastAsia" w:eastAsia="宋体" w:cs="宋体"/>
          <w:sz w:val="24"/>
          <w:highlight w:val="none"/>
          <w:lang w:eastAsia="zh-CN"/>
        </w:rPr>
        <w:t>乙方</w:t>
      </w:r>
      <w:r>
        <w:rPr>
          <w:rStyle w:val="63"/>
          <w:rFonts w:hint="eastAsia" w:eastAsia="宋体" w:cs="宋体"/>
          <w:sz w:val="24"/>
          <w:highlight w:val="none"/>
        </w:rPr>
        <w:t>应当承担的合同项下的义务或法律责任，也并不视为</w:t>
      </w:r>
      <w:r>
        <w:rPr>
          <w:rStyle w:val="63"/>
          <w:rFonts w:hint="eastAsia" w:eastAsia="宋体" w:cs="宋体"/>
          <w:sz w:val="24"/>
          <w:highlight w:val="none"/>
          <w:lang w:eastAsia="zh-CN"/>
        </w:rPr>
        <w:t>甲方</w:t>
      </w:r>
      <w:r>
        <w:rPr>
          <w:rStyle w:val="63"/>
          <w:rFonts w:hint="eastAsia" w:eastAsia="宋体" w:cs="宋体"/>
          <w:sz w:val="24"/>
          <w:highlight w:val="none"/>
        </w:rPr>
        <w:t>对于应由</w:t>
      </w:r>
      <w:r>
        <w:rPr>
          <w:rStyle w:val="63"/>
          <w:rFonts w:hint="eastAsia" w:eastAsia="宋体" w:cs="宋体"/>
          <w:sz w:val="24"/>
          <w:highlight w:val="none"/>
          <w:lang w:eastAsia="zh-CN"/>
        </w:rPr>
        <w:t>乙方</w:t>
      </w:r>
      <w:r>
        <w:rPr>
          <w:rStyle w:val="63"/>
          <w:rFonts w:hint="eastAsia" w:eastAsia="宋体" w:cs="宋体"/>
          <w:sz w:val="24"/>
          <w:highlight w:val="none"/>
        </w:rPr>
        <w:t>承担的合同项下的义务或法律责任的分担</w:t>
      </w:r>
      <w:r>
        <w:rPr>
          <w:rStyle w:val="63"/>
          <w:rFonts w:hint="eastAsia" w:cs="宋体"/>
          <w:sz w:val="24"/>
          <w:highlight w:val="none"/>
        </w:rPr>
        <w:t>。</w:t>
      </w:r>
    </w:p>
    <w:p>
      <w:pPr>
        <w:spacing w:line="440" w:lineRule="atLeast"/>
        <w:ind w:firstLine="482" w:firstLineChars="200"/>
        <w:rPr>
          <w:rStyle w:val="63"/>
          <w:rFonts w:hint="eastAsia" w:eastAsia="宋体" w:cs="宋体"/>
          <w:b/>
          <w:bCs/>
          <w:sz w:val="24"/>
          <w:highlight w:val="none"/>
        </w:rPr>
      </w:pPr>
      <w:r>
        <w:rPr>
          <w:rStyle w:val="63"/>
          <w:rFonts w:hint="eastAsia" w:eastAsia="宋体" w:cs="宋体"/>
          <w:b/>
          <w:bCs/>
          <w:sz w:val="24"/>
          <w:highlight w:val="none"/>
        </w:rPr>
        <w:t>三、</w:t>
      </w:r>
      <w:r>
        <w:rPr>
          <w:rStyle w:val="63"/>
          <w:rFonts w:hint="eastAsia" w:eastAsia="宋体" w:cs="宋体"/>
          <w:b/>
          <w:bCs/>
          <w:sz w:val="24"/>
          <w:highlight w:val="none"/>
          <w:lang w:eastAsia="zh-CN"/>
        </w:rPr>
        <w:t>乙方</w:t>
      </w:r>
      <w:r>
        <w:rPr>
          <w:rStyle w:val="63"/>
          <w:rFonts w:hint="eastAsia" w:eastAsia="宋体" w:cs="宋体"/>
          <w:b/>
          <w:bCs/>
          <w:sz w:val="24"/>
          <w:highlight w:val="none"/>
        </w:rPr>
        <w:t>责任</w:t>
      </w:r>
    </w:p>
    <w:p>
      <w:pPr>
        <w:spacing w:line="440" w:lineRule="atLeast"/>
        <w:ind w:firstLine="480" w:firstLineChars="200"/>
        <w:rPr>
          <w:rStyle w:val="63"/>
          <w:rFonts w:hint="eastAsia" w:ascii="宋体" w:hAnsi="宋体" w:eastAsia="宋体" w:cs="宋体"/>
          <w:sz w:val="24"/>
          <w:highlight w:val="none"/>
        </w:rPr>
      </w:pPr>
      <w:r>
        <w:rPr>
          <w:rStyle w:val="63"/>
          <w:rFonts w:hint="eastAsia" w:eastAsia="宋体" w:cs="宋体"/>
          <w:sz w:val="24"/>
          <w:highlight w:val="none"/>
        </w:rPr>
        <w:t>1、施工队伍应做好安全生产培训工作；强化安全思想意识，加强对员工的安全操作技术教育，自觉认真执行施工安全及文明生产的各种规章制度及管理办法；对安全隐患的整改应责任到人，对整改内</w:t>
      </w:r>
      <w:r>
        <w:rPr>
          <w:rStyle w:val="63"/>
          <w:rFonts w:hint="eastAsia" w:ascii="宋体" w:hAnsi="宋体" w:eastAsia="宋体" w:cs="宋体"/>
          <w:sz w:val="24"/>
          <w:highlight w:val="none"/>
        </w:rPr>
        <w:t>容、整改时间进行落实，及时消除事故苗头。</w:t>
      </w:r>
    </w:p>
    <w:p>
      <w:pPr>
        <w:spacing w:line="440" w:lineRule="atLeast"/>
        <w:ind w:firstLine="480" w:firstLineChars="200"/>
        <w:rPr>
          <w:rStyle w:val="63"/>
          <w:rFonts w:hint="eastAsia" w:ascii="宋体" w:hAnsi="宋体" w:eastAsia="宋体" w:cs="宋体"/>
          <w:sz w:val="24"/>
          <w:highlight w:val="none"/>
        </w:rPr>
      </w:pPr>
      <w:r>
        <w:rPr>
          <w:rStyle w:val="63"/>
          <w:rFonts w:hint="eastAsia" w:ascii="宋体" w:hAnsi="宋体" w:eastAsia="宋体" w:cs="宋体"/>
          <w:sz w:val="24"/>
          <w:highlight w:val="none"/>
        </w:rPr>
        <w:t>2、</w:t>
      </w:r>
      <w:r>
        <w:rPr>
          <w:rStyle w:val="63"/>
          <w:rFonts w:hint="eastAsia" w:ascii="宋体" w:hAnsi="宋体" w:eastAsia="宋体" w:cs="宋体"/>
          <w:sz w:val="24"/>
          <w:highlight w:val="none"/>
          <w:lang w:eastAsia="zh-CN"/>
        </w:rPr>
        <w:t>乙方</w:t>
      </w:r>
      <w:r>
        <w:rPr>
          <w:rStyle w:val="63"/>
          <w:rFonts w:hint="eastAsia" w:ascii="宋体" w:hAnsi="宋体" w:eastAsia="宋体" w:cs="宋体"/>
          <w:sz w:val="24"/>
          <w:highlight w:val="none"/>
        </w:rPr>
        <w:t>聘用的</w:t>
      </w:r>
      <w:r>
        <w:rPr>
          <w:rStyle w:val="63"/>
          <w:rFonts w:hint="eastAsia" w:ascii="宋体" w:hAnsi="宋体" w:eastAsia="宋体" w:cs="宋体"/>
          <w:sz w:val="24"/>
          <w:highlight w:val="none"/>
          <w:lang w:val="en-US" w:eastAsia="zh-CN"/>
        </w:rPr>
        <w:t>作业</w:t>
      </w:r>
      <w:r>
        <w:rPr>
          <w:rStyle w:val="63"/>
          <w:rFonts w:hint="eastAsia" w:ascii="宋体" w:hAnsi="宋体" w:eastAsia="宋体" w:cs="宋体"/>
          <w:sz w:val="24"/>
          <w:highlight w:val="none"/>
        </w:rPr>
        <w:t>人员必须为18岁-55岁之间，作业人员需身体健康，无恐高症、高血压、心脏病等危险疾病（需要提供当年有关健康报告）；特种作业人员及施工机械操作人员需取得国家相应上岗证书（复印件留档）不能聘用老、弱、病、残、孕人员。</w:t>
      </w:r>
    </w:p>
    <w:p>
      <w:pPr>
        <w:spacing w:line="440" w:lineRule="atLeast"/>
        <w:ind w:firstLine="480" w:firstLineChars="200"/>
        <w:rPr>
          <w:rStyle w:val="63"/>
          <w:rFonts w:hint="eastAsia" w:eastAsia="宋体" w:cs="宋体"/>
          <w:sz w:val="24"/>
          <w:highlight w:val="none"/>
        </w:rPr>
      </w:pPr>
      <w:r>
        <w:rPr>
          <w:rStyle w:val="63"/>
          <w:rFonts w:hint="eastAsia" w:ascii="宋体" w:hAnsi="宋体" w:eastAsia="宋体" w:cs="宋体"/>
          <w:sz w:val="24"/>
          <w:highlight w:val="none"/>
        </w:rPr>
        <w:t>3、开工前</w:t>
      </w:r>
      <w:r>
        <w:rPr>
          <w:rStyle w:val="63"/>
          <w:rFonts w:hint="eastAsia" w:ascii="宋体" w:hAnsi="宋体" w:eastAsia="宋体" w:cs="宋体"/>
          <w:sz w:val="24"/>
          <w:highlight w:val="none"/>
          <w:lang w:val="zh-CN"/>
        </w:rPr>
        <w:t>自行编制施工组织设计或施工方案；制定有</w:t>
      </w:r>
      <w:r>
        <w:rPr>
          <w:rFonts w:hint="eastAsia" w:ascii="宋体" w:hAnsi="宋体" w:cs="宋体"/>
          <w:sz w:val="24"/>
          <w:highlight w:val="none"/>
          <w:lang w:val="zh-CN"/>
        </w:rPr>
        <w:t>针对性的安全技术措施，</w:t>
      </w:r>
      <w:r>
        <w:rPr>
          <w:rStyle w:val="63"/>
          <w:rFonts w:hint="eastAsia" w:eastAsia="宋体" w:cs="宋体"/>
          <w:sz w:val="24"/>
          <w:highlight w:val="none"/>
        </w:rPr>
        <w:t>组织对全体现场施工作业人员进行安全、技术交底，明确工作任务，</w:t>
      </w:r>
      <w:r>
        <w:rPr>
          <w:rFonts w:hint="eastAsia" w:ascii="宋体" w:hAnsi="宋体" w:cs="宋体"/>
          <w:sz w:val="24"/>
          <w:highlight w:val="none"/>
          <w:lang w:val="zh-CN"/>
        </w:rPr>
        <w:t>并报</w:t>
      </w:r>
      <w:r>
        <w:rPr>
          <w:rFonts w:hint="eastAsia" w:ascii="宋体" w:hAnsi="宋体" w:eastAsia="宋体" w:cs="宋体"/>
          <w:sz w:val="24"/>
          <w:highlight w:val="none"/>
          <w:lang w:eastAsia="zh-CN"/>
        </w:rPr>
        <w:t>甲方</w:t>
      </w:r>
      <w:r>
        <w:rPr>
          <w:rFonts w:hint="eastAsia" w:ascii="宋体" w:hAnsi="宋体" w:cs="宋体"/>
          <w:sz w:val="24"/>
          <w:highlight w:val="none"/>
          <w:lang w:val="zh-CN"/>
        </w:rPr>
        <w:t>审核。按项目管理要求做好月清月结。</w:t>
      </w:r>
      <w:r>
        <w:rPr>
          <w:rStyle w:val="63"/>
          <w:rFonts w:hint="eastAsia" w:eastAsia="宋体" w:cs="宋体"/>
          <w:sz w:val="24"/>
          <w:highlight w:val="none"/>
        </w:rPr>
        <w:t>使全体施工现场各级人员掌握工程特点及安全操作规程、施工安全措施、安全注意事项。对施工作业人员定期进行安全活动和总结，并有记录，必要时请</w:t>
      </w:r>
      <w:r>
        <w:rPr>
          <w:rStyle w:val="63"/>
          <w:rFonts w:hint="eastAsia" w:eastAsia="宋体" w:cs="宋体"/>
          <w:sz w:val="24"/>
          <w:highlight w:val="none"/>
          <w:lang w:eastAsia="zh-CN"/>
        </w:rPr>
        <w:t>甲方</w:t>
      </w:r>
      <w:r>
        <w:rPr>
          <w:rStyle w:val="63"/>
          <w:rFonts w:hint="eastAsia" w:eastAsia="宋体" w:cs="宋体"/>
          <w:sz w:val="24"/>
          <w:highlight w:val="none"/>
        </w:rPr>
        <w:t>派员参加。</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4、开工前研究工程的图纸计划组织好施工方案、施工作业计划、安全管理制度、组织措施和技术措施，对复杂或危险性较大的工程必须制定专项施工方案。</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5、严禁未经</w:t>
      </w:r>
      <w:r>
        <w:rPr>
          <w:rStyle w:val="63"/>
          <w:rFonts w:hint="eastAsia" w:eastAsia="宋体" w:cs="宋体"/>
          <w:sz w:val="24"/>
          <w:highlight w:val="none"/>
          <w:lang w:eastAsia="zh-CN"/>
        </w:rPr>
        <w:t>甲方</w:t>
      </w:r>
      <w:r>
        <w:rPr>
          <w:rStyle w:val="63"/>
          <w:rFonts w:hint="eastAsia" w:eastAsia="宋体" w:cs="宋体"/>
          <w:sz w:val="24"/>
          <w:highlight w:val="none"/>
        </w:rPr>
        <w:t>同意擅自变更施工设计方案，如遇特殊情况需要调整的，必须提前告知</w:t>
      </w:r>
      <w:r>
        <w:rPr>
          <w:rStyle w:val="63"/>
          <w:rFonts w:hint="eastAsia" w:eastAsia="宋体" w:cs="宋体"/>
          <w:sz w:val="24"/>
          <w:highlight w:val="none"/>
          <w:lang w:eastAsia="zh-CN"/>
        </w:rPr>
        <w:t>甲方</w:t>
      </w:r>
      <w:r>
        <w:rPr>
          <w:rStyle w:val="63"/>
          <w:rFonts w:hint="eastAsia" w:eastAsia="宋体" w:cs="宋体"/>
          <w:sz w:val="24"/>
          <w:highlight w:val="none"/>
        </w:rPr>
        <w:t>，经</w:t>
      </w:r>
      <w:r>
        <w:rPr>
          <w:rStyle w:val="63"/>
          <w:rFonts w:hint="eastAsia" w:eastAsia="宋体" w:cs="宋体"/>
          <w:sz w:val="24"/>
          <w:highlight w:val="none"/>
          <w:lang w:eastAsia="zh-CN"/>
        </w:rPr>
        <w:t>甲方</w:t>
      </w:r>
      <w:r>
        <w:rPr>
          <w:rStyle w:val="63"/>
          <w:rFonts w:hint="eastAsia" w:eastAsia="宋体" w:cs="宋体"/>
          <w:sz w:val="24"/>
          <w:highlight w:val="none"/>
        </w:rPr>
        <w:t>征得业主、设计方同意，办理相关手续后方能变更。</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6、禁止使用未成年人及老弱、残人员。对施工现场的新入人员（包括临时工、合同工与参加劳动人员）必须进行三级安全教育及</w:t>
      </w:r>
      <w:r>
        <w:rPr>
          <w:rStyle w:val="63"/>
          <w:rFonts w:hint="eastAsia" w:eastAsia="宋体" w:cs="宋体"/>
          <w:sz w:val="24"/>
          <w:highlight w:val="none"/>
          <w:lang w:eastAsia="zh-CN"/>
        </w:rPr>
        <w:t>交代</w:t>
      </w:r>
      <w:r>
        <w:rPr>
          <w:rStyle w:val="63"/>
          <w:rFonts w:hint="eastAsia" w:eastAsia="宋体" w:cs="宋体"/>
          <w:sz w:val="24"/>
          <w:highlight w:val="none"/>
        </w:rPr>
        <w:t>现场安全注意事项，相关记录、资料正确齐全，方可进场作业。对技术性较强的工作禁止使用临时工、民工或劳务协作工，临时招用的民工进行适合现场作业的安全教育后方可进行地面辅助作业工作，民工、临时工的安全责任均由</w:t>
      </w:r>
      <w:r>
        <w:rPr>
          <w:rStyle w:val="63"/>
          <w:rFonts w:hint="eastAsia" w:eastAsia="宋体" w:cs="宋体"/>
          <w:sz w:val="24"/>
          <w:highlight w:val="none"/>
          <w:lang w:eastAsia="zh-CN"/>
        </w:rPr>
        <w:t>乙方</w:t>
      </w:r>
      <w:r>
        <w:rPr>
          <w:rStyle w:val="63"/>
          <w:rFonts w:hint="eastAsia" w:eastAsia="宋体" w:cs="宋体"/>
          <w:sz w:val="24"/>
          <w:highlight w:val="none"/>
        </w:rPr>
        <w:t>负责。</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7、施工期间，各种交通工具、设备和工具等均由</w:t>
      </w:r>
      <w:r>
        <w:rPr>
          <w:rStyle w:val="63"/>
          <w:rFonts w:hint="eastAsia" w:eastAsia="宋体" w:cs="宋体"/>
          <w:sz w:val="24"/>
          <w:highlight w:val="none"/>
          <w:lang w:eastAsia="zh-CN"/>
        </w:rPr>
        <w:t>乙方</w:t>
      </w:r>
      <w:r>
        <w:rPr>
          <w:rStyle w:val="63"/>
          <w:rFonts w:hint="eastAsia" w:eastAsia="宋体" w:cs="宋体"/>
          <w:sz w:val="24"/>
          <w:highlight w:val="none"/>
        </w:rPr>
        <w:t>自备。工程使用的施工机械、工器具及防护设施必须有安全检查记录。交通工具、设备和工具的维修与保养，以及在使用过程中发生故障或伤亡事故的费用由</w:t>
      </w:r>
      <w:r>
        <w:rPr>
          <w:rStyle w:val="63"/>
          <w:rFonts w:hint="eastAsia" w:eastAsia="宋体" w:cs="宋体"/>
          <w:sz w:val="24"/>
          <w:highlight w:val="none"/>
          <w:lang w:eastAsia="zh-CN"/>
        </w:rPr>
        <w:t>乙方</w:t>
      </w:r>
      <w:r>
        <w:rPr>
          <w:rStyle w:val="63"/>
          <w:rFonts w:hint="eastAsia" w:eastAsia="宋体" w:cs="宋体"/>
          <w:sz w:val="24"/>
          <w:highlight w:val="none"/>
        </w:rPr>
        <w:t>负责承担。</w:t>
      </w:r>
      <w:r>
        <w:rPr>
          <w:rStyle w:val="63"/>
          <w:rFonts w:hint="eastAsia" w:eastAsia="宋体" w:cs="宋体"/>
          <w:sz w:val="24"/>
          <w:highlight w:val="none"/>
          <w:lang w:eastAsia="zh-CN"/>
        </w:rPr>
        <w:t>甲方</w:t>
      </w:r>
      <w:r>
        <w:rPr>
          <w:rStyle w:val="63"/>
          <w:rFonts w:hint="eastAsia" w:eastAsia="宋体" w:cs="宋体"/>
          <w:sz w:val="24"/>
          <w:highlight w:val="none"/>
        </w:rPr>
        <w:t>不负任何连带责任。</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8、施工时，</w:t>
      </w:r>
      <w:r>
        <w:rPr>
          <w:rStyle w:val="63"/>
          <w:rFonts w:hint="eastAsia" w:eastAsia="宋体" w:cs="宋体"/>
          <w:sz w:val="24"/>
          <w:highlight w:val="none"/>
          <w:lang w:eastAsia="zh-CN"/>
        </w:rPr>
        <w:t>乙方</w:t>
      </w:r>
      <w:r>
        <w:rPr>
          <w:rStyle w:val="63"/>
          <w:rFonts w:hint="eastAsia" w:eastAsia="宋体" w:cs="宋体"/>
          <w:sz w:val="24"/>
          <w:highlight w:val="none"/>
        </w:rPr>
        <w:t>严格执行安全操作规程，并做好各种安全防范措施，指定专人负责安全工作，明确安全员。对在网设备上施工的，应先提交详细的施工方案待</w:t>
      </w:r>
      <w:r>
        <w:rPr>
          <w:rStyle w:val="63"/>
          <w:rFonts w:hint="eastAsia" w:eastAsia="宋体" w:cs="宋体"/>
          <w:sz w:val="24"/>
          <w:highlight w:val="none"/>
          <w:lang w:eastAsia="zh-CN"/>
        </w:rPr>
        <w:t>甲方</w:t>
      </w:r>
      <w:r>
        <w:rPr>
          <w:rStyle w:val="63"/>
          <w:rFonts w:hint="eastAsia" w:eastAsia="宋体" w:cs="宋体"/>
          <w:sz w:val="24"/>
          <w:highlight w:val="none"/>
        </w:rPr>
        <w:t>审核确认后才能施工。施工中一旦发现有安全隐患的，</w:t>
      </w:r>
      <w:r>
        <w:rPr>
          <w:rStyle w:val="63"/>
          <w:rFonts w:hint="eastAsia" w:eastAsia="宋体" w:cs="宋体"/>
          <w:sz w:val="24"/>
          <w:highlight w:val="none"/>
          <w:lang w:eastAsia="zh-CN"/>
        </w:rPr>
        <w:t>乙方</w:t>
      </w:r>
      <w:r>
        <w:rPr>
          <w:rStyle w:val="63"/>
          <w:rFonts w:hint="eastAsia" w:eastAsia="宋体" w:cs="宋体"/>
          <w:sz w:val="24"/>
          <w:highlight w:val="none"/>
        </w:rPr>
        <w:t>应立即停工，并报告</w:t>
      </w:r>
      <w:r>
        <w:rPr>
          <w:rStyle w:val="63"/>
          <w:rFonts w:hint="eastAsia" w:eastAsia="宋体" w:cs="宋体"/>
          <w:sz w:val="24"/>
          <w:highlight w:val="none"/>
          <w:lang w:eastAsia="zh-CN"/>
        </w:rPr>
        <w:t>甲方</w:t>
      </w:r>
      <w:r>
        <w:rPr>
          <w:rStyle w:val="63"/>
          <w:rFonts w:hint="eastAsia" w:eastAsia="宋体" w:cs="宋体"/>
          <w:sz w:val="24"/>
          <w:highlight w:val="none"/>
        </w:rPr>
        <w:t xml:space="preserve">及其他有关职能部门，采取措施整治后确保安全的情况下再施工。施工人员进行作业时必须正确穿戴好安全防护用品，切实保证施工中的人身、设备安全。 </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9、</w:t>
      </w:r>
      <w:r>
        <w:rPr>
          <w:rStyle w:val="63"/>
          <w:rFonts w:hint="eastAsia" w:eastAsia="宋体" w:cs="宋体"/>
          <w:sz w:val="24"/>
          <w:highlight w:val="none"/>
          <w:lang w:eastAsia="zh-CN"/>
        </w:rPr>
        <w:t>乙方</w:t>
      </w:r>
      <w:r>
        <w:rPr>
          <w:rStyle w:val="63"/>
          <w:rFonts w:hint="eastAsia" w:eastAsia="宋体" w:cs="宋体"/>
          <w:sz w:val="24"/>
          <w:highlight w:val="none"/>
        </w:rPr>
        <w:t>施工技术人员对从事垂直运输机械、安装拆卸、切割、电焊、登高、带电作业等特种作业的，必须按照国家有关规定经过专门的安全作业培训，并取得特种作业操作资格证书后方可上岗作业。</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10、</w:t>
      </w:r>
      <w:r>
        <w:rPr>
          <w:rStyle w:val="63"/>
          <w:rFonts w:hint="eastAsia" w:eastAsia="宋体" w:cs="宋体"/>
          <w:sz w:val="24"/>
          <w:highlight w:val="none"/>
          <w:lang w:eastAsia="zh-CN"/>
        </w:rPr>
        <w:t>乙方</w:t>
      </w:r>
      <w:r>
        <w:rPr>
          <w:rStyle w:val="63"/>
          <w:rFonts w:hint="eastAsia" w:eastAsia="宋体" w:cs="宋体"/>
          <w:sz w:val="24"/>
          <w:highlight w:val="none"/>
        </w:rPr>
        <w:t>应在施工现场的危险部位设置明显的安全警示标志。</w:t>
      </w:r>
      <w:r>
        <w:rPr>
          <w:rStyle w:val="63"/>
          <w:rFonts w:hint="eastAsia" w:eastAsia="宋体" w:cs="宋体"/>
          <w:sz w:val="24"/>
          <w:highlight w:val="none"/>
          <w:lang w:eastAsia="zh-CN"/>
        </w:rPr>
        <w:t>甲方</w:t>
      </w:r>
      <w:r>
        <w:rPr>
          <w:rStyle w:val="63"/>
          <w:rFonts w:hint="eastAsia" w:eastAsia="宋体" w:cs="宋体"/>
          <w:sz w:val="24"/>
          <w:highlight w:val="none"/>
        </w:rPr>
        <w:t>对工程施工可能造成损害的毗邻建筑物、构筑物和地下管线、电力、通信线路等，应当采取专项防护措施。如没有防护，或防护不当而导致既有设施损坏，由</w:t>
      </w:r>
      <w:r>
        <w:rPr>
          <w:rStyle w:val="63"/>
          <w:rFonts w:hint="eastAsia" w:eastAsia="宋体" w:cs="宋体"/>
          <w:sz w:val="24"/>
          <w:highlight w:val="none"/>
          <w:lang w:eastAsia="zh-CN"/>
        </w:rPr>
        <w:t>乙方</w:t>
      </w:r>
      <w:r>
        <w:rPr>
          <w:rStyle w:val="63"/>
          <w:rFonts w:hint="eastAsia" w:eastAsia="宋体" w:cs="宋体"/>
          <w:sz w:val="24"/>
          <w:highlight w:val="none"/>
        </w:rPr>
        <w:t>承担一切责任。</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11、及时详细地对沿线交叉跨越、高低压线路、公路等进行实地踏勘，提供书面资料，便于</w:t>
      </w:r>
      <w:r>
        <w:rPr>
          <w:rStyle w:val="63"/>
          <w:rFonts w:hint="eastAsia" w:eastAsia="宋体" w:cs="宋体"/>
          <w:sz w:val="24"/>
          <w:highlight w:val="none"/>
          <w:lang w:eastAsia="zh-CN"/>
        </w:rPr>
        <w:t>甲方</w:t>
      </w:r>
      <w:r>
        <w:rPr>
          <w:rStyle w:val="63"/>
          <w:rFonts w:hint="eastAsia" w:eastAsia="宋体" w:cs="宋体"/>
          <w:sz w:val="24"/>
          <w:highlight w:val="none"/>
        </w:rPr>
        <w:t>协调配合，对与高低压线路、公路交叉跨越的工程完工后进行检查确保无安全隐患。</w:t>
      </w:r>
    </w:p>
    <w:p>
      <w:pPr>
        <w:spacing w:line="440" w:lineRule="atLeast"/>
        <w:ind w:firstLine="480" w:firstLineChars="200"/>
        <w:rPr>
          <w:rStyle w:val="63"/>
          <w:rFonts w:hint="eastAsia" w:eastAsia="宋体" w:cs="宋体"/>
          <w:color w:val="0000FF"/>
          <w:sz w:val="24"/>
          <w:highlight w:val="none"/>
        </w:rPr>
      </w:pPr>
      <w:r>
        <w:rPr>
          <w:rStyle w:val="63"/>
          <w:rFonts w:hint="eastAsia" w:eastAsia="宋体" w:cs="宋体"/>
          <w:sz w:val="24"/>
          <w:highlight w:val="none"/>
        </w:rPr>
        <w:t>12、</w:t>
      </w:r>
      <w:r>
        <w:rPr>
          <w:rStyle w:val="63"/>
          <w:rFonts w:hint="eastAsia" w:eastAsia="宋体" w:cs="宋体"/>
          <w:sz w:val="24"/>
          <w:highlight w:val="none"/>
          <w:lang w:eastAsia="zh-CN"/>
        </w:rPr>
        <w:t>乙方</w:t>
      </w:r>
      <w:r>
        <w:rPr>
          <w:rStyle w:val="63"/>
          <w:rFonts w:hint="eastAsia" w:eastAsia="宋体" w:cs="宋体"/>
          <w:sz w:val="24"/>
          <w:highlight w:val="none"/>
        </w:rPr>
        <w:t>必须接受</w:t>
      </w:r>
      <w:r>
        <w:rPr>
          <w:rStyle w:val="63"/>
          <w:rFonts w:hint="eastAsia" w:eastAsia="宋体" w:cs="宋体"/>
          <w:sz w:val="24"/>
          <w:highlight w:val="none"/>
          <w:lang w:eastAsia="zh-CN"/>
        </w:rPr>
        <w:t>甲方</w:t>
      </w:r>
      <w:r>
        <w:rPr>
          <w:rStyle w:val="63"/>
          <w:rFonts w:hint="eastAsia" w:eastAsia="宋体" w:cs="宋体"/>
          <w:sz w:val="24"/>
          <w:highlight w:val="none"/>
        </w:rPr>
        <w:t>监督和指导，发生人身事故或危及施工安全情况，必须立即报告</w:t>
      </w:r>
      <w:r>
        <w:rPr>
          <w:rStyle w:val="63"/>
          <w:rFonts w:hint="eastAsia" w:eastAsia="宋体" w:cs="宋体"/>
          <w:sz w:val="24"/>
          <w:highlight w:val="none"/>
          <w:lang w:eastAsia="zh-CN"/>
        </w:rPr>
        <w:t>甲方</w:t>
      </w:r>
      <w:r>
        <w:rPr>
          <w:rStyle w:val="63"/>
          <w:rFonts w:hint="eastAsia" w:eastAsia="宋体" w:cs="宋体"/>
          <w:sz w:val="24"/>
          <w:highlight w:val="none"/>
        </w:rPr>
        <w:t>。</w:t>
      </w:r>
      <w:r>
        <w:rPr>
          <w:rStyle w:val="63"/>
          <w:rFonts w:hint="eastAsia" w:eastAsia="宋体" w:cs="宋体"/>
          <w:sz w:val="24"/>
          <w:highlight w:val="none"/>
          <w:lang w:eastAsia="zh-CN"/>
        </w:rPr>
        <w:t>乙方</w:t>
      </w:r>
      <w:r>
        <w:rPr>
          <w:rStyle w:val="63"/>
          <w:rFonts w:hint="eastAsia" w:eastAsia="宋体" w:cs="宋体"/>
          <w:sz w:val="24"/>
          <w:highlight w:val="none"/>
        </w:rPr>
        <w:t>负责人（安全施工第一责任者）对</w:t>
      </w:r>
      <w:r>
        <w:rPr>
          <w:rStyle w:val="63"/>
          <w:rFonts w:hint="eastAsia" w:eastAsia="宋体" w:cs="宋体"/>
          <w:sz w:val="24"/>
          <w:highlight w:val="none"/>
          <w:lang w:eastAsia="zh-CN"/>
        </w:rPr>
        <w:t>甲方</w:t>
      </w:r>
      <w:r>
        <w:rPr>
          <w:rStyle w:val="63"/>
          <w:rFonts w:hint="eastAsia" w:eastAsia="宋体" w:cs="宋体"/>
          <w:sz w:val="24"/>
          <w:highlight w:val="none"/>
        </w:rPr>
        <w:t>提出的有效意见必须及时整改。</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13、假期期间设备在中心机房内原则上不可以进行施工，如确实需要进机房施工务必通知督导、项目经理，待工程管理督导与监控等相关单位申请取得允许后方可进场施工，并做好相关安全措施。</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14、</w:t>
      </w:r>
      <w:r>
        <w:rPr>
          <w:rStyle w:val="63"/>
          <w:rFonts w:hint="eastAsia" w:eastAsia="宋体" w:cs="宋体"/>
          <w:sz w:val="24"/>
          <w:highlight w:val="none"/>
          <w:lang w:eastAsia="zh-CN"/>
        </w:rPr>
        <w:t>乙方</w:t>
      </w:r>
      <w:r>
        <w:rPr>
          <w:rStyle w:val="63"/>
          <w:rFonts w:hint="eastAsia" w:eastAsia="宋体" w:cs="宋体"/>
          <w:sz w:val="24"/>
          <w:highlight w:val="none"/>
        </w:rPr>
        <w:t>对各单项工程施工进行安全自检，定期召开安全施工例会，总结分析安全生产情况，提交安全生产记录及安全工作例会纪要，确保施工全过程的安全生产。</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15、施工现场必须有安全人员负责安全管理；施工前必须对施工现场环境及安全条件进行检查，在施工过程中，要配备警示牌、警示带等警示标志，施工人员要戴好安全帽，确保施工人员的安全；施工现场必须有安全员和现场负责人在场。施工操作时必须严格按规范施工工序进行；</w:t>
      </w:r>
    </w:p>
    <w:p>
      <w:pPr>
        <w:spacing w:line="440" w:lineRule="atLeast"/>
        <w:ind w:firstLine="480" w:firstLineChars="200"/>
        <w:rPr>
          <w:rStyle w:val="63"/>
          <w:rFonts w:hint="eastAsia" w:ascii="宋体" w:hAnsi="宋体" w:eastAsia="宋体" w:cs="宋体"/>
          <w:sz w:val="24"/>
          <w:szCs w:val="24"/>
          <w:highlight w:val="none"/>
        </w:rPr>
      </w:pPr>
      <w:r>
        <w:rPr>
          <w:rStyle w:val="63"/>
          <w:rFonts w:hint="eastAsia" w:eastAsia="宋体" w:cs="宋体"/>
          <w:sz w:val="24"/>
          <w:highlight w:val="none"/>
        </w:rPr>
        <w:t>16、</w:t>
      </w:r>
      <w:r>
        <w:rPr>
          <w:rStyle w:val="63"/>
          <w:rFonts w:hint="eastAsia" w:ascii="宋体" w:hAnsi="宋体" w:eastAsia="宋体" w:cs="宋体"/>
          <w:sz w:val="24"/>
          <w:szCs w:val="24"/>
          <w:highlight w:val="none"/>
        </w:rPr>
        <w:t>配备齐全安全防范用品，</w:t>
      </w:r>
      <w:r>
        <w:rPr>
          <w:rStyle w:val="63"/>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lang w:val="zh-CN"/>
        </w:rPr>
        <w:t>所有进场的施工人员的安全帽、反光马甲由</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lang w:val="zh-CN"/>
        </w:rPr>
        <w:t>按</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lang w:val="zh-CN"/>
        </w:rPr>
        <w:t>要求自行配备。其他安全防护和劳保用品由</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lang w:val="zh-CN"/>
        </w:rPr>
        <w:t>自行配置，如果</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lang w:val="zh-CN"/>
        </w:rPr>
        <w:t>不按要求配备，</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lang w:val="zh-CN"/>
        </w:rPr>
        <w:t>有权在</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lang w:val="zh-CN"/>
        </w:rPr>
        <w:t>工程款中双倍扣除。</w:t>
      </w:r>
      <w:r>
        <w:rPr>
          <w:rStyle w:val="63"/>
          <w:rFonts w:hint="eastAsia" w:ascii="宋体" w:hAnsi="宋体" w:eastAsia="宋体" w:cs="宋体"/>
          <w:sz w:val="24"/>
          <w:szCs w:val="24"/>
          <w:highlight w:val="none"/>
        </w:rPr>
        <w:t>给所有施工人员购买齐全相关意外保险，新参加施工的人员必须要做好安全教育；内部仓库的安全管理规范、消防安全规范等，要配备灭火器材和起火时自救器材并摆放在合理、显眼位置。</w:t>
      </w:r>
    </w:p>
    <w:p>
      <w:pPr>
        <w:spacing w:line="440" w:lineRule="atLeast"/>
        <w:ind w:firstLine="480" w:firstLineChars="200"/>
        <w:rPr>
          <w:rStyle w:val="63"/>
          <w:rFonts w:hint="eastAsia" w:ascii="宋体" w:hAnsi="宋体" w:eastAsia="宋体" w:cs="宋体"/>
          <w:sz w:val="24"/>
          <w:szCs w:val="24"/>
          <w:highlight w:val="none"/>
        </w:rPr>
      </w:pPr>
      <w:r>
        <w:rPr>
          <w:rStyle w:val="63"/>
          <w:rFonts w:hint="eastAsia" w:ascii="宋体" w:hAnsi="宋体" w:eastAsia="宋体" w:cs="宋体"/>
          <w:sz w:val="24"/>
          <w:szCs w:val="24"/>
          <w:highlight w:val="none"/>
        </w:rPr>
        <w:t>17、负责承担与</w:t>
      </w:r>
      <w:r>
        <w:rPr>
          <w:rStyle w:val="63"/>
          <w:rFonts w:hint="eastAsia" w:ascii="宋体" w:hAnsi="宋体" w:eastAsia="宋体" w:cs="宋体"/>
          <w:sz w:val="24"/>
          <w:szCs w:val="24"/>
          <w:highlight w:val="none"/>
          <w:lang w:eastAsia="zh-CN"/>
        </w:rPr>
        <w:t>甲方签订</w:t>
      </w:r>
      <w:r>
        <w:rPr>
          <w:rStyle w:val="63"/>
          <w:rFonts w:hint="eastAsia" w:ascii="宋体" w:hAnsi="宋体" w:eastAsia="宋体" w:cs="宋体"/>
          <w:sz w:val="24"/>
          <w:szCs w:val="24"/>
          <w:highlight w:val="none"/>
        </w:rPr>
        <w:t>的施工合同中规定由</w:t>
      </w:r>
      <w:r>
        <w:rPr>
          <w:rStyle w:val="63"/>
          <w:rFonts w:hint="eastAsia" w:ascii="宋体" w:hAnsi="宋体" w:eastAsia="宋体" w:cs="宋体"/>
          <w:sz w:val="24"/>
          <w:szCs w:val="24"/>
          <w:highlight w:val="none"/>
          <w:lang w:eastAsia="zh-CN"/>
        </w:rPr>
        <w:t>乙方</w:t>
      </w:r>
      <w:r>
        <w:rPr>
          <w:rStyle w:val="63"/>
          <w:rFonts w:hint="eastAsia" w:ascii="宋体" w:hAnsi="宋体" w:eastAsia="宋体" w:cs="宋体"/>
          <w:sz w:val="24"/>
          <w:szCs w:val="24"/>
          <w:highlight w:val="none"/>
        </w:rPr>
        <w:t>承担有关职责。</w:t>
      </w:r>
    </w:p>
    <w:p>
      <w:pPr>
        <w:spacing w:line="440" w:lineRule="atLeast"/>
        <w:ind w:firstLine="482" w:firstLineChars="200"/>
        <w:rPr>
          <w:rStyle w:val="63"/>
          <w:rFonts w:hint="eastAsia" w:eastAsia="宋体" w:cs="宋体"/>
          <w:b/>
          <w:bCs/>
          <w:sz w:val="24"/>
          <w:highlight w:val="none"/>
        </w:rPr>
      </w:pPr>
      <w:r>
        <w:rPr>
          <w:rStyle w:val="63"/>
          <w:rFonts w:hint="eastAsia" w:eastAsia="宋体" w:cs="宋体"/>
          <w:b/>
          <w:bCs/>
          <w:sz w:val="24"/>
          <w:highlight w:val="none"/>
        </w:rPr>
        <w:t>四、违约责任</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1、若</w:t>
      </w:r>
      <w:r>
        <w:rPr>
          <w:rStyle w:val="63"/>
          <w:rFonts w:hint="eastAsia" w:eastAsia="宋体" w:cs="宋体"/>
          <w:sz w:val="24"/>
          <w:highlight w:val="none"/>
          <w:lang w:eastAsia="zh-CN"/>
        </w:rPr>
        <w:t>乙方</w:t>
      </w:r>
      <w:r>
        <w:rPr>
          <w:rStyle w:val="63"/>
          <w:rFonts w:hint="eastAsia" w:eastAsia="宋体" w:cs="宋体"/>
          <w:sz w:val="24"/>
          <w:highlight w:val="none"/>
        </w:rPr>
        <w:t>违反本协议约定而导致发生各类安全事故的，造成的一切法律后果由</w:t>
      </w:r>
      <w:r>
        <w:rPr>
          <w:rStyle w:val="63"/>
          <w:rFonts w:hint="eastAsia" w:eastAsia="宋体" w:cs="宋体"/>
          <w:sz w:val="24"/>
          <w:highlight w:val="none"/>
          <w:lang w:eastAsia="zh-CN"/>
        </w:rPr>
        <w:t>甲方</w:t>
      </w:r>
      <w:r>
        <w:rPr>
          <w:rStyle w:val="63"/>
          <w:rFonts w:hint="eastAsia" w:eastAsia="宋体" w:cs="宋体"/>
          <w:sz w:val="24"/>
          <w:highlight w:val="none"/>
        </w:rPr>
        <w:t>自行承担，</w:t>
      </w:r>
      <w:r>
        <w:rPr>
          <w:rStyle w:val="63"/>
          <w:rFonts w:hint="eastAsia" w:eastAsia="宋体" w:cs="宋体"/>
          <w:sz w:val="24"/>
          <w:highlight w:val="none"/>
          <w:lang w:eastAsia="zh-CN"/>
        </w:rPr>
        <w:t>甲方</w:t>
      </w:r>
      <w:r>
        <w:rPr>
          <w:rStyle w:val="63"/>
          <w:rFonts w:hint="eastAsia" w:eastAsia="宋体" w:cs="宋体"/>
          <w:sz w:val="24"/>
          <w:highlight w:val="none"/>
        </w:rPr>
        <w:t>不负任何责任。</w:t>
      </w:r>
    </w:p>
    <w:p>
      <w:pPr>
        <w:spacing w:line="440" w:lineRule="atLeast"/>
        <w:ind w:firstLine="480" w:firstLineChars="200"/>
        <w:rPr>
          <w:rStyle w:val="63"/>
          <w:rFonts w:hint="eastAsia" w:eastAsia="宋体" w:cs="宋体"/>
          <w:color w:val="0000FF"/>
          <w:sz w:val="24"/>
          <w:highlight w:val="none"/>
        </w:rPr>
      </w:pPr>
      <w:r>
        <w:rPr>
          <w:rStyle w:val="63"/>
          <w:rFonts w:hint="eastAsia" w:eastAsia="宋体" w:cs="宋体"/>
          <w:sz w:val="24"/>
          <w:highlight w:val="none"/>
        </w:rPr>
        <w:t>2、若因合同期内</w:t>
      </w:r>
      <w:r>
        <w:rPr>
          <w:rStyle w:val="63"/>
          <w:rFonts w:hint="eastAsia" w:eastAsia="宋体" w:cs="宋体"/>
          <w:sz w:val="24"/>
          <w:highlight w:val="none"/>
          <w:lang w:eastAsia="zh-CN"/>
        </w:rPr>
        <w:t>乙方</w:t>
      </w:r>
      <w:r>
        <w:rPr>
          <w:rStyle w:val="63"/>
          <w:rFonts w:hint="eastAsia" w:eastAsia="宋体" w:cs="宋体"/>
          <w:sz w:val="24"/>
          <w:highlight w:val="none"/>
        </w:rPr>
        <w:t>施工不力或安全防护措施不到位，造成安全责任事故，一切后果均由</w:t>
      </w:r>
      <w:r>
        <w:rPr>
          <w:rStyle w:val="63"/>
          <w:rFonts w:hint="eastAsia" w:eastAsia="宋体" w:cs="宋体"/>
          <w:sz w:val="24"/>
          <w:highlight w:val="none"/>
          <w:lang w:eastAsia="zh-CN"/>
        </w:rPr>
        <w:t>乙方</w:t>
      </w:r>
      <w:r>
        <w:rPr>
          <w:rStyle w:val="63"/>
          <w:rFonts w:hint="eastAsia" w:eastAsia="宋体" w:cs="宋体"/>
          <w:sz w:val="24"/>
          <w:highlight w:val="none"/>
        </w:rPr>
        <w:t>承担全部责任。</w:t>
      </w:r>
      <w:r>
        <w:rPr>
          <w:rStyle w:val="63"/>
          <w:rFonts w:hint="eastAsia" w:eastAsia="宋体" w:cs="宋体"/>
          <w:sz w:val="24"/>
          <w:highlight w:val="none"/>
          <w:lang w:eastAsia="zh-CN"/>
        </w:rPr>
        <w:t>甲方</w:t>
      </w:r>
      <w:r>
        <w:rPr>
          <w:rStyle w:val="63"/>
          <w:rFonts w:hint="eastAsia" w:eastAsia="宋体" w:cs="宋体"/>
          <w:sz w:val="24"/>
          <w:highlight w:val="none"/>
        </w:rPr>
        <w:t>可以作出取消其施工资格，合同终止的处理。</w:t>
      </w:r>
    </w:p>
    <w:p>
      <w:pPr>
        <w:spacing w:line="440" w:lineRule="atLeast"/>
        <w:ind w:firstLine="482" w:firstLineChars="200"/>
        <w:rPr>
          <w:rStyle w:val="63"/>
          <w:rFonts w:hint="eastAsia" w:eastAsia="宋体" w:cs="宋体"/>
          <w:b/>
          <w:bCs/>
          <w:sz w:val="24"/>
          <w:highlight w:val="none"/>
        </w:rPr>
      </w:pPr>
      <w:r>
        <w:rPr>
          <w:rStyle w:val="63"/>
          <w:rFonts w:hint="eastAsia" w:eastAsia="宋体" w:cs="宋体"/>
          <w:b/>
          <w:bCs/>
          <w:sz w:val="24"/>
          <w:highlight w:val="none"/>
        </w:rPr>
        <w:t>五、其它</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1、本协议自双方签字盖章之日起生效，有效期与主合同一致；协议一式三份，</w:t>
      </w:r>
      <w:r>
        <w:rPr>
          <w:rStyle w:val="63"/>
          <w:rFonts w:hint="eastAsia" w:eastAsia="宋体" w:cs="宋体"/>
          <w:sz w:val="24"/>
          <w:highlight w:val="none"/>
          <w:lang w:eastAsia="zh-CN"/>
        </w:rPr>
        <w:t>甲方</w:t>
      </w:r>
      <w:r>
        <w:rPr>
          <w:rStyle w:val="63"/>
          <w:rFonts w:hint="eastAsia" w:eastAsia="宋体" w:cs="宋体"/>
          <w:sz w:val="24"/>
          <w:highlight w:val="none"/>
        </w:rPr>
        <w:t>执二份，</w:t>
      </w:r>
      <w:r>
        <w:rPr>
          <w:rStyle w:val="63"/>
          <w:rFonts w:hint="eastAsia" w:eastAsia="宋体" w:cs="宋体"/>
          <w:sz w:val="24"/>
          <w:highlight w:val="none"/>
          <w:lang w:eastAsia="zh-CN"/>
        </w:rPr>
        <w:t>乙方</w:t>
      </w:r>
      <w:r>
        <w:rPr>
          <w:rStyle w:val="63"/>
          <w:rFonts w:hint="eastAsia" w:eastAsia="宋体" w:cs="宋体"/>
          <w:sz w:val="24"/>
          <w:highlight w:val="none"/>
        </w:rPr>
        <w:t>执一份，一经签署即产生法律效力，受法律保护。</w:t>
      </w:r>
    </w:p>
    <w:p>
      <w:pPr>
        <w:spacing w:line="440" w:lineRule="atLeast"/>
        <w:ind w:firstLine="480" w:firstLineChars="200"/>
        <w:rPr>
          <w:rStyle w:val="63"/>
          <w:rFonts w:hint="eastAsia" w:eastAsia="宋体" w:cs="宋体"/>
          <w:sz w:val="24"/>
          <w:highlight w:val="none"/>
        </w:rPr>
      </w:pPr>
      <w:r>
        <w:rPr>
          <w:rStyle w:val="63"/>
          <w:rFonts w:hint="eastAsia" w:eastAsia="宋体" w:cs="宋体"/>
          <w:sz w:val="24"/>
          <w:highlight w:val="none"/>
        </w:rPr>
        <w:t>2、本协议书将成为</w:t>
      </w:r>
      <w:r>
        <w:rPr>
          <w:rStyle w:val="63"/>
          <w:rFonts w:hint="eastAsia" w:eastAsia="宋体" w:cs="宋体"/>
          <w:sz w:val="24"/>
          <w:highlight w:val="none"/>
          <w:lang w:val="en-US" w:eastAsia="zh-CN"/>
        </w:rPr>
        <w:t>合同</w:t>
      </w:r>
      <w:r>
        <w:rPr>
          <w:rStyle w:val="63"/>
          <w:rFonts w:hint="eastAsia" w:eastAsia="宋体" w:cs="宋体"/>
          <w:sz w:val="24"/>
          <w:highlight w:val="none"/>
        </w:rPr>
        <w:t>不可分割的一部分，与</w:t>
      </w:r>
      <w:r>
        <w:rPr>
          <w:rStyle w:val="63"/>
          <w:rFonts w:hint="eastAsia" w:eastAsia="宋体" w:cs="宋体"/>
          <w:sz w:val="24"/>
          <w:highlight w:val="none"/>
          <w:lang w:val="en-US" w:eastAsia="zh-CN"/>
        </w:rPr>
        <w:t>合同</w:t>
      </w:r>
      <w:r>
        <w:rPr>
          <w:rStyle w:val="63"/>
          <w:rFonts w:hint="eastAsia" w:eastAsia="宋体" w:cs="宋体"/>
          <w:sz w:val="24"/>
          <w:highlight w:val="none"/>
        </w:rPr>
        <w:t>具有同等的法律效力。</w:t>
      </w:r>
    </w:p>
    <w:p>
      <w:pPr>
        <w:spacing w:line="0" w:lineRule="atLeast"/>
        <w:rPr>
          <w:b/>
          <w:sz w:val="18"/>
          <w:szCs w:val="18"/>
          <w:highlight w:val="none"/>
        </w:rPr>
      </w:pPr>
    </w:p>
    <w:p>
      <w:pPr>
        <w:spacing w:line="0" w:lineRule="atLeast"/>
        <w:rPr>
          <w:b/>
          <w:sz w:val="18"/>
          <w:szCs w:val="18"/>
          <w:highlight w:val="none"/>
        </w:rPr>
      </w:pPr>
    </w:p>
    <w:p>
      <w:pPr>
        <w:spacing w:line="0" w:lineRule="atLeast"/>
        <w:rPr>
          <w:rFonts w:hint="eastAsia"/>
          <w:b/>
          <w:sz w:val="18"/>
          <w:szCs w:val="18"/>
          <w:highlight w:val="none"/>
        </w:rPr>
      </w:pPr>
    </w:p>
    <w:p>
      <w:pPr>
        <w:spacing w:line="360" w:lineRule="auto"/>
        <w:rPr>
          <w:rStyle w:val="63"/>
          <w:rFonts w:hint="eastAsia" w:eastAsia="宋体" w:cs="宋体"/>
          <w:sz w:val="24"/>
          <w:highlight w:val="none"/>
        </w:rPr>
      </w:pPr>
      <w:r>
        <w:rPr>
          <w:rStyle w:val="63"/>
          <w:rFonts w:hint="eastAsia" w:eastAsia="宋体" w:cs="宋体"/>
          <w:sz w:val="24"/>
          <w:highlight w:val="none"/>
          <w:lang w:eastAsia="zh-CN"/>
        </w:rPr>
        <w:t>甲方</w:t>
      </w:r>
      <w:r>
        <w:rPr>
          <w:rStyle w:val="63"/>
          <w:rFonts w:hint="eastAsia" w:eastAsia="宋体" w:cs="宋体"/>
          <w:sz w:val="24"/>
          <w:highlight w:val="none"/>
        </w:rPr>
        <w:t xml:space="preserve">：                          </w:t>
      </w:r>
      <w:r>
        <w:rPr>
          <w:rStyle w:val="63"/>
          <w:rFonts w:hint="eastAsia" w:cs="宋体"/>
          <w:sz w:val="24"/>
          <w:highlight w:val="none"/>
        </w:rPr>
        <w:t xml:space="preserve">  </w:t>
      </w:r>
      <w:r>
        <w:rPr>
          <w:rStyle w:val="63"/>
          <w:rFonts w:hint="eastAsia" w:eastAsia="宋体" w:cs="宋体"/>
          <w:sz w:val="24"/>
          <w:highlight w:val="none"/>
          <w:lang w:eastAsia="zh-CN"/>
        </w:rPr>
        <w:t>乙方</w:t>
      </w:r>
      <w:r>
        <w:rPr>
          <w:rStyle w:val="63"/>
          <w:rFonts w:hint="eastAsia" w:eastAsia="宋体" w:cs="宋体"/>
          <w:sz w:val="24"/>
          <w:highlight w:val="none"/>
        </w:rPr>
        <w:t>：</w:t>
      </w:r>
    </w:p>
    <w:p>
      <w:pPr>
        <w:spacing w:line="0" w:lineRule="atLeast"/>
        <w:rPr>
          <w:rFonts w:hint="eastAsia"/>
          <w:b/>
          <w:sz w:val="18"/>
          <w:szCs w:val="18"/>
          <w:highlight w:val="none"/>
        </w:rPr>
      </w:pPr>
    </w:p>
    <w:p>
      <w:pPr>
        <w:spacing w:line="360" w:lineRule="auto"/>
        <w:rPr>
          <w:rStyle w:val="63"/>
          <w:rFonts w:hint="eastAsia" w:eastAsia="宋体" w:cs="宋体"/>
          <w:sz w:val="24"/>
          <w:highlight w:val="none"/>
        </w:rPr>
      </w:pPr>
      <w:r>
        <w:rPr>
          <w:rStyle w:val="63"/>
          <w:rFonts w:hint="eastAsia" w:eastAsia="宋体" w:cs="宋体"/>
          <w:sz w:val="24"/>
          <w:highlight w:val="none"/>
        </w:rPr>
        <w:t xml:space="preserve">法定代表人（授权代表）：        </w:t>
      </w:r>
      <w:r>
        <w:rPr>
          <w:rStyle w:val="63"/>
          <w:rFonts w:hint="eastAsia" w:cs="宋体"/>
          <w:sz w:val="24"/>
          <w:highlight w:val="none"/>
        </w:rPr>
        <w:t xml:space="preserve">     </w:t>
      </w:r>
      <w:r>
        <w:rPr>
          <w:rStyle w:val="63"/>
          <w:rFonts w:hint="eastAsia" w:eastAsia="宋体" w:cs="宋体"/>
          <w:sz w:val="24"/>
          <w:highlight w:val="none"/>
        </w:rPr>
        <w:t>法定代表人（授权代表）：</w:t>
      </w:r>
    </w:p>
    <w:p>
      <w:pPr>
        <w:spacing w:line="0" w:lineRule="atLeast"/>
        <w:rPr>
          <w:rFonts w:hint="eastAsia"/>
          <w:b/>
          <w:sz w:val="18"/>
          <w:szCs w:val="18"/>
          <w:highlight w:val="none"/>
        </w:rPr>
      </w:pPr>
    </w:p>
    <w:p>
      <w:pPr>
        <w:jc w:val="both"/>
        <w:rPr>
          <w:rFonts w:hint="eastAsia" w:ascii="宋体" w:hAnsi="宋体" w:eastAsia="宋体" w:cs="宋体"/>
          <w:color w:val="auto"/>
          <w:highlight w:val="none"/>
        </w:rPr>
      </w:pPr>
      <w:r>
        <w:rPr>
          <w:rStyle w:val="63"/>
          <w:rFonts w:hint="eastAsia" w:eastAsia="宋体" w:cs="宋体"/>
          <w:sz w:val="24"/>
          <w:highlight w:val="none"/>
        </w:rPr>
        <w:t>签约时间：         年    月    日 </w:t>
      </w:r>
    </w:p>
    <w:p>
      <w:pPr>
        <w:jc w:val="both"/>
        <w:rPr>
          <w:rFonts w:hint="eastAsia" w:ascii="宋体" w:hAnsi="宋体" w:eastAsia="宋体" w:cs="宋体"/>
          <w:color w:val="auto"/>
          <w:highlight w:val="none"/>
        </w:rPr>
      </w:pPr>
    </w:p>
    <w:p>
      <w:pPr>
        <w:jc w:val="both"/>
        <w:rPr>
          <w:rFonts w:hint="eastAsia" w:ascii="宋体" w:hAnsi="宋体" w:eastAsia="宋体" w:cs="宋体"/>
          <w:color w:val="auto"/>
          <w:highlight w:val="none"/>
        </w:rPr>
      </w:pPr>
    </w:p>
    <w:p>
      <w:pPr>
        <w:jc w:val="both"/>
        <w:rPr>
          <w:rFonts w:hint="eastAsia" w:ascii="宋体" w:hAnsi="宋体" w:eastAsia="宋体" w:cs="宋体"/>
          <w:color w:val="auto"/>
          <w:highlight w:val="none"/>
        </w:rPr>
      </w:pPr>
    </w:p>
    <w:p>
      <w:pPr>
        <w:pStyle w:val="2"/>
        <w:spacing w:line="360" w:lineRule="auto"/>
        <w:ind w:left="0" w:firstLine="0" w:firstLineChars="0"/>
        <w:jc w:val="left"/>
        <w:rPr>
          <w:rFonts w:hint="eastAsia" w:ascii="微软雅黑" w:hAnsi="微软雅黑" w:eastAsia="微软雅黑" w:cs="微软雅黑"/>
          <w:b/>
          <w:sz w:val="28"/>
          <w:szCs w:val="28"/>
          <w:highlight w:val="none"/>
        </w:rPr>
      </w:pPr>
      <w:r>
        <w:rPr>
          <w:rFonts w:hint="eastAsia" w:ascii="微软雅黑" w:hAnsi="微软雅黑" w:eastAsia="微软雅黑" w:cs="微软雅黑"/>
          <w:b/>
          <w:sz w:val="28"/>
          <w:szCs w:val="28"/>
          <w:highlight w:val="none"/>
        </w:rPr>
        <w:br w:type="column"/>
      </w:r>
      <w:r>
        <w:rPr>
          <w:rFonts w:hint="eastAsia" w:ascii="微软雅黑" w:hAnsi="微软雅黑" w:eastAsia="微软雅黑" w:cs="微软雅黑"/>
          <w:b/>
          <w:sz w:val="28"/>
          <w:szCs w:val="28"/>
          <w:highlight w:val="none"/>
        </w:rPr>
        <w:t>附件</w:t>
      </w:r>
      <w:r>
        <w:rPr>
          <w:rFonts w:hint="eastAsia" w:ascii="微软雅黑" w:hAnsi="微软雅黑" w:eastAsia="微软雅黑" w:cs="微软雅黑"/>
          <w:b/>
          <w:sz w:val="28"/>
          <w:szCs w:val="28"/>
          <w:highlight w:val="none"/>
          <w:lang w:val="en-US" w:eastAsia="zh-CN"/>
        </w:rPr>
        <w:t>六：</w:t>
      </w:r>
      <w:r>
        <w:rPr>
          <w:rFonts w:hint="eastAsia" w:ascii="微软雅黑" w:hAnsi="微软雅黑" w:eastAsia="微软雅黑" w:cs="微软雅黑"/>
          <w:b/>
          <w:sz w:val="28"/>
          <w:szCs w:val="28"/>
          <w:highlight w:val="none"/>
        </w:rPr>
        <w:t>廉洁协议</w:t>
      </w:r>
    </w:p>
    <w:p>
      <w:pPr>
        <w:pStyle w:val="2"/>
        <w:spacing w:line="360" w:lineRule="auto"/>
        <w:ind w:left="0" w:firstLine="0" w:firstLineChars="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廉洁协议书</w:t>
      </w:r>
    </w:p>
    <w:p>
      <w:pPr>
        <w:spacing w:line="480" w:lineRule="auto"/>
        <w:rPr>
          <w:rFonts w:hint="eastAsia" w:eastAsia="宋体" w:cs="Times New Roman"/>
          <w:b/>
          <w:sz w:val="24"/>
          <w:highlight w:val="none"/>
          <w:lang w:val="en-US" w:eastAsia="zh-CN"/>
        </w:rPr>
      </w:pPr>
      <w:r>
        <w:rPr>
          <w:rFonts w:hint="eastAsia" w:eastAsia="宋体" w:cs="Times New Roman"/>
          <w:b/>
          <w:sz w:val="24"/>
          <w:highlight w:val="none"/>
        </w:rPr>
        <w:t>甲方：</w:t>
      </w:r>
    </w:p>
    <w:p>
      <w:pPr>
        <w:spacing w:line="480" w:lineRule="auto"/>
        <w:rPr>
          <w:rFonts w:hint="eastAsia" w:eastAsia="宋体" w:cs="Times New Roman"/>
          <w:b/>
          <w:sz w:val="24"/>
          <w:highlight w:val="none"/>
          <w:lang w:val="en-US" w:eastAsia="zh-CN"/>
        </w:rPr>
      </w:pPr>
      <w:r>
        <w:rPr>
          <w:rFonts w:hint="eastAsia" w:eastAsia="宋体" w:cs="Times New Roman"/>
          <w:b/>
          <w:sz w:val="24"/>
          <w:highlight w:val="none"/>
        </w:rPr>
        <w:t>乙方：</w:t>
      </w:r>
      <w:r>
        <w:rPr>
          <w:rFonts w:hint="eastAsia" w:eastAsia="宋体" w:cs="Times New Roman"/>
          <w:b/>
          <w:sz w:val="24"/>
          <w:highlight w:val="none"/>
          <w:lang w:val="en-US" w:eastAsia="zh-CN"/>
        </w:rPr>
        <w:t xml:space="preserve"> </w:t>
      </w:r>
    </w:p>
    <w:p>
      <w:pPr>
        <w:spacing w:line="360" w:lineRule="auto"/>
        <w:ind w:firstLine="480" w:firstLineChars="200"/>
        <w:rPr>
          <w:rFonts w:hint="eastAsia" w:ascii="宋体" w:hAnsi="宋体" w:eastAsia="宋体" w:cs="宋体"/>
          <w:b w:val="0"/>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为了在工程建设中防止各种不正当行为的发生，促进本单位的党风廉政建设，根据国家和行业有关</w:t>
      </w:r>
      <w:r>
        <w:rPr>
          <w:rFonts w:hint="eastAsia" w:ascii="宋体" w:hAnsi="宋体" w:eastAsia="宋体" w:cs="宋体"/>
          <w:sz w:val="24"/>
          <w:szCs w:val="24"/>
          <w:highlight w:val="none"/>
          <w:lang w:val="en-US" w:eastAsia="zh-CN"/>
        </w:rPr>
        <w:t>规定</w:t>
      </w:r>
      <w:r>
        <w:rPr>
          <w:rFonts w:hint="eastAsia" w:ascii="宋体" w:hAnsi="宋体" w:eastAsia="宋体" w:cs="宋体"/>
          <w:sz w:val="24"/>
          <w:szCs w:val="24"/>
          <w:highlight w:val="none"/>
        </w:rPr>
        <w:t>和廉政建设的各项规定，特订立如下协议：</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一、双方应当共同自觉遵守国家和行业有关</w:t>
      </w:r>
      <w:r>
        <w:rPr>
          <w:rFonts w:hint="eastAsia" w:ascii="宋体" w:hAnsi="宋体" w:eastAsia="宋体" w:cs="宋体"/>
          <w:sz w:val="24"/>
          <w:szCs w:val="24"/>
          <w:highlight w:val="none"/>
          <w:lang w:val="en-US" w:eastAsia="zh-CN"/>
        </w:rPr>
        <w:t>规定</w:t>
      </w:r>
      <w:r>
        <w:rPr>
          <w:rFonts w:hint="eastAsia" w:ascii="宋体" w:hAnsi="宋体" w:eastAsia="宋体" w:cs="宋体"/>
          <w:sz w:val="24"/>
          <w:szCs w:val="24"/>
          <w:highlight w:val="none"/>
        </w:rPr>
        <w:t xml:space="preserve">和廉政建设的各项规定。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及其工作人员应做到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工作人员（含家属、子女，下同）不得以任何形式向</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 xml:space="preserve">索要赞助和收受回扣等好处费。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工作人员应当保持与</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的正常业务交往，不得接受</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的礼金、有价证券和贵重物品，不得向</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索要（或接受）通讯工具、交通工具、家电及高档办公用品，不得在</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 xml:space="preserve">报销任何应由单位或个人支付的费用。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工作人员不得参加可能影响公正执行公务的宴请和高消费的娱乐活动。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工作人员不得要求或者接受</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 xml:space="preserve">为其住房装修、婚丧嫁娶、家属和子女的工作安排，以及出国出境提供方便。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工作人员不得以考察、参观等名义参加</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 xml:space="preserve">安排的国内外旅游活动。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工作人员不得向</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介绍家属或亲友从事与</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工程有关的材料设备供应、工程分包等经济活动。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 xml:space="preserve">及其工作人员应当做到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应当通过正常途径开展</w:t>
      </w:r>
      <w:r>
        <w:rPr>
          <w:rFonts w:hint="eastAsia" w:ascii="宋体" w:hAnsi="宋体" w:eastAsia="宋体" w:cs="宋体"/>
          <w:sz w:val="24"/>
          <w:szCs w:val="24"/>
          <w:highlight w:val="none"/>
          <w:lang w:eastAsia="zh-CN"/>
        </w:rPr>
        <w:t>相关</w:t>
      </w:r>
      <w:r>
        <w:rPr>
          <w:rFonts w:hint="eastAsia" w:ascii="宋体" w:hAnsi="宋体" w:eastAsia="宋体" w:cs="宋体"/>
          <w:sz w:val="24"/>
          <w:szCs w:val="24"/>
          <w:highlight w:val="none"/>
        </w:rPr>
        <w:t>业务工作，不得为获取某些不正当利益而向</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工作人员（含家属、子女，下同）赠送礼金、有价证券和贵重物品等。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工作人员不得为谋取私利擅自与</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工作人员就工程承包、工程费用、材料设备供应、工程量变动、工程验收、工程质量问题处理等进行私下商谈或者达成默契。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不得以洽谈业务、签订经济协议等为借口，邀请</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工作人员外出旅游或进入营业性高档娱乐场所。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不得为</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单位和个人购置或者提供通讯工具、交通工具、家电及高档办公用品等物品。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如发现</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及其工作人员有违反上述协议者，应当向</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领导或者</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上级单位举报，</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不得找任何借口对</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 xml:space="preserve">进行报复或刁难、延误工作。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发现</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有违反本协议或者采用不正当的手段贿赂</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工作人员，</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应向</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上级领导或有关部门举报，由此给</w:t>
      </w: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单位造成的损失均由</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 xml:space="preserve">承担。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六、本协议一式四份，双方各执二份，作为</w:t>
      </w:r>
      <w:r>
        <w:rPr>
          <w:rFonts w:hint="eastAsia" w:ascii="宋体" w:hAnsi="宋体" w:eastAsia="宋体" w:cs="宋体"/>
          <w:sz w:val="24"/>
          <w:szCs w:val="24"/>
          <w:highlight w:val="none"/>
          <w:lang w:val="en-US" w:eastAsia="zh-CN"/>
        </w:rPr>
        <w:t>合同</w:t>
      </w:r>
      <w:r>
        <w:rPr>
          <w:rFonts w:hint="eastAsia" w:ascii="宋体" w:hAnsi="宋体" w:eastAsia="宋体" w:cs="宋体"/>
          <w:sz w:val="24"/>
          <w:szCs w:val="24"/>
          <w:highlight w:val="none"/>
        </w:rPr>
        <w:t xml:space="preserve">协议的附件，经协议双方签署后立即生效。 </w:t>
      </w:r>
    </w:p>
    <w:tbl>
      <w:tblPr>
        <w:tblStyle w:val="30"/>
        <w:tblW w:w="829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147"/>
        <w:gridCol w:w="414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13" w:hRule="atLeast"/>
          <w:jc w:val="center"/>
        </w:trPr>
        <w:tc>
          <w:tcPr>
            <w:tcW w:w="4147" w:type="dxa"/>
            <w:noWrap w:val="0"/>
            <w:vAlign w:val="top"/>
          </w:tcPr>
          <w:p>
            <w:pPr>
              <w:adjustRightInd/>
              <w:snapToGri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rPr>
              <w:t xml:space="preserve">：    </w:t>
            </w:r>
          </w:p>
          <w:p>
            <w:pPr>
              <w:adjustRightInd/>
              <w:snapToGrid/>
              <w:spacing w:line="360" w:lineRule="auto"/>
              <w:ind w:firstLine="480" w:firstLineChars="200"/>
              <w:rPr>
                <w:rFonts w:hint="eastAsia" w:ascii="宋体" w:hAnsi="宋体" w:eastAsia="宋体" w:cs="宋体"/>
                <w:sz w:val="24"/>
                <w:szCs w:val="24"/>
                <w:highlight w:val="none"/>
              </w:rPr>
            </w:pPr>
          </w:p>
          <w:p>
            <w:pPr>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（盖章）    </w:t>
            </w:r>
          </w:p>
        </w:tc>
        <w:tc>
          <w:tcPr>
            <w:tcW w:w="4148" w:type="dxa"/>
            <w:noWrap w:val="0"/>
            <w:vAlign w:val="top"/>
          </w:tcPr>
          <w:p>
            <w:pPr>
              <w:adjustRightInd/>
              <w:snapToGri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w:t>
            </w:r>
          </w:p>
          <w:p>
            <w:pPr>
              <w:spacing w:line="360" w:lineRule="auto"/>
              <w:ind w:firstLine="480" w:firstLineChars="200"/>
              <w:rPr>
                <w:rFonts w:hint="eastAsia" w:ascii="宋体" w:hAnsi="宋体" w:eastAsia="宋体" w:cs="宋体"/>
                <w:sz w:val="24"/>
                <w:szCs w:val="24"/>
                <w:highlight w:val="none"/>
              </w:rPr>
            </w:pPr>
          </w:p>
          <w:p>
            <w:pPr>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（盖章）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5" w:hRule="atLeast"/>
          <w:jc w:val="center"/>
        </w:trPr>
        <w:tc>
          <w:tcPr>
            <w:tcW w:w="4147" w:type="dxa"/>
            <w:noWrap w:val="0"/>
            <w:vAlign w:val="center"/>
          </w:tcPr>
          <w:p>
            <w:pPr>
              <w:adjustRightInd/>
              <w:snapToGri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p>
            <w:pPr>
              <w:adjustRightInd/>
              <w:snapToGri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或委托代理人(签字)：</w:t>
            </w:r>
          </w:p>
        </w:tc>
        <w:tc>
          <w:tcPr>
            <w:tcW w:w="4148" w:type="dxa"/>
            <w:noWrap w:val="0"/>
            <w:vAlign w:val="center"/>
          </w:tcPr>
          <w:p>
            <w:pPr>
              <w:adjustRightInd/>
              <w:snapToGri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p>
            <w:pPr>
              <w:adjustRightInd/>
              <w:snapToGri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或委托代理人(签字)：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37" w:hRule="atLeast"/>
          <w:jc w:val="center"/>
        </w:trPr>
        <w:tc>
          <w:tcPr>
            <w:tcW w:w="4147" w:type="dxa"/>
            <w:noWrap w:val="0"/>
            <w:vAlign w:val="top"/>
          </w:tcPr>
          <w:p>
            <w:pPr>
              <w:autoSpaceDE/>
              <w:autoSpaceDN/>
              <w:adjustRightIn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单位地址：</w:t>
            </w:r>
          </w:p>
        </w:tc>
        <w:tc>
          <w:tcPr>
            <w:tcW w:w="4148" w:type="dxa"/>
            <w:noWrap w:val="0"/>
            <w:vAlign w:val="top"/>
          </w:tcPr>
          <w:p>
            <w:pPr>
              <w:autoSpaceDE/>
              <w:autoSpaceDN/>
              <w:adjustRightInd/>
              <w:spacing w:line="36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单位地址：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8295" w:type="dxa"/>
            <w:gridSpan w:val="2"/>
            <w:noWrap w:val="0"/>
            <w:vAlign w:val="center"/>
          </w:tcPr>
          <w:p>
            <w:pPr>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jc w:val="both"/>
        <w:rPr>
          <w:rFonts w:hint="eastAsia" w:ascii="宋体" w:hAnsi="宋体" w:eastAsia="宋体" w:cs="宋体"/>
          <w:color w:val="auto"/>
          <w:highlight w:val="none"/>
        </w:rPr>
      </w:pPr>
    </w:p>
    <w:p>
      <w:pPr>
        <w:spacing w:before="63" w:line="225" w:lineRule="auto"/>
        <w:ind w:left="2253"/>
        <w:jc w:val="both"/>
        <w:rPr>
          <w:rFonts w:hint="eastAsia" w:ascii="宋体" w:hAnsi="宋体" w:eastAsia="宋体" w:cs="宋体"/>
          <w:color w:val="auto"/>
          <w:sz w:val="31"/>
          <w:szCs w:val="31"/>
          <w:highlight w:val="none"/>
        </w:rPr>
      </w:pPr>
      <w:bookmarkStart w:id="72" w:name="_bookmark13"/>
      <w:bookmarkEnd w:id="72"/>
      <w:r>
        <w:rPr>
          <w:rFonts w:hint="eastAsia" w:ascii="宋体" w:hAnsi="宋体" w:eastAsia="宋体" w:cs="宋体"/>
          <w:color w:val="auto"/>
          <w:sz w:val="31"/>
          <w:szCs w:val="31"/>
          <w:highlight w:val="none"/>
        </w:rPr>
        <w:t>第五章 招标内容和技术要求</w:t>
      </w:r>
    </w:p>
    <w:p>
      <w:pPr>
        <w:pStyle w:val="14"/>
        <w:rPr>
          <w:rFonts w:hint="eastAsia" w:hAnsi="宋体" w:eastAsia="宋体" w:cs="宋体"/>
          <w:color w:val="auto"/>
          <w:highlight w:val="none"/>
        </w:rPr>
      </w:pPr>
    </w:p>
    <w:p>
      <w:pPr>
        <w:pStyle w:val="5"/>
        <w:numPr>
          <w:ilvl w:val="1"/>
          <w:numId w:val="0"/>
        </w:numPr>
        <w:spacing w:line="32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一、总体要求</w:t>
      </w:r>
    </w:p>
    <w:p>
      <w:pPr>
        <w:pStyle w:val="56"/>
        <w:adjustRightInd w:val="0"/>
        <w:snapToGrid w:val="0"/>
        <w:spacing w:line="324" w:lineRule="auto"/>
        <w:ind w:left="0" w:firstLine="440" w:firstLineChars="20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1.</w:t>
      </w:r>
      <w:r>
        <w:rPr>
          <w:rFonts w:hint="eastAsia" w:ascii="宋体" w:hAnsi="宋体" w:eastAsia="宋体" w:cs="宋体"/>
          <w:kern w:val="2"/>
          <w:sz w:val="22"/>
          <w:szCs w:val="22"/>
          <w:highlight w:val="none"/>
        </w:rPr>
        <w:t>投标人所提供的相关货物或服务应符合国家有关标准和规范，遵循招标文件的要求，并提供详细说明。</w:t>
      </w:r>
    </w:p>
    <w:p>
      <w:pPr>
        <w:pStyle w:val="56"/>
        <w:adjustRightInd w:val="0"/>
        <w:snapToGrid w:val="0"/>
        <w:spacing w:line="324" w:lineRule="auto"/>
        <w:ind w:left="0" w:firstLine="440" w:firstLineChars="20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2.</w:t>
      </w:r>
      <w:r>
        <w:rPr>
          <w:rFonts w:hint="eastAsia" w:ascii="宋体" w:hAnsi="宋体" w:eastAsia="宋体" w:cs="宋体"/>
          <w:kern w:val="2"/>
          <w:sz w:val="22"/>
          <w:szCs w:val="22"/>
          <w:highlight w:val="none"/>
        </w:rPr>
        <w:t>投标人必须说明其是否响应招标文件中提出的全部要求，如果其中某些条款不响应时，应在文件中逐条列出，未列出的视同响应。</w:t>
      </w:r>
    </w:p>
    <w:p>
      <w:pPr>
        <w:pStyle w:val="56"/>
        <w:adjustRightInd w:val="0"/>
        <w:snapToGrid w:val="0"/>
        <w:spacing w:line="324" w:lineRule="auto"/>
        <w:ind w:left="0"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3.</w:t>
      </w:r>
      <w:r>
        <w:rPr>
          <w:rFonts w:hint="eastAsia" w:ascii="宋体" w:hAnsi="宋体" w:eastAsia="宋体" w:cs="宋体"/>
          <w:kern w:val="2"/>
          <w:sz w:val="22"/>
          <w:szCs w:val="22"/>
          <w:highlight w:val="none"/>
        </w:rPr>
        <w:t>投标文件应如实进行响应，投标单位提供的技术资料必须真实、准确，如提供的参数虚假或对招标文件所要求说明的情况故意隐瞒或虚报，按相关法律法规处理。</w:t>
      </w:r>
    </w:p>
    <w:p>
      <w:pPr>
        <w:pStyle w:val="5"/>
        <w:numPr>
          <w:ilvl w:val="0"/>
          <w:numId w:val="6"/>
        </w:numPr>
        <w:tabs>
          <w:tab w:val="clear" w:pos="360"/>
        </w:tabs>
        <w:spacing w:line="312" w:lineRule="auto"/>
        <w:ind w:left="200"/>
        <w:rPr>
          <w:rFonts w:hint="eastAsia" w:ascii="宋体" w:hAnsi="宋体" w:eastAsia="宋体" w:cs="宋体"/>
          <w:color w:val="auto"/>
          <w:sz w:val="22"/>
          <w:szCs w:val="22"/>
          <w:highlight w:val="none"/>
        </w:rPr>
      </w:pPr>
      <w:bookmarkStart w:id="73" w:name="_Toc3050"/>
      <w:bookmarkStart w:id="74" w:name="_Toc117026536"/>
      <w:bookmarkStart w:id="75" w:name="_Toc301"/>
      <w:bookmarkStart w:id="76" w:name="_Toc15160"/>
      <w:bookmarkStart w:id="77" w:name="_Toc148451570"/>
      <w:bookmarkStart w:id="78" w:name="_Toc117026584"/>
      <w:bookmarkStart w:id="79" w:name="_Toc141389834"/>
      <w:bookmarkStart w:id="80" w:name="_Toc10877"/>
      <w:bookmarkStart w:id="81" w:name="_Toc191050929"/>
      <w:bookmarkStart w:id="82" w:name="_Toc7206"/>
      <w:bookmarkStart w:id="83" w:name="_Toc29984"/>
      <w:r>
        <w:rPr>
          <w:rFonts w:hint="eastAsia" w:ascii="宋体" w:hAnsi="宋体" w:eastAsia="宋体" w:cs="宋体"/>
          <w:color w:val="auto"/>
          <w:sz w:val="22"/>
          <w:szCs w:val="22"/>
          <w:highlight w:val="none"/>
        </w:rPr>
        <w:t>招标内容和技术要求</w:t>
      </w:r>
    </w:p>
    <w:bookmarkEnd w:id="73"/>
    <w:bookmarkEnd w:id="74"/>
    <w:bookmarkEnd w:id="75"/>
    <w:bookmarkEnd w:id="76"/>
    <w:bookmarkEnd w:id="77"/>
    <w:bookmarkEnd w:id="78"/>
    <w:bookmarkEnd w:id="79"/>
    <w:bookmarkEnd w:id="80"/>
    <w:bookmarkEnd w:id="81"/>
    <w:bookmarkEnd w:id="82"/>
    <w:bookmarkEnd w:id="83"/>
    <w:p>
      <w:pPr>
        <w:pStyle w:val="14"/>
        <w:rPr>
          <w:rFonts w:hint="eastAsia" w:ascii="宋体" w:hAnsi="宋体" w:eastAsia="宋体" w:cs="宋体"/>
          <w:color w:val="auto"/>
          <w:sz w:val="22"/>
          <w:szCs w:val="22"/>
          <w:highlight w:val="none"/>
        </w:rPr>
      </w:pPr>
    </w:p>
    <w:p>
      <w:pPr>
        <w:numPr>
          <w:ilvl w:val="1"/>
          <w:numId w:val="7"/>
        </w:numPr>
        <w:tabs>
          <w:tab w:val="left" w:pos="339"/>
        </w:tabs>
        <w:spacing w:before="81" w:line="360" w:lineRule="auto"/>
        <w:ind w:left="20"/>
        <w:outlineLvl w:val="0"/>
        <w:rPr>
          <w:rFonts w:hint="eastAsia" w:ascii="宋体" w:hAnsi="宋体" w:eastAsia="宋体" w:cs="宋体"/>
          <w:spacing w:val="-1"/>
          <w:sz w:val="22"/>
          <w:szCs w:val="22"/>
          <w:highlight w:val="none"/>
        </w:rPr>
      </w:pPr>
      <w:r>
        <w:rPr>
          <w:rFonts w:hint="eastAsia" w:ascii="宋体" w:hAnsi="宋体" w:eastAsia="宋体" w:cs="宋体"/>
          <w:spacing w:val="-3"/>
          <w:sz w:val="22"/>
          <w:szCs w:val="22"/>
          <w:highlight w:val="none"/>
        </w:rPr>
        <w:t>编制依据及技术原则</w:t>
      </w:r>
    </w:p>
    <w:p>
      <w:pPr>
        <w:numPr>
          <w:ilvl w:val="2"/>
          <w:numId w:val="7"/>
        </w:numPr>
        <w:tabs>
          <w:tab w:val="left" w:pos="339"/>
        </w:tabs>
        <w:spacing w:before="81" w:line="360" w:lineRule="auto"/>
        <w:ind w:left="20"/>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编制依据</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GD003-2011《光伏发电工程可行性研究报告编制办法（试行）》</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《光伏发电站设计标准》</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GB/T 19964-2024《光伏发电站接入电力系统技术规定》</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GB/T29319-2024《光伏发电系统接入配电网技术规定》</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GB/T 50865-2013《光伏发电接入配电网设计规定》</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2"/>
          <w:sz w:val="22"/>
          <w:szCs w:val="22"/>
          <w:highlight w:val="none"/>
        </w:rPr>
        <w:t>发改投资规〔2023〕304号文件</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2"/>
          <w:sz w:val="22"/>
          <w:szCs w:val="22"/>
          <w:highlight w:val="none"/>
        </w:rPr>
        <w:t>其他相关的国家、地方、行业规范规程。</w:t>
      </w:r>
    </w:p>
    <w:p>
      <w:pPr>
        <w:numPr>
          <w:ilvl w:val="2"/>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3"/>
          <w:sz w:val="22"/>
          <w:szCs w:val="22"/>
          <w:highlight w:val="none"/>
        </w:rPr>
        <w:t>编制技术原则：</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认真贯彻国家能源相关方针和政策，符合国家的有关法律法规、规范和标</w:t>
      </w:r>
      <w:r>
        <w:rPr>
          <w:rFonts w:hint="eastAsia" w:ascii="宋体" w:hAnsi="宋体" w:eastAsia="宋体" w:cs="宋体"/>
          <w:spacing w:val="-2"/>
          <w:sz w:val="22"/>
          <w:szCs w:val="22"/>
          <w:highlight w:val="none"/>
        </w:rPr>
        <w:t>准。</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对场址进行合理布局，做到安全、经济、可靠。</w:t>
      </w:r>
    </w:p>
    <w:p>
      <w:pPr>
        <w:numPr>
          <w:ilvl w:val="3"/>
          <w:numId w:val="8"/>
        </w:numPr>
        <w:tabs>
          <w:tab w:val="left" w:pos="339"/>
        </w:tabs>
        <w:spacing w:before="81" w:line="360" w:lineRule="auto"/>
        <w:outlineLvl w:val="0"/>
        <w:rPr>
          <w:rFonts w:hint="eastAsia" w:ascii="宋体" w:hAnsi="宋体" w:eastAsia="宋体" w:cs="宋体"/>
          <w:spacing w:val="-1"/>
          <w:sz w:val="22"/>
          <w:szCs w:val="22"/>
          <w:highlight w:val="none"/>
        </w:rPr>
      </w:pPr>
      <w:r>
        <w:rPr>
          <w:rFonts w:hint="eastAsia" w:ascii="宋体" w:hAnsi="宋体" w:eastAsia="宋体" w:cs="宋体"/>
          <w:spacing w:val="-1"/>
          <w:sz w:val="22"/>
          <w:szCs w:val="22"/>
          <w:highlight w:val="none"/>
        </w:rPr>
        <w:t>充分考虑社会效益、环境效益和经济效益的合</w:t>
      </w:r>
      <w:r>
        <w:rPr>
          <w:rFonts w:hint="eastAsia" w:ascii="宋体" w:hAnsi="宋体" w:eastAsia="宋体" w:cs="宋体"/>
          <w:spacing w:val="-2"/>
          <w:sz w:val="22"/>
          <w:szCs w:val="22"/>
          <w:highlight w:val="none"/>
        </w:rPr>
        <w:t>理性。</w:t>
      </w:r>
    </w:p>
    <w:p>
      <w:pPr>
        <w:numPr>
          <w:ilvl w:val="3"/>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在满足业主需求的前提下，充分兼顾该项目的先进性和经济性。</w:t>
      </w:r>
      <w:bookmarkStart w:id="84" w:name="bookmark10"/>
      <w:bookmarkEnd w:id="84"/>
      <w:bookmarkStart w:id="85" w:name="bookmark11"/>
      <w:bookmarkEnd w:id="85"/>
    </w:p>
    <w:p>
      <w:pPr>
        <w:numPr>
          <w:ilvl w:val="1"/>
          <w:numId w:val="8"/>
        </w:numPr>
        <w:tabs>
          <w:tab w:val="left" w:pos="339"/>
        </w:tabs>
        <w:spacing w:before="81" w:line="360" w:lineRule="auto"/>
        <w:outlineLvl w:val="0"/>
        <w:rPr>
          <w:rFonts w:hint="eastAsia" w:ascii="宋体" w:hAnsi="宋体" w:eastAsia="宋体" w:cs="宋体"/>
          <w:sz w:val="22"/>
          <w:szCs w:val="22"/>
          <w:highlight w:val="none"/>
        </w:rPr>
      </w:pPr>
      <w:r>
        <w:rPr>
          <w:rFonts w:hint="eastAsia" w:ascii="宋体" w:hAnsi="宋体" w:eastAsia="宋体" w:cs="宋体"/>
          <w:spacing w:val="-5"/>
          <w:sz w:val="22"/>
          <w:szCs w:val="22"/>
          <w:highlight w:val="none"/>
        </w:rPr>
        <w:t>项目规模及建设条件</w:t>
      </w:r>
    </w:p>
    <w:p>
      <w:pPr>
        <w:widowControl w:val="0"/>
        <w:kinsoku/>
        <w:autoSpaceDE/>
        <w:autoSpaceDN/>
        <w:adjustRightInd/>
        <w:snapToGrid/>
        <w:spacing w:before="180" w:line="360" w:lineRule="auto"/>
        <w:ind w:left="225" w:right="314" w:firstLine="483"/>
        <w:textAlignment w:val="auto"/>
        <w:rPr>
          <w:rFonts w:hint="eastAsia" w:ascii="宋体" w:hAnsi="宋体" w:eastAsia="宋体" w:cs="宋体"/>
          <w:snapToGrid/>
          <w:color w:val="auto"/>
          <w:sz w:val="22"/>
          <w:szCs w:val="22"/>
          <w:highlight w:val="none"/>
        </w:rPr>
      </w:pPr>
      <w:r>
        <w:rPr>
          <w:rFonts w:hint="eastAsia" w:ascii="宋体" w:hAnsi="宋体" w:eastAsia="宋体" w:cs="宋体"/>
          <w:snapToGrid/>
          <w:color w:val="auto"/>
          <w:sz w:val="22"/>
          <w:szCs w:val="22"/>
          <w:highlight w:val="none"/>
        </w:rPr>
        <w:t>浙江古越龙山绍兴酒股份有限公司酿酒总厂利用共2个屋面和一个光伏车棚作为载体建设光伏电站，响应了国家太阳能发电产业</w:t>
      </w:r>
      <w:r>
        <w:rPr>
          <w:rFonts w:hint="eastAsia" w:ascii="宋体" w:hAnsi="宋体" w:eastAsia="宋体" w:cs="宋体"/>
          <w:snapToGrid/>
          <w:color w:val="auto"/>
          <w:sz w:val="22"/>
          <w:szCs w:val="22"/>
          <w:highlight w:val="none"/>
          <w:lang w:eastAsia="zh-CN"/>
        </w:rPr>
        <w:t>“</w:t>
      </w:r>
      <w:r>
        <w:rPr>
          <w:rFonts w:hint="eastAsia" w:ascii="宋体" w:hAnsi="宋体" w:eastAsia="宋体" w:cs="宋体"/>
          <w:snapToGrid/>
          <w:color w:val="auto"/>
          <w:sz w:val="22"/>
          <w:szCs w:val="22"/>
          <w:highlight w:val="none"/>
        </w:rPr>
        <w:t>十四五</w:t>
      </w:r>
      <w:r>
        <w:rPr>
          <w:rFonts w:hint="eastAsia" w:ascii="宋体" w:hAnsi="宋体" w:eastAsia="宋体" w:cs="宋体"/>
          <w:snapToGrid/>
          <w:color w:val="auto"/>
          <w:sz w:val="22"/>
          <w:szCs w:val="22"/>
          <w:highlight w:val="none"/>
          <w:lang w:eastAsia="zh-CN"/>
        </w:rPr>
        <w:t>”</w:t>
      </w:r>
      <w:r>
        <w:rPr>
          <w:rFonts w:hint="eastAsia" w:ascii="宋体" w:hAnsi="宋体" w:eastAsia="宋体" w:cs="宋体"/>
          <w:snapToGrid/>
          <w:color w:val="auto"/>
          <w:sz w:val="22"/>
          <w:szCs w:val="22"/>
          <w:highlight w:val="none"/>
        </w:rPr>
        <w:t>规划的号召，具有很好的示范效果。</w:t>
      </w:r>
    </w:p>
    <w:p>
      <w:pPr>
        <w:widowControl w:val="0"/>
        <w:numPr>
          <w:ilvl w:val="2"/>
          <w:numId w:val="9"/>
        </w:numPr>
        <w:tabs>
          <w:tab w:val="left" w:pos="339"/>
        </w:tabs>
        <w:kinsoku/>
        <w:autoSpaceDE/>
        <w:autoSpaceDN/>
        <w:adjustRightInd/>
        <w:snapToGrid/>
        <w:spacing w:before="81" w:line="360" w:lineRule="auto"/>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项目规模</w:t>
      </w:r>
    </w:p>
    <w:p>
      <w:pPr>
        <w:widowControl w:val="0"/>
        <w:tabs>
          <w:tab w:val="left" w:pos="339"/>
        </w:tabs>
        <w:kinsoku/>
        <w:autoSpaceDE/>
        <w:autoSpaceDN/>
        <w:adjustRightInd/>
        <w:snapToGrid/>
        <w:spacing w:before="81" w:line="360" w:lineRule="auto"/>
        <w:ind w:firstLine="436" w:firstLineChars="200"/>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本工程装机容量为直流侧4758.5kWp屋顶分布式光伏，混凝土屋面采用南10°北5',对齐屋面布置，彩钢瓦屋面在原有梁顶加高后BIPV形式.停车位区域采用光伏车棚BIPV形式布置。</w:t>
      </w:r>
    </w:p>
    <w:p>
      <w:pPr>
        <w:widowControl w:val="0"/>
        <w:tabs>
          <w:tab w:val="left" w:pos="339"/>
        </w:tabs>
        <w:kinsoku/>
        <w:autoSpaceDE/>
        <w:autoSpaceDN/>
        <w:adjustRightInd/>
        <w:snapToGrid/>
        <w:spacing w:before="81" w:line="360" w:lineRule="auto"/>
        <w:ind w:firstLine="436" w:firstLineChars="200"/>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浙江古越龙山绍兴酒股份有限公司酿酒总厂电站暂按以0.4</w:t>
      </w:r>
      <w:r>
        <w:rPr>
          <w:rFonts w:hint="eastAsia" w:ascii="宋体" w:hAnsi="宋体" w:eastAsia="宋体" w:cs="宋体"/>
          <w:snapToGrid/>
          <w:color w:val="auto"/>
          <w:spacing w:val="-1"/>
          <w:sz w:val="22"/>
          <w:szCs w:val="22"/>
          <w:highlight w:val="none"/>
          <w:lang w:val="en-US" w:eastAsia="zh-CN"/>
        </w:rPr>
        <w:t>KV</w:t>
      </w:r>
      <w:r>
        <w:rPr>
          <w:rFonts w:hint="eastAsia" w:ascii="宋体" w:hAnsi="宋体" w:eastAsia="宋体" w:cs="宋体"/>
          <w:snapToGrid/>
          <w:color w:val="auto"/>
          <w:spacing w:val="-1"/>
          <w:sz w:val="22"/>
          <w:szCs w:val="22"/>
          <w:highlight w:val="none"/>
        </w:rPr>
        <w:t>电压等级5个点接入系统。</w:t>
      </w:r>
    </w:p>
    <w:p>
      <w:pPr>
        <w:widowControl w:val="0"/>
        <w:numPr>
          <w:ilvl w:val="2"/>
          <w:numId w:val="9"/>
        </w:numPr>
        <w:tabs>
          <w:tab w:val="left" w:pos="339"/>
        </w:tabs>
        <w:kinsoku/>
        <w:autoSpaceDE/>
        <w:autoSpaceDN/>
        <w:adjustRightInd/>
        <w:snapToGrid/>
        <w:spacing w:before="81" w:line="360" w:lineRule="auto"/>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光照资源条件</w:t>
      </w:r>
    </w:p>
    <w:p>
      <w:pPr>
        <w:widowControl w:val="0"/>
        <w:numPr>
          <w:ilvl w:val="2"/>
          <w:numId w:val="9"/>
        </w:numPr>
        <w:tabs>
          <w:tab w:val="left" w:pos="339"/>
        </w:tabs>
        <w:kinsoku/>
        <w:autoSpaceDE/>
        <w:autoSpaceDN/>
        <w:adjustRightInd/>
        <w:snapToGrid/>
        <w:spacing w:before="81" w:line="360" w:lineRule="auto"/>
        <w:textAlignment w:val="auto"/>
        <w:outlineLvl w:val="0"/>
        <w:rPr>
          <w:rFonts w:hint="eastAsia" w:ascii="宋体" w:hAnsi="宋体" w:eastAsia="宋体" w:cs="宋体"/>
          <w:snapToGrid/>
          <w:color w:val="auto"/>
          <w:sz w:val="22"/>
          <w:szCs w:val="22"/>
          <w:highlight w:val="none"/>
        </w:rPr>
      </w:pPr>
      <w:r>
        <w:rPr>
          <w:rFonts w:hint="eastAsia" w:ascii="宋体" w:hAnsi="宋体" w:eastAsia="宋体" w:cs="宋体"/>
          <w:snapToGrid/>
          <w:color w:val="auto"/>
          <w:sz w:val="22"/>
          <w:szCs w:val="22"/>
          <w:highlight w:val="none"/>
        </w:rPr>
        <w:t>经计算，选址区域的太阳总辐射4350MJ/m2•a(即1304.7kWh/m2•a)，具有较好的开发前景，较适合建设太阳能光伏发电项目。</w:t>
      </w:r>
    </w:p>
    <w:p>
      <w:pPr>
        <w:widowControl w:val="0"/>
        <w:numPr>
          <w:ilvl w:val="2"/>
          <w:numId w:val="9"/>
        </w:numPr>
        <w:tabs>
          <w:tab w:val="left" w:pos="339"/>
        </w:tabs>
        <w:kinsoku/>
        <w:autoSpaceDE/>
        <w:autoSpaceDN/>
        <w:adjustRightInd/>
        <w:snapToGrid/>
        <w:spacing w:before="81" w:line="360" w:lineRule="auto"/>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建设条件</w:t>
      </w:r>
    </w:p>
    <w:p>
      <w:pPr>
        <w:widowControl w:val="0"/>
        <w:tabs>
          <w:tab w:val="left" w:pos="339"/>
        </w:tabs>
        <w:kinsoku/>
        <w:autoSpaceDE/>
        <w:autoSpaceDN/>
        <w:adjustRightInd/>
        <w:snapToGrid/>
        <w:spacing w:before="81" w:line="360" w:lineRule="auto"/>
        <w:ind w:firstLine="436" w:firstLineChars="200"/>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本项目利用浙江古越龙山绍兴酒股份有限公司酿酒总厂利用共2个屋面建设光伏以及车棚,屋顶可利用面积约35000平方米，建筑物结构荷载满足光伏安装要求。</w:t>
      </w:r>
    </w:p>
    <w:p>
      <w:pPr>
        <w:widowControl w:val="0"/>
        <w:tabs>
          <w:tab w:val="left" w:pos="339"/>
        </w:tabs>
        <w:kinsoku/>
        <w:autoSpaceDE/>
        <w:autoSpaceDN/>
        <w:adjustRightInd/>
        <w:snapToGrid/>
        <w:spacing w:before="81" w:line="360" w:lineRule="auto"/>
        <w:ind w:firstLine="436" w:firstLineChars="200"/>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建筑物顶部有楼梯间、水箱、水管等障碍物，光照条件佳。组件排布时，已考虑水管以及楼梯间的遮阴。</w:t>
      </w:r>
    </w:p>
    <w:p>
      <w:pPr>
        <w:widowControl w:val="0"/>
        <w:tabs>
          <w:tab w:val="left" w:pos="339"/>
        </w:tabs>
        <w:kinsoku/>
        <w:autoSpaceDE/>
        <w:autoSpaceDN/>
        <w:adjustRightInd/>
        <w:snapToGrid/>
        <w:spacing w:before="81" w:line="360" w:lineRule="auto"/>
        <w:ind w:firstLine="436" w:firstLineChars="200"/>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屋顶漏水情况：本项目所涉及建筑，目前未发现有漏水痕迹。</w:t>
      </w:r>
    </w:p>
    <w:p>
      <w:pPr>
        <w:widowControl w:val="0"/>
        <w:tabs>
          <w:tab w:val="left" w:pos="339"/>
        </w:tabs>
        <w:kinsoku/>
        <w:autoSpaceDE/>
        <w:autoSpaceDN/>
        <w:adjustRightInd/>
        <w:snapToGrid/>
        <w:spacing w:before="81" w:line="360" w:lineRule="auto"/>
        <w:ind w:firstLine="436" w:firstLineChars="200"/>
        <w:textAlignment w:val="auto"/>
        <w:outlineLvl w:val="0"/>
        <w:rPr>
          <w:rFonts w:hint="eastAsia" w:ascii="宋体" w:hAnsi="宋体" w:eastAsia="宋体" w:cs="宋体"/>
          <w:snapToGrid/>
          <w:color w:val="auto"/>
          <w:spacing w:val="-1"/>
          <w:sz w:val="22"/>
          <w:szCs w:val="22"/>
          <w:highlight w:val="none"/>
        </w:rPr>
      </w:pPr>
      <w:r>
        <w:rPr>
          <w:rFonts w:hint="eastAsia" w:ascii="宋体" w:hAnsi="宋体" w:eastAsia="宋体" w:cs="宋体"/>
          <w:snapToGrid/>
          <w:color w:val="auto"/>
          <w:spacing w:val="-1"/>
          <w:sz w:val="22"/>
          <w:szCs w:val="22"/>
          <w:highlight w:val="none"/>
        </w:rPr>
        <w:t>屋顶污染情况：四周无严重污染源。</w:t>
      </w:r>
    </w:p>
    <w:p>
      <w:pPr>
        <w:widowControl w:val="0"/>
        <w:kinsoku/>
        <w:autoSpaceDE/>
        <w:autoSpaceDN/>
        <w:adjustRightInd/>
        <w:snapToGrid/>
        <w:jc w:val="center"/>
        <w:textAlignment w:val="auto"/>
        <w:rPr>
          <w:rFonts w:hint="eastAsia" w:ascii="宋体" w:hAnsi="宋体" w:eastAsia="宋体" w:cs="宋体"/>
          <w:snapToGrid/>
          <w:color w:val="auto"/>
          <w:sz w:val="22"/>
          <w:szCs w:val="22"/>
          <w:highlight w:val="none"/>
        </w:rPr>
      </w:pPr>
      <w:r>
        <w:rPr>
          <w:rFonts w:hint="eastAsia" w:ascii="宋体" w:hAnsi="宋体" w:eastAsia="宋体" w:cs="宋体"/>
          <w:sz w:val="22"/>
          <w:szCs w:val="22"/>
          <w:highlight w:val="none"/>
        </w:rPr>
        <w:drawing>
          <wp:inline distT="0" distB="0" distL="0" distR="0">
            <wp:extent cx="5163820" cy="1932940"/>
            <wp:effectExtent l="0" t="0" r="5080" b="10160"/>
            <wp:docPr id="1028" name="图片 1599972617"/>
            <wp:cNvGraphicFramePr/>
            <a:graphic xmlns:a="http://schemas.openxmlformats.org/drawingml/2006/main">
              <a:graphicData uri="http://schemas.openxmlformats.org/drawingml/2006/picture">
                <pic:pic xmlns:pic="http://schemas.openxmlformats.org/drawingml/2006/picture">
                  <pic:nvPicPr>
                    <pic:cNvPr id="1028" name="图片 1599972617"/>
                    <pic:cNvPicPr/>
                  </pic:nvPicPr>
                  <pic:blipFill>
                    <a:blip r:embed="rId24" cstate="print"/>
                    <a:srcRect/>
                    <a:stretch>
                      <a:fillRect/>
                    </a:stretch>
                  </pic:blipFill>
                  <pic:spPr>
                    <a:xfrm>
                      <a:off x="0" y="0"/>
                      <a:ext cx="5163820" cy="1932940"/>
                    </a:xfrm>
                    <a:prstGeom prst="rect">
                      <a:avLst/>
                    </a:prstGeom>
                    <a:ln>
                      <a:noFill/>
                    </a:ln>
                  </pic:spPr>
                </pic:pic>
              </a:graphicData>
            </a:graphic>
          </wp:inline>
        </w:drawing>
      </w:r>
    </w:p>
    <w:p>
      <w:pPr>
        <w:numPr>
          <w:ilvl w:val="0"/>
          <w:numId w:val="7"/>
        </w:numPr>
        <w:tabs>
          <w:tab w:val="left" w:pos="339"/>
        </w:tabs>
        <w:spacing w:before="81" w:line="360" w:lineRule="auto"/>
        <w:ind w:left="20"/>
        <w:outlineLvl w:val="0"/>
        <w:rPr>
          <w:rFonts w:hint="eastAsia" w:ascii="宋体" w:hAnsi="宋体" w:eastAsia="宋体" w:cs="宋体"/>
          <w:b/>
          <w:bCs/>
          <w:spacing w:val="-8"/>
          <w:sz w:val="22"/>
          <w:szCs w:val="22"/>
          <w:highlight w:val="none"/>
        </w:rPr>
      </w:pPr>
      <w:r>
        <w:rPr>
          <w:rFonts w:hint="eastAsia" w:ascii="宋体" w:hAnsi="宋体" w:eastAsia="宋体" w:cs="宋体"/>
          <w:b/>
          <w:bCs/>
          <w:spacing w:val="-8"/>
          <w:sz w:val="22"/>
          <w:szCs w:val="22"/>
          <w:highlight w:val="none"/>
        </w:rPr>
        <w:t>重要设备、材料、性能（需在清单中注明品牌）</w:t>
      </w:r>
    </w:p>
    <w:tbl>
      <w:tblPr>
        <w:tblStyle w:val="30"/>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5"/>
        <w:gridCol w:w="1731"/>
        <w:gridCol w:w="4492"/>
        <w:gridCol w:w="10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885" w:type="dxa"/>
            <w:noWrap/>
            <w:vAlign w:val="center"/>
          </w:tcPr>
          <w:p>
            <w:pPr>
              <w:widowControl w:val="0"/>
              <w:spacing w:line="360" w:lineRule="auto"/>
              <w:jc w:val="center"/>
              <w:rPr>
                <w:rFonts w:hint="eastAsia" w:ascii="宋体" w:hAnsi="宋体" w:eastAsia="宋体" w:cs="宋体"/>
                <w:sz w:val="22"/>
                <w:szCs w:val="22"/>
                <w:highlight w:val="none"/>
              </w:rPr>
            </w:pPr>
            <w:bookmarkStart w:id="86" w:name="_Hlk192254904"/>
            <w:r>
              <w:rPr>
                <w:rFonts w:hint="eastAsia" w:ascii="宋体" w:hAnsi="宋体" w:eastAsia="宋体" w:cs="宋体"/>
                <w:sz w:val="22"/>
                <w:szCs w:val="22"/>
                <w:highlight w:val="none"/>
              </w:rPr>
              <w:t>序号</w:t>
            </w:r>
          </w:p>
        </w:tc>
        <w:tc>
          <w:tcPr>
            <w:tcW w:w="1731" w:type="dxa"/>
            <w:noWrap/>
            <w:vAlign w:val="center"/>
          </w:tcPr>
          <w:p>
            <w:pPr>
              <w:widowControl w:val="0"/>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名称</w:t>
            </w:r>
          </w:p>
        </w:tc>
        <w:tc>
          <w:tcPr>
            <w:tcW w:w="4492" w:type="dxa"/>
            <w:noWrap/>
            <w:vAlign w:val="center"/>
          </w:tcPr>
          <w:p>
            <w:pPr>
              <w:widowControl w:val="0"/>
              <w:spacing w:line="360" w:lineRule="auto"/>
              <w:jc w:val="center"/>
              <w:textAlignment w:val="center"/>
              <w:rPr>
                <w:rFonts w:hint="eastAsia" w:ascii="宋体" w:hAnsi="宋体" w:eastAsia="宋体" w:cs="宋体"/>
                <w:sz w:val="22"/>
                <w:szCs w:val="22"/>
                <w:highlight w:val="none"/>
              </w:rPr>
            </w:pPr>
            <w:r>
              <w:rPr>
                <w:rFonts w:hint="eastAsia" w:ascii="宋体" w:hAnsi="宋体" w:eastAsia="宋体" w:cs="宋体"/>
                <w:b/>
                <w:sz w:val="22"/>
                <w:szCs w:val="22"/>
                <w:highlight w:val="none"/>
              </w:rPr>
              <w:t>主要规格、参数</w:t>
            </w:r>
          </w:p>
        </w:tc>
        <w:tc>
          <w:tcPr>
            <w:tcW w:w="1031" w:type="dxa"/>
            <w:noWrap/>
            <w:vAlign w:val="center"/>
          </w:tcPr>
          <w:p>
            <w:pPr>
              <w:widowControl w:val="0"/>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6" w:hRule="atLeast"/>
          <w:jc w:val="center"/>
        </w:trPr>
        <w:tc>
          <w:tcPr>
            <w:tcW w:w="885" w:type="dxa"/>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1</w:t>
            </w:r>
          </w:p>
        </w:tc>
        <w:tc>
          <w:tcPr>
            <w:tcW w:w="1731" w:type="dxa"/>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光伏组件</w:t>
            </w:r>
          </w:p>
        </w:tc>
        <w:tc>
          <w:tcPr>
            <w:tcW w:w="4492" w:type="dxa"/>
            <w:noWrap/>
            <w:vAlign w:val="center"/>
          </w:tcPr>
          <w:p>
            <w:pPr>
              <w:widowControl w:val="0"/>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常规主流双面双玻N型单晶硅组件，组件功率，转化率23％以上，工作温度-40~85度，接线盒IP68,风压/雪压:2400Pa/5400Pa</w:t>
            </w:r>
          </w:p>
        </w:tc>
        <w:tc>
          <w:tcPr>
            <w:tcW w:w="1031" w:type="dxa"/>
            <w:noWrap/>
            <w:vAlign w:val="center"/>
          </w:tcPr>
          <w:p>
            <w:pPr>
              <w:spacing w:after="20" w:line="360" w:lineRule="auto"/>
              <w:jc w:val="center"/>
              <w:textAlignment w:val="center"/>
              <w:rPr>
                <w:rFonts w:hint="eastAsia" w:ascii="宋体" w:hAnsi="宋体" w:eastAsia="宋体" w:cs="宋体"/>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885" w:type="dxa"/>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2</w:t>
            </w:r>
          </w:p>
        </w:tc>
        <w:tc>
          <w:tcPr>
            <w:tcW w:w="1731" w:type="dxa"/>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 xml:space="preserve">逆变器     </w:t>
            </w:r>
          </w:p>
        </w:tc>
        <w:tc>
          <w:tcPr>
            <w:tcW w:w="4492" w:type="dxa"/>
            <w:noWrap/>
            <w:vAlign w:val="center"/>
          </w:tcPr>
          <w:p>
            <w:pPr>
              <w:widowControl w:val="0"/>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整机IP66防护等级，快速无功响应低于30ms，组串检测及I-V扫描，最大效率99%，中国效率98%</w:t>
            </w:r>
          </w:p>
        </w:tc>
        <w:tc>
          <w:tcPr>
            <w:tcW w:w="1031" w:type="dxa"/>
            <w:noWrap/>
            <w:vAlign w:val="center"/>
          </w:tcPr>
          <w:p>
            <w:pPr>
              <w:spacing w:after="20" w:line="360" w:lineRule="auto"/>
              <w:jc w:val="center"/>
              <w:textAlignment w:val="center"/>
              <w:rPr>
                <w:rFonts w:hint="eastAsia" w:ascii="宋体" w:hAnsi="宋体" w:eastAsia="宋体" w:cs="宋体"/>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885" w:type="dxa"/>
            <w:noWrap/>
            <w:vAlign w:val="center"/>
          </w:tcPr>
          <w:p>
            <w:pPr>
              <w:spacing w:after="20" w:line="360" w:lineRule="auto"/>
              <w:jc w:val="center"/>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c>
          <w:tcPr>
            <w:tcW w:w="1731" w:type="dxa"/>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支架、导轨</w:t>
            </w:r>
          </w:p>
        </w:tc>
        <w:tc>
          <w:tcPr>
            <w:tcW w:w="4492" w:type="dxa"/>
            <w:noWrap/>
            <w:vAlign w:val="center"/>
          </w:tcPr>
          <w:p>
            <w:pPr>
              <w:rPr>
                <w:rFonts w:hint="eastAsia" w:ascii="宋体" w:hAnsi="宋体" w:eastAsia="宋体" w:cs="宋体"/>
                <w:sz w:val="22"/>
                <w:szCs w:val="22"/>
                <w:highlight w:val="none"/>
              </w:rPr>
            </w:pPr>
            <w:r>
              <w:rPr>
                <w:rFonts w:hint="eastAsia" w:ascii="宋体" w:hAnsi="宋体" w:eastAsia="宋体" w:cs="宋体"/>
                <w:b/>
                <w:bCs/>
                <w:kern w:val="2"/>
                <w:sz w:val="22"/>
                <w:szCs w:val="22"/>
                <w:highlight w:val="none"/>
              </w:rPr>
              <w:t>常规支架：</w:t>
            </w:r>
            <w:r>
              <w:rPr>
                <w:rFonts w:hint="eastAsia" w:ascii="宋体" w:hAnsi="宋体" w:eastAsia="宋体" w:cs="宋体"/>
                <w:kern w:val="2"/>
                <w:sz w:val="22"/>
                <w:szCs w:val="22"/>
                <w:highlight w:val="none"/>
              </w:rPr>
              <w:t>采用锌铝镁或铝合金支架。</w:t>
            </w:r>
          </w:p>
        </w:tc>
        <w:tc>
          <w:tcPr>
            <w:tcW w:w="1031" w:type="dxa"/>
            <w:noWrap/>
            <w:vAlign w:val="center"/>
          </w:tcPr>
          <w:p>
            <w:pPr>
              <w:spacing w:after="20" w:line="360" w:lineRule="auto"/>
              <w:jc w:val="center"/>
              <w:textAlignment w:val="center"/>
              <w:rPr>
                <w:rFonts w:hint="eastAsia" w:ascii="宋体" w:hAnsi="宋体" w:eastAsia="宋体" w:cs="宋体"/>
                <w:color w:val="FF0000"/>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jc w:val="center"/>
        </w:trPr>
        <w:tc>
          <w:tcPr>
            <w:tcW w:w="885" w:type="dxa"/>
            <w:tcBorders>
              <w:bottom w:val="single" w:color="auto" w:sz="4" w:space="0"/>
            </w:tcBorders>
            <w:noWrap/>
            <w:vAlign w:val="center"/>
          </w:tcPr>
          <w:p>
            <w:pPr>
              <w:spacing w:after="20" w:line="360" w:lineRule="auto"/>
              <w:jc w:val="center"/>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4</w:t>
            </w:r>
          </w:p>
        </w:tc>
        <w:tc>
          <w:tcPr>
            <w:tcW w:w="1731" w:type="dxa"/>
            <w:tcBorders>
              <w:bottom w:val="single" w:color="auto" w:sz="4" w:space="0"/>
            </w:tcBorders>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电线线缆</w:t>
            </w:r>
          </w:p>
        </w:tc>
        <w:tc>
          <w:tcPr>
            <w:tcW w:w="4492" w:type="dxa"/>
            <w:noWrap/>
            <w:vAlign w:val="center"/>
          </w:tcPr>
          <w:p>
            <w:pPr>
              <w:widowControl w:val="0"/>
              <w:textAlignment w:val="center"/>
              <w:rPr>
                <w:rFonts w:hint="eastAsia" w:ascii="宋体" w:hAnsi="宋体" w:eastAsia="宋体" w:cs="宋体"/>
                <w:kern w:val="2"/>
                <w:sz w:val="22"/>
                <w:szCs w:val="22"/>
                <w:highlight w:val="none"/>
              </w:rPr>
            </w:pPr>
            <w:r>
              <w:rPr>
                <w:rFonts w:hint="eastAsia" w:ascii="宋体" w:hAnsi="宋体" w:eastAsia="宋体" w:cs="宋体"/>
                <w:b/>
                <w:bCs/>
                <w:kern w:val="2"/>
                <w:sz w:val="22"/>
                <w:szCs w:val="22"/>
                <w:highlight w:val="none"/>
              </w:rPr>
              <w:t>直流电缆：</w:t>
            </w:r>
            <w:r>
              <w:rPr>
                <w:rFonts w:hint="eastAsia" w:ascii="宋体" w:hAnsi="宋体" w:eastAsia="宋体" w:cs="宋体"/>
                <w:kern w:val="2"/>
                <w:sz w:val="22"/>
                <w:szCs w:val="22"/>
                <w:highlight w:val="none"/>
              </w:rPr>
              <w:t>线径为4/6平方毫米，颜色为黑红双色以区分正负极，线缆需要良好抗紫外线性能，线缆需要经过TUV认证</w:t>
            </w:r>
          </w:p>
          <w:p>
            <w:pPr>
              <w:widowControl w:val="0"/>
              <w:textAlignment w:val="center"/>
              <w:rPr>
                <w:rFonts w:hint="eastAsia" w:ascii="宋体" w:hAnsi="宋体" w:eastAsia="宋体" w:cs="宋体"/>
                <w:sz w:val="22"/>
                <w:szCs w:val="22"/>
                <w:highlight w:val="none"/>
              </w:rPr>
            </w:pPr>
            <w:r>
              <w:rPr>
                <w:rFonts w:hint="eastAsia" w:ascii="宋体" w:hAnsi="宋体" w:eastAsia="宋体" w:cs="宋体"/>
                <w:b/>
                <w:bCs/>
                <w:kern w:val="2"/>
                <w:sz w:val="22"/>
                <w:szCs w:val="22"/>
                <w:highlight w:val="none"/>
              </w:rPr>
              <w:t>交流电缆：</w:t>
            </w:r>
            <w:r>
              <w:rPr>
                <w:rFonts w:hint="eastAsia" w:ascii="宋体" w:hAnsi="宋体" w:eastAsia="宋体" w:cs="宋体"/>
                <w:kern w:val="2"/>
                <w:sz w:val="22"/>
                <w:szCs w:val="22"/>
                <w:highlight w:val="none"/>
              </w:rPr>
              <w:t>选用YJLHV系列铝合金交流线缆</w:t>
            </w:r>
          </w:p>
        </w:tc>
        <w:tc>
          <w:tcPr>
            <w:tcW w:w="1031" w:type="dxa"/>
            <w:noWrap/>
            <w:vAlign w:val="center"/>
          </w:tcPr>
          <w:p>
            <w:pPr>
              <w:spacing w:after="20" w:line="360" w:lineRule="auto"/>
              <w:jc w:val="center"/>
              <w:textAlignment w:val="center"/>
              <w:rPr>
                <w:rFonts w:hint="eastAsia" w:ascii="宋体" w:hAnsi="宋体" w:eastAsia="宋体" w:cs="宋体"/>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6" w:hRule="atLeast"/>
          <w:jc w:val="center"/>
        </w:trPr>
        <w:tc>
          <w:tcPr>
            <w:tcW w:w="885" w:type="dxa"/>
            <w:tcBorders>
              <w:top w:val="single" w:color="auto" w:sz="4" w:space="0"/>
              <w:bottom w:val="single" w:color="auto" w:sz="4" w:space="0"/>
            </w:tcBorders>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5</w:t>
            </w:r>
          </w:p>
        </w:tc>
        <w:tc>
          <w:tcPr>
            <w:tcW w:w="1731" w:type="dxa"/>
            <w:tcBorders>
              <w:top w:val="single" w:color="auto" w:sz="4" w:space="0"/>
              <w:bottom w:val="single" w:color="auto" w:sz="4" w:space="0"/>
            </w:tcBorders>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桥架</w:t>
            </w:r>
          </w:p>
        </w:tc>
        <w:tc>
          <w:tcPr>
            <w:tcW w:w="4492" w:type="dxa"/>
            <w:noWrap/>
            <w:vAlign w:val="center"/>
          </w:tcPr>
          <w:p>
            <w:pPr>
              <w:widowControl w:val="0"/>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材质要求锌铝镁，主要金属结构部件不得出现负公差，主要金属部件需要镀锌的，锌层厚度不得出现负公差。</w:t>
            </w:r>
          </w:p>
        </w:tc>
        <w:tc>
          <w:tcPr>
            <w:tcW w:w="1031" w:type="dxa"/>
            <w:noWrap/>
            <w:vAlign w:val="center"/>
          </w:tcPr>
          <w:p>
            <w:pPr>
              <w:spacing w:after="20" w:line="360" w:lineRule="auto"/>
              <w:jc w:val="center"/>
              <w:textAlignment w:val="center"/>
              <w:rPr>
                <w:rFonts w:hint="eastAsia" w:ascii="宋体" w:hAnsi="宋体" w:eastAsia="宋体" w:cs="宋体"/>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885" w:type="dxa"/>
            <w:tcBorders>
              <w:top w:val="single" w:color="auto" w:sz="4" w:space="0"/>
              <w:bottom w:val="single" w:color="auto" w:sz="4" w:space="0"/>
            </w:tcBorders>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6</w:t>
            </w:r>
          </w:p>
        </w:tc>
        <w:tc>
          <w:tcPr>
            <w:tcW w:w="1731" w:type="dxa"/>
            <w:tcBorders>
              <w:top w:val="single" w:color="auto" w:sz="4" w:space="0"/>
              <w:bottom w:val="single" w:color="auto" w:sz="4" w:space="0"/>
            </w:tcBorders>
            <w:noWrap/>
            <w:vAlign w:val="center"/>
          </w:tcPr>
          <w:p>
            <w:pPr>
              <w:widowControl w:val="0"/>
              <w:jc w:val="center"/>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并网柜</w:t>
            </w:r>
          </w:p>
        </w:tc>
        <w:tc>
          <w:tcPr>
            <w:tcW w:w="4492" w:type="dxa"/>
            <w:noWrap/>
            <w:vAlign w:val="center"/>
          </w:tcPr>
          <w:p>
            <w:pPr>
              <w:widowControl w:val="0"/>
              <w:textAlignment w:val="center"/>
              <w:rPr>
                <w:rFonts w:hint="eastAsia" w:ascii="宋体" w:hAnsi="宋体" w:eastAsia="宋体" w:cs="宋体"/>
                <w:kern w:val="2"/>
                <w:sz w:val="22"/>
                <w:szCs w:val="22"/>
                <w:highlight w:val="none"/>
              </w:rPr>
            </w:pPr>
            <w:r>
              <w:rPr>
                <w:rFonts w:hint="eastAsia" w:ascii="宋体" w:hAnsi="宋体" w:eastAsia="宋体" w:cs="宋体"/>
                <w:kern w:val="2"/>
                <w:sz w:val="22"/>
                <w:szCs w:val="22"/>
                <w:highlight w:val="none"/>
              </w:rPr>
              <w:t>并网柜应为标准柜体，柜体内任何元器件不得采用横向安装形式。</w:t>
            </w:r>
          </w:p>
        </w:tc>
        <w:tc>
          <w:tcPr>
            <w:tcW w:w="1031" w:type="dxa"/>
            <w:noWrap/>
            <w:vAlign w:val="center"/>
          </w:tcPr>
          <w:p>
            <w:pPr>
              <w:spacing w:after="20" w:line="360" w:lineRule="auto"/>
              <w:jc w:val="center"/>
              <w:textAlignment w:val="center"/>
              <w:rPr>
                <w:rFonts w:hint="eastAsia" w:ascii="宋体" w:hAnsi="宋体" w:eastAsia="宋体" w:cs="宋体"/>
                <w:sz w:val="22"/>
                <w:szCs w:val="22"/>
                <w:highlight w:val="none"/>
              </w:rPr>
            </w:pPr>
          </w:p>
        </w:tc>
      </w:tr>
      <w:bookmarkEnd w:id="86"/>
    </w:tbl>
    <w:p>
      <w:pPr>
        <w:rPr>
          <w:rFonts w:hint="eastAsia" w:ascii="宋体" w:hAnsi="宋体" w:eastAsia="宋体" w:cs="宋体"/>
          <w:sz w:val="22"/>
          <w:szCs w:val="22"/>
          <w:highlight w:val="none"/>
        </w:rPr>
      </w:pPr>
    </w:p>
    <w:p>
      <w:pPr>
        <w:numPr>
          <w:ilvl w:val="0"/>
          <w:numId w:val="7"/>
        </w:numPr>
        <w:tabs>
          <w:tab w:val="left" w:pos="339"/>
        </w:tabs>
        <w:spacing w:before="81" w:line="360" w:lineRule="auto"/>
        <w:ind w:left="20"/>
        <w:outlineLvl w:val="0"/>
        <w:rPr>
          <w:rFonts w:hint="eastAsia" w:ascii="宋体" w:hAnsi="宋体" w:eastAsia="宋体" w:cs="宋体"/>
          <w:b/>
          <w:bCs/>
          <w:sz w:val="22"/>
          <w:szCs w:val="22"/>
          <w:highlight w:val="none"/>
        </w:rPr>
      </w:pPr>
      <w:r>
        <w:rPr>
          <w:rFonts w:hint="eastAsia" w:ascii="宋体" w:hAnsi="宋体" w:eastAsia="宋体" w:cs="宋体"/>
          <w:b/>
          <w:bCs/>
          <w:spacing w:val="-8"/>
          <w:sz w:val="22"/>
          <w:szCs w:val="22"/>
          <w:highlight w:val="none"/>
        </w:rPr>
        <w:t>主要设备产品性能参数符合性</w:t>
      </w:r>
    </w:p>
    <w:p>
      <w:pPr>
        <w:spacing w:line="440" w:lineRule="exact"/>
        <w:ind w:firstLine="442" w:firstLineChars="200"/>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rPr>
        <w:t>（1）光伏组件系统</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1.光伏组件：620Wp单晶硅</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2.电性能参数：（最大功率（Pmax/W）：</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620；开路电压（Voc/V）：</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48.75；短路电流（Isc/A）：</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15.96；最大功率点电压（Vmp/V）：</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40.60；最大功率点电流（Imp/A）：</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15.27；组件效率（%）：</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23.0）</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3.温度系数：（短路电流(Isc)温度系数：</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 xml:space="preserve"> +0.045%/℃；开路电压(Voc)温度系数：</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-0.250%/℃；峰值功率(Pmax)温度系数：</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-0.300%/℃；标称工作温度(NMOT)：</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42±2℃）</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4.机械参数：（电池类型：N型单晶；组件尺寸：2382×1134×30mm；玻璃厚度： 2.0mm；组件重量： 32±0.5Kg；连接器：MC4兼容；组件边框：阳极氧化膜铝合金）</w:t>
      </w:r>
    </w:p>
    <w:tbl>
      <w:tblPr>
        <w:tblStyle w:val="30"/>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9"/>
        <w:gridCol w:w="5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产品类型</w:t>
            </w:r>
          </w:p>
        </w:tc>
        <w:tc>
          <w:tcPr>
            <w:tcW w:w="5990"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最大功率</w:t>
            </w:r>
          </w:p>
        </w:tc>
        <w:tc>
          <w:tcPr>
            <w:tcW w:w="5990"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高效单晶硅N型双面双玻组件,单板功率不低于620Wp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工作温度范围</w:t>
            </w:r>
          </w:p>
        </w:tc>
        <w:tc>
          <w:tcPr>
            <w:tcW w:w="5990"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-40~+85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名义电池工作温度</w:t>
            </w:r>
          </w:p>
        </w:tc>
        <w:tc>
          <w:tcPr>
            <w:tcW w:w="5990"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45±2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最佳工作电压▲</w:t>
            </w:r>
          </w:p>
        </w:tc>
        <w:tc>
          <w:tcPr>
            <w:tcW w:w="5990"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≥40.6V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最大额定熔丝电流</w:t>
            </w:r>
          </w:p>
        </w:tc>
        <w:tc>
          <w:tcPr>
            <w:tcW w:w="5990"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≥25A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组件效率▲</w:t>
            </w:r>
          </w:p>
        </w:tc>
        <w:tc>
          <w:tcPr>
            <w:tcW w:w="5990"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459"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安全防护等级▲</w:t>
            </w:r>
          </w:p>
        </w:tc>
        <w:tc>
          <w:tcPr>
            <w:tcW w:w="5990"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Class Ⅱ</w:t>
            </w:r>
          </w:p>
        </w:tc>
      </w:tr>
    </w:tbl>
    <w:p>
      <w:pPr>
        <w:numPr>
          <w:ilvl w:val="0"/>
          <w:numId w:val="10"/>
        </w:numPr>
        <w:spacing w:line="480" w:lineRule="exact"/>
        <w:ind w:firstLine="440" w:firstLineChars="200"/>
        <w:rPr>
          <w:rStyle w:val="36"/>
          <w:rFonts w:hint="eastAsia" w:ascii="宋体" w:hAnsi="宋体" w:eastAsia="宋体" w:cs="宋体"/>
          <w:sz w:val="22"/>
          <w:szCs w:val="22"/>
          <w:highlight w:val="none"/>
        </w:rPr>
      </w:pPr>
      <w:r>
        <w:rPr>
          <w:rFonts w:hint="eastAsia" w:ascii="宋体" w:hAnsi="宋体" w:eastAsia="宋体" w:cs="宋体"/>
          <w:color w:val="auto"/>
          <w:sz w:val="22"/>
          <w:szCs w:val="22"/>
          <w:highlight w:val="none"/>
        </w:rPr>
        <w:t>每块光伏组件应带有正负出线、正负极连接头和旁路二极管（防止组件热斑故障）。自带的串联所使用的电缆线应满足抗紫外线、抗老化、抗高温、防腐蚀和阻燃等性能要求，选用双绝缘防紫外线阻燃铜芯电缆，电缆性能符合GB/T18950-2003性能测试的要求；接线盒（引线盒）应密封防水、散热性好并连接牢固，引线极性标记准确、明显，采用满足国</w:t>
      </w:r>
      <w:r>
        <w:rPr>
          <w:rFonts w:hint="eastAsia" w:ascii="宋体" w:hAnsi="宋体" w:eastAsia="宋体" w:cs="宋体"/>
          <w:color w:val="auto"/>
          <w:sz w:val="22"/>
          <w:szCs w:val="22"/>
          <w:highlight w:val="none"/>
          <w:lang w:eastAsia="zh-CN"/>
        </w:rPr>
        <w:t>家</w:t>
      </w:r>
      <w:r>
        <w:rPr>
          <w:rFonts w:hint="eastAsia" w:ascii="宋体" w:hAnsi="宋体" w:eastAsia="宋体" w:cs="宋体"/>
          <w:color w:val="auto"/>
          <w:sz w:val="22"/>
          <w:szCs w:val="22"/>
          <w:highlight w:val="none"/>
        </w:rPr>
        <w:t>标准的电气连接；采用工业防水耐温快速接插件，接插件防锈、防腐蚀等性能要求，并应满足符合相关国家和行业规范规程。光伏组件应满足正常使用寿命不小于25年。</w:t>
      </w:r>
    </w:p>
    <w:p>
      <w:pPr>
        <w:numPr>
          <w:ilvl w:val="0"/>
          <w:numId w:val="0"/>
        </w:numPr>
        <w:shd w:val="clear" w:color="auto" w:fill="auto"/>
        <w:tabs>
          <w:tab w:val="left" w:pos="0"/>
          <w:tab w:val="left" w:pos="339"/>
        </w:tabs>
        <w:spacing w:before="81" w:line="360" w:lineRule="auto"/>
        <w:ind w:firstLine="440" w:firstLineChars="200"/>
        <w:outlineLvl w:val="0"/>
        <w:rPr>
          <w:rStyle w:val="36"/>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6、</w:t>
      </w:r>
      <w:r>
        <w:rPr>
          <w:rFonts w:hint="eastAsia" w:ascii="宋体" w:hAnsi="宋体" w:eastAsia="宋体" w:cs="宋体"/>
          <w:sz w:val="22"/>
          <w:szCs w:val="22"/>
          <w:highlight w:val="none"/>
        </w:rPr>
        <w:t>光伏组件应提供该规格产品已经通过TUV/UL/VDE认证证书复印件</w:t>
      </w:r>
      <w:r>
        <w:rPr>
          <w:rFonts w:hint="eastAsia" w:ascii="宋体" w:hAnsi="宋体" w:eastAsia="宋体" w:cs="宋体"/>
          <w:sz w:val="22"/>
          <w:szCs w:val="22"/>
          <w:highlight w:val="none"/>
          <w:lang w:val="en-US" w:eastAsia="zh-CN"/>
        </w:rPr>
        <w:t>和</w:t>
      </w:r>
      <w:r>
        <w:rPr>
          <w:rFonts w:hint="eastAsia" w:ascii="宋体" w:hAnsi="宋体" w:eastAsia="宋体" w:cs="宋体"/>
          <w:color w:val="auto"/>
          <w:kern w:val="0"/>
          <w:sz w:val="22"/>
          <w:szCs w:val="22"/>
          <w:highlight w:val="none"/>
        </w:rPr>
        <w:t>产品CQC检测报告</w:t>
      </w:r>
      <w:r>
        <w:rPr>
          <w:rFonts w:hint="eastAsia" w:ascii="宋体" w:hAnsi="宋体" w:eastAsia="宋体" w:cs="宋体"/>
          <w:sz w:val="22"/>
          <w:szCs w:val="22"/>
          <w:highlight w:val="none"/>
        </w:rPr>
        <w:t>。光伏组件应</w:t>
      </w:r>
      <w:r>
        <w:rPr>
          <w:rFonts w:hint="eastAsia" w:ascii="宋体" w:hAnsi="宋体" w:eastAsia="宋体" w:cs="宋体"/>
          <w:sz w:val="22"/>
          <w:szCs w:val="22"/>
          <w:highlight w:val="none"/>
          <w:lang w:val="en-US" w:eastAsia="zh-CN"/>
        </w:rPr>
        <w:t>提供至少</w:t>
      </w:r>
      <w:r>
        <w:rPr>
          <w:rFonts w:hint="eastAsia" w:ascii="宋体" w:hAnsi="宋体" w:eastAsia="宋体" w:cs="宋体"/>
          <w:kern w:val="2"/>
          <w:sz w:val="22"/>
          <w:szCs w:val="22"/>
          <w:highlight w:val="none"/>
        </w:rPr>
        <w:t>12年产品质保书</w:t>
      </w:r>
      <w:r>
        <w:rPr>
          <w:rFonts w:hint="eastAsia" w:ascii="宋体" w:hAnsi="宋体" w:eastAsia="宋体" w:cs="宋体"/>
          <w:kern w:val="2"/>
          <w:sz w:val="22"/>
          <w:szCs w:val="22"/>
          <w:highlight w:val="none"/>
          <w:lang w:eastAsia="zh-CN"/>
        </w:rPr>
        <w:t>。</w:t>
      </w:r>
    </w:p>
    <w:p>
      <w:pPr>
        <w:spacing w:line="480" w:lineRule="exact"/>
        <w:ind w:firstLine="442" w:firstLineChars="200"/>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rPr>
        <w:t>（2）逆变系统</w:t>
      </w:r>
    </w:p>
    <w:p>
      <w:pPr>
        <w:spacing w:line="480" w:lineRule="exact"/>
        <w:ind w:left="48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1、本项目共采用100kW组串式光伏逆变器5台,采用150kW组串式光伏逆变器26台；</w:t>
      </w:r>
    </w:p>
    <w:p>
      <w:pPr>
        <w:spacing w:line="480" w:lineRule="exac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2、组串式光伏逆变器输出三相380V交流电，频率50</w:t>
      </w:r>
      <w:r>
        <w:rPr>
          <w:rFonts w:hint="eastAsia" w:ascii="宋体" w:hAnsi="宋体" w:eastAsia="宋体" w:cs="宋体"/>
          <w:color w:val="auto"/>
          <w:sz w:val="22"/>
          <w:szCs w:val="22"/>
          <w:highlight w:val="none"/>
          <w:lang w:eastAsia="zh-CN"/>
        </w:rPr>
        <w:t>Hz</w:t>
      </w:r>
      <w:r>
        <w:rPr>
          <w:rFonts w:hint="eastAsia" w:ascii="宋体" w:hAnsi="宋体" w:eastAsia="宋体" w:cs="宋体"/>
          <w:color w:val="auto"/>
          <w:sz w:val="22"/>
          <w:szCs w:val="22"/>
          <w:highlight w:val="none"/>
        </w:rPr>
        <w:t>,最大总谐波失真&lt;3%，功率因数</w:t>
      </w:r>
      <w:r>
        <w:rPr>
          <w:rFonts w:hint="eastAsia" w:ascii="宋体" w:hAnsi="宋体" w:eastAsia="宋体" w:cs="宋体"/>
          <w:b/>
          <w:bCs/>
          <w:color w:val="auto"/>
          <w:sz w:val="22"/>
          <w:szCs w:val="22"/>
          <w:highlight w:val="none"/>
        </w:rPr>
        <w:t>±</w:t>
      </w:r>
      <w:r>
        <w:rPr>
          <w:rFonts w:hint="eastAsia" w:ascii="宋体" w:hAnsi="宋体" w:eastAsia="宋体" w:cs="宋体"/>
          <w:color w:val="auto"/>
          <w:sz w:val="22"/>
          <w:szCs w:val="22"/>
          <w:highlight w:val="none"/>
        </w:rPr>
        <w:t>0.99可调；</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3、组串式光伏逆变器应具备防孤岛保护、短路保护、输出过流保护、输出过载保护、输出过/欠电压保护、输出过/欠频率保护等保护功能；</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4、组串式光伏逆变器技术要求</w:t>
      </w:r>
    </w:p>
    <w:tbl>
      <w:tblPr>
        <w:tblStyle w:val="30"/>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产品类型</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100</w:t>
            </w:r>
            <w:r>
              <w:rPr>
                <w:rFonts w:hint="eastAsia" w:ascii="宋体" w:hAnsi="宋体" w:eastAsia="宋体" w:cs="宋体"/>
                <w:color w:val="auto"/>
                <w:sz w:val="22"/>
                <w:szCs w:val="22"/>
                <w:highlight w:val="none"/>
                <w:lang w:eastAsia="zh-CN"/>
              </w:rPr>
              <w:t>kW</w:t>
            </w:r>
            <w:r>
              <w:rPr>
                <w:rFonts w:hint="eastAsia" w:ascii="宋体" w:hAnsi="宋体" w:eastAsia="宋体" w:cs="宋体"/>
                <w:color w:val="auto"/>
                <w:sz w:val="22"/>
                <w:szCs w:val="22"/>
                <w:highlight w:val="none"/>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直流最大输入电压▲</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1100V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最大输出电流▲</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160.4A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MPPT电压范围</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200~1000V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MPPT数量/最大输信组串路数</w:t>
            </w:r>
          </w:p>
        </w:tc>
        <w:tc>
          <w:tcPr>
            <w:tcW w:w="6094"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交流额度输出功率▲</w:t>
            </w:r>
          </w:p>
        </w:tc>
        <w:tc>
          <w:tcPr>
            <w:tcW w:w="6094"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100kW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最大输出功率▲</w:t>
            </w:r>
          </w:p>
        </w:tc>
        <w:tc>
          <w:tcPr>
            <w:tcW w:w="6094"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110kW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额定电网电压</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3/N/PE 220/380V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额定电网频率</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50</w:t>
            </w:r>
            <w:r>
              <w:rPr>
                <w:rFonts w:hint="eastAsia" w:ascii="宋体" w:hAnsi="宋体" w:eastAsia="宋体" w:cs="宋体"/>
                <w:color w:val="auto"/>
                <w:sz w:val="22"/>
                <w:szCs w:val="22"/>
                <w:highlight w:val="none"/>
                <w:lang w:eastAsia="zh-CN"/>
              </w:rPr>
              <w:t>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功率因数</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±0.99（可调）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最大效率▲</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≥98.6%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防护等级▲</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IP66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通讯方式▲</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RS485/GPRS/WI-Fi</w:t>
            </w:r>
          </w:p>
        </w:tc>
      </w:tr>
    </w:tbl>
    <w:p>
      <w:pPr>
        <w:spacing w:line="480" w:lineRule="exact"/>
        <w:ind w:firstLine="440" w:firstLineChars="200"/>
        <w:rPr>
          <w:rFonts w:hint="eastAsia" w:ascii="宋体" w:hAnsi="宋体" w:eastAsia="宋体" w:cs="宋体"/>
          <w:sz w:val="22"/>
          <w:szCs w:val="22"/>
          <w:highlight w:val="none"/>
        </w:rPr>
      </w:pPr>
    </w:p>
    <w:tbl>
      <w:tblPr>
        <w:tblStyle w:val="30"/>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产品类型</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150</w:t>
            </w:r>
            <w:r>
              <w:rPr>
                <w:rFonts w:hint="eastAsia" w:ascii="宋体" w:hAnsi="宋体" w:eastAsia="宋体" w:cs="宋体"/>
                <w:color w:val="auto"/>
                <w:sz w:val="22"/>
                <w:szCs w:val="22"/>
                <w:highlight w:val="none"/>
                <w:lang w:eastAsia="zh-CN"/>
              </w:rPr>
              <w:t>kW</w:t>
            </w:r>
            <w:r>
              <w:rPr>
                <w:rFonts w:hint="eastAsia" w:ascii="宋体" w:hAnsi="宋体" w:eastAsia="宋体" w:cs="宋体"/>
                <w:color w:val="auto"/>
                <w:sz w:val="22"/>
                <w:szCs w:val="22"/>
                <w:highlight w:val="none"/>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直流最大输入电压▲</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1100V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最大输出电流▲</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253.2A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MPPT电压范围</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200~1000V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MPPT数量/最大输信组串路数</w:t>
            </w:r>
          </w:p>
        </w:tc>
        <w:tc>
          <w:tcPr>
            <w:tcW w:w="6094"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交流额度输出功率▲</w:t>
            </w:r>
          </w:p>
        </w:tc>
        <w:tc>
          <w:tcPr>
            <w:tcW w:w="6094"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150kW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最大输出功率▲</w:t>
            </w:r>
          </w:p>
        </w:tc>
        <w:tc>
          <w:tcPr>
            <w:tcW w:w="6094" w:type="dxa"/>
            <w:vAlign w:val="center"/>
          </w:tcPr>
          <w:p>
            <w:pPr>
              <w:spacing w:line="440" w:lineRule="exact"/>
              <w:jc w:val="center"/>
              <w:rPr>
                <w:rFonts w:hint="eastAsia" w:ascii="宋体" w:hAnsi="宋体" w:eastAsia="宋体" w:cs="宋体"/>
                <w:strike/>
                <w:sz w:val="22"/>
                <w:szCs w:val="22"/>
                <w:highlight w:val="none"/>
              </w:rPr>
            </w:pPr>
            <w:r>
              <w:rPr>
                <w:rFonts w:hint="eastAsia" w:ascii="宋体" w:hAnsi="宋体" w:eastAsia="宋体" w:cs="宋体"/>
                <w:color w:val="auto"/>
                <w:sz w:val="22"/>
                <w:szCs w:val="22"/>
                <w:highlight w:val="none"/>
              </w:rPr>
              <w:t>165kW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额定电网电压</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3/N/PE 220/380V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额定电网频率</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50</w:t>
            </w:r>
            <w:r>
              <w:rPr>
                <w:rFonts w:hint="eastAsia" w:ascii="宋体" w:hAnsi="宋体" w:eastAsia="宋体" w:cs="宋体"/>
                <w:color w:val="auto"/>
                <w:sz w:val="22"/>
                <w:szCs w:val="22"/>
                <w:highlight w:val="none"/>
                <w:lang w:eastAsia="zh-CN"/>
              </w:rPr>
              <w:t>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功率因数</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±0.99（可调）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最大效率▲</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≥98.6%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防护等级▲</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IP66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355"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通讯方式▲</w:t>
            </w:r>
          </w:p>
        </w:tc>
        <w:tc>
          <w:tcPr>
            <w:tcW w:w="6094" w:type="dxa"/>
            <w:vAlign w:val="center"/>
          </w:tcPr>
          <w:p>
            <w:pPr>
              <w:spacing w:line="440" w:lineRule="exact"/>
              <w:jc w:val="center"/>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RS485/GPRS/WI-Fi</w:t>
            </w:r>
          </w:p>
        </w:tc>
      </w:tr>
    </w:tbl>
    <w:p>
      <w:pPr>
        <w:spacing w:line="480" w:lineRule="exact"/>
        <w:ind w:firstLine="440" w:firstLineChars="200"/>
        <w:rPr>
          <w:rFonts w:hint="eastAsia" w:ascii="宋体" w:hAnsi="宋体" w:eastAsia="宋体" w:cs="宋体"/>
          <w:sz w:val="22"/>
          <w:szCs w:val="22"/>
          <w:highlight w:val="none"/>
        </w:rPr>
      </w:pP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注：1.逆变器用于将来自光伏组件的多路直流输入电能，转换成跟电网同电压、同频率交流电，然后并联接入配电网，供负载使用。根据工程规模及布置情况，本工程采用组串式光伏逆变器，根据组串数量、布置不同，组串式光伏逆变器需满足以下要求：</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1.1具有直流反接，交流短路，交流过电流保护，交直流浪涌保护，孤岛保护，电网监测，温度保护，组串监测；并可依据项目环境条件选配先进的PID防护及修复功能，有效消除组件PID影响，设备运行可靠，安全性高。</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1.2采用多路MPPT设计，减少组件失配损失，保证发电量，部分组串故障或阴影遮挡时其他组串不受影响。</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1.3防护等级IP66，防风沙盐雾效果好，无需定期清理灰尘和做防尘网维护。</w:t>
      </w:r>
    </w:p>
    <w:p>
      <w:pPr>
        <w:spacing w:line="480" w:lineRule="exac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1.4设备可在-25℃～60℃范围内稳定运行；在海拔3000米及以内无需降额运行；具有良好的防风沙和电磁兼容性。</w:t>
      </w:r>
    </w:p>
    <w:p>
      <w:pPr>
        <w:shd w:val="clear" w:color="auto" w:fill="auto"/>
        <w:autoSpaceDE w:val="0"/>
        <w:autoSpaceDN w:val="0"/>
        <w:spacing w:line="360" w:lineRule="auto"/>
        <w:ind w:firstLine="480"/>
        <w:jc w:val="left"/>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lang w:val="en-US" w:eastAsia="zh-CN"/>
        </w:rPr>
        <w:t>1.5</w:t>
      </w:r>
      <w:r>
        <w:rPr>
          <w:rFonts w:hint="eastAsia" w:ascii="宋体" w:hAnsi="宋体" w:eastAsia="宋体" w:cs="宋体"/>
          <w:sz w:val="22"/>
          <w:szCs w:val="22"/>
          <w:highlight w:val="none"/>
        </w:rPr>
        <w:t>所选的组串逆变器防护等级不小于IP65，且具备防PID功能，</w:t>
      </w:r>
      <w:r>
        <w:rPr>
          <w:rFonts w:hint="eastAsia" w:ascii="宋体" w:hAnsi="宋体" w:eastAsia="宋体" w:cs="宋体"/>
          <w:color w:val="auto"/>
          <w:kern w:val="0"/>
          <w:sz w:val="22"/>
          <w:szCs w:val="22"/>
          <w:highlight w:val="none"/>
          <w:lang w:val="en-US" w:eastAsia="zh-CN"/>
        </w:rPr>
        <w:t>逆变器应提供</w:t>
      </w:r>
      <w:r>
        <w:rPr>
          <w:rFonts w:hint="eastAsia" w:ascii="宋体" w:hAnsi="宋体" w:eastAsia="宋体" w:cs="宋体"/>
          <w:color w:val="auto"/>
          <w:kern w:val="0"/>
          <w:sz w:val="22"/>
          <w:szCs w:val="22"/>
          <w:highlight w:val="none"/>
        </w:rPr>
        <w:t>产品CQC检测报告、中国效率认证</w:t>
      </w:r>
      <w:r>
        <w:rPr>
          <w:rFonts w:hint="eastAsia" w:ascii="宋体" w:hAnsi="宋体" w:eastAsia="宋体" w:cs="宋体"/>
          <w:color w:val="auto"/>
          <w:kern w:val="0"/>
          <w:sz w:val="22"/>
          <w:szCs w:val="22"/>
          <w:highlight w:val="none"/>
          <w:lang w:val="en-US" w:eastAsia="zh-CN"/>
        </w:rPr>
        <w:t>和至少5</w:t>
      </w:r>
      <w:r>
        <w:rPr>
          <w:rFonts w:hint="eastAsia" w:ascii="宋体" w:hAnsi="宋体" w:eastAsia="宋体" w:cs="宋体"/>
          <w:color w:val="auto"/>
          <w:kern w:val="0"/>
          <w:sz w:val="22"/>
          <w:szCs w:val="22"/>
          <w:highlight w:val="none"/>
        </w:rPr>
        <w:t>年产品质保</w:t>
      </w:r>
      <w:r>
        <w:rPr>
          <w:rFonts w:hint="eastAsia" w:ascii="宋体" w:hAnsi="宋体" w:eastAsia="宋体" w:cs="宋体"/>
          <w:color w:val="auto"/>
          <w:kern w:val="0"/>
          <w:sz w:val="22"/>
          <w:szCs w:val="22"/>
          <w:highlight w:val="none"/>
          <w:lang w:eastAsia="zh-CN"/>
        </w:rPr>
        <w:t>。</w:t>
      </w:r>
    </w:p>
    <w:p>
      <w:pPr>
        <w:spacing w:line="480" w:lineRule="exact"/>
        <w:ind w:firstLine="442" w:firstLineChars="200"/>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rPr>
        <w:t>（3）电力电缆敷设</w:t>
      </w:r>
    </w:p>
    <w:p>
      <w:pPr>
        <w:spacing w:line="480" w:lineRule="exact"/>
        <w:ind w:firstLine="440" w:firstLineChars="200"/>
        <w:rPr>
          <w:rFonts w:hint="eastAsia" w:ascii="宋体" w:hAnsi="宋体" w:eastAsia="宋体" w:cs="宋体"/>
          <w:b/>
          <w:bCs/>
          <w:sz w:val="22"/>
          <w:szCs w:val="22"/>
          <w:highlight w:val="none"/>
        </w:rPr>
      </w:pPr>
      <w:r>
        <w:rPr>
          <w:rFonts w:hint="eastAsia" w:ascii="宋体" w:hAnsi="宋体" w:eastAsia="宋体" w:cs="宋体"/>
          <w:color w:val="auto"/>
          <w:sz w:val="22"/>
          <w:szCs w:val="22"/>
          <w:highlight w:val="none"/>
        </w:rPr>
        <w:t>1、本项目组件连接电缆采用PV1-F-1kV-1*4mm²光伏专用电缆，组串式光伏逆变器输出至配电房的交流低压系统采用ZC-YJLHV-0.6/1kV-3*185+1*95mm2，ZC-YJLHV-0.6/1kV-3x120+2x70mm²；</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2、同一电缆桥架内,“正、负”极电缆分别敷设于防火隔板两侧；</w:t>
      </w:r>
    </w:p>
    <w:p>
      <w:pPr>
        <w:spacing w:line="480" w:lineRule="exac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3、光伏阵列至逆变器的光伏专用电缆固定在光伏组件下方上过通道处电缆穿重型绝缘电工管(加厚型硬管，Ø32):组串式光伏逆变器至并网计量柜的交流电缆在</w:t>
      </w:r>
      <w:r>
        <w:rPr>
          <w:rFonts w:hint="eastAsia" w:ascii="宋体" w:hAnsi="宋体" w:eastAsia="宋体" w:cs="宋体"/>
          <w:color w:val="auto"/>
          <w:sz w:val="22"/>
          <w:szCs w:val="22"/>
          <w:highlight w:val="none"/>
          <w:lang w:eastAsia="zh-CN"/>
        </w:rPr>
        <w:t>屋顶</w:t>
      </w:r>
      <w:r>
        <w:rPr>
          <w:rFonts w:hint="eastAsia" w:ascii="宋体" w:hAnsi="宋体" w:eastAsia="宋体" w:cs="宋体"/>
          <w:color w:val="auto"/>
          <w:sz w:val="22"/>
          <w:szCs w:val="22"/>
          <w:highlight w:val="none"/>
        </w:rPr>
        <w:t>和墙部分采用电缆桥架敷设，在地面部分采用通过埋管破路敷设、交流电缆拐弯半径不小于电缆外径的15倍，所有逆变器进出口至桥架之间的电缆部分需穿铠装波纹管保护。</w:t>
      </w:r>
    </w:p>
    <w:p>
      <w:pPr>
        <w:spacing w:line="480" w:lineRule="exact"/>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r>
        <w:rPr>
          <w:rFonts w:hint="eastAsia" w:ascii="宋体" w:hAnsi="宋体" w:eastAsia="宋体" w:cs="宋体"/>
          <w:sz w:val="22"/>
          <w:szCs w:val="22"/>
          <w:highlight w:val="none"/>
        </w:rPr>
        <w:t>所选的</w:t>
      </w:r>
      <w:r>
        <w:rPr>
          <w:rFonts w:hint="eastAsia" w:ascii="宋体" w:hAnsi="宋体" w:eastAsia="宋体" w:cs="宋体"/>
          <w:b w:val="0"/>
          <w:bCs w:val="0"/>
          <w:color w:val="auto"/>
          <w:sz w:val="22"/>
          <w:szCs w:val="22"/>
          <w:highlight w:val="none"/>
        </w:rPr>
        <w:t>电力电缆</w:t>
      </w:r>
      <w:r>
        <w:rPr>
          <w:rFonts w:hint="eastAsia" w:ascii="宋体" w:hAnsi="宋体" w:eastAsia="宋体" w:cs="宋体"/>
          <w:b w:val="0"/>
          <w:bCs w:val="0"/>
          <w:color w:val="auto"/>
          <w:sz w:val="22"/>
          <w:szCs w:val="22"/>
          <w:highlight w:val="none"/>
          <w:lang w:val="en-US" w:eastAsia="zh-CN"/>
        </w:rPr>
        <w:t>需提供检测报告。</w:t>
      </w:r>
    </w:p>
    <w:p>
      <w:pPr>
        <w:spacing w:line="480" w:lineRule="exact"/>
        <w:ind w:firstLine="442" w:firstLineChars="200"/>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rPr>
        <w:t>（4）防雷</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1、本项目防雷考虑不影响光伏组件日照且保证其避免直接雷击屋面上所有金属固定支架、电缆桥架间均通过螺栓连接或采用热镀锌扁钢-40*4与原建筑屋顶接闪带可靠焊接；</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2、组串式光伏逆变器，低压GGD柜内均安装一套一级浪涌保护器；</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3、所有用作防雷接地系统的金属物体均应可靠焊接，如接有困难的，可采用其它可行</w:t>
      </w:r>
      <w:r>
        <w:rPr>
          <w:rFonts w:hint="eastAsia" w:ascii="宋体" w:hAnsi="宋体" w:eastAsia="宋体" w:cs="宋体"/>
          <w:color w:val="auto"/>
          <w:sz w:val="22"/>
          <w:szCs w:val="22"/>
          <w:highlight w:val="none"/>
          <w:lang w:eastAsia="zh-CN"/>
        </w:rPr>
        <w:t>方式</w:t>
      </w:r>
      <w:r>
        <w:rPr>
          <w:rFonts w:hint="eastAsia" w:ascii="宋体" w:hAnsi="宋体" w:eastAsia="宋体" w:cs="宋体"/>
          <w:color w:val="auto"/>
          <w:sz w:val="22"/>
          <w:szCs w:val="22"/>
          <w:highlight w:val="none"/>
        </w:rPr>
        <w:t>，但一定要符合国家现行规范规定；</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4、为防雷电波侵入，所有进出建筑物的电缆金属外皮、钢管等与接地系统可靠连接。</w:t>
      </w:r>
    </w:p>
    <w:p>
      <w:pPr>
        <w:spacing w:line="480" w:lineRule="exact"/>
        <w:ind w:firstLine="442" w:firstLineChars="200"/>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rPr>
        <w:t>（5）接地</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1、本项目屋顶光伏支架采用热镀锌扁铁-40*4与原建筑屋顶防雷引下点可采用焊接；</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2、每段电缆桥架间隔20m做一处接地(厂房屋顶电缆桥架与接地网)；</w:t>
      </w:r>
    </w:p>
    <w:p>
      <w:pPr>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3、厂房屋面其他外露金属外壳或支架基础均需至少2处接地保证与接地网电气贯通。</w:t>
      </w:r>
    </w:p>
    <w:p>
      <w:pPr>
        <w:spacing w:line="440" w:lineRule="exact"/>
        <w:ind w:firstLine="442" w:firstLineChars="200"/>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rPr>
        <w:t xml:space="preserve">（6）低压并网计量柜技术要求 </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1、低压并网计量柜的柜体型式为GGD柜。</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2、低压并网计量柜内设置故障解列装置及电能质量在线监测装置，应满足电力局接入批复要求。</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3、低压并网计量柜接线及外壳要求</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3.1二次接线要求</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①</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二次设备、接线应标明原理图和安装图标号，标号应正确、完整、清晰、牢固。</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2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②</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二次回路的接线端子排安装位置与一次接线对应，二次接线端子呈45°倾斜方向，要充分考虑采购人方便安装接线和检修。</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3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③</w:t>
      </w:r>
      <w:r>
        <w:rPr>
          <w:rFonts w:hint="eastAsia" w:ascii="宋体" w:hAnsi="宋体" w:eastAsia="宋体" w:cs="宋体"/>
          <w:sz w:val="22"/>
          <w:szCs w:val="22"/>
          <w:highlight w:val="none"/>
        </w:rPr>
        <w:fldChar w:fldCharType="end"/>
      </w:r>
      <w:r>
        <w:rPr>
          <w:rFonts w:hint="eastAsia" w:ascii="宋体" w:hAnsi="宋体" w:eastAsia="宋体" w:cs="宋体"/>
          <w:color w:val="auto"/>
          <w:sz w:val="22"/>
          <w:szCs w:val="22"/>
          <w:highlight w:val="none"/>
        </w:rPr>
        <w:t>二次导线采用BVR多股铜芯塑料导线，电流互感器二次回路≥4mm2；电压回路为≥2.5mm2。二次回路端子排包括单极断路器。</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4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④</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二次回路承受2kV工频耐压试验无破坏性放电。</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5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⑤</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所有进出低压并网计量柜的控制配线及端子均需做配线标记，该标记的文字与编号应与控制原理图上的一致。</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6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⑥</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配线主回路应按国标规定的颜色和文字标注。</w:t>
      </w:r>
    </w:p>
    <w:p>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7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⑦</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电流互感器二次侧应设试验端子，低压母线电压Ua,Ub,Uc经端子排引出，供监控系统采集母线电压。</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8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⑧</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二次接线电流回路应采用不小于 4mm2 铜芯导线，电压回路应采用不小于 2.5mm² 铜芯导线，导线的分支应在元器件的端子或端子排上。每个端子只容许接单根导线。</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9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⑨</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低压并网计量柜的控制回路电压为AC220V，装置供电电源由供货商自行解决。</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3.2外壳要求</w:t>
      </w:r>
    </w:p>
    <w:p>
      <w:pPr>
        <w:kinsoku/>
        <w:autoSpaceDE/>
        <w:autoSpaceDN/>
        <w:adjustRightInd/>
        <w:snapToGrid/>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①</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低压并网计量柜柜体参照 GGD 柜体的要求制造。</w:t>
      </w:r>
    </w:p>
    <w:p>
      <w:pPr>
        <w:kinsoku/>
        <w:autoSpaceDE/>
        <w:autoSpaceDN/>
        <w:adjustRightInd/>
        <w:snapToGrid/>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2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②</w:t>
      </w:r>
      <w:r>
        <w:rPr>
          <w:rFonts w:hint="eastAsia" w:ascii="宋体" w:hAnsi="宋体" w:eastAsia="宋体" w:cs="宋体"/>
          <w:sz w:val="22"/>
          <w:szCs w:val="22"/>
          <w:highlight w:val="none"/>
        </w:rPr>
        <w:fldChar w:fldCharType="end"/>
      </w:r>
      <w:r>
        <w:rPr>
          <w:rFonts w:hint="eastAsia" w:ascii="宋体" w:hAnsi="宋体" w:eastAsia="宋体" w:cs="宋体"/>
          <w:color w:val="auto"/>
          <w:sz w:val="22"/>
          <w:szCs w:val="22"/>
          <w:highlight w:val="none"/>
        </w:rPr>
        <w:t xml:space="preserve">低压并网计量柜柜体尺寸：参照图纸。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3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③</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低压并网计量柜每个断路器选用固定式板前接线。</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4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④</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低压并网计量柜柜体应有足够的机械强度，在运输、安装中不发生变形，并力求外型美观。外壳油漆喷涂均匀，并有牢固的附着力。能满足 25 年使用要求。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5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⑤</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低压并网计量柜柜体采用金属材料，具有不易导热、抗风化腐蚀及抗机械冲击等特点。低压并网计量柜金属框架均具有良好的接地，设置至少 2 个接地端子，并标有接地符号。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6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⑥</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低压并网计量柜接线方式详见图纸。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7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⑦</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低压并网计量柜柜门采用镀锌转轴铰链与构架相连，门的折边处均嵌有山型橡塑条以防门与柜体直接碰撞，并加强柜体防护等级，低压并网计量柜柜体防护等级不低于IP3X。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8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⑧</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充分考虑柜体运行中的散热问题，使柜体散热性能良好。柜体顶盖可拆卸，方便现场安装和调整主母排。柜顶四角安装可拆卸起吊环；柜内安装件均作镀锌钝化处理，柜体采用不低于 2.0mm 冷轧钢板制作。柜内安装构件采用模数化或滑动孔，方便调整安装尺寸。出线电缆通过柜后端子联接。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9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⑨</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低压并网计量柜主母排规格详见图纸，接地母排置于柜体的下后部，水平贯通， 每面柜内预留电缆孔。母排相序排列、颜色符合国家标准；接地母排的安装便于检查及与外部接地网联接。</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10 \* GB3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⑩</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所有母排（主母排、联接小母排）均为镀锡无氧铜排；所有主母排及分支母排均用绝缘热缩套管密封绝缘。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 xml:space="preserve">⑪低压并网计量柜柜门、隔板采用静电环氧喷塑。进线端子隔板应采用绝缘、防火、耐高温的材料。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⑫低压并网计量柜母排的联接应采用防腐处理的螺栓、螺母、套管。母排应按国家标准规定排列和标记。</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 xml:space="preserve">⑬低压并网计量柜应装有底板以防止灰尘和小动物的进入。 </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⑭低压并网计量柜的元件除能满足本回路的参数要求外，还应保证在规定的额 定条件下安全可靠运行，且其安装易于检查和维修。低压并网计量柜内设备选型以技术条款要求为准，技术条款中未注明的型号以图纸为准。</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3.3母线及接地系统</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母线采用优质铜母线，母线夹和绝缘支撑件均采用高强度阻燃防潮型合成材料；其截面尺寸应满足容量要求。主母线水平布置在柜后母线室内，配电母线垂直组装在阻燃型塑料功能板中，以防相间或相对地短路，同时也防止人体触电危险。垂直母线与主母线及抽屉单元通过特殊插接件连接。</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3.4通风、阻燃及防漏电措施</w:t>
      </w:r>
    </w:p>
    <w:p>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上下层间的敷铝锌钢板应带通风孔，以保证元件散热通道顺畅。所采用的功能板应为无卤素阻燃材料，且具有CTI300等级以上的防漏电性能。</w:t>
      </w:r>
    </w:p>
    <w:p>
      <w:pPr>
        <w:spacing w:line="440" w:lineRule="exact"/>
        <w:ind w:firstLine="442" w:firstLineChars="200"/>
        <w:jc w:val="both"/>
        <w:rPr>
          <w:rFonts w:hint="eastAsia" w:ascii="宋体" w:hAnsi="宋体" w:eastAsia="宋体" w:cs="宋体"/>
          <w:b/>
          <w:bCs/>
          <w:sz w:val="22"/>
          <w:szCs w:val="22"/>
          <w:highlight w:val="none"/>
        </w:rPr>
      </w:pPr>
      <w:r>
        <w:rPr>
          <w:rFonts w:hint="eastAsia" w:ascii="宋体" w:hAnsi="宋体" w:eastAsia="宋体" w:cs="宋体"/>
          <w:b/>
          <w:bCs/>
          <w:color w:val="auto"/>
          <w:sz w:val="22"/>
          <w:szCs w:val="22"/>
          <w:highlight w:val="none"/>
        </w:rPr>
        <w:t>（7）发电效率要求</w:t>
      </w:r>
    </w:p>
    <w:p>
      <w:pPr>
        <w:spacing w:line="440" w:lineRule="exac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本项目的初始系统效率不得低于85%，首年的系统效率衰减率不得高于1%，以后每年的系统效率衰减率不得高于初始系统效率的0.4%。</w:t>
      </w:r>
    </w:p>
    <w:p>
      <w:pPr>
        <w:spacing w:line="440" w:lineRule="exact"/>
        <w:ind w:firstLine="440" w:firstLineChars="200"/>
        <w:rPr>
          <w:rStyle w:val="36"/>
          <w:rFonts w:hint="eastAsia" w:ascii="宋体" w:hAnsi="宋体" w:eastAsia="宋体" w:cs="宋体"/>
          <w:b w:val="0"/>
          <w:bCs w:val="0"/>
          <w:sz w:val="22"/>
          <w:szCs w:val="22"/>
          <w:highlight w:val="none"/>
          <w:lang w:val="en-US" w:eastAsia="zh-CN"/>
        </w:rPr>
      </w:pPr>
      <w:r>
        <w:rPr>
          <w:rStyle w:val="36"/>
          <w:rFonts w:hint="eastAsia" w:ascii="宋体" w:hAnsi="宋体" w:eastAsia="宋体" w:cs="宋体"/>
          <w:b w:val="0"/>
          <w:bCs w:val="0"/>
          <w:sz w:val="22"/>
          <w:szCs w:val="22"/>
          <w:highlight w:val="none"/>
          <w:lang w:val="en-US" w:eastAsia="zh-CN"/>
        </w:rPr>
        <w:t>需提供发电量承诺。</w:t>
      </w:r>
    </w:p>
    <w:p>
      <w:pPr>
        <w:numPr>
          <w:ilvl w:val="0"/>
          <w:numId w:val="7"/>
        </w:numPr>
        <w:spacing w:line="440" w:lineRule="exact"/>
        <w:ind w:left="20" w:leftChars="0" w:firstLine="400" w:firstLineChars="0"/>
        <w:rPr>
          <w:rStyle w:val="36"/>
          <w:rFonts w:hint="eastAsia" w:ascii="宋体" w:hAnsi="宋体" w:eastAsia="宋体" w:cs="宋体"/>
          <w:b w:val="0"/>
          <w:bCs w:val="0"/>
          <w:sz w:val="22"/>
          <w:szCs w:val="22"/>
          <w:highlight w:val="none"/>
          <w:lang w:val="en-US" w:eastAsia="zh-CN"/>
        </w:rPr>
      </w:pPr>
      <w:r>
        <w:rPr>
          <w:rStyle w:val="36"/>
          <w:rFonts w:hint="eastAsia" w:ascii="宋体" w:hAnsi="宋体" w:eastAsia="宋体" w:cs="宋体"/>
          <w:b w:val="0"/>
          <w:bCs w:val="0"/>
          <w:sz w:val="22"/>
          <w:szCs w:val="22"/>
          <w:highlight w:val="none"/>
          <w:lang w:val="en-US" w:eastAsia="zh-CN"/>
        </w:rPr>
        <w:t>招标清单</w:t>
      </w:r>
    </w:p>
    <w:tbl>
      <w:tblPr>
        <w:tblStyle w:val="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290"/>
        <w:gridCol w:w="5170"/>
        <w:gridCol w:w="783"/>
        <w:gridCol w:w="10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snapToGrid w:val="0"/>
                <w:color w:val="000000"/>
                <w:kern w:val="0"/>
                <w:sz w:val="21"/>
                <w:szCs w:val="21"/>
                <w:highlight w:val="none"/>
                <w:u w:val="none"/>
                <w:lang w:val="en-US" w:eastAsia="zh-CN" w:bidi="ar"/>
              </w:rPr>
              <w:t>序号</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snapToGrid w:val="0"/>
                <w:color w:val="000000"/>
                <w:kern w:val="0"/>
                <w:sz w:val="21"/>
                <w:szCs w:val="21"/>
                <w:highlight w:val="none"/>
                <w:u w:val="none"/>
                <w:lang w:val="en-US" w:eastAsia="zh-CN" w:bidi="ar"/>
              </w:rPr>
              <w:t>项目名称</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snapToGrid w:val="0"/>
                <w:color w:val="000000"/>
                <w:kern w:val="0"/>
                <w:sz w:val="21"/>
                <w:szCs w:val="21"/>
                <w:highlight w:val="none"/>
                <w:u w:val="none"/>
                <w:lang w:val="en-US" w:eastAsia="zh-CN" w:bidi="ar"/>
              </w:rPr>
              <w:t>项目特征</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snapToGrid w:val="0"/>
                <w:color w:val="000000"/>
                <w:kern w:val="0"/>
                <w:sz w:val="21"/>
                <w:szCs w:val="21"/>
                <w:highlight w:val="none"/>
                <w:u w:val="none"/>
                <w:lang w:val="en-US" w:eastAsia="zh-CN" w:bidi="ar"/>
              </w:rPr>
              <w:t>单位</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snapToGrid w:val="0"/>
                <w:color w:val="000000"/>
                <w:kern w:val="0"/>
                <w:sz w:val="21"/>
                <w:szCs w:val="21"/>
                <w:highlight w:val="none"/>
                <w:u w:val="none"/>
                <w:lang w:val="en-US" w:eastAsia="zh-CN" w:bidi="ar"/>
              </w:rPr>
              <w:t>工程量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9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光伏相关设备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太阳能电池</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1.光伏组件 单晶硅620WP,2382*1134*30mm</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块</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7675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配电箱</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1.光伏并网柜GGD</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面</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逆变器</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1.逆变器100kW</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逆变器</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1.逆变器150kW</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铁构件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1.基础槽钢制作 10#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2.基础槽钢安装 10#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项</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1.桥架（槽式） 100*100（锌铝镁)，含支撑架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1.桥架（槽式） 400*150（锌铝镁，中间带隔板)，含支撑架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1.桥架（槽式） 300*100（锌铝镁，中间带隔板)，含支撑架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1.桥架（槽式） 200*100（锌铝镁，中间带隔板)，含支撑架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1.桥架（槽式） 100*100（锌铝镁，中间带隔板)，含支撑架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171.00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1.桥架（槽式） 100*50锌铝镁，中间带隔板)，含支撑架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499.00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1.桥架（梯式），400*200，含支撑架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294.00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1.桥架（梯式），400*100，含支撑架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1.桥架（梯式），300*200，含支撑架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桥架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1.桥架（梯式），300*100，含支撑架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1.钢管铺设 DN100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378.90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电缆井</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1.电缆井1m*1m*1m（含复合井盖）</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挖沟槽土方</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1.人工挖沟槽土方三类土</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23.76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19</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回填方</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1.人工就地回填土 夯实</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22.57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1.铝芯电力电缆敷设 ZC-ZC-YJLHV-0.6/1-3*185+1*95</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5382.00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1.铝芯电力电缆敷设 ZC-YJLHV-0.6/1-3*120+1*70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1123.00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电力电缆头</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1.户内干包式电力电缆头制作、安装 干包终端头（1kV以下截面mm2以下）240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电力电缆头</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1.户内干包式电力电缆头制作、安装 干包终端头（1kV以下截面mm2以下）120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MC4接头</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1.MC4接头</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1.穿动力线 BVR16</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带形母线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1.母线TMY-(100*8)</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带形母线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1.母线TMY-(80*8)</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接地母线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1.接地母线敷设 镀锌扁钢-40*4</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1187.78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29</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1.光伏专用线缆 PV1-F-1*4mm2(红)</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38375.00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1.光伏专用线缆 PV1-F-1*4mm2(黑)</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36000.00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1.黄绿接地线 BVR4</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配电箱</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1.通讯箱</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1.ZR-UPVC20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双绞线缆</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1.ZR-DJYPVRP-2*1.0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双绞线缆</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1.485通讯线</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安全监测装置</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1.组件监测装置</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屋面卷材防水</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3mm平面SBS沥青卷材 一层</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259.00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混凝土支墩</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1、C25混凝土支墩及其模板</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1036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39</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U型钢支架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双排：</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1.U41支架41*41*2.0MM，锌铝镁镀层（含斜梁、檩条、立柱、拉杆、连接件、基座、螺栓等）-具体详图纸，以南10°北5。支架大样图中详图为一套</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U型钢支架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单排：</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1.U41支架41*41*2.0MM，锌铝镁镀层（含斜梁、檩条、立柱、拉杆、连接件、基座、螺栓等）-具体详图纸，以南10°单排支架大样图中单排支架侧视图为一套</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边压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1.边压（光伏专用含一平一弹一塑异螺母）-具体详图纸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中压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1.中压（光伏专用含一平一弹一塑异螺母）-具体详图纸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2282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三角连接件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1.三角连接件（镀锌钢）-具体详图纸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屋脊连接件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1.屋脊连接件（镀锌钢）-具体详图纸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U型预埋螺栓</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1.M10U型预埋螺栓(热镀锌)，突出支墩5cm-具体详图纸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899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自动化仓库1：南10°北5。支架大样图、南10°单排支架大样图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屋面卷材防水</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3mm平面SBS沥青卷材 一层</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460.50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混凝土支墩</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1、C25混凝土支墩及其模板</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1842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U型钢支架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双排：</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1.U41支架41*41*2.0MM，锌铝镁镀层（含斜梁、檩条、立柱、拉杆、连接件、基座、螺栓等）-具体详图纸，以南10°北5。支架大样图中详图为一套</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49</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U型钢支架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单排：</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1.U41支架41*41*2.0MM，锌铝镁镀层（含斜梁、檩条、立柱、拉杆、连接件、基座、螺栓等）-具体详图纸，以南10°单排支架大样图中单排支架侧视图为一套</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套</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边压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1.边压（光伏专用含一平一弹一塑异螺母）-具体详图纸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中压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1.中压（光伏专用含一平一弹一塑异螺母）-具体详图纸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三角连接件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1.三角连接件（镀锌钢）-具体详图纸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屋脊连接件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1.屋脊连接件（镀锌钢）-具体详图纸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U型预埋螺栓</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1.M10U型预埋螺栓(热镀锌)，突出支墩5cm-具体详图纸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1842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9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车棚BIVP支架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M型水槽</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1、镀铝锌镁(常用款）M型水槽,厚度1mm；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2、具体展开宽度按图纸要求</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843.60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横向水槽</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1、镀铝锌镁(常用款）横向水槽,厚度1mm；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2、具体展开宽度按图纸要求</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1299.20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防水盖板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1、铝合金防水盖板，阳极氧化，配套水槽定制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752.40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组件支撑件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1、镀铝锌镁(常用款）组件支撑件,厚度1mm；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2、配套水槽定制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798.00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59</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边压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1、边压（光伏专用含一平一弹一塑异螺母）-具体详图纸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中压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1、中压（光伏专用含一平一弹一塑异螺母）-具体详图纸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水槽横担</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1、镀铝锌镁水槽横担，横担孔径内需要带螺纹,,厚度3mm</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防水条</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1、三元乙丙防水条，15*5</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1333.92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899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彩钢瓦屋面BIVP支架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M型水槽</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1、镀铝锌镁(常用款）M型水槽,厚度1mm；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2、具体展开宽度按图纸要求</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5091.20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横向水槽</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1、镀铝锌镁(常用款）横向水槽,厚度1mm；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2、具体展开宽度按图纸要求</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8073.60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防水盖板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1、铝合金防水盖板，阳极氧化，配套水槽定制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4624.20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组件支撑件</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1、镀铝锌镁(常用款）组件支撑件,厚度1mm；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2、配套水槽定制</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4953.60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边压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1、边压（光伏专用含一平一弹一塑异螺母）-具体详图纸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中压</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1、中压（光伏专用含一平一弹一塑异螺母）-具体详图纸</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69</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水槽横担</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1、镀铝锌镁水槽横担，横担孔径内需要带螺纹,厚度3mm</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防水条</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1、三元乙丙防水条，15*5</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8289.36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71</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屋脊走道板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1、镀铝锌镁400*30*1.0（可上人）</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171.50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72</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铝板</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1、宽度300MM厚度1.0MM</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175.76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73</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屋面天沟、檐沟</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1、镀铝锌镁天沟，厚度1mm；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2、L50*3 与新增立柱焊接。</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351.52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74</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型材屋面</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1、屋面彩钢瓦，L50*3，通长布置，与檩条焊接</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454.24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75</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型材屋面</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1、四周围护彩钢瓦，L50*3，通长布置，与檩条焊接</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474.84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76</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屋面天沟、檐沟</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1、屋面泛水板一，0.5mm厚镀锌钢板</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263.80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77</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屋面天沟、檐沟</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1、屋面泛水板二，0.5mm厚镀锌钢板</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263.80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97"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排水工程-车棚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78</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p>
        </w:tc>
        <w:tc>
          <w:tcPr>
            <w:tcW w:w="5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1.塑料排水管（粘接） PVC管DN100</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0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120.00</w:t>
            </w:r>
          </w:p>
        </w:tc>
      </w:tr>
    </w:tbl>
    <w:p>
      <w:pPr>
        <w:numPr>
          <w:ilvl w:val="0"/>
          <w:numId w:val="0"/>
        </w:numPr>
        <w:tabs>
          <w:tab w:val="left" w:pos="0"/>
        </w:tabs>
        <w:spacing w:line="440" w:lineRule="exact"/>
        <w:ind w:left="420" w:leftChars="0"/>
        <w:rPr>
          <w:rStyle w:val="36"/>
          <w:rFonts w:hint="eastAsia" w:ascii="宋体" w:hAnsi="宋体" w:eastAsia="宋体" w:cs="宋体"/>
          <w:b w:val="0"/>
          <w:bCs w:val="0"/>
          <w:sz w:val="22"/>
          <w:szCs w:val="22"/>
          <w:highlight w:val="none"/>
          <w:lang w:val="en-US" w:eastAsia="zh-CN"/>
        </w:rPr>
        <w:sectPr>
          <w:footerReference r:id="rId16" w:type="default"/>
          <w:pgSz w:w="11907" w:h="16840"/>
          <w:pgMar w:top="1418" w:right="1559" w:bottom="1418" w:left="1474" w:header="0" w:footer="723" w:gutter="0"/>
          <w:cols w:space="720" w:num="1"/>
        </w:sectPr>
      </w:pPr>
      <w:r>
        <w:rPr>
          <w:rStyle w:val="36"/>
          <w:rFonts w:hint="eastAsia" w:ascii="宋体" w:hAnsi="宋体" w:eastAsia="宋体" w:cs="宋体"/>
          <w:b w:val="0"/>
          <w:bCs w:val="0"/>
          <w:sz w:val="22"/>
          <w:szCs w:val="22"/>
          <w:highlight w:val="none"/>
          <w:lang w:val="en-US" w:eastAsia="zh-CN"/>
        </w:rPr>
        <w:t>注：以上清单仅供参考，具体以图纸、标底及招标人指令为准。</w:t>
      </w:r>
    </w:p>
    <w:p>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第六章 投标文件格式</w:t>
      </w:r>
    </w:p>
    <w:p>
      <w:pPr>
        <w:spacing w:line="343" w:lineRule="auto"/>
        <w:jc w:val="both"/>
        <w:rPr>
          <w:rFonts w:hint="eastAsia" w:ascii="宋体" w:hAnsi="宋体" w:eastAsia="宋体" w:cs="宋体"/>
          <w:color w:val="auto"/>
          <w:highlight w:val="none"/>
        </w:rPr>
      </w:pPr>
    </w:p>
    <w:p>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pPr>
        <w:pStyle w:val="20"/>
        <w:rPr>
          <w:rFonts w:hint="eastAsia" w:ascii="宋体" w:hAnsi="宋体" w:cs="宋体"/>
          <w:highlight w:val="none"/>
        </w:rPr>
      </w:pP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color w:val="auto"/>
          <w:sz w:val="24"/>
          <w:szCs w:val="24"/>
          <w:highlight w:val="none"/>
        </w:rPr>
        <w:t>十、投标承诺书（见格式九）</w:t>
      </w:r>
    </w:p>
    <w:p>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rPr>
        <w:t>十</w:t>
      </w:r>
      <w:r>
        <w:rPr>
          <w:rFonts w:hint="eastAsia" w:ascii="宋体" w:hAnsi="宋体" w:eastAsia="宋体" w:cs="宋体"/>
          <w:color w:val="auto"/>
          <w:sz w:val="24"/>
          <w:szCs w:val="24"/>
          <w:highlight w:val="none"/>
        </w:rPr>
        <w:t>一、投标人须知前附表规定的构成投标文件的其他材料</w:t>
      </w:r>
    </w:p>
    <w:p>
      <w:pPr>
        <w:pStyle w:val="20"/>
        <w:rPr>
          <w:rFonts w:hint="eastAsia" w:ascii="宋体" w:hAnsi="宋体" w:cs="宋体"/>
          <w:highlight w:val="none"/>
        </w:rPr>
      </w:pPr>
    </w:p>
    <w:p>
      <w:pPr>
        <w:spacing w:line="360" w:lineRule="auto"/>
        <w:jc w:val="both"/>
        <w:rPr>
          <w:rFonts w:hint="eastAsia" w:ascii="宋体" w:hAnsi="宋体" w:eastAsia="宋体" w:cs="宋体"/>
          <w:color w:val="auto"/>
          <w:highlight w:val="none"/>
        </w:rPr>
        <w:sectPr>
          <w:pgSz w:w="11907" w:h="16840"/>
          <w:pgMar w:top="1418" w:right="1559" w:bottom="1418" w:left="1474" w:header="0" w:footer="723" w:gutter="0"/>
          <w:cols w:space="720" w:num="1"/>
        </w:sectPr>
      </w:pPr>
    </w:p>
    <w:p>
      <w:pPr>
        <w:spacing w:before="310" w:line="221" w:lineRule="auto"/>
        <w:ind w:left="281"/>
        <w:jc w:val="both"/>
        <w:rPr>
          <w:rFonts w:hint="eastAsia" w:ascii="宋体" w:hAnsi="宋体" w:eastAsia="宋体" w:cs="宋体"/>
          <w:color w:val="auto"/>
          <w:sz w:val="28"/>
          <w:szCs w:val="28"/>
          <w:highlight w:val="none"/>
        </w:rPr>
      </w:pPr>
      <w:bookmarkStart w:id="87" w:name="_bookmark15"/>
      <w:bookmarkEnd w:id="87"/>
      <w:r>
        <w:rPr>
          <w:rFonts w:hint="eastAsia" w:ascii="宋体" w:hAnsi="宋体" w:eastAsia="宋体" w:cs="宋体"/>
          <w:color w:val="auto"/>
          <w:sz w:val="28"/>
          <w:szCs w:val="28"/>
          <w:highlight w:val="none"/>
        </w:rPr>
        <w:t>格式一：投标函</w:t>
      </w:r>
    </w:p>
    <w:p>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pPr>
        <w:spacing w:line="372" w:lineRule="auto"/>
        <w:jc w:val="both"/>
        <w:rPr>
          <w:rFonts w:hint="eastAsia" w:ascii="宋体" w:hAnsi="宋体" w:eastAsia="宋体" w:cs="宋体"/>
          <w:color w:val="auto"/>
          <w:highlight w:val="none"/>
        </w:rPr>
      </w:pPr>
    </w:p>
    <w:p>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w:t>
      </w:r>
      <w:r>
        <w:rPr>
          <w:rFonts w:hint="eastAsia" w:ascii="宋体" w:hAnsi="宋体" w:eastAsia="宋体" w:cs="宋体"/>
          <w:color w:val="auto"/>
          <w:sz w:val="23"/>
          <w:szCs w:val="23"/>
          <w:highlight w:val="none"/>
          <w:lang w:eastAsia="zh-CN"/>
        </w:rPr>
        <w:t>七天</w:t>
      </w:r>
      <w:r>
        <w:rPr>
          <w:rFonts w:hint="eastAsia" w:ascii="宋体" w:hAnsi="宋体" w:eastAsia="宋体" w:cs="宋体"/>
          <w:color w:val="auto"/>
          <w:sz w:val="23"/>
          <w:szCs w:val="23"/>
          <w:highlight w:val="none"/>
        </w:rPr>
        <w:t>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w:t>
      </w:r>
      <w:r>
        <w:rPr>
          <w:rFonts w:hint="eastAsia" w:ascii="宋体" w:hAnsi="宋体" w:eastAsia="宋体" w:cs="宋体"/>
          <w:color w:val="auto"/>
          <w:sz w:val="23"/>
          <w:szCs w:val="23"/>
          <w:highlight w:val="none"/>
          <w:lang w:eastAsia="zh-CN"/>
        </w:rPr>
        <w:t>人</w:t>
      </w:r>
      <w:r>
        <w:rPr>
          <w:rFonts w:hint="eastAsia" w:ascii="宋体" w:hAnsi="宋体" w:eastAsia="宋体" w:cs="宋体"/>
          <w:color w:val="auto"/>
          <w:sz w:val="23"/>
          <w:szCs w:val="23"/>
          <w:highlight w:val="none"/>
        </w:rPr>
        <w:t>或委托代理人：(签字或盖章)</w:t>
      </w:r>
    </w:p>
    <w:p>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pPr>
        <w:spacing w:before="310" w:line="221" w:lineRule="auto"/>
        <w:ind w:left="92"/>
        <w:jc w:val="both"/>
        <w:outlineLvl w:val="1"/>
        <w:rPr>
          <w:rFonts w:hint="eastAsia" w:ascii="宋体" w:hAnsi="宋体" w:eastAsia="宋体" w:cs="宋体"/>
          <w:color w:val="auto"/>
          <w:sz w:val="28"/>
          <w:szCs w:val="28"/>
          <w:highlight w:val="none"/>
        </w:rPr>
      </w:pPr>
      <w:bookmarkStart w:id="88" w:name="_bookmark16"/>
      <w:bookmarkEnd w:id="88"/>
      <w:r>
        <w:rPr>
          <w:rFonts w:hint="eastAsia" w:ascii="宋体" w:hAnsi="宋体" w:eastAsia="宋体" w:cs="宋体"/>
          <w:color w:val="auto"/>
          <w:sz w:val="28"/>
          <w:szCs w:val="28"/>
          <w:highlight w:val="none"/>
        </w:rPr>
        <w:t>格式二：法定代表人身份证明</w:t>
      </w:r>
    </w:p>
    <w:p>
      <w:pPr>
        <w:spacing w:line="337" w:lineRule="auto"/>
        <w:jc w:val="both"/>
        <w:rPr>
          <w:rFonts w:hint="eastAsia" w:ascii="宋体" w:hAnsi="宋体" w:eastAsia="宋体" w:cs="宋体"/>
          <w:color w:val="auto"/>
          <w:highlight w:val="none"/>
        </w:rPr>
      </w:pPr>
    </w:p>
    <w:p>
      <w:pPr>
        <w:spacing w:line="338" w:lineRule="auto"/>
        <w:jc w:val="both"/>
        <w:rPr>
          <w:rFonts w:hint="eastAsia" w:ascii="宋体" w:hAnsi="宋体" w:eastAsia="宋体" w:cs="宋体"/>
          <w:color w:val="auto"/>
          <w:highlight w:val="none"/>
        </w:rPr>
      </w:pPr>
    </w:p>
    <w:p>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pPr>
        <w:spacing w:line="290" w:lineRule="auto"/>
        <w:jc w:val="both"/>
        <w:rPr>
          <w:rFonts w:hint="eastAsia" w:ascii="宋体" w:hAnsi="宋体" w:eastAsia="宋体" w:cs="宋体"/>
          <w:color w:val="auto"/>
          <w:highlight w:val="none"/>
        </w:rPr>
      </w:pPr>
    </w:p>
    <w:p>
      <w:pPr>
        <w:spacing w:line="290" w:lineRule="auto"/>
        <w:jc w:val="both"/>
        <w:rPr>
          <w:rFonts w:hint="eastAsia" w:ascii="宋体" w:hAnsi="宋体" w:eastAsia="宋体" w:cs="宋体"/>
          <w:color w:val="auto"/>
          <w:highlight w:val="none"/>
        </w:rPr>
      </w:pPr>
    </w:p>
    <w:p>
      <w:pPr>
        <w:spacing w:line="291" w:lineRule="auto"/>
        <w:jc w:val="both"/>
        <w:rPr>
          <w:rFonts w:hint="eastAsia" w:ascii="宋体" w:hAnsi="宋体" w:eastAsia="宋体" w:cs="宋体"/>
          <w:color w:val="auto"/>
          <w:highlight w:val="none"/>
        </w:rPr>
      </w:pPr>
    </w:p>
    <w:p>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pPr>
        <w:spacing w:line="259" w:lineRule="auto"/>
        <w:jc w:val="both"/>
        <w:rPr>
          <w:rFonts w:hint="eastAsia" w:ascii="宋体" w:hAnsi="宋体" w:eastAsia="宋体" w:cs="宋体"/>
          <w:color w:val="auto"/>
          <w:highlight w:val="none"/>
        </w:rPr>
      </w:pPr>
    </w:p>
    <w:p>
      <w:pPr>
        <w:spacing w:line="259" w:lineRule="auto"/>
        <w:jc w:val="both"/>
        <w:rPr>
          <w:rFonts w:hint="eastAsia" w:ascii="宋体" w:hAnsi="宋体" w:eastAsia="宋体" w:cs="宋体"/>
          <w:color w:val="auto"/>
          <w:highlight w:val="none"/>
        </w:rPr>
      </w:pPr>
    </w:p>
    <w:p>
      <w:pPr>
        <w:spacing w:line="260" w:lineRule="auto"/>
        <w:jc w:val="both"/>
        <w:rPr>
          <w:rFonts w:hint="eastAsia" w:ascii="宋体" w:hAnsi="宋体" w:eastAsia="宋体" w:cs="宋体"/>
          <w:color w:val="auto"/>
          <w:highlight w:val="none"/>
        </w:rPr>
      </w:pPr>
    </w:p>
    <w:p>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tabs>
          <w:tab w:val="left" w:pos="6144"/>
        </w:tabs>
        <w:spacing w:before="75" w:line="384" w:lineRule="auto"/>
        <w:ind w:left="5053" w:hanging="467"/>
        <w:jc w:val="both"/>
        <w:rPr>
          <w:rFonts w:hint="eastAsia" w:ascii="宋体" w:hAnsi="宋体" w:eastAsia="宋体" w:cs="宋体"/>
          <w:color w:val="auto"/>
          <w:sz w:val="23"/>
          <w:szCs w:val="23"/>
          <w:highlight w:val="none"/>
        </w:rPr>
      </w:pPr>
    </w:p>
    <w:p>
      <w:pPr>
        <w:jc w:val="both"/>
        <w:rPr>
          <w:rFonts w:hint="eastAsia" w:ascii="宋体" w:hAnsi="宋体" w:eastAsia="宋体" w:cs="宋体"/>
          <w:color w:val="auto"/>
          <w:highlight w:val="none"/>
        </w:rPr>
      </w:pPr>
    </w:p>
    <w:p>
      <w:pPr>
        <w:spacing w:line="140" w:lineRule="exact"/>
        <w:jc w:val="both"/>
        <w:rPr>
          <w:rFonts w:hint="eastAsia" w:ascii="宋体" w:hAnsi="宋体" w:eastAsia="宋体" w:cs="宋体"/>
          <w:color w:val="auto"/>
          <w:highlight w:val="none"/>
        </w:rPr>
      </w:pPr>
    </w:p>
    <w:tbl>
      <w:tblPr>
        <w:tblStyle w:val="48"/>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pPr>
              <w:spacing w:line="257" w:lineRule="auto"/>
              <w:jc w:val="both"/>
              <w:rPr>
                <w:rFonts w:hint="eastAsia" w:ascii="宋体" w:hAnsi="宋体" w:eastAsia="宋体" w:cs="宋体"/>
                <w:color w:val="auto"/>
                <w:highlight w:val="none"/>
              </w:rPr>
            </w:pPr>
          </w:p>
          <w:p>
            <w:pPr>
              <w:spacing w:line="258" w:lineRule="auto"/>
              <w:jc w:val="both"/>
              <w:rPr>
                <w:rFonts w:hint="eastAsia" w:ascii="宋体" w:hAnsi="宋体" w:eastAsia="宋体" w:cs="宋体"/>
                <w:color w:val="auto"/>
                <w:highlight w:val="none"/>
              </w:rPr>
            </w:pPr>
          </w:p>
          <w:p>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w:t>
            </w:r>
            <w:r>
              <w:rPr>
                <w:rFonts w:hint="eastAsia" w:ascii="宋体" w:hAnsi="宋体" w:eastAsia="宋体" w:cs="宋体"/>
                <w:color w:val="auto"/>
                <w:sz w:val="23"/>
                <w:szCs w:val="23"/>
                <w:highlight w:val="none"/>
                <w:lang w:eastAsia="zh-CN"/>
              </w:rPr>
              <w:t>复印件</w:t>
            </w:r>
          </w:p>
        </w:tc>
      </w:tr>
    </w:tbl>
    <w:p>
      <w:pPr>
        <w:jc w:val="both"/>
        <w:rPr>
          <w:rFonts w:hint="eastAsia" w:ascii="宋体" w:hAnsi="宋体" w:eastAsia="宋体" w:cs="宋体"/>
          <w:color w:val="auto"/>
          <w:highlight w:val="none"/>
        </w:rPr>
      </w:pPr>
    </w:p>
    <w:p>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pPr>
        <w:spacing w:before="310" w:line="221" w:lineRule="auto"/>
        <w:ind w:left="388"/>
        <w:jc w:val="both"/>
        <w:rPr>
          <w:rFonts w:hint="eastAsia" w:ascii="宋体" w:hAnsi="宋体" w:eastAsia="宋体" w:cs="宋体"/>
          <w:color w:val="auto"/>
          <w:sz w:val="28"/>
          <w:szCs w:val="28"/>
          <w:highlight w:val="none"/>
        </w:rPr>
      </w:pPr>
      <w:bookmarkStart w:id="89" w:name="_bookmark17"/>
      <w:bookmarkEnd w:id="89"/>
      <w:r>
        <w:rPr>
          <w:rFonts w:hint="eastAsia" w:ascii="宋体" w:hAnsi="宋体" w:eastAsia="宋体" w:cs="宋体"/>
          <w:color w:val="auto"/>
          <w:sz w:val="28"/>
          <w:szCs w:val="28"/>
          <w:highlight w:val="none"/>
        </w:rPr>
        <w:t>格式三：法定代表人授权委托书</w:t>
      </w:r>
    </w:p>
    <w:p>
      <w:pPr>
        <w:spacing w:line="328" w:lineRule="auto"/>
        <w:jc w:val="both"/>
        <w:rPr>
          <w:rFonts w:hint="eastAsia" w:ascii="宋体" w:hAnsi="宋体" w:eastAsia="宋体" w:cs="宋体"/>
          <w:color w:val="auto"/>
          <w:highlight w:val="none"/>
        </w:rPr>
      </w:pPr>
    </w:p>
    <w:p>
      <w:pPr>
        <w:spacing w:line="328" w:lineRule="auto"/>
        <w:jc w:val="both"/>
        <w:rPr>
          <w:rFonts w:hint="eastAsia" w:ascii="宋体" w:hAnsi="宋体" w:eastAsia="宋体" w:cs="宋体"/>
          <w:color w:val="auto"/>
          <w:highlight w:val="none"/>
        </w:rPr>
      </w:pPr>
    </w:p>
    <w:p>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pPr>
        <w:spacing w:line="386" w:lineRule="auto"/>
        <w:jc w:val="both"/>
        <w:rPr>
          <w:rFonts w:hint="eastAsia" w:ascii="宋体" w:hAnsi="宋体" w:eastAsia="宋体" w:cs="宋体"/>
          <w:color w:val="auto"/>
          <w:highlight w:val="none"/>
        </w:rPr>
      </w:pPr>
    </w:p>
    <w:p>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pPr>
        <w:spacing w:line="285" w:lineRule="auto"/>
        <w:jc w:val="both"/>
        <w:rPr>
          <w:rFonts w:hint="eastAsia" w:ascii="宋体" w:hAnsi="宋体" w:eastAsia="宋体" w:cs="宋体"/>
          <w:color w:val="auto"/>
          <w:highlight w:val="none"/>
        </w:rPr>
      </w:pPr>
    </w:p>
    <w:p>
      <w:pPr>
        <w:spacing w:line="286" w:lineRule="auto"/>
        <w:jc w:val="both"/>
        <w:rPr>
          <w:rFonts w:hint="eastAsia" w:ascii="宋体" w:hAnsi="宋体" w:eastAsia="宋体" w:cs="宋体"/>
          <w:color w:val="auto"/>
          <w:highlight w:val="none"/>
        </w:rPr>
      </w:pPr>
    </w:p>
    <w:p>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pPr>
        <w:spacing w:line="285" w:lineRule="auto"/>
        <w:jc w:val="both"/>
        <w:rPr>
          <w:rFonts w:hint="eastAsia" w:ascii="宋体" w:hAnsi="宋体" w:eastAsia="宋体" w:cs="宋体"/>
          <w:color w:val="auto"/>
          <w:highlight w:val="none"/>
        </w:rPr>
      </w:pPr>
    </w:p>
    <w:p>
      <w:pPr>
        <w:spacing w:line="286" w:lineRule="auto"/>
        <w:jc w:val="both"/>
        <w:rPr>
          <w:rFonts w:hint="eastAsia" w:ascii="宋体" w:hAnsi="宋体" w:eastAsia="宋体" w:cs="宋体"/>
          <w:color w:val="auto"/>
          <w:highlight w:val="none"/>
        </w:rPr>
      </w:pPr>
    </w:p>
    <w:p>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jc w:val="both"/>
        <w:rPr>
          <w:rFonts w:hint="eastAsia" w:ascii="宋体" w:hAnsi="宋体" w:eastAsia="宋体" w:cs="宋体"/>
          <w:color w:val="auto"/>
          <w:highlight w:val="none"/>
        </w:rPr>
      </w:pPr>
    </w:p>
    <w:p>
      <w:pPr>
        <w:jc w:val="both"/>
        <w:rPr>
          <w:rFonts w:hint="eastAsia" w:ascii="宋体" w:hAnsi="宋体" w:eastAsia="宋体" w:cs="宋体"/>
          <w:color w:val="auto"/>
          <w:highlight w:val="none"/>
        </w:rPr>
      </w:pPr>
    </w:p>
    <w:p>
      <w:pPr>
        <w:spacing w:line="105" w:lineRule="exact"/>
        <w:jc w:val="both"/>
        <w:rPr>
          <w:rFonts w:hint="eastAsia" w:ascii="宋体" w:hAnsi="宋体" w:eastAsia="宋体" w:cs="宋体"/>
          <w:color w:val="auto"/>
          <w:highlight w:val="none"/>
        </w:rPr>
      </w:pPr>
    </w:p>
    <w:tbl>
      <w:tblPr>
        <w:tblStyle w:val="48"/>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pPr>
              <w:spacing w:line="256" w:lineRule="auto"/>
              <w:jc w:val="both"/>
              <w:rPr>
                <w:rFonts w:hint="eastAsia" w:ascii="宋体" w:hAnsi="宋体" w:eastAsia="宋体" w:cs="宋体"/>
                <w:color w:val="auto"/>
                <w:highlight w:val="none"/>
              </w:rPr>
            </w:pPr>
          </w:p>
          <w:p>
            <w:pPr>
              <w:spacing w:line="257" w:lineRule="auto"/>
              <w:jc w:val="both"/>
              <w:rPr>
                <w:rFonts w:hint="eastAsia" w:ascii="宋体" w:hAnsi="宋体" w:eastAsia="宋体" w:cs="宋体"/>
                <w:color w:val="auto"/>
                <w:highlight w:val="none"/>
              </w:rPr>
            </w:pPr>
          </w:p>
          <w:p>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w:t>
            </w:r>
            <w:r>
              <w:rPr>
                <w:rFonts w:hint="eastAsia" w:ascii="宋体" w:hAnsi="宋体" w:eastAsia="宋体" w:cs="宋体"/>
                <w:color w:val="auto"/>
                <w:sz w:val="23"/>
                <w:szCs w:val="23"/>
                <w:highlight w:val="none"/>
                <w:lang w:eastAsia="zh-CN"/>
              </w:rPr>
              <w:t>复印件</w:t>
            </w:r>
          </w:p>
        </w:tc>
      </w:tr>
    </w:tbl>
    <w:p>
      <w:pPr>
        <w:spacing w:line="48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投标保证金缴纳证明资料</w:t>
      </w:r>
    </w:p>
    <w:p>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pPr>
        <w:rPr>
          <w:rFonts w:hint="eastAsia" w:ascii="宋体" w:hAnsi="宋体" w:eastAsia="宋体" w:cs="宋体"/>
          <w:color w:val="auto"/>
          <w:highlight w:val="none"/>
        </w:rPr>
      </w:pPr>
    </w:p>
    <w:p>
      <w:pPr>
        <w:jc w:val="both"/>
        <w:rPr>
          <w:rFonts w:hint="eastAsia" w:ascii="宋体" w:hAnsi="宋体" w:eastAsia="宋体" w:cs="宋体"/>
          <w:color w:val="auto"/>
          <w:highlight w:val="none"/>
        </w:rPr>
      </w:pPr>
    </w:p>
    <w:p>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pPr>
        <w:spacing w:before="163" w:line="221" w:lineRule="auto"/>
        <w:ind w:left="617"/>
        <w:jc w:val="both"/>
        <w:outlineLvl w:val="1"/>
        <w:rPr>
          <w:rFonts w:hint="eastAsia" w:ascii="宋体" w:hAnsi="宋体" w:eastAsia="宋体" w:cs="宋体"/>
          <w:color w:val="auto"/>
          <w:sz w:val="28"/>
          <w:szCs w:val="28"/>
          <w:highlight w:val="none"/>
        </w:rPr>
      </w:pPr>
      <w:bookmarkStart w:id="90" w:name="_bookmark18"/>
      <w:bookmarkEnd w:id="90"/>
      <w:r>
        <w:rPr>
          <w:rFonts w:hint="eastAsia" w:ascii="宋体" w:hAnsi="宋体" w:eastAsia="宋体" w:cs="宋体"/>
          <w:color w:val="auto"/>
          <w:sz w:val="28"/>
          <w:szCs w:val="28"/>
          <w:highlight w:val="none"/>
        </w:rPr>
        <w:t>格式四：投标报价表</w:t>
      </w:r>
    </w:p>
    <w:p>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pPr>
        <w:spacing w:line="98" w:lineRule="auto"/>
        <w:jc w:val="both"/>
        <w:rPr>
          <w:rFonts w:hint="eastAsia" w:ascii="宋体" w:hAnsi="宋体" w:eastAsia="宋体" w:cs="宋体"/>
          <w:color w:val="auto"/>
          <w:sz w:val="2"/>
          <w:highlight w:val="none"/>
        </w:rPr>
      </w:pPr>
    </w:p>
    <w:tbl>
      <w:tblPr>
        <w:tblStyle w:val="48"/>
        <w:tblW w:w="484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8"/>
        <w:gridCol w:w="2263"/>
        <w:gridCol w:w="1995"/>
        <w:gridCol w:w="1098"/>
        <w:gridCol w:w="1926"/>
        <w:gridCol w:w="2118"/>
        <w:gridCol w:w="28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421" w:type="pct"/>
            <w:vAlign w:val="center"/>
          </w:tcPr>
          <w:p>
            <w:pPr>
              <w:spacing w:before="176" w:line="193" w:lineRule="auto"/>
              <w:ind w:left="39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45" w:type="pct"/>
            <w:vAlign w:val="center"/>
          </w:tcPr>
          <w:p>
            <w:pPr>
              <w:spacing w:before="177" w:line="192" w:lineRule="auto"/>
              <w:ind w:left="89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45" w:type="pct"/>
            <w:vAlign w:val="center"/>
          </w:tcPr>
          <w:p>
            <w:pPr>
              <w:spacing w:before="178" w:line="190" w:lineRule="auto"/>
              <w:ind w:left="39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410" w:type="pct"/>
            <w:vAlign w:val="center"/>
          </w:tcPr>
          <w:p>
            <w:pPr>
              <w:spacing w:before="177" w:line="192" w:lineRule="auto"/>
              <w:ind w:left="45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719" w:type="pct"/>
            <w:vAlign w:val="center"/>
          </w:tcPr>
          <w:p>
            <w:pPr>
              <w:spacing w:before="178" w:line="190" w:lineRule="auto"/>
              <w:ind w:left="715"/>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791" w:type="pct"/>
            <w:vAlign w:val="center"/>
          </w:tcPr>
          <w:p>
            <w:pPr>
              <w:spacing w:before="178" w:line="190" w:lineRule="auto"/>
              <w:ind w:left="404"/>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6</w:t>
            </w:r>
          </w:p>
        </w:tc>
        <w:tc>
          <w:tcPr>
            <w:tcW w:w="1067" w:type="pct"/>
            <w:vAlign w:val="center"/>
          </w:tcPr>
          <w:p>
            <w:pPr>
              <w:spacing w:before="176" w:line="191" w:lineRule="auto"/>
              <w:ind w:left="551"/>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421" w:type="pct"/>
            <w:vAlign w:val="center"/>
          </w:tcPr>
          <w:p>
            <w:pPr>
              <w:spacing w:before="65" w:line="229"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845" w:type="pct"/>
            <w:vAlign w:val="center"/>
          </w:tcPr>
          <w:p>
            <w:pPr>
              <w:spacing w:before="65" w:line="401" w:lineRule="exact"/>
              <w:jc w:val="center"/>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pPr>
              <w:spacing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745" w:type="pct"/>
            <w:vAlign w:val="center"/>
          </w:tcPr>
          <w:p>
            <w:pPr>
              <w:spacing w:before="65" w:line="379" w:lineRule="auto"/>
              <w:ind w:right="59"/>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410" w:type="pct"/>
            <w:vAlign w:val="center"/>
          </w:tcPr>
          <w:p>
            <w:pPr>
              <w:spacing w:before="66"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719" w:type="pct"/>
            <w:shd w:val="clear" w:color="auto" w:fill="auto"/>
            <w:vAlign w:val="center"/>
          </w:tcPr>
          <w:p>
            <w:pPr>
              <w:spacing w:before="65" w:line="379" w:lineRule="auto"/>
              <w:ind w:right="109" w:rightChars="0"/>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综合单价(含税)</w:t>
            </w:r>
          </w:p>
        </w:tc>
        <w:tc>
          <w:tcPr>
            <w:tcW w:w="791" w:type="pct"/>
            <w:shd w:val="clear" w:color="auto" w:fill="auto"/>
            <w:vAlign w:val="center"/>
          </w:tcPr>
          <w:p>
            <w:pPr>
              <w:spacing w:before="65" w:line="227"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总价</w:t>
            </w:r>
          </w:p>
        </w:tc>
        <w:tc>
          <w:tcPr>
            <w:tcW w:w="1067" w:type="pct"/>
            <w:shd w:val="clear" w:color="auto" w:fill="auto"/>
            <w:vAlign w:val="center"/>
          </w:tcPr>
          <w:p>
            <w:pPr>
              <w:spacing w:before="65" w:line="230"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pPr>
              <w:jc w:val="both"/>
              <w:rPr>
                <w:rFonts w:hint="eastAsia" w:ascii="宋体" w:hAnsi="宋体" w:eastAsia="宋体" w:cs="宋体"/>
                <w:color w:val="auto"/>
                <w:highlight w:val="none"/>
              </w:rPr>
            </w:pPr>
          </w:p>
        </w:tc>
        <w:tc>
          <w:tcPr>
            <w:tcW w:w="845" w:type="pct"/>
          </w:tcPr>
          <w:p>
            <w:pPr>
              <w:jc w:val="both"/>
              <w:rPr>
                <w:rFonts w:hint="eastAsia" w:ascii="宋体" w:hAnsi="宋体" w:eastAsia="宋体" w:cs="宋体"/>
                <w:color w:val="auto"/>
                <w:highlight w:val="none"/>
              </w:rPr>
            </w:pPr>
          </w:p>
        </w:tc>
        <w:tc>
          <w:tcPr>
            <w:tcW w:w="745" w:type="pct"/>
          </w:tcPr>
          <w:p>
            <w:pPr>
              <w:jc w:val="both"/>
              <w:rPr>
                <w:rFonts w:hint="eastAsia" w:ascii="宋体" w:hAnsi="宋体" w:eastAsia="宋体" w:cs="宋体"/>
                <w:color w:val="auto"/>
                <w:highlight w:val="none"/>
              </w:rPr>
            </w:pPr>
          </w:p>
        </w:tc>
        <w:tc>
          <w:tcPr>
            <w:tcW w:w="410" w:type="pct"/>
          </w:tcPr>
          <w:p>
            <w:pPr>
              <w:jc w:val="both"/>
              <w:rPr>
                <w:rFonts w:hint="eastAsia" w:ascii="宋体" w:hAnsi="宋体" w:eastAsia="宋体" w:cs="宋体"/>
                <w:color w:val="auto"/>
                <w:highlight w:val="none"/>
              </w:rPr>
            </w:pPr>
          </w:p>
        </w:tc>
        <w:tc>
          <w:tcPr>
            <w:tcW w:w="719" w:type="pct"/>
          </w:tcPr>
          <w:p>
            <w:pPr>
              <w:jc w:val="both"/>
              <w:rPr>
                <w:rFonts w:hint="eastAsia" w:ascii="宋体" w:hAnsi="宋体" w:eastAsia="宋体" w:cs="宋体"/>
                <w:color w:val="auto"/>
                <w:highlight w:val="none"/>
              </w:rPr>
            </w:pPr>
          </w:p>
        </w:tc>
        <w:tc>
          <w:tcPr>
            <w:tcW w:w="791" w:type="pct"/>
          </w:tcPr>
          <w:p>
            <w:pPr>
              <w:jc w:val="both"/>
              <w:rPr>
                <w:rFonts w:hint="eastAsia" w:ascii="宋体" w:hAnsi="宋体" w:eastAsia="宋体" w:cs="宋体"/>
                <w:color w:val="auto"/>
                <w:highlight w:val="none"/>
              </w:rPr>
            </w:pPr>
          </w:p>
        </w:tc>
        <w:tc>
          <w:tcPr>
            <w:tcW w:w="1067" w:type="pct"/>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pPr>
              <w:jc w:val="both"/>
              <w:rPr>
                <w:rFonts w:hint="eastAsia" w:ascii="宋体" w:hAnsi="宋体" w:eastAsia="宋体" w:cs="宋体"/>
                <w:color w:val="auto"/>
                <w:highlight w:val="none"/>
              </w:rPr>
            </w:pPr>
          </w:p>
        </w:tc>
        <w:tc>
          <w:tcPr>
            <w:tcW w:w="845" w:type="pct"/>
          </w:tcPr>
          <w:p>
            <w:pPr>
              <w:jc w:val="both"/>
              <w:rPr>
                <w:rFonts w:hint="eastAsia" w:ascii="宋体" w:hAnsi="宋体" w:eastAsia="宋体" w:cs="宋体"/>
                <w:color w:val="auto"/>
                <w:highlight w:val="none"/>
              </w:rPr>
            </w:pPr>
          </w:p>
        </w:tc>
        <w:tc>
          <w:tcPr>
            <w:tcW w:w="745" w:type="pct"/>
          </w:tcPr>
          <w:p>
            <w:pPr>
              <w:jc w:val="both"/>
              <w:rPr>
                <w:rFonts w:hint="eastAsia" w:ascii="宋体" w:hAnsi="宋体" w:eastAsia="宋体" w:cs="宋体"/>
                <w:color w:val="auto"/>
                <w:highlight w:val="none"/>
              </w:rPr>
            </w:pPr>
          </w:p>
        </w:tc>
        <w:tc>
          <w:tcPr>
            <w:tcW w:w="410" w:type="pct"/>
          </w:tcPr>
          <w:p>
            <w:pPr>
              <w:jc w:val="both"/>
              <w:rPr>
                <w:rFonts w:hint="eastAsia" w:ascii="宋体" w:hAnsi="宋体" w:eastAsia="宋体" w:cs="宋体"/>
                <w:color w:val="auto"/>
                <w:highlight w:val="none"/>
              </w:rPr>
            </w:pPr>
          </w:p>
        </w:tc>
        <w:tc>
          <w:tcPr>
            <w:tcW w:w="719" w:type="pct"/>
          </w:tcPr>
          <w:p>
            <w:pPr>
              <w:jc w:val="both"/>
              <w:rPr>
                <w:rFonts w:hint="eastAsia" w:ascii="宋体" w:hAnsi="宋体" w:eastAsia="宋体" w:cs="宋体"/>
                <w:color w:val="auto"/>
                <w:highlight w:val="none"/>
              </w:rPr>
            </w:pPr>
          </w:p>
        </w:tc>
        <w:tc>
          <w:tcPr>
            <w:tcW w:w="791" w:type="pct"/>
          </w:tcPr>
          <w:p>
            <w:pPr>
              <w:jc w:val="both"/>
              <w:rPr>
                <w:rFonts w:hint="eastAsia" w:ascii="宋体" w:hAnsi="宋体" w:eastAsia="宋体" w:cs="宋体"/>
                <w:color w:val="auto"/>
                <w:highlight w:val="none"/>
              </w:rPr>
            </w:pPr>
          </w:p>
        </w:tc>
        <w:tc>
          <w:tcPr>
            <w:tcW w:w="1067" w:type="pct"/>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421" w:type="pct"/>
          </w:tcPr>
          <w:p>
            <w:pPr>
              <w:jc w:val="both"/>
              <w:rPr>
                <w:rFonts w:hint="eastAsia" w:ascii="宋体" w:hAnsi="宋体" w:eastAsia="宋体" w:cs="宋体"/>
                <w:color w:val="auto"/>
                <w:highlight w:val="none"/>
              </w:rPr>
            </w:pPr>
          </w:p>
        </w:tc>
        <w:tc>
          <w:tcPr>
            <w:tcW w:w="845" w:type="pct"/>
          </w:tcPr>
          <w:p>
            <w:pPr>
              <w:jc w:val="both"/>
              <w:rPr>
                <w:rFonts w:hint="eastAsia" w:ascii="宋体" w:hAnsi="宋体" w:eastAsia="宋体" w:cs="宋体"/>
                <w:color w:val="auto"/>
                <w:highlight w:val="none"/>
              </w:rPr>
            </w:pPr>
          </w:p>
        </w:tc>
        <w:tc>
          <w:tcPr>
            <w:tcW w:w="745" w:type="pct"/>
          </w:tcPr>
          <w:p>
            <w:pPr>
              <w:jc w:val="both"/>
              <w:rPr>
                <w:rFonts w:hint="eastAsia" w:ascii="宋体" w:hAnsi="宋体" w:eastAsia="宋体" w:cs="宋体"/>
                <w:color w:val="auto"/>
                <w:highlight w:val="none"/>
              </w:rPr>
            </w:pPr>
          </w:p>
        </w:tc>
        <w:tc>
          <w:tcPr>
            <w:tcW w:w="410" w:type="pct"/>
          </w:tcPr>
          <w:p>
            <w:pPr>
              <w:jc w:val="both"/>
              <w:rPr>
                <w:rFonts w:hint="eastAsia" w:ascii="宋体" w:hAnsi="宋体" w:eastAsia="宋体" w:cs="宋体"/>
                <w:color w:val="auto"/>
                <w:highlight w:val="none"/>
              </w:rPr>
            </w:pPr>
          </w:p>
        </w:tc>
        <w:tc>
          <w:tcPr>
            <w:tcW w:w="719" w:type="pct"/>
          </w:tcPr>
          <w:p>
            <w:pPr>
              <w:jc w:val="both"/>
              <w:rPr>
                <w:rFonts w:hint="eastAsia" w:ascii="宋体" w:hAnsi="宋体" w:eastAsia="宋体" w:cs="宋体"/>
                <w:color w:val="auto"/>
                <w:highlight w:val="none"/>
              </w:rPr>
            </w:pPr>
          </w:p>
        </w:tc>
        <w:tc>
          <w:tcPr>
            <w:tcW w:w="791" w:type="pct"/>
          </w:tcPr>
          <w:p>
            <w:pPr>
              <w:jc w:val="both"/>
              <w:rPr>
                <w:rFonts w:hint="eastAsia" w:ascii="宋体" w:hAnsi="宋体" w:eastAsia="宋体" w:cs="宋体"/>
                <w:color w:val="auto"/>
                <w:highlight w:val="none"/>
              </w:rPr>
            </w:pPr>
          </w:p>
        </w:tc>
        <w:tc>
          <w:tcPr>
            <w:tcW w:w="1067" w:type="pct"/>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266" w:type="pct"/>
            <w:gridSpan w:val="2"/>
          </w:tcPr>
          <w:p>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3733" w:type="pct"/>
            <w:gridSpan w:val="5"/>
          </w:tcPr>
          <w:p>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bl>
    <w:p>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p>
    <w:p>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1</w:t>
      </w:r>
      <w:r>
        <w:rPr>
          <w:rFonts w:hint="eastAsia" w:ascii="宋体" w:hAnsi="宋体" w:eastAsia="宋体" w:cs="宋体"/>
          <w:color w:val="auto"/>
          <w:position w:val="1"/>
          <w:sz w:val="20"/>
          <w:szCs w:val="20"/>
          <w:highlight w:val="none"/>
        </w:rPr>
        <w:t>、投标总价合计为总价的合计，应与投标函的投标总价一致。</w:t>
      </w:r>
    </w:p>
    <w:p>
      <w:pPr>
        <w:spacing w:before="29" w:line="265" w:lineRule="exact"/>
        <w:ind w:left="1218"/>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2</w:t>
      </w:r>
      <w:r>
        <w:rPr>
          <w:rFonts w:hint="eastAsia" w:ascii="宋体" w:hAnsi="宋体" w:eastAsia="宋体" w:cs="宋体"/>
          <w:color w:val="auto"/>
          <w:position w:val="1"/>
          <w:sz w:val="20"/>
          <w:szCs w:val="20"/>
          <w:highlight w:val="none"/>
        </w:rPr>
        <w:t>、投标报价表中含价栏目，若无报价的须填“含”、“无”等字样，若出现空白，招标人视为已含在投标报价中。</w:t>
      </w:r>
    </w:p>
    <w:p>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3</w:t>
      </w:r>
      <w:r>
        <w:rPr>
          <w:rFonts w:hint="eastAsia" w:ascii="宋体" w:hAnsi="宋体" w:eastAsia="宋体" w:cs="宋体"/>
          <w:color w:val="auto"/>
          <w:position w:val="1"/>
          <w:sz w:val="20"/>
          <w:szCs w:val="20"/>
          <w:highlight w:val="none"/>
        </w:rPr>
        <w:t>、如交货货物数量调整时，综合单价不作调整。</w:t>
      </w:r>
    </w:p>
    <w:p>
      <w:pPr>
        <w:jc w:val="both"/>
        <w:rPr>
          <w:rFonts w:hint="eastAsia" w:ascii="宋体" w:hAnsi="宋体" w:eastAsia="宋体" w:cs="宋体"/>
          <w:color w:val="auto"/>
          <w:highlight w:val="none"/>
        </w:rPr>
        <w:sectPr>
          <w:footerReference r:id="rId20" w:type="default"/>
          <w:pgSz w:w="16840" w:h="11907"/>
          <w:pgMar w:top="1418" w:right="1559" w:bottom="1418" w:left="1474" w:header="0" w:footer="722" w:gutter="0"/>
          <w:cols w:space="720" w:num="1"/>
        </w:sectPr>
      </w:pPr>
    </w:p>
    <w:p>
      <w:pPr>
        <w:spacing w:before="310" w:line="221" w:lineRule="auto"/>
        <w:ind w:left="720"/>
        <w:jc w:val="both"/>
        <w:outlineLvl w:val="1"/>
        <w:rPr>
          <w:rFonts w:hint="eastAsia" w:ascii="宋体" w:hAnsi="宋体" w:eastAsia="宋体" w:cs="宋体"/>
          <w:color w:val="auto"/>
          <w:sz w:val="28"/>
          <w:szCs w:val="28"/>
          <w:highlight w:val="none"/>
        </w:rPr>
      </w:pPr>
      <w:bookmarkStart w:id="91" w:name="_bookmark19"/>
      <w:bookmarkEnd w:id="91"/>
      <w:r>
        <w:rPr>
          <w:rFonts w:hint="eastAsia" w:ascii="宋体" w:hAnsi="宋体" w:eastAsia="宋体" w:cs="宋体"/>
          <w:color w:val="auto"/>
          <w:sz w:val="28"/>
          <w:szCs w:val="28"/>
          <w:highlight w:val="none"/>
        </w:rPr>
        <w:t>格式五：资料一览表</w:t>
      </w:r>
    </w:p>
    <w:p>
      <w:pPr>
        <w:spacing w:line="337" w:lineRule="auto"/>
        <w:jc w:val="both"/>
        <w:rPr>
          <w:rFonts w:hint="eastAsia" w:ascii="宋体" w:hAnsi="宋体" w:eastAsia="宋体" w:cs="宋体"/>
          <w:color w:val="auto"/>
          <w:highlight w:val="none"/>
        </w:rPr>
      </w:pPr>
    </w:p>
    <w:p>
      <w:pPr>
        <w:spacing w:line="338" w:lineRule="auto"/>
        <w:jc w:val="both"/>
        <w:rPr>
          <w:rFonts w:hint="eastAsia" w:ascii="宋体" w:hAnsi="宋体" w:eastAsia="宋体" w:cs="宋体"/>
          <w:color w:val="auto"/>
          <w:highlight w:val="none"/>
        </w:rPr>
      </w:pPr>
    </w:p>
    <w:p>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pPr>
        <w:jc w:val="both"/>
        <w:rPr>
          <w:rFonts w:hint="eastAsia" w:ascii="宋体" w:hAnsi="宋体" w:eastAsia="宋体" w:cs="宋体"/>
          <w:color w:val="auto"/>
          <w:highlight w:val="none"/>
        </w:rPr>
      </w:pPr>
    </w:p>
    <w:p>
      <w:pPr>
        <w:spacing w:line="210" w:lineRule="exact"/>
        <w:jc w:val="both"/>
        <w:rPr>
          <w:rFonts w:hint="eastAsia" w:ascii="宋体" w:hAnsi="宋体" w:eastAsia="宋体" w:cs="宋体"/>
          <w:color w:val="auto"/>
          <w:highlight w:val="none"/>
        </w:rPr>
      </w:pPr>
    </w:p>
    <w:tbl>
      <w:tblPr>
        <w:tblStyle w:val="48"/>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tcPr>
          <w:p>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tcPr>
          <w:p>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在投标文件第x页</w:t>
            </w:r>
          </w:p>
        </w:tc>
        <w:tc>
          <w:tcPr>
            <w:tcW w:w="2130" w:type="dxa"/>
          </w:tcPr>
          <w:p>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pPr>
              <w:jc w:val="both"/>
              <w:rPr>
                <w:rFonts w:hint="eastAsia" w:ascii="宋体" w:hAnsi="宋体" w:eastAsia="宋体" w:cs="宋体"/>
                <w:color w:val="auto"/>
                <w:highlight w:val="none"/>
              </w:rPr>
            </w:pPr>
          </w:p>
        </w:tc>
        <w:tc>
          <w:tcPr>
            <w:tcW w:w="3826" w:type="dxa"/>
          </w:tcPr>
          <w:p>
            <w:pPr>
              <w:jc w:val="both"/>
              <w:rPr>
                <w:rFonts w:hint="eastAsia" w:ascii="宋体" w:hAnsi="宋体" w:eastAsia="宋体" w:cs="宋体"/>
                <w:color w:val="auto"/>
                <w:highlight w:val="none"/>
              </w:rPr>
            </w:pPr>
          </w:p>
        </w:tc>
        <w:tc>
          <w:tcPr>
            <w:tcW w:w="2408" w:type="dxa"/>
          </w:tcPr>
          <w:p>
            <w:pPr>
              <w:jc w:val="both"/>
              <w:rPr>
                <w:rFonts w:hint="eastAsia" w:ascii="宋体" w:hAnsi="宋体" w:eastAsia="宋体" w:cs="宋体"/>
                <w:color w:val="auto"/>
                <w:highlight w:val="none"/>
              </w:rPr>
            </w:pPr>
          </w:p>
        </w:tc>
        <w:tc>
          <w:tcPr>
            <w:tcW w:w="2130" w:type="dxa"/>
          </w:tcPr>
          <w:p>
            <w:pPr>
              <w:jc w:val="both"/>
              <w:rPr>
                <w:rFonts w:hint="eastAsia" w:ascii="宋体" w:hAnsi="宋体" w:eastAsia="宋体" w:cs="宋体"/>
                <w:color w:val="auto"/>
                <w:highlight w:val="none"/>
              </w:rPr>
            </w:pPr>
          </w:p>
        </w:tc>
      </w:tr>
    </w:tbl>
    <w:p>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pPr>
        <w:spacing w:line="281" w:lineRule="auto"/>
        <w:jc w:val="both"/>
        <w:rPr>
          <w:rFonts w:hint="eastAsia" w:ascii="宋体" w:hAnsi="宋体" w:eastAsia="宋体" w:cs="宋体"/>
          <w:color w:val="auto"/>
          <w:highlight w:val="none"/>
        </w:rPr>
      </w:pPr>
    </w:p>
    <w:p>
      <w:pPr>
        <w:spacing w:line="282" w:lineRule="auto"/>
        <w:jc w:val="both"/>
        <w:rPr>
          <w:rFonts w:hint="eastAsia" w:ascii="宋体" w:hAnsi="宋体" w:eastAsia="宋体" w:cs="宋体"/>
          <w:color w:val="auto"/>
          <w:highlight w:val="none"/>
        </w:rPr>
      </w:pPr>
    </w:p>
    <w:p>
      <w:pPr>
        <w:spacing w:line="282" w:lineRule="auto"/>
        <w:jc w:val="both"/>
        <w:rPr>
          <w:rFonts w:hint="eastAsia" w:ascii="宋体" w:hAnsi="宋体" w:eastAsia="宋体" w:cs="宋体"/>
          <w:color w:val="auto"/>
          <w:highlight w:val="none"/>
        </w:rPr>
      </w:pPr>
    </w:p>
    <w:p>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pPr>
        <w:spacing w:line="328" w:lineRule="auto"/>
        <w:jc w:val="both"/>
        <w:rPr>
          <w:rFonts w:hint="eastAsia" w:ascii="宋体" w:hAnsi="宋体" w:eastAsia="宋体" w:cs="宋体"/>
          <w:color w:val="auto"/>
          <w:highlight w:val="none"/>
        </w:rPr>
      </w:pPr>
    </w:p>
    <w:p>
      <w:pPr>
        <w:spacing w:line="328" w:lineRule="auto"/>
        <w:jc w:val="both"/>
        <w:rPr>
          <w:rFonts w:hint="eastAsia" w:ascii="宋体" w:hAnsi="宋体" w:eastAsia="宋体" w:cs="宋体"/>
          <w:color w:val="auto"/>
          <w:highlight w:val="none"/>
        </w:rPr>
      </w:pPr>
    </w:p>
    <w:p>
      <w:pPr>
        <w:spacing w:before="91" w:line="221" w:lineRule="auto"/>
        <w:ind w:left="578"/>
        <w:jc w:val="both"/>
        <w:outlineLvl w:val="1"/>
        <w:rPr>
          <w:rFonts w:hint="eastAsia" w:ascii="宋体" w:hAnsi="宋体" w:eastAsia="宋体" w:cs="宋体"/>
          <w:color w:val="auto"/>
          <w:sz w:val="28"/>
          <w:szCs w:val="28"/>
          <w:highlight w:val="none"/>
        </w:rPr>
      </w:pPr>
      <w:bookmarkStart w:id="92" w:name="_bookmark20"/>
      <w:bookmarkEnd w:id="92"/>
      <w:r>
        <w:rPr>
          <w:rFonts w:hint="eastAsia" w:ascii="宋体" w:hAnsi="宋体" w:eastAsia="宋体" w:cs="宋体"/>
          <w:color w:val="auto"/>
          <w:sz w:val="28"/>
          <w:szCs w:val="28"/>
          <w:highlight w:val="none"/>
        </w:rPr>
        <w:t>格式六：打分资料一览表</w:t>
      </w:r>
    </w:p>
    <w:p>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pPr>
        <w:jc w:val="both"/>
        <w:rPr>
          <w:rFonts w:hint="eastAsia" w:ascii="宋体" w:hAnsi="宋体" w:eastAsia="宋体" w:cs="宋体"/>
          <w:color w:val="auto"/>
          <w:highlight w:val="none"/>
        </w:rPr>
      </w:pPr>
    </w:p>
    <w:p>
      <w:pPr>
        <w:spacing w:line="210" w:lineRule="exact"/>
        <w:jc w:val="both"/>
        <w:rPr>
          <w:rFonts w:hint="eastAsia" w:ascii="宋体" w:hAnsi="宋体" w:eastAsia="宋体" w:cs="宋体"/>
          <w:color w:val="auto"/>
          <w:highlight w:val="none"/>
        </w:rPr>
      </w:pPr>
    </w:p>
    <w:tbl>
      <w:tblPr>
        <w:tblStyle w:val="48"/>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tcPr>
          <w:p>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tcPr>
          <w:p>
            <w:pPr>
              <w:spacing w:before="231"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在投标文件第x页</w:t>
            </w:r>
          </w:p>
        </w:tc>
        <w:tc>
          <w:tcPr>
            <w:tcW w:w="1705" w:type="dxa"/>
          </w:tcPr>
          <w:p>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rFonts w:hint="eastAsia" w:ascii="宋体" w:hAnsi="宋体" w:eastAsia="宋体" w:cs="宋体"/>
                <w:color w:val="auto"/>
                <w:highlight w:val="none"/>
              </w:rPr>
            </w:pPr>
          </w:p>
        </w:tc>
        <w:tc>
          <w:tcPr>
            <w:tcW w:w="4675" w:type="dxa"/>
          </w:tcPr>
          <w:p>
            <w:pPr>
              <w:jc w:val="both"/>
              <w:rPr>
                <w:rFonts w:hint="eastAsia" w:ascii="宋体" w:hAnsi="宋体" w:eastAsia="宋体" w:cs="宋体"/>
                <w:color w:val="auto"/>
                <w:highlight w:val="none"/>
              </w:rPr>
            </w:pPr>
          </w:p>
        </w:tc>
        <w:tc>
          <w:tcPr>
            <w:tcW w:w="1700" w:type="dxa"/>
          </w:tcPr>
          <w:p>
            <w:pPr>
              <w:jc w:val="both"/>
              <w:rPr>
                <w:rFonts w:hint="eastAsia" w:ascii="宋体" w:hAnsi="宋体" w:eastAsia="宋体" w:cs="宋体"/>
                <w:color w:val="auto"/>
                <w:highlight w:val="none"/>
              </w:rPr>
            </w:pPr>
          </w:p>
        </w:tc>
        <w:tc>
          <w:tcPr>
            <w:tcW w:w="1705"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rFonts w:hint="eastAsia" w:ascii="宋体" w:hAnsi="宋体" w:eastAsia="宋体" w:cs="宋体"/>
                <w:color w:val="auto"/>
                <w:highlight w:val="none"/>
              </w:rPr>
            </w:pPr>
          </w:p>
        </w:tc>
        <w:tc>
          <w:tcPr>
            <w:tcW w:w="4675" w:type="dxa"/>
          </w:tcPr>
          <w:p>
            <w:pPr>
              <w:jc w:val="both"/>
              <w:rPr>
                <w:rFonts w:hint="eastAsia" w:ascii="宋体" w:hAnsi="宋体" w:eastAsia="宋体" w:cs="宋体"/>
                <w:color w:val="auto"/>
                <w:highlight w:val="none"/>
              </w:rPr>
            </w:pPr>
          </w:p>
        </w:tc>
        <w:tc>
          <w:tcPr>
            <w:tcW w:w="1700" w:type="dxa"/>
          </w:tcPr>
          <w:p>
            <w:pPr>
              <w:jc w:val="both"/>
              <w:rPr>
                <w:rFonts w:hint="eastAsia" w:ascii="宋体" w:hAnsi="宋体" w:eastAsia="宋体" w:cs="宋体"/>
                <w:color w:val="auto"/>
                <w:highlight w:val="none"/>
              </w:rPr>
            </w:pPr>
          </w:p>
        </w:tc>
        <w:tc>
          <w:tcPr>
            <w:tcW w:w="1705"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rFonts w:hint="eastAsia" w:ascii="宋体" w:hAnsi="宋体" w:eastAsia="宋体" w:cs="宋体"/>
                <w:color w:val="auto"/>
                <w:highlight w:val="none"/>
              </w:rPr>
            </w:pPr>
          </w:p>
        </w:tc>
        <w:tc>
          <w:tcPr>
            <w:tcW w:w="4675" w:type="dxa"/>
          </w:tcPr>
          <w:p>
            <w:pPr>
              <w:jc w:val="both"/>
              <w:rPr>
                <w:rFonts w:hint="eastAsia" w:ascii="宋体" w:hAnsi="宋体" w:eastAsia="宋体" w:cs="宋体"/>
                <w:color w:val="auto"/>
                <w:highlight w:val="none"/>
              </w:rPr>
            </w:pPr>
          </w:p>
        </w:tc>
        <w:tc>
          <w:tcPr>
            <w:tcW w:w="1700" w:type="dxa"/>
          </w:tcPr>
          <w:p>
            <w:pPr>
              <w:jc w:val="both"/>
              <w:rPr>
                <w:rFonts w:hint="eastAsia" w:ascii="宋体" w:hAnsi="宋体" w:eastAsia="宋体" w:cs="宋体"/>
                <w:color w:val="auto"/>
                <w:highlight w:val="none"/>
              </w:rPr>
            </w:pPr>
          </w:p>
        </w:tc>
        <w:tc>
          <w:tcPr>
            <w:tcW w:w="1705"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rFonts w:hint="eastAsia" w:ascii="宋体" w:hAnsi="宋体" w:eastAsia="宋体" w:cs="宋体"/>
                <w:color w:val="auto"/>
                <w:highlight w:val="none"/>
              </w:rPr>
            </w:pPr>
          </w:p>
        </w:tc>
        <w:tc>
          <w:tcPr>
            <w:tcW w:w="4675" w:type="dxa"/>
          </w:tcPr>
          <w:p>
            <w:pPr>
              <w:jc w:val="both"/>
              <w:rPr>
                <w:rFonts w:hint="eastAsia" w:ascii="宋体" w:hAnsi="宋体" w:eastAsia="宋体" w:cs="宋体"/>
                <w:color w:val="auto"/>
                <w:highlight w:val="none"/>
              </w:rPr>
            </w:pPr>
          </w:p>
        </w:tc>
        <w:tc>
          <w:tcPr>
            <w:tcW w:w="1700" w:type="dxa"/>
          </w:tcPr>
          <w:p>
            <w:pPr>
              <w:jc w:val="both"/>
              <w:rPr>
                <w:rFonts w:hint="eastAsia" w:ascii="宋体" w:hAnsi="宋体" w:eastAsia="宋体" w:cs="宋体"/>
                <w:color w:val="auto"/>
                <w:highlight w:val="none"/>
              </w:rPr>
            </w:pPr>
          </w:p>
        </w:tc>
        <w:tc>
          <w:tcPr>
            <w:tcW w:w="1705"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pPr>
              <w:jc w:val="both"/>
              <w:rPr>
                <w:rFonts w:hint="eastAsia" w:ascii="宋体" w:hAnsi="宋体" w:eastAsia="宋体" w:cs="宋体"/>
                <w:color w:val="auto"/>
                <w:highlight w:val="none"/>
              </w:rPr>
            </w:pPr>
          </w:p>
        </w:tc>
        <w:tc>
          <w:tcPr>
            <w:tcW w:w="4675" w:type="dxa"/>
          </w:tcPr>
          <w:p>
            <w:pPr>
              <w:jc w:val="both"/>
              <w:rPr>
                <w:rFonts w:hint="eastAsia" w:ascii="宋体" w:hAnsi="宋体" w:eastAsia="宋体" w:cs="宋体"/>
                <w:color w:val="auto"/>
                <w:highlight w:val="none"/>
              </w:rPr>
            </w:pPr>
          </w:p>
        </w:tc>
        <w:tc>
          <w:tcPr>
            <w:tcW w:w="1700" w:type="dxa"/>
          </w:tcPr>
          <w:p>
            <w:pPr>
              <w:jc w:val="both"/>
              <w:rPr>
                <w:rFonts w:hint="eastAsia" w:ascii="宋体" w:hAnsi="宋体" w:eastAsia="宋体" w:cs="宋体"/>
                <w:color w:val="auto"/>
                <w:highlight w:val="none"/>
              </w:rPr>
            </w:pPr>
          </w:p>
        </w:tc>
        <w:tc>
          <w:tcPr>
            <w:tcW w:w="1705"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pPr>
              <w:jc w:val="both"/>
              <w:rPr>
                <w:rFonts w:hint="eastAsia" w:ascii="宋体" w:hAnsi="宋体" w:eastAsia="宋体" w:cs="宋体"/>
                <w:color w:val="auto"/>
                <w:highlight w:val="none"/>
              </w:rPr>
            </w:pPr>
          </w:p>
        </w:tc>
        <w:tc>
          <w:tcPr>
            <w:tcW w:w="4675" w:type="dxa"/>
          </w:tcPr>
          <w:p>
            <w:pPr>
              <w:jc w:val="both"/>
              <w:rPr>
                <w:rFonts w:hint="eastAsia" w:ascii="宋体" w:hAnsi="宋体" w:eastAsia="宋体" w:cs="宋体"/>
                <w:color w:val="auto"/>
                <w:highlight w:val="none"/>
              </w:rPr>
            </w:pPr>
          </w:p>
        </w:tc>
        <w:tc>
          <w:tcPr>
            <w:tcW w:w="1700" w:type="dxa"/>
          </w:tcPr>
          <w:p>
            <w:pPr>
              <w:jc w:val="both"/>
              <w:rPr>
                <w:rFonts w:hint="eastAsia" w:ascii="宋体" w:hAnsi="宋体" w:eastAsia="宋体" w:cs="宋体"/>
                <w:color w:val="auto"/>
                <w:highlight w:val="none"/>
              </w:rPr>
            </w:pPr>
          </w:p>
        </w:tc>
        <w:tc>
          <w:tcPr>
            <w:tcW w:w="1705" w:type="dxa"/>
          </w:tcPr>
          <w:p>
            <w:pPr>
              <w:jc w:val="both"/>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pPr>
              <w:jc w:val="both"/>
              <w:rPr>
                <w:rFonts w:hint="eastAsia" w:ascii="宋体" w:hAnsi="宋体" w:eastAsia="宋体" w:cs="宋体"/>
                <w:color w:val="auto"/>
                <w:highlight w:val="none"/>
              </w:rPr>
            </w:pPr>
          </w:p>
        </w:tc>
        <w:tc>
          <w:tcPr>
            <w:tcW w:w="4675" w:type="dxa"/>
          </w:tcPr>
          <w:p>
            <w:pPr>
              <w:jc w:val="both"/>
              <w:rPr>
                <w:rFonts w:hint="eastAsia" w:ascii="宋体" w:hAnsi="宋体" w:eastAsia="宋体" w:cs="宋体"/>
                <w:color w:val="auto"/>
                <w:highlight w:val="none"/>
              </w:rPr>
            </w:pPr>
          </w:p>
        </w:tc>
        <w:tc>
          <w:tcPr>
            <w:tcW w:w="1700" w:type="dxa"/>
          </w:tcPr>
          <w:p>
            <w:pPr>
              <w:jc w:val="both"/>
              <w:rPr>
                <w:rFonts w:hint="eastAsia" w:ascii="宋体" w:hAnsi="宋体" w:eastAsia="宋体" w:cs="宋体"/>
                <w:color w:val="auto"/>
                <w:highlight w:val="none"/>
              </w:rPr>
            </w:pPr>
          </w:p>
        </w:tc>
        <w:tc>
          <w:tcPr>
            <w:tcW w:w="1705" w:type="dxa"/>
          </w:tcPr>
          <w:p>
            <w:pPr>
              <w:jc w:val="both"/>
              <w:rPr>
                <w:rFonts w:hint="eastAsia" w:ascii="宋体" w:hAnsi="宋体" w:eastAsia="宋体" w:cs="宋体"/>
                <w:color w:val="auto"/>
                <w:highlight w:val="none"/>
              </w:rPr>
            </w:pPr>
          </w:p>
        </w:tc>
      </w:tr>
    </w:tbl>
    <w:p>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pPr>
        <w:spacing w:line="255" w:lineRule="auto"/>
        <w:jc w:val="both"/>
        <w:rPr>
          <w:rFonts w:hint="eastAsia" w:ascii="宋体" w:hAnsi="宋体" w:eastAsia="宋体" w:cs="宋体"/>
          <w:color w:val="auto"/>
          <w:highlight w:val="none"/>
        </w:rPr>
      </w:pPr>
    </w:p>
    <w:p>
      <w:pPr>
        <w:spacing w:line="255" w:lineRule="auto"/>
        <w:jc w:val="both"/>
        <w:rPr>
          <w:rFonts w:hint="eastAsia" w:ascii="宋体" w:hAnsi="宋体" w:eastAsia="宋体" w:cs="宋体"/>
          <w:color w:val="auto"/>
          <w:highlight w:val="none"/>
        </w:rPr>
      </w:pPr>
    </w:p>
    <w:p>
      <w:pPr>
        <w:spacing w:line="255" w:lineRule="auto"/>
        <w:jc w:val="both"/>
        <w:rPr>
          <w:rFonts w:hint="eastAsia" w:ascii="宋体" w:hAnsi="宋体" w:eastAsia="宋体" w:cs="宋体"/>
          <w:color w:val="auto"/>
          <w:highlight w:val="none"/>
        </w:rPr>
      </w:pPr>
    </w:p>
    <w:p>
      <w:pPr>
        <w:spacing w:line="255" w:lineRule="auto"/>
        <w:jc w:val="both"/>
        <w:rPr>
          <w:rFonts w:hint="eastAsia" w:ascii="宋体" w:hAnsi="宋体" w:eastAsia="宋体" w:cs="宋体"/>
          <w:color w:val="auto"/>
          <w:highlight w:val="none"/>
        </w:rPr>
      </w:pPr>
    </w:p>
    <w:p>
      <w:pPr>
        <w:spacing w:line="256" w:lineRule="auto"/>
        <w:jc w:val="both"/>
        <w:rPr>
          <w:rFonts w:hint="eastAsia" w:ascii="宋体" w:hAnsi="宋体" w:eastAsia="宋体" w:cs="宋体"/>
          <w:color w:val="auto"/>
          <w:highlight w:val="none"/>
        </w:rPr>
      </w:pPr>
    </w:p>
    <w:p>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pPr>
        <w:spacing w:line="360" w:lineRule="auto"/>
        <w:ind w:firstLine="316" w:firstLineChars="150"/>
        <w:jc w:val="center"/>
        <w:rPr>
          <w:rFonts w:hint="eastAsia" w:ascii="宋体" w:hAnsi="宋体" w:eastAsia="宋体" w:cs="宋体"/>
          <w:b/>
          <w:bCs/>
          <w:color w:val="auto"/>
          <w:highlight w:val="none"/>
        </w:rPr>
      </w:pPr>
    </w:p>
    <w:tbl>
      <w:tblPr>
        <w:tblStyle w:val="30"/>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pP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pPr>
              <w:ind w:firstLine="420" w:firstLineChars="200"/>
              <w:rPr>
                <w:rFonts w:hint="eastAsia" w:ascii="宋体" w:hAnsi="宋体" w:eastAsia="宋体" w:cs="宋体"/>
                <w:color w:val="auto"/>
                <w:highlight w:val="none"/>
              </w:rPr>
            </w:pPr>
          </w:p>
        </w:tc>
      </w:tr>
    </w:tbl>
    <w:p>
      <w:pPr>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rPr>
          <w:rFonts w:hint="eastAsia" w:ascii="宋体" w:hAnsi="宋体" w:eastAsia="宋体" w:cs="宋体"/>
          <w:color w:val="auto"/>
          <w:highlight w:val="none"/>
        </w:rPr>
      </w:pPr>
    </w:p>
    <w:p>
      <w:pPr>
        <w:pStyle w:val="20"/>
        <w:rPr>
          <w:rFonts w:hint="eastAsia" w:ascii="宋体" w:hAnsi="宋体" w:cs="宋体"/>
          <w:highlight w:val="none"/>
        </w:rPr>
      </w:pPr>
    </w:p>
    <w:p>
      <w:pPr>
        <w:rPr>
          <w:rFonts w:hint="eastAsia" w:ascii="宋体" w:hAnsi="宋体" w:eastAsia="宋体" w:cs="宋体"/>
          <w:color w:val="auto"/>
          <w:highlight w:val="none"/>
        </w:rPr>
      </w:pPr>
    </w:p>
    <w:p>
      <w:pPr>
        <w:pStyle w:val="20"/>
        <w:rPr>
          <w:rFonts w:hint="eastAsia" w:ascii="宋体" w:hAnsi="宋体" w:cs="宋体"/>
          <w:highlight w:val="none"/>
        </w:rPr>
      </w:pPr>
    </w:p>
    <w:p>
      <w:pPr>
        <w:rPr>
          <w:rFonts w:hint="eastAsia" w:ascii="宋体" w:hAnsi="宋体" w:eastAsia="宋体" w:cs="宋体"/>
          <w:color w:val="auto"/>
          <w:highlight w:val="none"/>
        </w:rPr>
      </w:pPr>
    </w:p>
    <w:p>
      <w:pPr>
        <w:pStyle w:val="20"/>
        <w:rPr>
          <w:rFonts w:hint="eastAsia" w:ascii="宋体" w:hAnsi="宋体" w:cs="宋体"/>
          <w:highlight w:val="none"/>
        </w:rPr>
      </w:pPr>
    </w:p>
    <w:p>
      <w:pPr>
        <w:rPr>
          <w:rFonts w:hint="eastAsia" w:ascii="宋体" w:hAnsi="宋体" w:eastAsia="宋体" w:cs="宋体"/>
          <w:color w:val="auto"/>
          <w:highlight w:val="none"/>
        </w:rPr>
      </w:pPr>
    </w:p>
    <w:p>
      <w:pPr>
        <w:widowControl w:val="0"/>
        <w:outlineLvl w:val="0"/>
        <w:rPr>
          <w:rFonts w:hint="eastAsia" w:ascii="宋体" w:hAnsi="宋体" w:eastAsia="宋体" w:cs="宋体"/>
          <w:strike/>
          <w:color w:val="auto"/>
          <w:sz w:val="28"/>
          <w:szCs w:val="28"/>
          <w:highlight w:val="none"/>
        </w:rPr>
      </w:pPr>
      <w:r>
        <w:rPr>
          <w:rFonts w:hint="eastAsia" w:ascii="宋体" w:hAnsi="宋体" w:eastAsia="宋体" w:cs="宋体"/>
          <w:strike/>
          <w:color w:val="auto"/>
          <w:sz w:val="28"/>
          <w:szCs w:val="28"/>
          <w:highlight w:val="none"/>
        </w:rPr>
        <w:t>格式八：中小企业声明函</w:t>
      </w:r>
    </w:p>
    <w:p>
      <w:pPr>
        <w:widowControl w:val="0"/>
        <w:jc w:val="center"/>
        <w:rPr>
          <w:rFonts w:hint="eastAsia" w:ascii="宋体" w:hAnsi="宋体" w:eastAsia="宋体" w:cs="宋体"/>
          <w:b/>
          <w:strike/>
          <w:color w:val="auto"/>
          <w:kern w:val="2"/>
          <w:sz w:val="32"/>
          <w:szCs w:val="24"/>
          <w:highlight w:val="none"/>
        </w:rPr>
      </w:pPr>
    </w:p>
    <w:p>
      <w:pPr>
        <w:widowControl w:val="0"/>
        <w:jc w:val="center"/>
        <w:outlineLvl w:val="0"/>
        <w:rPr>
          <w:rFonts w:hint="eastAsia" w:ascii="宋体" w:hAnsi="宋体" w:eastAsia="宋体" w:cs="宋体"/>
          <w:b/>
          <w:strike/>
          <w:color w:val="auto"/>
          <w:kern w:val="2"/>
          <w:sz w:val="32"/>
          <w:szCs w:val="24"/>
          <w:highlight w:val="none"/>
        </w:rPr>
      </w:pPr>
      <w:r>
        <w:rPr>
          <w:rFonts w:hint="eastAsia" w:ascii="宋体" w:hAnsi="宋体" w:eastAsia="宋体" w:cs="宋体"/>
          <w:b/>
          <w:strike/>
          <w:color w:val="auto"/>
          <w:kern w:val="2"/>
          <w:sz w:val="32"/>
          <w:szCs w:val="24"/>
          <w:highlight w:val="none"/>
        </w:rPr>
        <w:t>中小企业声明函（货物）</w:t>
      </w:r>
    </w:p>
    <w:p>
      <w:pPr>
        <w:pStyle w:val="20"/>
        <w:rPr>
          <w:rFonts w:hint="eastAsia" w:ascii="宋体" w:hAnsi="宋体" w:cs="宋体"/>
          <w:strike/>
          <w:highlight w:val="none"/>
        </w:rPr>
      </w:pPr>
    </w:p>
    <w:p>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本公司（联合体）郑重声明，根据《政府采购促进中小企业发展管理办法》 （财库﹝2020﹞46号）的规定，本公司（联合体）参加</w:t>
      </w:r>
      <w:r>
        <w:rPr>
          <w:rFonts w:hint="eastAsia" w:ascii="宋体" w:hAnsi="宋体" w:eastAsia="宋体" w:cs="宋体"/>
          <w:strike/>
          <w:color w:val="auto"/>
          <w:kern w:val="2"/>
          <w:sz w:val="28"/>
          <w:szCs w:val="28"/>
          <w:highlight w:val="none"/>
          <w:u w:val="single"/>
        </w:rPr>
        <w:t xml:space="preserve"> （单位名称） </w:t>
      </w:r>
      <w:r>
        <w:rPr>
          <w:rFonts w:hint="eastAsia" w:ascii="宋体" w:hAnsi="宋体" w:eastAsia="宋体" w:cs="宋体"/>
          <w:strike/>
          <w:color w:val="auto"/>
          <w:kern w:val="2"/>
          <w:sz w:val="28"/>
          <w:szCs w:val="28"/>
          <w:highlight w:val="none"/>
        </w:rPr>
        <w:t>的（</w:t>
      </w:r>
      <w:r>
        <w:rPr>
          <w:rFonts w:hint="eastAsia" w:ascii="宋体" w:hAnsi="宋体" w:eastAsia="宋体" w:cs="宋体"/>
          <w:strike/>
          <w:color w:val="auto"/>
          <w:kern w:val="2"/>
          <w:sz w:val="28"/>
          <w:szCs w:val="28"/>
          <w:highlight w:val="none"/>
          <w:u w:val="single"/>
        </w:rPr>
        <w:t>项目名称</w:t>
      </w:r>
      <w:r>
        <w:rPr>
          <w:rFonts w:hint="eastAsia" w:ascii="宋体" w:hAnsi="宋体" w:eastAsia="宋体" w:cs="宋体"/>
          <w:strike/>
          <w:color w:val="auto"/>
          <w:kern w:val="2"/>
          <w:sz w:val="28"/>
          <w:szCs w:val="28"/>
          <w:highlight w:val="none"/>
        </w:rPr>
        <w:t>）采购活动，提供的货物全部由符合政策要求的中小企业制造。相关企业（含联合体中的中小企业、签订分包意向协议的中小企业）的具体情况如下：</w:t>
      </w:r>
    </w:p>
    <w:p>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1.</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2.</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w:t>
      </w:r>
    </w:p>
    <w:p>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以上企业，不属于大企业的分支机构，不存在控股股东为大企业的情形，也不存在与大企业的负责人为同一人的情形。</w:t>
      </w:r>
    </w:p>
    <w:p>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本企业对上述声明内容的真实性负责。如有虚假，将依法承担相应责任。</w:t>
      </w:r>
    </w:p>
    <w:p>
      <w:pPr>
        <w:widowControl w:val="0"/>
        <w:spacing w:line="360" w:lineRule="auto"/>
        <w:ind w:right="420" w:firstLine="6860" w:firstLineChars="2450"/>
        <w:rPr>
          <w:rFonts w:hint="eastAsia" w:ascii="宋体" w:hAnsi="宋体" w:eastAsia="宋体" w:cs="宋体"/>
          <w:strike/>
          <w:color w:val="auto"/>
          <w:sz w:val="28"/>
          <w:szCs w:val="28"/>
          <w:highlight w:val="none"/>
        </w:rPr>
      </w:pPr>
    </w:p>
    <w:p>
      <w:pPr>
        <w:widowControl w:val="0"/>
        <w:spacing w:line="360" w:lineRule="auto"/>
        <w:ind w:right="420"/>
        <w:jc w:val="right"/>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企业名称（盖章）：</w:t>
      </w:r>
    </w:p>
    <w:p>
      <w:pPr>
        <w:widowControl w:val="0"/>
        <w:spacing w:line="360" w:lineRule="auto"/>
        <w:ind w:right="420"/>
        <w:jc w:val="right"/>
        <w:rPr>
          <w:rFonts w:hint="eastAsia" w:ascii="宋体" w:hAnsi="宋体" w:eastAsia="宋体" w:cs="宋体"/>
          <w:strike/>
          <w:color w:val="auto"/>
          <w:kern w:val="2"/>
          <w:sz w:val="28"/>
          <w:szCs w:val="28"/>
          <w:highlight w:val="none"/>
        </w:rPr>
      </w:pPr>
      <w:r>
        <w:rPr>
          <w:rFonts w:hint="eastAsia" w:ascii="宋体" w:hAnsi="宋体" w:eastAsia="宋体" w:cs="宋体"/>
          <w:strike/>
          <w:color w:val="auto"/>
          <w:kern w:val="2"/>
          <w:sz w:val="28"/>
          <w:szCs w:val="28"/>
          <w:highlight w:val="none"/>
        </w:rPr>
        <w:t>日期：   年   月   日</w:t>
      </w:r>
    </w:p>
    <w:p>
      <w:pPr>
        <w:pStyle w:val="20"/>
        <w:rPr>
          <w:rFonts w:hint="eastAsia" w:ascii="宋体" w:hAnsi="宋体" w:cs="宋体"/>
          <w:strike/>
          <w:sz w:val="20"/>
          <w:szCs w:val="20"/>
          <w:highlight w:val="none"/>
          <w:u w:val="single"/>
        </w:rPr>
      </w:pPr>
    </w:p>
    <w:p>
      <w:pPr>
        <w:pStyle w:val="20"/>
        <w:rPr>
          <w:rFonts w:hint="eastAsia" w:ascii="宋体" w:hAnsi="宋体" w:cs="宋体"/>
          <w:strike/>
          <w:sz w:val="20"/>
          <w:szCs w:val="20"/>
          <w:highlight w:val="none"/>
        </w:rPr>
      </w:pPr>
      <w:r>
        <w:rPr>
          <w:rFonts w:hint="eastAsia" w:ascii="宋体" w:hAnsi="宋体" w:cs="宋体"/>
          <w:strike/>
          <w:sz w:val="20"/>
          <w:szCs w:val="20"/>
          <w:highlight w:val="none"/>
        </w:rPr>
        <w:t>从业人员、营业收入、资产总额填报上一年度数据，无上一年度数据的新成立企业可不填报。</w:t>
      </w:r>
    </w:p>
    <w:p>
      <w:pPr>
        <w:rPr>
          <w:rFonts w:hint="eastAsia" w:ascii="宋体" w:hAnsi="宋体" w:eastAsia="宋体" w:cs="宋体"/>
          <w:color w:val="auto"/>
          <w:sz w:val="20"/>
          <w:szCs w:val="20"/>
          <w:highlight w:val="none"/>
        </w:rPr>
      </w:pPr>
    </w:p>
    <w:p>
      <w:pPr>
        <w:pStyle w:val="20"/>
        <w:rPr>
          <w:rFonts w:hint="eastAsia" w:ascii="宋体" w:hAnsi="宋体" w:cs="宋体"/>
          <w:sz w:val="20"/>
          <w:szCs w:val="20"/>
          <w:highlight w:val="none"/>
        </w:rPr>
      </w:pPr>
    </w:p>
    <w:p>
      <w:pPr>
        <w:rPr>
          <w:rFonts w:hint="eastAsia" w:ascii="宋体" w:hAnsi="宋体" w:eastAsia="宋体" w:cs="宋体"/>
          <w:color w:val="auto"/>
          <w:sz w:val="20"/>
          <w:szCs w:val="20"/>
          <w:highlight w:val="none"/>
        </w:rPr>
      </w:pPr>
    </w:p>
    <w:p>
      <w:pPr>
        <w:pStyle w:val="20"/>
        <w:rPr>
          <w:rFonts w:hint="eastAsia" w:ascii="宋体" w:hAnsi="宋体" w:cs="宋体"/>
          <w:sz w:val="20"/>
          <w:szCs w:val="20"/>
          <w:highlight w:val="none"/>
        </w:rPr>
      </w:pPr>
    </w:p>
    <w:p>
      <w:pPr>
        <w:autoSpaceDE/>
        <w:autoSpaceDN/>
        <w:adjustRightInd/>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格式九：投标承诺书</w:t>
      </w:r>
    </w:p>
    <w:p>
      <w:p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pPr>
        <w:pStyle w:val="14"/>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（招标人名称）                    </w:t>
      </w:r>
      <w:r>
        <w:rPr>
          <w:rFonts w:hint="eastAsia" w:hAnsi="宋体" w:eastAsia="宋体" w:cs="宋体"/>
          <w:color w:val="auto"/>
          <w:sz w:val="24"/>
          <w:szCs w:val="24"/>
          <w:highlight w:val="none"/>
        </w:rPr>
        <w:t>：</w:t>
      </w:r>
    </w:p>
    <w:p>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本公司已详细阅读</w:t>
      </w:r>
      <w:r>
        <w:rPr>
          <w:rFonts w:hint="eastAsia" w:hAnsi="宋体" w:eastAsia="宋体" w:cs="宋体"/>
          <w:color w:val="auto"/>
          <w:sz w:val="24"/>
          <w:szCs w:val="24"/>
          <w:highlight w:val="none"/>
          <w:u w:val="single"/>
        </w:rPr>
        <w:t xml:space="preserve">     （名称及招标编号）   </w:t>
      </w:r>
      <w:r>
        <w:rPr>
          <w:rFonts w:hint="eastAsia" w:hAnsi="宋体" w:eastAsia="宋体" w:cs="宋体"/>
          <w:color w:val="auto"/>
          <w:sz w:val="24"/>
          <w:szCs w:val="24"/>
          <w:highlight w:val="none"/>
        </w:rPr>
        <w:t>招标文件，自觉遵守中华人民共和国、浙江省及当地有关招标投标的法律法规规定，自觉维护建筑市场正常秩序，现自愿就参加本项目投标有关事项郑重承诺如下：</w:t>
      </w:r>
    </w:p>
    <w:p>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1.承诺投标文件无虚假、伪造的内容。若投标文件中存在虚假、伪造的内容，同意作无效投标处理。</w:t>
      </w:r>
    </w:p>
    <w:p>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2.承诺我单位法定代表人、授权代表等主要责任人诚信投标。</w:t>
      </w:r>
    </w:p>
    <w:p>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3.承诺按照投标文件派驻管理人员及投入机械设备，</w:t>
      </w:r>
      <w:r>
        <w:rPr>
          <w:rFonts w:hint="eastAsia" w:hAnsi="宋体" w:eastAsia="宋体" w:cs="宋体"/>
          <w:color w:val="auto"/>
          <w:spacing w:val="-5"/>
          <w:sz w:val="24"/>
          <w:szCs w:val="24"/>
          <w:highlight w:val="none"/>
        </w:rPr>
        <w:t>若存在不到位的情况，同意接受合同约定的处罚。</w:t>
      </w:r>
    </w:p>
    <w:p>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4.承诺本招标文件要求的人员和我单位至投标截止时间三年内没有行贿犯罪记录。</w:t>
      </w:r>
    </w:p>
    <w:p>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5.承诺未被有关行政主管部门列入建筑市场严重失信名单（以全国建筑市场监管公共服务平台黑名单记录、失信联合惩戒记录和浙江省建筑市场监管公共服务系统严重失信名单）或限制参加投标。</w:t>
      </w:r>
    </w:p>
    <w:p>
      <w:pPr>
        <w:pStyle w:val="25"/>
        <w:spacing w:line="440" w:lineRule="exact"/>
        <w:ind w:right="150" w:firstLine="480" w:firstLineChars="200"/>
        <w:rPr>
          <w:rFonts w:cs="宋体"/>
          <w:color w:val="auto"/>
          <w:highlight w:val="none"/>
        </w:rPr>
      </w:pPr>
      <w:r>
        <w:rPr>
          <w:rFonts w:cs="宋体"/>
          <w:color w:val="auto"/>
          <w:highlight w:val="none"/>
        </w:rPr>
        <w:t>6.</w:t>
      </w:r>
      <w:r>
        <w:rPr>
          <w:rFonts w:cs="宋体"/>
          <w:color w:val="auto"/>
          <w:highlight w:val="none"/>
          <w:shd w:val="clear" w:color="auto" w:fill="FFFFFF"/>
        </w:rPr>
        <w:t>我单位直接负责本项目投标的主管人</w:t>
      </w:r>
      <w:r>
        <w:rPr>
          <w:rFonts w:cs="宋体"/>
          <w:color w:val="auto"/>
          <w:highlight w:val="none"/>
        </w:rPr>
        <w:t>员为</w:t>
      </w:r>
      <w:r>
        <w:rPr>
          <w:rFonts w:cs="宋体"/>
          <w:color w:val="auto"/>
          <w:highlight w:val="none"/>
          <w:u w:val="single"/>
        </w:rPr>
        <w:t>法定代表人</w:t>
      </w:r>
      <w:r>
        <w:rPr>
          <w:rFonts w:cs="宋体"/>
          <w:color w:val="auto"/>
          <w:highlight w:val="none"/>
          <w:u w:val="single"/>
          <w:shd w:val="clear" w:color="auto" w:fill="FFFFFF"/>
        </w:rPr>
        <w:t xml:space="preserve">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  ，联系手机号码：</w:t>
      </w:r>
      <w:r>
        <w:rPr>
          <w:rFonts w:cs="宋体"/>
          <w:color w:val="auto"/>
          <w:highlight w:val="none"/>
          <w:u w:val="single"/>
          <w:shd w:val="clear" w:color="auto" w:fill="FFFFFF"/>
        </w:rPr>
        <w:t xml:space="preserve"> </w:t>
      </w:r>
      <w:r>
        <w:rPr>
          <w:rFonts w:cs="宋体"/>
          <w:i/>
          <w:iCs/>
          <w:color w:val="auto"/>
          <w:highlight w:val="none"/>
          <w:u w:val="single"/>
          <w:shd w:val="clear" w:color="auto" w:fill="FFFFFF"/>
        </w:rPr>
        <w:t xml:space="preserve">（必须为本人实名办理的手机号码） </w:t>
      </w:r>
      <w:r>
        <w:rPr>
          <w:rFonts w:cs="宋体"/>
          <w:color w:val="auto"/>
          <w:highlight w:val="none"/>
          <w:u w:val="single"/>
          <w:shd w:val="clear" w:color="auto" w:fill="FFFFFF"/>
        </w:rPr>
        <w:t xml:space="preserve">   </w:t>
      </w:r>
      <w:r>
        <w:rPr>
          <w:rFonts w:cs="宋体"/>
          <w:color w:val="auto"/>
          <w:highlight w:val="none"/>
          <w:shd w:val="clear" w:color="auto" w:fill="FFFFFF"/>
        </w:rPr>
        <w:t xml:space="preserve"> ）；我单位与本项目投标相关的直接责任人员为</w:t>
      </w:r>
      <w:r>
        <w:rPr>
          <w:rFonts w:cs="宋体"/>
          <w:color w:val="auto"/>
          <w:highlight w:val="none"/>
          <w:u w:val="single"/>
          <w:shd w:val="clear" w:color="auto" w:fill="FFFFFF"/>
        </w:rPr>
        <w:t xml:space="preserve">本次投标委托授权代表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联系手机号码： </w:t>
      </w:r>
      <w:r>
        <w:rPr>
          <w:rFonts w:cs="宋体"/>
          <w:i/>
          <w:iCs/>
          <w:color w:val="auto"/>
          <w:highlight w:val="none"/>
          <w:u w:val="single"/>
          <w:shd w:val="clear" w:color="auto" w:fill="FFFFFF"/>
        </w:rPr>
        <w:t>（必须为本人实名办理的手机号码）</w:t>
      </w:r>
      <w:r>
        <w:rPr>
          <w:rFonts w:cs="宋体"/>
          <w:color w:val="auto"/>
          <w:highlight w:val="none"/>
          <w:u w:val="single"/>
          <w:shd w:val="clear" w:color="auto" w:fill="FFFFFF"/>
        </w:rPr>
        <w:t xml:space="preserve">             </w:t>
      </w:r>
      <w:r>
        <w:rPr>
          <w:rFonts w:cs="宋体"/>
          <w:color w:val="auto"/>
          <w:highlight w:val="none"/>
          <w:shd w:val="clear" w:color="auto" w:fill="FFFFFF"/>
        </w:rPr>
        <w:t>）</w:t>
      </w:r>
      <w:r>
        <w:rPr>
          <w:rFonts w:cs="宋体"/>
          <w:color w:val="auto"/>
          <w:highlight w:val="none"/>
        </w:rPr>
        <w:t>，上述人员承诺承担相应的法律责任。</w:t>
      </w:r>
    </w:p>
    <w:p>
      <w:pPr>
        <w:pStyle w:val="14"/>
        <w:spacing w:line="440" w:lineRule="exact"/>
        <w:ind w:firstLine="480" w:firstLineChars="200"/>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7.其他：</w:t>
      </w:r>
      <w:r>
        <w:rPr>
          <w:rFonts w:hint="eastAsia" w:hAnsi="宋体" w:eastAsia="宋体" w:cs="宋体"/>
          <w:color w:val="auto"/>
          <w:sz w:val="24"/>
          <w:szCs w:val="24"/>
          <w:highlight w:val="none"/>
          <w:u w:val="single"/>
        </w:rPr>
        <w:t xml:space="preserve">    </w:t>
      </w:r>
      <w:r>
        <w:rPr>
          <w:rFonts w:hint="eastAsia" w:hAnsi="宋体" w:eastAsia="宋体" w:cs="宋体"/>
          <w:i/>
          <w:iCs/>
          <w:color w:val="auto"/>
          <w:sz w:val="24"/>
          <w:szCs w:val="24"/>
          <w:highlight w:val="none"/>
          <w:u w:val="single"/>
        </w:rPr>
        <w:t>（招标人可根据实际情况增加相应的条款）</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p>
    <w:p>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8.以上承诺如有虚假，</w:t>
      </w:r>
      <w:r>
        <w:rPr>
          <w:rFonts w:hint="eastAsia"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pPr>
        <w:pStyle w:val="14"/>
        <w:spacing w:line="440" w:lineRule="exact"/>
        <w:ind w:firstLine="460" w:firstLineChars="200"/>
        <w:rPr>
          <w:rFonts w:hint="eastAsia" w:hAnsi="宋体" w:eastAsia="宋体" w:cs="宋体"/>
          <w:color w:val="auto"/>
          <w:spacing w:val="-5"/>
          <w:sz w:val="24"/>
          <w:szCs w:val="24"/>
          <w:highlight w:val="none"/>
        </w:rPr>
      </w:pPr>
    </w:p>
    <w:p>
      <w:pPr>
        <w:pStyle w:val="14"/>
        <w:spacing w:line="440" w:lineRule="exact"/>
        <w:ind w:firstLine="3120" w:firstLineChars="1300"/>
        <w:rPr>
          <w:rFonts w:hint="eastAsia" w:hAnsi="宋体" w:eastAsia="宋体" w:cs="宋体"/>
          <w:color w:val="auto"/>
          <w:sz w:val="24"/>
          <w:szCs w:val="24"/>
          <w:highlight w:val="none"/>
        </w:rPr>
      </w:pPr>
    </w:p>
    <w:p>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法定代表人（签字或盖章）：</w:t>
      </w:r>
    </w:p>
    <w:p>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投标人（单位盖章）：</w:t>
      </w:r>
    </w:p>
    <w:p>
      <w:pPr>
        <w:autoSpaceDN/>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年    月    日</w:t>
      </w:r>
    </w:p>
    <w:p>
      <w:pPr>
        <w:autoSpaceDN/>
        <w:rPr>
          <w:rFonts w:hint="eastAsia" w:ascii="宋体" w:hAnsi="宋体" w:eastAsia="宋体" w:cs="宋体"/>
          <w:color w:val="auto"/>
          <w:sz w:val="28"/>
          <w:szCs w:val="28"/>
          <w:highlight w:val="none"/>
        </w:rPr>
      </w:pPr>
    </w:p>
    <w:p>
      <w:pPr>
        <w:pStyle w:val="20"/>
        <w:rPr>
          <w:rFonts w:hint="eastAsia" w:ascii="宋体" w:hAnsi="宋体" w:cs="宋体"/>
          <w:highlight w:val="none"/>
        </w:rPr>
      </w:pP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5</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1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3</w:t>
                          </w:r>
                          <w: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10</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C8bAPKAQAAkgMAAA4AAABkcnMvZTJvRG9jLnhtbK1TS27bMBDdF+gd&#10;CO5ryW4R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yi8vOXPC0puffv86/fl3&#10;+vuTfU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C8bAPKAQAAkgMAAA4AAAAAAAAAAQAgAAAAHwEAAGRycy9lMm9E&#10;b2MueG1sUEsFBgAAAAAGAAYAWQEAAFs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10</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2EopTyAEAAJIDAAAOAAAAAAAAAAEAIAAAAB8BAABkcnMvZTJvRG9j&#10;LnhtbFBLBQYAAAAABgAGAFkBAABZ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9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28</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w3+qnKAQAAkgMAAA4AAAAAAAAAAQAgAAAAHwEAAGRycy9lMm9E&#10;b2MueG1sUEsFBgAAAAAGAAYAWQEAAFs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28</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29</w:t>
                          </w:r>
                          <w:r>
                            <w:fldChar w:fldCharType="end"/>
                          </w:r>
                        </w:p>
                      </w:txbxContent>
                    </wps:txbx>
                    <wps:bodyPr vert="horz" wrap="none" lIns="0" tIns="0" rIns="0" bIns="0" anchor="t">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3SMoxckBAACSAwAADgAAAAAAAAABACAAAAAfAQAAZHJzL2Uyb0Rv&#10;Yy54bWxQSwUGAAAAAAYABgBZAQAAWg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2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30</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30</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31</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tVvbHKAQAAkwMAAA4AAAAAAAAAAQAgAAAAHwEAAGRycy9lMm9E&#10;b2MueG1sUEsFBgAAAAAGAAYAWQEAAFs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32</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fG/fjLAQAAkw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k7zpyw9Obn37/Of/6d&#10;//5kxT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Hxv34ywEAAJMDAAAOAAAAAAAAAAEAIAAAAB8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32</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22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aN+BbLAQAAkwMAAA4AAABkcnMvZTJvRG9jLnhtbK1TS27bMBDdF8gd&#10;CO5jSW4R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K/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mjfgWywEAAJMDAAAOAAAAAAAAAAEAIAAAAB8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1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41</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12Sr/KAQAAkwMAAA4AAAAAAAAAAQAgAAAAHwEAAGRycy9lMm9E&#10;b2MueG1sUEsFBgAAAAAGAAYAWQEAAFs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41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59</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m6eNywEAAJMDAAAOAAAAAAAAAAEAIAAAAB8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59</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35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0"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60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DN200skBAACTAwAADgAAAAAAAAABACAAAAAfAQAAZHJzL2Uyb0Rv&#10;Yy54bWxQSwUGAAAAAAYABgBZAQAAWg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60</w:t>
                    </w:r>
                    <w:r>
                      <w:fldChar w:fldCharType="end"/>
                    </w:r>
                  </w:p>
                </w:txbxContent>
              </v:textbox>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1"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61</w:t>
                          </w:r>
                          <w:r>
                            <w:fldChar w:fldCharType="end"/>
                          </w:r>
                        </w:p>
                      </w:txbxContent>
                    </wps:txbx>
                    <wps:bodyPr vert="horz" wrap="none" lIns="0" tIns="0" rIns="0" bIns="0" anchor="t">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sq5sywEAAJMDAAAOAAAAAAAAAAEAIAAAAB8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61</w:t>
                    </w:r>
                    <w:r>
                      <w:fldChar w:fldCharType="end"/>
                    </w:r>
                  </w:p>
                </w:txbxContent>
              </v:textbox>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46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62</w:t>
                          </w:r>
                          <w:r>
                            <w:fldChar w:fldCharType="end"/>
                          </w:r>
                        </w:p>
                      </w:txbxContent>
                    </wps:txbx>
                    <wps:bodyPr vert="horz" wrap="none" lIns="0" tIns="0" rIns="0" bIns="0" anchor="t">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zvLY8kBAACTAwAADgAAAAAAAAABACAAAAAfAQAAZHJzL2Uyb0Rv&#10;Yy54bWxQSwUGAAAAAAYABgBZAQAAWg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62</w:t>
                    </w:r>
                    <w:r>
                      <w:fldChar w:fldCharType="end"/>
                    </w:r>
                  </w:p>
                </w:txbxContent>
              </v:textbox>
            </v:rect>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7337"/>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63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lU0d3LAQAAkwMAAA4AAABkcnMvZTJvRG9jLnhtbK1TS27bMBDdF+gd&#10;CO5jSU5R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q/K4przpyw9Obn37/Of/6d&#10;//5kyy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JVNHdywEAAJMDAAAOAAAAAAAAAAEAIAAAAB8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63</w:t>
                    </w:r>
                    <w:r>
                      <w:fldChar w:fldCharType="end"/>
                    </w:r>
                  </w:p>
                </w:txbxContent>
              </v:textbox>
            </v:rect>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80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4"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64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KSqsGTKAQAAkwMAAA4AAAAAAAAAAQAgAAAAHwEAAGRycy9lMm9E&#10;b2MueG1sUEsFBgAAAAAGAAYAWQEAAFs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64</w:t>
                    </w:r>
                    <w:r>
                      <w:fldChar w:fldCharType="end"/>
                    </w:r>
                  </w:p>
                </w:txbxContent>
              </v:textbox>
            </v:rect>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661"/>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5"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pPr>
                          <w:r>
                            <w:fldChar w:fldCharType="begin"/>
                          </w:r>
                          <w:r>
                            <w:instrText xml:space="preserve"> PAGE  \* MERGEFORMAT </w:instrText>
                          </w:r>
                          <w:r>
                            <w:fldChar w:fldCharType="separate"/>
                          </w:r>
                          <w:r>
                            <w:t>67</w:t>
                          </w:r>
                          <w:r>
                            <w:fldChar w:fldCharType="end"/>
                          </w:r>
                        </w:p>
                      </w:txbxContent>
                    </wps:txbx>
                    <wps:bodyPr vert="horz" wrap="none" lIns="0" tIns="0" rIns="0" bIns="0" anchor="t">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3HNBjLAQAAkwMAAA4AAABkcnMvZTJvRG9jLnhtbK1TS27bMBDdF8gd&#10;CO5jSUZT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V/WxQ3nDlh6c3PP76ff/4+&#10;//rGljfJoi5gSSefwiNMGVKY9PYN2PQlJawfbD1dbFV9ZJI2i9VytcrJcUm1OSGc7Pl6AIwflLcs&#10;BRUHerfBTnF8wDgenY+kbsal1fk7bcxYTTtZojkSS1Hsd/3EdufrE8mkqSfw1sNXzjp684o7GnHO&#10;zL0jS9N4zAHMwW4OhJN0seIjLwzvD5HaD9xSs7HDxIHealA3zVUahr/z4dTzv7T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9xzQYywEAAJMDAAAOAAAAAAAAAAEAIAAAAB8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67</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1"/>
    <w:multiLevelType w:val="singleLevel"/>
    <w:tmpl w:val="00000001"/>
    <w:lvl w:ilvl="0" w:tentative="0">
      <w:start w:val="5"/>
      <w:numFmt w:val="decimal"/>
      <w:suff w:val="nothing"/>
      <w:lvlText w:val="%1、"/>
      <w:lvlJc w:val="left"/>
    </w:lvl>
  </w:abstractNum>
  <w:abstractNum w:abstractNumId="2">
    <w:nsid w:val="00000002"/>
    <w:multiLevelType w:val="multilevel"/>
    <w:tmpl w:val="00000002"/>
    <w:lvl w:ilvl="0" w:tentative="0">
      <w:start w:val="1"/>
      <w:numFmt w:val="chineseCounting"/>
      <w:suff w:val="nothing"/>
      <w:lvlText w:val="（%1）"/>
      <w:lvlJc w:val="left"/>
      <w:pPr>
        <w:tabs>
          <w:tab w:val="left" w:pos="0"/>
        </w:tabs>
        <w:ind w:left="0" w:firstLine="400"/>
      </w:pPr>
      <w:rPr>
        <w:rFonts w:hint="eastAsia"/>
      </w:rPr>
    </w:lvl>
    <w:lvl w:ilvl="1" w:tentative="0">
      <w:start w:val="1"/>
      <w:numFmt w:val="decimal"/>
      <w:suff w:val="nothing"/>
      <w:lvlText w:val="%2．"/>
      <w:lvlJc w:val="left"/>
      <w:pPr>
        <w:tabs>
          <w:tab w:val="left" w:pos="0"/>
        </w:tabs>
        <w:ind w:left="0" w:firstLine="400"/>
      </w:pPr>
      <w:rPr>
        <w:rFonts w:hint="eastAsia"/>
      </w:rPr>
    </w:lvl>
    <w:lvl w:ilvl="2" w:tentative="0">
      <w:start w:val="1"/>
      <w:numFmt w:val="decimal"/>
      <w:suff w:val="nothing"/>
      <w:lvlText w:val="（%3）"/>
      <w:lvlJc w:val="left"/>
      <w:pPr>
        <w:tabs>
          <w:tab w:val="left" w:pos="0"/>
        </w:tabs>
        <w:ind w:left="0" w:firstLine="402"/>
      </w:pPr>
      <w:rPr>
        <w:rFonts w:hint="eastAsia"/>
      </w:rPr>
    </w:lvl>
    <w:lvl w:ilvl="3" w:tentative="0">
      <w:start w:val="1"/>
      <w:numFmt w:val="decimalEnclosedCircleChinese"/>
      <w:suff w:val="nothing"/>
      <w:lvlText w:val="%4 "/>
      <w:lvlJc w:val="left"/>
      <w:pPr>
        <w:tabs>
          <w:tab w:val="left" w:pos="0"/>
        </w:tabs>
        <w:ind w:left="0" w:firstLine="402"/>
      </w:pPr>
      <w:rPr>
        <w:rFonts w:hint="eastAsia"/>
      </w:rPr>
    </w:lvl>
    <w:lvl w:ilvl="4" w:tentative="0">
      <w:start w:val="1"/>
      <w:numFmt w:val="decimal"/>
      <w:suff w:val="nothing"/>
      <w:lvlText w:val="%5）"/>
      <w:lvlJc w:val="left"/>
      <w:pPr>
        <w:tabs>
          <w:tab w:val="left" w:pos="0"/>
        </w:tabs>
        <w:ind w:left="0" w:firstLine="402"/>
      </w:pPr>
      <w:rPr>
        <w:rFonts w:hint="eastAsia"/>
      </w:rPr>
    </w:lvl>
    <w:lvl w:ilvl="5" w:tentative="0">
      <w:start w:val="1"/>
      <w:numFmt w:val="upperLetter"/>
      <w:suff w:val="nothing"/>
      <w:lvlText w:val="%6．"/>
      <w:lvlJc w:val="left"/>
      <w:pPr>
        <w:tabs>
          <w:tab w:val="left" w:pos="0"/>
        </w:tabs>
        <w:ind w:left="0" w:firstLine="402"/>
      </w:pPr>
      <w:rPr>
        <w:rFonts w:hint="eastAsia"/>
      </w:rPr>
    </w:lvl>
    <w:lvl w:ilvl="6" w:tentative="0">
      <w:start w:val="1"/>
      <w:numFmt w:val="lowerLetter"/>
      <w:suff w:val="nothing"/>
      <w:lvlText w:val="%7．"/>
      <w:lvlJc w:val="left"/>
      <w:pPr>
        <w:tabs>
          <w:tab w:val="left" w:pos="0"/>
        </w:tabs>
        <w:ind w:left="0" w:firstLine="402"/>
      </w:pPr>
      <w:rPr>
        <w:rFonts w:hint="eastAsia"/>
      </w:rPr>
    </w:lvl>
    <w:lvl w:ilvl="7" w:tentative="0">
      <w:start w:val="1"/>
      <w:numFmt w:val="lowerLetter"/>
      <w:suff w:val="nothing"/>
      <w:lvlText w:val="%8）"/>
      <w:lvlJc w:val="left"/>
      <w:pPr>
        <w:tabs>
          <w:tab w:val="left" w:pos="0"/>
        </w:tabs>
        <w:ind w:left="0" w:firstLine="402"/>
      </w:pPr>
      <w:rPr>
        <w:rFonts w:hint="eastAsia"/>
      </w:rPr>
    </w:lvl>
    <w:lvl w:ilvl="8" w:tentative="0">
      <w:start w:val="1"/>
      <w:numFmt w:val="lowerRoman"/>
      <w:suff w:val="nothing"/>
      <w:lvlText w:val="%9．"/>
      <w:lvlJc w:val="left"/>
      <w:pPr>
        <w:tabs>
          <w:tab w:val="left" w:pos="0"/>
        </w:tabs>
        <w:ind w:left="0" w:firstLine="402"/>
      </w:pPr>
      <w:rPr>
        <w:rFonts w:hint="eastAsia"/>
      </w:rPr>
    </w:lvl>
  </w:abstractNum>
  <w:abstractNum w:abstractNumId="3">
    <w:nsid w:val="00000003"/>
    <w:multiLevelType w:val="multilevel"/>
    <w:tmpl w:val="00000003"/>
    <w:lvl w:ilvl="0" w:tentative="0">
      <w:start w:val="1"/>
      <w:numFmt w:val="chineseCounting"/>
      <w:suff w:val="nothing"/>
      <w:lvlText w:val="（%1）"/>
      <w:lvlJc w:val="left"/>
      <w:pPr>
        <w:tabs>
          <w:tab w:val="left" w:pos="0"/>
        </w:tabs>
        <w:ind w:left="0" w:firstLine="400"/>
      </w:pPr>
      <w:rPr>
        <w:rFonts w:hint="eastAsia"/>
      </w:rPr>
    </w:lvl>
    <w:lvl w:ilvl="1" w:tentative="0">
      <w:start w:val="1"/>
      <w:numFmt w:val="decimal"/>
      <w:suff w:val="nothing"/>
      <w:lvlText w:val="%2．"/>
      <w:lvlJc w:val="left"/>
      <w:pPr>
        <w:tabs>
          <w:tab w:val="left" w:pos="0"/>
        </w:tabs>
        <w:ind w:left="0" w:firstLine="400"/>
      </w:pPr>
      <w:rPr>
        <w:rFonts w:hint="eastAsia"/>
      </w:rPr>
    </w:lvl>
    <w:lvl w:ilvl="2" w:tentative="0">
      <w:start w:val="1"/>
      <w:numFmt w:val="decimal"/>
      <w:suff w:val="nothing"/>
      <w:lvlText w:val="（%3）"/>
      <w:lvlJc w:val="left"/>
      <w:pPr>
        <w:tabs>
          <w:tab w:val="left" w:pos="0"/>
        </w:tabs>
        <w:ind w:left="0" w:firstLine="402"/>
      </w:pPr>
      <w:rPr>
        <w:rFonts w:hint="eastAsia"/>
      </w:rPr>
    </w:lvl>
    <w:lvl w:ilvl="3" w:tentative="0">
      <w:start w:val="1"/>
      <w:numFmt w:val="decimalEnclosedCircleChinese"/>
      <w:suff w:val="nothing"/>
      <w:lvlText w:val="%4 "/>
      <w:lvlJc w:val="left"/>
      <w:pPr>
        <w:tabs>
          <w:tab w:val="left" w:pos="0"/>
        </w:tabs>
        <w:ind w:left="0" w:firstLine="402"/>
      </w:pPr>
      <w:rPr>
        <w:rFonts w:hint="eastAsia"/>
      </w:rPr>
    </w:lvl>
    <w:lvl w:ilvl="4" w:tentative="0">
      <w:start w:val="1"/>
      <w:numFmt w:val="decimal"/>
      <w:suff w:val="nothing"/>
      <w:lvlText w:val="%5）"/>
      <w:lvlJc w:val="left"/>
      <w:pPr>
        <w:tabs>
          <w:tab w:val="left" w:pos="0"/>
        </w:tabs>
        <w:ind w:left="0" w:firstLine="402"/>
      </w:pPr>
      <w:rPr>
        <w:rFonts w:hint="eastAsia"/>
      </w:rPr>
    </w:lvl>
    <w:lvl w:ilvl="5" w:tentative="0">
      <w:start w:val="1"/>
      <w:numFmt w:val="upperLetter"/>
      <w:suff w:val="nothing"/>
      <w:lvlText w:val="%6．"/>
      <w:lvlJc w:val="left"/>
      <w:pPr>
        <w:tabs>
          <w:tab w:val="left" w:pos="0"/>
        </w:tabs>
        <w:ind w:left="0" w:firstLine="402"/>
      </w:pPr>
      <w:rPr>
        <w:rFonts w:hint="eastAsia"/>
      </w:rPr>
    </w:lvl>
    <w:lvl w:ilvl="6" w:tentative="0">
      <w:start w:val="1"/>
      <w:numFmt w:val="lowerLetter"/>
      <w:suff w:val="nothing"/>
      <w:lvlText w:val="%7．"/>
      <w:lvlJc w:val="left"/>
      <w:pPr>
        <w:tabs>
          <w:tab w:val="left" w:pos="0"/>
        </w:tabs>
        <w:ind w:left="0" w:firstLine="402"/>
      </w:pPr>
      <w:rPr>
        <w:rFonts w:hint="eastAsia"/>
      </w:rPr>
    </w:lvl>
    <w:lvl w:ilvl="7" w:tentative="0">
      <w:start w:val="1"/>
      <w:numFmt w:val="lowerLetter"/>
      <w:suff w:val="nothing"/>
      <w:lvlText w:val="%8）"/>
      <w:lvlJc w:val="left"/>
      <w:pPr>
        <w:tabs>
          <w:tab w:val="left" w:pos="0"/>
        </w:tabs>
        <w:ind w:left="0" w:firstLine="402"/>
      </w:pPr>
      <w:rPr>
        <w:rFonts w:hint="eastAsia"/>
      </w:rPr>
    </w:lvl>
    <w:lvl w:ilvl="8" w:tentative="0">
      <w:start w:val="1"/>
      <w:numFmt w:val="lowerRoman"/>
      <w:suff w:val="nothing"/>
      <w:lvlText w:val="%9．"/>
      <w:lvlJc w:val="left"/>
      <w:pPr>
        <w:tabs>
          <w:tab w:val="left" w:pos="0"/>
        </w:tabs>
        <w:ind w:left="0" w:firstLine="402"/>
      </w:pPr>
      <w:rPr>
        <w:rFonts w:hint="eastAsia"/>
      </w:rPr>
    </w:lvl>
  </w:abstractNum>
  <w:abstractNum w:abstractNumId="4">
    <w:nsid w:val="00000004"/>
    <w:multiLevelType w:val="singleLevel"/>
    <w:tmpl w:val="00000004"/>
    <w:lvl w:ilvl="0" w:tentative="0">
      <w:start w:val="3"/>
      <w:numFmt w:val="decimal"/>
      <w:suff w:val="nothing"/>
      <w:lvlText w:val="（%1）"/>
      <w:lvlJc w:val="left"/>
    </w:lvl>
  </w:abstractNum>
  <w:abstractNum w:abstractNumId="5">
    <w:nsid w:val="00000005"/>
    <w:multiLevelType w:val="multilevel"/>
    <w:tmpl w:val="00000005"/>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9"/>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6">
    <w:nsid w:val="00000006"/>
    <w:multiLevelType w:val="multilevel"/>
    <w:tmpl w:val="00000006"/>
    <w:lvl w:ilvl="0" w:tentative="0">
      <w:start w:val="1"/>
      <w:numFmt w:val="chineseCounting"/>
      <w:suff w:val="nothing"/>
      <w:lvlText w:val="（%1）"/>
      <w:lvlJc w:val="left"/>
      <w:pPr>
        <w:tabs>
          <w:tab w:val="left" w:pos="0"/>
        </w:tabs>
        <w:ind w:left="0" w:firstLine="400"/>
      </w:pPr>
      <w:rPr>
        <w:rFonts w:hint="eastAsia"/>
      </w:rPr>
    </w:lvl>
    <w:lvl w:ilvl="1" w:tentative="0">
      <w:start w:val="1"/>
      <w:numFmt w:val="decimal"/>
      <w:suff w:val="nothing"/>
      <w:lvlText w:val="%2．"/>
      <w:lvlJc w:val="left"/>
      <w:pPr>
        <w:tabs>
          <w:tab w:val="left" w:pos="0"/>
        </w:tabs>
        <w:ind w:left="0" w:firstLine="400"/>
      </w:pPr>
      <w:rPr>
        <w:rFonts w:hint="eastAsia"/>
      </w:rPr>
    </w:lvl>
    <w:lvl w:ilvl="2" w:tentative="0">
      <w:start w:val="1"/>
      <w:numFmt w:val="decimal"/>
      <w:suff w:val="nothing"/>
      <w:lvlText w:val="（%3）"/>
      <w:lvlJc w:val="left"/>
      <w:pPr>
        <w:tabs>
          <w:tab w:val="left" w:pos="0"/>
        </w:tabs>
        <w:ind w:left="0" w:firstLine="402"/>
      </w:pPr>
      <w:rPr>
        <w:rFonts w:hint="eastAsia"/>
      </w:rPr>
    </w:lvl>
    <w:lvl w:ilvl="3" w:tentative="0">
      <w:start w:val="1"/>
      <w:numFmt w:val="decimalEnclosedCircleChinese"/>
      <w:suff w:val="nothing"/>
      <w:lvlText w:val="%4 "/>
      <w:lvlJc w:val="left"/>
      <w:pPr>
        <w:tabs>
          <w:tab w:val="left" w:pos="0"/>
        </w:tabs>
        <w:ind w:left="0" w:firstLine="402"/>
      </w:pPr>
      <w:rPr>
        <w:rFonts w:hint="eastAsia"/>
      </w:rPr>
    </w:lvl>
    <w:lvl w:ilvl="4" w:tentative="0">
      <w:start w:val="1"/>
      <w:numFmt w:val="decimal"/>
      <w:suff w:val="nothing"/>
      <w:lvlText w:val="%5）"/>
      <w:lvlJc w:val="left"/>
      <w:pPr>
        <w:tabs>
          <w:tab w:val="left" w:pos="0"/>
        </w:tabs>
        <w:ind w:left="0" w:firstLine="402"/>
      </w:pPr>
      <w:rPr>
        <w:rFonts w:hint="eastAsia"/>
      </w:rPr>
    </w:lvl>
    <w:lvl w:ilvl="5" w:tentative="0">
      <w:start w:val="1"/>
      <w:numFmt w:val="upperLetter"/>
      <w:suff w:val="nothing"/>
      <w:lvlText w:val="%6．"/>
      <w:lvlJc w:val="left"/>
      <w:pPr>
        <w:tabs>
          <w:tab w:val="left" w:pos="0"/>
        </w:tabs>
        <w:ind w:left="0" w:firstLine="402"/>
      </w:pPr>
      <w:rPr>
        <w:rFonts w:hint="eastAsia"/>
      </w:rPr>
    </w:lvl>
    <w:lvl w:ilvl="6" w:tentative="0">
      <w:start w:val="1"/>
      <w:numFmt w:val="lowerLetter"/>
      <w:suff w:val="nothing"/>
      <w:lvlText w:val="%7．"/>
      <w:lvlJc w:val="left"/>
      <w:pPr>
        <w:tabs>
          <w:tab w:val="left" w:pos="0"/>
        </w:tabs>
        <w:ind w:left="0" w:firstLine="402"/>
      </w:pPr>
      <w:rPr>
        <w:rFonts w:hint="eastAsia"/>
      </w:rPr>
    </w:lvl>
    <w:lvl w:ilvl="7" w:tentative="0">
      <w:start w:val="1"/>
      <w:numFmt w:val="lowerLetter"/>
      <w:suff w:val="nothing"/>
      <w:lvlText w:val="%8）"/>
      <w:lvlJc w:val="left"/>
      <w:pPr>
        <w:tabs>
          <w:tab w:val="left" w:pos="0"/>
        </w:tabs>
        <w:ind w:left="0" w:firstLine="402"/>
      </w:pPr>
      <w:rPr>
        <w:rFonts w:hint="eastAsia"/>
      </w:rPr>
    </w:lvl>
    <w:lvl w:ilvl="8" w:tentative="0">
      <w:start w:val="1"/>
      <w:numFmt w:val="lowerRoman"/>
      <w:suff w:val="nothing"/>
      <w:lvlText w:val="%9．"/>
      <w:lvlJc w:val="left"/>
      <w:pPr>
        <w:tabs>
          <w:tab w:val="left" w:pos="0"/>
        </w:tabs>
        <w:ind w:left="0" w:firstLine="402"/>
      </w:pPr>
      <w:rPr>
        <w:rFonts w:hint="eastAsia"/>
      </w:rPr>
    </w:lvl>
  </w:abstractNum>
  <w:abstractNum w:abstractNumId="7">
    <w:nsid w:val="00000007"/>
    <w:multiLevelType w:val="multilevel"/>
    <w:tmpl w:val="00000007"/>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5"/>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00000008"/>
    <w:multiLevelType w:val="singleLevel"/>
    <w:tmpl w:val="00000008"/>
    <w:lvl w:ilvl="0" w:tentative="0">
      <w:start w:val="4"/>
      <w:numFmt w:val="chineseCounting"/>
      <w:suff w:val="nothing"/>
      <w:lvlText w:val="%1、"/>
      <w:lvlJc w:val="left"/>
      <w:rPr>
        <w:rFonts w:hint="eastAsia"/>
      </w:rPr>
    </w:lvl>
  </w:abstractNum>
  <w:abstractNum w:abstractNumId="9">
    <w:nsid w:val="7E7F2902"/>
    <w:multiLevelType w:val="singleLevel"/>
    <w:tmpl w:val="7E7F2902"/>
    <w:lvl w:ilvl="0" w:tentative="0">
      <w:start w:val="12"/>
      <w:numFmt w:val="decimal"/>
      <w:lvlText w:val="%1."/>
      <w:lvlJc w:val="left"/>
      <w:pPr>
        <w:tabs>
          <w:tab w:val="left" w:pos="312"/>
        </w:tabs>
      </w:pPr>
    </w:lvl>
  </w:abstractNum>
  <w:num w:numId="1">
    <w:abstractNumId w:val="7"/>
  </w:num>
  <w:num w:numId="2">
    <w:abstractNumId w:val="5"/>
  </w:num>
  <w:num w:numId="3">
    <w:abstractNumId w:val="8"/>
  </w:num>
  <w:num w:numId="4">
    <w:abstractNumId w:val="9"/>
  </w:num>
  <w:num w:numId="5">
    <w:abstractNumId w:val="4"/>
  </w:num>
  <w:num w:numId="6">
    <w:abstractNumId w:val="0"/>
  </w:num>
  <w:num w:numId="7">
    <w:abstractNumId w:val="3"/>
  </w:num>
  <w:num w:numId="8">
    <w:abstractNumId w:val="6"/>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207F35"/>
    <w:rsid w:val="003A6B66"/>
    <w:rsid w:val="007C0F2D"/>
    <w:rsid w:val="009C337D"/>
    <w:rsid w:val="00FE7BF9"/>
    <w:rsid w:val="0159301C"/>
    <w:rsid w:val="01AF70E0"/>
    <w:rsid w:val="02840270"/>
    <w:rsid w:val="02B2505C"/>
    <w:rsid w:val="042F236B"/>
    <w:rsid w:val="05340028"/>
    <w:rsid w:val="066B167A"/>
    <w:rsid w:val="067A5F0E"/>
    <w:rsid w:val="095A3DD5"/>
    <w:rsid w:val="099E26EF"/>
    <w:rsid w:val="0AAA2B3A"/>
    <w:rsid w:val="0ADE3BB0"/>
    <w:rsid w:val="0B386398"/>
    <w:rsid w:val="0B3A406F"/>
    <w:rsid w:val="0C63281E"/>
    <w:rsid w:val="0CCC4FEA"/>
    <w:rsid w:val="0CE911C3"/>
    <w:rsid w:val="0D701E19"/>
    <w:rsid w:val="0DF5231E"/>
    <w:rsid w:val="0E770F85"/>
    <w:rsid w:val="0EF95E3E"/>
    <w:rsid w:val="0F6634D4"/>
    <w:rsid w:val="0F9D4A1B"/>
    <w:rsid w:val="0FDD0E57"/>
    <w:rsid w:val="107D490A"/>
    <w:rsid w:val="116D721B"/>
    <w:rsid w:val="11E76422"/>
    <w:rsid w:val="12624A54"/>
    <w:rsid w:val="126D1CBF"/>
    <w:rsid w:val="129442FC"/>
    <w:rsid w:val="13BD568C"/>
    <w:rsid w:val="13C36AF0"/>
    <w:rsid w:val="13DD7ADC"/>
    <w:rsid w:val="13DE01C4"/>
    <w:rsid w:val="161A7070"/>
    <w:rsid w:val="16E9271A"/>
    <w:rsid w:val="17C074F9"/>
    <w:rsid w:val="182E4DAB"/>
    <w:rsid w:val="19120228"/>
    <w:rsid w:val="1AED589C"/>
    <w:rsid w:val="1B0011DE"/>
    <w:rsid w:val="1B0818E3"/>
    <w:rsid w:val="1B5468D6"/>
    <w:rsid w:val="1D0B56BA"/>
    <w:rsid w:val="1D2642A2"/>
    <w:rsid w:val="1D345DF0"/>
    <w:rsid w:val="1D383FD6"/>
    <w:rsid w:val="1D3D6A4B"/>
    <w:rsid w:val="1F362BBF"/>
    <w:rsid w:val="1FA140B4"/>
    <w:rsid w:val="1FD471C5"/>
    <w:rsid w:val="20D83B05"/>
    <w:rsid w:val="22B12860"/>
    <w:rsid w:val="23BA6FBE"/>
    <w:rsid w:val="2471674B"/>
    <w:rsid w:val="25C1100C"/>
    <w:rsid w:val="28757E8C"/>
    <w:rsid w:val="29211DC2"/>
    <w:rsid w:val="29357A83"/>
    <w:rsid w:val="29785E86"/>
    <w:rsid w:val="29E72BF1"/>
    <w:rsid w:val="2A1F3093"/>
    <w:rsid w:val="2AAB4039"/>
    <w:rsid w:val="2C336F35"/>
    <w:rsid w:val="2D510EC7"/>
    <w:rsid w:val="2DE47F8D"/>
    <w:rsid w:val="2F1228D8"/>
    <w:rsid w:val="2F5C3B54"/>
    <w:rsid w:val="2FAF6379"/>
    <w:rsid w:val="2FCE1DB4"/>
    <w:rsid w:val="2FDE27BA"/>
    <w:rsid w:val="30D37E45"/>
    <w:rsid w:val="318555E4"/>
    <w:rsid w:val="324E3C27"/>
    <w:rsid w:val="335C05C6"/>
    <w:rsid w:val="3417273F"/>
    <w:rsid w:val="347D6A46"/>
    <w:rsid w:val="34B90A7B"/>
    <w:rsid w:val="35235501"/>
    <w:rsid w:val="35521C81"/>
    <w:rsid w:val="35E115C1"/>
    <w:rsid w:val="37615141"/>
    <w:rsid w:val="37651714"/>
    <w:rsid w:val="37767378"/>
    <w:rsid w:val="37AB38CA"/>
    <w:rsid w:val="38675A43"/>
    <w:rsid w:val="38A722E3"/>
    <w:rsid w:val="3A1F1CA4"/>
    <w:rsid w:val="3A43603C"/>
    <w:rsid w:val="3B9528C7"/>
    <w:rsid w:val="3BBD1E1E"/>
    <w:rsid w:val="3E4D1237"/>
    <w:rsid w:val="3EFFA24C"/>
    <w:rsid w:val="3F1C374E"/>
    <w:rsid w:val="3FE756BB"/>
    <w:rsid w:val="3FEFA557"/>
    <w:rsid w:val="40387CC5"/>
    <w:rsid w:val="408F1FDB"/>
    <w:rsid w:val="40925627"/>
    <w:rsid w:val="41AF2209"/>
    <w:rsid w:val="42E934F8"/>
    <w:rsid w:val="448766C3"/>
    <w:rsid w:val="45887465"/>
    <w:rsid w:val="45B871E1"/>
    <w:rsid w:val="46C068FD"/>
    <w:rsid w:val="46C978C9"/>
    <w:rsid w:val="47A63E71"/>
    <w:rsid w:val="47DB78B4"/>
    <w:rsid w:val="47E013A1"/>
    <w:rsid w:val="4861761A"/>
    <w:rsid w:val="48E04A06"/>
    <w:rsid w:val="4A4A6F73"/>
    <w:rsid w:val="4A8D175A"/>
    <w:rsid w:val="4AB80380"/>
    <w:rsid w:val="4B67093E"/>
    <w:rsid w:val="4E0A0EF3"/>
    <w:rsid w:val="51475FBA"/>
    <w:rsid w:val="52132340"/>
    <w:rsid w:val="52CF3A41"/>
    <w:rsid w:val="53DA3115"/>
    <w:rsid w:val="546E5C98"/>
    <w:rsid w:val="558902F7"/>
    <w:rsid w:val="561A1BD8"/>
    <w:rsid w:val="571628C8"/>
    <w:rsid w:val="57335A1F"/>
    <w:rsid w:val="584E76A7"/>
    <w:rsid w:val="58F77B64"/>
    <w:rsid w:val="5ABC3575"/>
    <w:rsid w:val="5B13515F"/>
    <w:rsid w:val="5B4A5896"/>
    <w:rsid w:val="5B865931"/>
    <w:rsid w:val="5D0C38DF"/>
    <w:rsid w:val="5E994821"/>
    <w:rsid w:val="5EBD78BB"/>
    <w:rsid w:val="5F7F1015"/>
    <w:rsid w:val="60BE791B"/>
    <w:rsid w:val="62940A10"/>
    <w:rsid w:val="631A352E"/>
    <w:rsid w:val="63CD4FA9"/>
    <w:rsid w:val="64967A65"/>
    <w:rsid w:val="65FF25D9"/>
    <w:rsid w:val="66D6120F"/>
    <w:rsid w:val="67C3769D"/>
    <w:rsid w:val="68B1654A"/>
    <w:rsid w:val="690A7BA1"/>
    <w:rsid w:val="69F529EE"/>
    <w:rsid w:val="6A460108"/>
    <w:rsid w:val="6B7B1AB7"/>
    <w:rsid w:val="6C5C22D4"/>
    <w:rsid w:val="6D371181"/>
    <w:rsid w:val="6E522AE8"/>
    <w:rsid w:val="6EA14120"/>
    <w:rsid w:val="6EF90AB4"/>
    <w:rsid w:val="6F2579BF"/>
    <w:rsid w:val="72C2329A"/>
    <w:rsid w:val="73B513F3"/>
    <w:rsid w:val="73DB194D"/>
    <w:rsid w:val="74E74A45"/>
    <w:rsid w:val="76745EA9"/>
    <w:rsid w:val="779F004E"/>
    <w:rsid w:val="77E141C3"/>
    <w:rsid w:val="78232A2D"/>
    <w:rsid w:val="78FA1C9A"/>
    <w:rsid w:val="79116D2A"/>
    <w:rsid w:val="79537342"/>
    <w:rsid w:val="7DBD2FDC"/>
    <w:rsid w:val="7DC4436B"/>
    <w:rsid w:val="7DC73E5B"/>
    <w:rsid w:val="7E68119A"/>
    <w:rsid w:val="7F863192"/>
    <w:rsid w:val="FDF617A8"/>
    <w:rsid w:val="FFBC9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1"/>
    <w:basedOn w:val="1"/>
    <w:next w:val="1"/>
    <w:link w:val="40"/>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6"/>
    <w:autoRedefine/>
    <w:qFormat/>
    <w:uiPriority w:val="0"/>
    <w:pPr>
      <w:keepNext/>
      <w:keepLines/>
      <w:numPr>
        <w:ilvl w:val="1"/>
        <w:numId w:val="1"/>
      </w:numPr>
      <w:tabs>
        <w:tab w:val="left" w:pos="360"/>
        <w:tab w:val="left" w:pos="420"/>
      </w:tabs>
      <w:spacing w:line="360" w:lineRule="auto"/>
      <w:outlineLvl w:val="1"/>
    </w:pPr>
    <w:rPr>
      <w:rFonts w:eastAsia="宋体"/>
      <w:b/>
      <w:sz w:val="24"/>
      <w:szCs w:val="20"/>
    </w:rPr>
  </w:style>
  <w:style w:type="paragraph" w:styleId="7">
    <w:name w:val="heading 3"/>
    <w:basedOn w:val="1"/>
    <w:next w:val="6"/>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8">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9">
    <w:name w:val="heading 5"/>
    <w:basedOn w:val="1"/>
    <w:next w:val="1"/>
    <w:autoRedefine/>
    <w:qFormat/>
    <w:uiPriority w:val="0"/>
    <w:pPr>
      <w:keepNext/>
      <w:keepLines/>
      <w:numPr>
        <w:ilvl w:val="4"/>
        <w:numId w:val="2"/>
      </w:numPr>
      <w:spacing w:before="280" w:after="290" w:line="372" w:lineRule="auto"/>
      <w:ind w:firstLine="0"/>
      <w:outlineLvl w:val="4"/>
    </w:pPr>
    <w:rPr>
      <w:b/>
    </w:rPr>
  </w:style>
  <w:style w:type="character" w:default="1" w:styleId="32">
    <w:name w:val="Default Paragraph Font"/>
    <w:qFormat/>
    <w:uiPriority w:val="1"/>
  </w:style>
  <w:style w:type="table" w:default="1" w:styleId="30">
    <w:name w:val="Normal Table"/>
    <w:qFormat/>
    <w:uiPriority w:val="99"/>
    <w:tblPr>
      <w:tblCellMar>
        <w:top w:w="0" w:type="dxa"/>
        <w:left w:w="108" w:type="dxa"/>
        <w:bottom w:w="0" w:type="dxa"/>
        <w:right w:w="108" w:type="dxa"/>
      </w:tblCellMar>
    </w:tblPr>
  </w:style>
  <w:style w:type="paragraph" w:styleId="2">
    <w:name w:val="Body Text First Indent 2"/>
    <w:basedOn w:val="3"/>
    <w:autoRedefine/>
    <w:qFormat/>
    <w:uiPriority w:val="99"/>
    <w:pPr>
      <w:spacing w:line="200" w:lineRule="atLeast"/>
      <w:ind w:firstLine="420"/>
    </w:pPr>
    <w:rPr>
      <w:rFonts w:ascii="宋体" w:hAnsi="Courier New"/>
      <w:spacing w:val="-4"/>
      <w:sz w:val="18"/>
    </w:rPr>
  </w:style>
  <w:style w:type="paragraph" w:styleId="3">
    <w:name w:val="Body Text Indent"/>
    <w:basedOn w:val="1"/>
    <w:autoRedefine/>
    <w:qFormat/>
    <w:uiPriority w:val="0"/>
    <w:pPr>
      <w:spacing w:line="500" w:lineRule="atLeast"/>
      <w:ind w:firstLine="510"/>
    </w:pPr>
    <w:rPr>
      <w:rFonts w:ascii="仿宋_GB2312" w:eastAsia="仿宋_GB2312"/>
      <w:sz w:val="24"/>
      <w:szCs w:val="20"/>
    </w:rPr>
  </w:style>
  <w:style w:type="paragraph" w:customStyle="1" w:styleId="6">
    <w:name w:val="标书正文格式"/>
    <w:autoRedefine/>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10">
    <w:name w:val="Normal Indent"/>
    <w:basedOn w:val="1"/>
    <w:next w:val="1"/>
    <w:autoRedefine/>
    <w:qFormat/>
    <w:uiPriority w:val="0"/>
    <w:pPr>
      <w:ind w:firstLine="420" w:firstLineChars="200"/>
    </w:pPr>
  </w:style>
  <w:style w:type="paragraph" w:styleId="11">
    <w:name w:val="annotation text"/>
    <w:basedOn w:val="1"/>
    <w:link w:val="41"/>
    <w:autoRedefine/>
    <w:qFormat/>
    <w:uiPriority w:val="0"/>
    <w:pPr>
      <w:widowControl w:val="0"/>
    </w:pPr>
    <w:rPr>
      <w:rFonts w:ascii="Times New Roman" w:hAnsi="Times New Roman" w:eastAsia="宋体" w:cs="Times New Roman"/>
      <w:kern w:val="2"/>
      <w:szCs w:val="24"/>
    </w:rPr>
  </w:style>
  <w:style w:type="paragraph" w:styleId="12">
    <w:name w:val="Body Text"/>
    <w:basedOn w:val="1"/>
    <w:autoRedefine/>
    <w:qFormat/>
    <w:uiPriority w:val="0"/>
    <w:pPr>
      <w:spacing w:after="120"/>
    </w:pPr>
    <w:rPr>
      <w:sz w:val="20"/>
    </w:rPr>
  </w:style>
  <w:style w:type="paragraph" w:styleId="13">
    <w:name w:val="toc 3"/>
    <w:basedOn w:val="1"/>
    <w:next w:val="1"/>
    <w:autoRedefine/>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autoRedefine/>
    <w:qFormat/>
    <w:uiPriority w:val="99"/>
    <w:pPr>
      <w:autoSpaceDN/>
      <w:adjustRightInd/>
      <w:jc w:val="both"/>
    </w:pPr>
    <w:rPr>
      <w:rFonts w:ascii="宋体" w:hAnsi="Courier New"/>
      <w:sz w:val="20"/>
      <w:szCs w:val="20"/>
    </w:rPr>
  </w:style>
  <w:style w:type="paragraph" w:styleId="15">
    <w:name w:val="Date"/>
    <w:basedOn w:val="1"/>
    <w:next w:val="1"/>
    <w:autoRedefine/>
    <w:qFormat/>
    <w:uiPriority w:val="0"/>
    <w:rPr>
      <w:rFonts w:ascii="宋体"/>
      <w:szCs w:val="20"/>
    </w:rPr>
  </w:style>
  <w:style w:type="paragraph" w:styleId="16">
    <w:name w:val="Body Text Indent 2"/>
    <w:basedOn w:val="1"/>
    <w:autoRedefine/>
    <w:qFormat/>
    <w:uiPriority w:val="0"/>
    <w:pPr>
      <w:spacing w:line="360" w:lineRule="auto"/>
      <w:ind w:firstLine="601"/>
      <w:textAlignment w:val="baseline"/>
    </w:pPr>
    <w:rPr>
      <w:rFonts w:ascii="宋体"/>
      <w:kern w:val="0"/>
      <w:sz w:val="28"/>
      <w:szCs w:val="20"/>
    </w:rPr>
  </w:style>
  <w:style w:type="paragraph" w:styleId="17">
    <w:name w:val="Balloon Text"/>
    <w:basedOn w:val="1"/>
    <w:link w:val="42"/>
    <w:autoRedefine/>
    <w:qFormat/>
    <w:uiPriority w:val="0"/>
    <w:rPr>
      <w:sz w:val="18"/>
      <w:szCs w:val="18"/>
    </w:rPr>
  </w:style>
  <w:style w:type="paragraph" w:styleId="18">
    <w:name w:val="footer"/>
    <w:basedOn w:val="1"/>
    <w:link w:val="43"/>
    <w:autoRedefine/>
    <w:qFormat/>
    <w:uiPriority w:val="0"/>
    <w:pPr>
      <w:tabs>
        <w:tab w:val="center" w:pos="4153"/>
        <w:tab w:val="right" w:pos="8306"/>
      </w:tabs>
    </w:pPr>
    <w:rPr>
      <w:sz w:val="18"/>
      <w:szCs w:val="18"/>
    </w:rPr>
  </w:style>
  <w:style w:type="paragraph" w:styleId="19">
    <w:name w:val="header"/>
    <w:basedOn w:val="1"/>
    <w:link w:val="44"/>
    <w:autoRedefine/>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autoRedefine/>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22">
    <w:name w:val="toc 6"/>
    <w:basedOn w:val="1"/>
    <w:next w:val="1"/>
    <w:autoRedefine/>
    <w:qFormat/>
    <w:uiPriority w:val="99"/>
    <w:pPr>
      <w:autoSpaceDN/>
      <w:adjustRightInd/>
      <w:spacing w:before="100" w:beforeAutospacing="1" w:after="100" w:afterAutospacing="1"/>
      <w:ind w:left="2100" w:leftChars="1000"/>
      <w:jc w:val="both"/>
    </w:pPr>
    <w:rPr>
      <w:kern w:val="2"/>
    </w:rPr>
  </w:style>
  <w:style w:type="paragraph" w:styleId="23">
    <w:name w:val="Body Text Indent 3"/>
    <w:basedOn w:val="1"/>
    <w:autoRedefine/>
    <w:qFormat/>
    <w:uiPriority w:val="0"/>
    <w:pPr>
      <w:spacing w:after="120"/>
      <w:ind w:left="420" w:leftChars="200"/>
    </w:pPr>
    <w:rPr>
      <w:sz w:val="16"/>
      <w:szCs w:val="16"/>
    </w:rPr>
  </w:style>
  <w:style w:type="paragraph" w:styleId="24">
    <w:name w:val="toc 2"/>
    <w:basedOn w:val="1"/>
    <w:next w:val="1"/>
    <w:autoRedefine/>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25">
    <w:name w:val="HTML Preformatted"/>
    <w:basedOn w:val="1"/>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26">
    <w:name w:val="Normal (Web)"/>
    <w:basedOn w:val="1"/>
    <w:autoRedefine/>
    <w:qFormat/>
    <w:uiPriority w:val="0"/>
    <w:pPr>
      <w:spacing w:before="100" w:beforeAutospacing="1" w:after="100" w:afterAutospacing="1"/>
    </w:pPr>
    <w:rPr>
      <w:rFonts w:cs="Times New Roman"/>
      <w:sz w:val="24"/>
    </w:rPr>
  </w:style>
  <w:style w:type="paragraph" w:styleId="27">
    <w:name w:val="Title"/>
    <w:basedOn w:val="1"/>
    <w:next w:val="1"/>
    <w:autoRedefine/>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11"/>
    <w:next w:val="11"/>
    <w:link w:val="45"/>
    <w:autoRedefine/>
    <w:qFormat/>
    <w:uiPriority w:val="0"/>
    <w:rPr>
      <w:b/>
      <w:bCs/>
    </w:rPr>
  </w:style>
  <w:style w:type="paragraph" w:styleId="29">
    <w:name w:val="Body Text First Indent"/>
    <w:basedOn w:val="12"/>
    <w:autoRedefine/>
    <w:qFormat/>
    <w:uiPriority w:val="99"/>
    <w:pPr>
      <w:ind w:firstLine="420" w:firstLineChars="100"/>
    </w:pPr>
  </w:style>
  <w:style w:type="table" w:styleId="31">
    <w:name w:val="Table Grid"/>
    <w:basedOn w:val="3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0"/>
    <w:rPr>
      <w:b/>
      <w:bCs/>
    </w:rPr>
  </w:style>
  <w:style w:type="character" w:styleId="34">
    <w:name w:val="FollowedHyperlink"/>
    <w:basedOn w:val="32"/>
    <w:autoRedefine/>
    <w:qFormat/>
    <w:uiPriority w:val="0"/>
    <w:rPr>
      <w:color w:val="800080"/>
      <w:u w:val="none"/>
    </w:rPr>
  </w:style>
  <w:style w:type="character" w:styleId="35">
    <w:name w:val="Hyperlink"/>
    <w:basedOn w:val="32"/>
    <w:autoRedefine/>
    <w:qFormat/>
    <w:uiPriority w:val="0"/>
    <w:rPr>
      <w:color w:val="0000FF"/>
      <w:u w:val="single"/>
    </w:rPr>
  </w:style>
  <w:style w:type="character" w:styleId="36">
    <w:name w:val="annotation reference"/>
    <w:basedOn w:val="32"/>
    <w:autoRedefine/>
    <w:qFormat/>
    <w:uiPriority w:val="0"/>
    <w:rPr>
      <w:sz w:val="21"/>
      <w:szCs w:val="21"/>
    </w:rPr>
  </w:style>
  <w:style w:type="paragraph" w:customStyle="1" w:styleId="37">
    <w:name w:val="明显引用1"/>
    <w:basedOn w:val="1"/>
    <w:next w:val="1"/>
    <w:autoRedefine/>
    <w:qFormat/>
    <w:uiPriority w:val="0"/>
    <w:pPr>
      <w:spacing w:before="200" w:after="280"/>
      <w:ind w:left="936" w:right="936"/>
    </w:pPr>
    <w:rPr>
      <w:b/>
      <w:i/>
      <w:color w:val="4F81BD"/>
      <w:sz w:val="20"/>
    </w:rPr>
  </w:style>
  <w:style w:type="paragraph" w:customStyle="1" w:styleId="38">
    <w:name w:val="TOC1"/>
    <w:basedOn w:val="1"/>
    <w:next w:val="1"/>
    <w:autoRedefine/>
    <w:qFormat/>
    <w:uiPriority w:val="0"/>
    <w:pPr>
      <w:tabs>
        <w:tab w:val="right" w:leader="dot" w:pos="9203"/>
      </w:tabs>
      <w:spacing w:before="120" w:after="120" w:line="360" w:lineRule="auto"/>
      <w:jc w:val="center"/>
      <w:textAlignment w:val="baseline"/>
    </w:pPr>
    <w:rPr>
      <w:rFonts w:ascii="宋体" w:hAnsi="宋体"/>
      <w:b/>
      <w:bCs/>
      <w:caps/>
      <w:sz w:val="20"/>
      <w:szCs w:val="20"/>
    </w:rPr>
  </w:style>
  <w:style w:type="paragraph" w:customStyle="1" w:styleId="3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0">
    <w:name w:val="标题 1 字符"/>
    <w:basedOn w:val="32"/>
    <w:link w:val="4"/>
    <w:autoRedefine/>
    <w:qFormat/>
    <w:uiPriority w:val="0"/>
    <w:rPr>
      <w:rFonts w:ascii="Arial" w:hAnsi="Arial" w:eastAsia="Arial" w:cs="Arial"/>
      <w:b/>
      <w:bCs/>
      <w:snapToGrid w:val="0"/>
      <w:color w:val="000000"/>
      <w:kern w:val="44"/>
      <w:sz w:val="44"/>
      <w:szCs w:val="44"/>
    </w:rPr>
  </w:style>
  <w:style w:type="character" w:customStyle="1" w:styleId="41">
    <w:name w:val="批注文字 字符"/>
    <w:basedOn w:val="32"/>
    <w:link w:val="11"/>
    <w:autoRedefine/>
    <w:qFormat/>
    <w:uiPriority w:val="0"/>
    <w:rPr>
      <w:kern w:val="2"/>
      <w:sz w:val="21"/>
      <w:szCs w:val="24"/>
    </w:rPr>
  </w:style>
  <w:style w:type="character" w:customStyle="1" w:styleId="42">
    <w:name w:val="批注框文本 字符"/>
    <w:basedOn w:val="32"/>
    <w:link w:val="17"/>
    <w:autoRedefine/>
    <w:qFormat/>
    <w:uiPriority w:val="0"/>
    <w:rPr>
      <w:rFonts w:ascii="Arial" w:hAnsi="Arial" w:eastAsia="Arial" w:cs="Arial"/>
      <w:snapToGrid w:val="0"/>
      <w:color w:val="000000"/>
      <w:sz w:val="18"/>
      <w:szCs w:val="18"/>
    </w:rPr>
  </w:style>
  <w:style w:type="character" w:customStyle="1" w:styleId="43">
    <w:name w:val="页脚 字符"/>
    <w:basedOn w:val="32"/>
    <w:link w:val="18"/>
    <w:autoRedefine/>
    <w:qFormat/>
    <w:uiPriority w:val="0"/>
    <w:rPr>
      <w:rFonts w:ascii="Arial" w:hAnsi="Arial" w:eastAsia="Arial" w:cs="Arial"/>
      <w:snapToGrid w:val="0"/>
      <w:color w:val="000000"/>
      <w:sz w:val="18"/>
      <w:szCs w:val="18"/>
    </w:rPr>
  </w:style>
  <w:style w:type="character" w:customStyle="1" w:styleId="44">
    <w:name w:val="页眉 字符"/>
    <w:basedOn w:val="32"/>
    <w:link w:val="19"/>
    <w:autoRedefine/>
    <w:qFormat/>
    <w:uiPriority w:val="0"/>
    <w:rPr>
      <w:rFonts w:ascii="Arial" w:hAnsi="Arial" w:eastAsia="Arial" w:cs="Arial"/>
      <w:snapToGrid w:val="0"/>
      <w:color w:val="000000"/>
      <w:sz w:val="18"/>
      <w:szCs w:val="18"/>
    </w:rPr>
  </w:style>
  <w:style w:type="character" w:customStyle="1" w:styleId="45">
    <w:name w:val="批注主题 字符"/>
    <w:basedOn w:val="46"/>
    <w:link w:val="28"/>
    <w:autoRedefine/>
    <w:qFormat/>
    <w:uiPriority w:val="0"/>
    <w:rPr>
      <w:rFonts w:ascii="Arial" w:hAnsi="Arial" w:eastAsia="Arial" w:cs="Arial"/>
      <w:b/>
      <w:bCs/>
      <w:snapToGrid w:val="0"/>
      <w:color w:val="000000"/>
      <w:sz w:val="21"/>
      <w:szCs w:val="21"/>
    </w:rPr>
  </w:style>
  <w:style w:type="character" w:customStyle="1" w:styleId="46">
    <w:name w:val="批注文字 Char"/>
    <w:basedOn w:val="32"/>
    <w:autoRedefine/>
    <w:qFormat/>
    <w:uiPriority w:val="0"/>
    <w:rPr>
      <w:rFonts w:ascii="Arial" w:hAnsi="Arial" w:eastAsia="Arial" w:cs="Arial"/>
      <w:snapToGrid w:val="0"/>
      <w:color w:val="000000"/>
      <w:sz w:val="21"/>
      <w:szCs w:val="21"/>
    </w:rPr>
  </w:style>
  <w:style w:type="paragraph" w:customStyle="1" w:styleId="47">
    <w:name w:val="Heading1"/>
    <w:basedOn w:val="1"/>
    <w:next w:val="1"/>
    <w:autoRedefine/>
    <w:qFormat/>
    <w:uiPriority w:val="0"/>
    <w:pPr>
      <w:keepNext/>
      <w:keepLines/>
      <w:spacing w:before="340" w:after="330" w:line="576" w:lineRule="auto"/>
    </w:pPr>
    <w:rPr>
      <w:b/>
      <w:bCs/>
      <w:kern w:val="44"/>
      <w:sz w:val="44"/>
      <w:szCs w:val="44"/>
    </w:rPr>
  </w:style>
  <w:style w:type="table" w:customStyle="1" w:styleId="48">
    <w:name w:val="Table Normal"/>
    <w:autoRedefine/>
    <w:qFormat/>
    <w:uiPriority w:val="0"/>
    <w:tblPr>
      <w:tblCellMar>
        <w:top w:w="0" w:type="dxa"/>
        <w:left w:w="0" w:type="dxa"/>
        <w:bottom w:w="0" w:type="dxa"/>
        <w:right w:w="0" w:type="dxa"/>
      </w:tblCellMar>
    </w:tblPr>
  </w:style>
  <w:style w:type="paragraph" w:customStyle="1" w:styleId="49">
    <w:name w:val="TOC 标题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50">
    <w:name w:val="正文，首行缩进:"/>
    <w:basedOn w:val="1"/>
    <w:autoRedefine/>
    <w:qFormat/>
    <w:uiPriority w:val="0"/>
    <w:pPr>
      <w:spacing w:line="460" w:lineRule="exact"/>
      <w:ind w:firstLine="480" w:firstLineChars="200"/>
    </w:pPr>
    <w:rPr>
      <w:rFonts w:ascii="宋体" w:hAnsi="宋体" w:cs="宋体"/>
    </w:rPr>
  </w:style>
  <w:style w:type="paragraph" w:customStyle="1" w:styleId="51">
    <w:name w:val="Table Paragraph"/>
    <w:basedOn w:val="1"/>
    <w:autoRedefine/>
    <w:qFormat/>
    <w:uiPriority w:val="1"/>
    <w:pPr>
      <w:ind w:firstLine="126" w:firstLineChars="60"/>
    </w:pPr>
  </w:style>
  <w:style w:type="paragraph" w:styleId="52">
    <w:name w:val="List Paragraph"/>
    <w:basedOn w:val="1"/>
    <w:autoRedefine/>
    <w:qFormat/>
    <w:uiPriority w:val="0"/>
    <w:pPr>
      <w:spacing w:line="440" w:lineRule="exact"/>
      <w:ind w:firstLine="420" w:firstLineChars="200"/>
    </w:pPr>
    <w:rPr>
      <w:szCs w:val="20"/>
    </w:rPr>
  </w:style>
  <w:style w:type="paragraph" w:customStyle="1" w:styleId="53">
    <w:name w:val="正文1"/>
    <w:autoRedefine/>
    <w:qFormat/>
    <w:uiPriority w:val="0"/>
    <w:pPr>
      <w:jc w:val="both"/>
    </w:pPr>
    <w:rPr>
      <w:rFonts w:ascii="Calibri" w:hAnsi="Calibri" w:eastAsia="宋体" w:cs="Calibri"/>
      <w:kern w:val="2"/>
      <w:sz w:val="21"/>
      <w:szCs w:val="21"/>
      <w:lang w:val="en-US" w:eastAsia="zh-CN" w:bidi="ar-SA"/>
    </w:rPr>
  </w:style>
  <w:style w:type="paragraph" w:customStyle="1" w:styleId="54">
    <w:name w:val="修订1"/>
    <w:autoRedefine/>
    <w:qFormat/>
    <w:uiPriority w:val="99"/>
    <w:rPr>
      <w:rFonts w:ascii="Arial" w:hAnsi="Arial" w:eastAsia="Arial" w:cs="Arial"/>
      <w:snapToGrid w:val="0"/>
      <w:color w:val="000000"/>
      <w:sz w:val="21"/>
      <w:szCs w:val="21"/>
      <w:lang w:val="en-US" w:eastAsia="zh-CN" w:bidi="ar-SA"/>
    </w:rPr>
  </w:style>
  <w:style w:type="character" w:customStyle="1" w:styleId="55">
    <w:name w:val="19"/>
    <w:autoRedefine/>
    <w:qFormat/>
    <w:uiPriority w:val="0"/>
    <w:rPr>
      <w:rFonts w:hint="default" w:ascii="Times New Roman" w:hAnsi="Times New Roman" w:cs="Times New Roman"/>
      <w:sz w:val="21"/>
      <w:szCs w:val="21"/>
    </w:rPr>
  </w:style>
  <w:style w:type="paragraph" w:customStyle="1" w:styleId="56">
    <w:name w:val="目录 71"/>
    <w:next w:val="1"/>
    <w:autoRedefine/>
    <w:qFormat/>
    <w:uiPriority w:val="0"/>
    <w:pPr>
      <w:wordWrap w:val="0"/>
      <w:ind w:left="2550"/>
      <w:jc w:val="both"/>
    </w:pPr>
    <w:rPr>
      <w:rFonts w:ascii="宋体" w:hAnsi="宋体" w:eastAsia="Times New Roman" w:cs="Times New Roman"/>
      <w:sz w:val="21"/>
      <w:lang w:val="en-US" w:eastAsia="zh-CN" w:bidi="ar-SA"/>
    </w:rPr>
  </w:style>
  <w:style w:type="paragraph" w:customStyle="1" w:styleId="57">
    <w:name w:val="表格内容"/>
    <w:basedOn w:val="1"/>
    <w:autoRedefine/>
    <w:qFormat/>
    <w:uiPriority w:val="0"/>
    <w:rPr>
      <w:rFonts w:hint="eastAsia"/>
    </w:rPr>
  </w:style>
  <w:style w:type="paragraph" w:customStyle="1" w:styleId="58">
    <w:name w:val="列表段落1"/>
    <w:basedOn w:val="1"/>
    <w:autoRedefine/>
    <w:qFormat/>
    <w:uiPriority w:val="34"/>
    <w:pPr>
      <w:ind w:firstLine="420"/>
    </w:pPr>
  </w:style>
  <w:style w:type="character" w:customStyle="1" w:styleId="59">
    <w:name w:val="font31"/>
    <w:basedOn w:val="32"/>
    <w:autoRedefine/>
    <w:qFormat/>
    <w:uiPriority w:val="0"/>
    <w:rPr>
      <w:rFonts w:hint="eastAsia" w:ascii="宋体" w:hAnsi="宋体" w:eastAsia="宋体" w:cs="宋体"/>
      <w:color w:val="000000"/>
      <w:sz w:val="24"/>
      <w:szCs w:val="24"/>
      <w:u w:val="none"/>
    </w:rPr>
  </w:style>
  <w:style w:type="character" w:customStyle="1" w:styleId="60">
    <w:name w:val="font41"/>
    <w:basedOn w:val="32"/>
    <w:autoRedefine/>
    <w:qFormat/>
    <w:uiPriority w:val="0"/>
    <w:rPr>
      <w:rFonts w:hint="eastAsia" w:ascii="宋体" w:hAnsi="宋体" w:eastAsia="宋体" w:cs="宋体"/>
      <w:color w:val="00B050"/>
      <w:sz w:val="24"/>
      <w:szCs w:val="24"/>
      <w:u w:val="none"/>
    </w:rPr>
  </w:style>
  <w:style w:type="character" w:customStyle="1" w:styleId="61">
    <w:name w:val="font11"/>
    <w:basedOn w:val="32"/>
    <w:autoRedefine/>
    <w:qFormat/>
    <w:uiPriority w:val="0"/>
    <w:rPr>
      <w:rFonts w:hint="eastAsia" w:ascii="宋体" w:hAnsi="宋体" w:eastAsia="宋体" w:cs="宋体"/>
      <w:color w:val="000000"/>
      <w:sz w:val="24"/>
      <w:szCs w:val="24"/>
      <w:u w:val="none"/>
    </w:rPr>
  </w:style>
  <w:style w:type="paragraph" w:customStyle="1" w:styleId="62">
    <w:name w:val="--排版样式--正文"/>
    <w:basedOn w:val="1"/>
    <w:autoRedefine/>
    <w:qFormat/>
    <w:uiPriority w:val="0"/>
    <w:pPr>
      <w:tabs>
        <w:tab w:val="left" w:pos="600"/>
      </w:tabs>
      <w:spacing w:after="200" w:line="360" w:lineRule="auto"/>
      <w:ind w:firstLine="200" w:firstLineChars="200"/>
    </w:pPr>
    <w:rPr>
      <w:rFonts w:ascii="宋体"/>
    </w:rPr>
  </w:style>
  <w:style w:type="character" w:customStyle="1" w:styleId="63">
    <w:name w:val="样式 宋体 四号"/>
    <w:autoRedefine/>
    <w:qFormat/>
    <w:uiPriority w:val="0"/>
    <w:rPr>
      <w:rFonts w:ascii="宋体" w:hAnsi="宋体" w:eastAsia="仿宋_GB231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3.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mcd:customData xmlns:mcd="http://www.wps.cn/android/officeDocument/2013/mofficeCustomData" version="2">
  <mcd:comments xmlns:mcd="http://www.wps.cn/android/officeDocument/2013/mofficeCustomData"/>
</mcd:customData>
</file>

<file path=customXml/item3.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f8c475-3d80-4080-82bc-b2a01dfbee9c}">
  <ds:schemaRefs/>
</ds:datastoreItem>
</file>

<file path=customXml/itemProps3.xml><?xml version="1.0" encoding="utf-8"?>
<ds:datastoreItem xmlns:ds="http://schemas.openxmlformats.org/officeDocument/2006/customXml" ds:itemID="{26240CF8-7C2A-40A3-98AE-07BEE6F3A594}">
  <ds:schemaRefs/>
</ds:datastoreItem>
</file>

<file path=docProps/app.xml><?xml version="1.0" encoding="utf-8"?>
<Properties xmlns="http://schemas.openxmlformats.org/officeDocument/2006/extended-properties" xmlns:vt="http://schemas.openxmlformats.org/officeDocument/2006/docPropsVTypes">
  <Template>Normal</Template>
  <Pages>110</Pages>
  <Words>4646</Words>
  <Characters>5046</Characters>
  <Paragraphs>3407</Paragraphs>
  <TotalTime>30</TotalTime>
  <ScaleCrop>false</ScaleCrop>
  <LinksUpToDate>false</LinksUpToDate>
  <CharactersWithSpaces>5258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2025-12-06T14:50:00Z</dcterms:created>
  <dc:creator>微软系统</dc:creator>
  <cp:lastModifiedBy>我</cp:lastModifiedBy>
  <cp:lastPrinted>2025-12-03T11:37:00Z</cp:lastPrinted>
  <dcterms:modified xsi:type="dcterms:W3CDTF">2026-02-03T03:20:27Z</dcterms:modified>
  <dc:title>（项目名称） 标段服务招标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2052-12.1.0.16250</vt:lpwstr>
  </property>
  <property fmtid="{D5CDD505-2E9C-101B-9397-08002B2CF9AE}" pid="5" name="ICV">
    <vt:lpwstr>9D9539A5E87D4BC6B561500D25CEB366_13</vt:lpwstr>
  </property>
  <property fmtid="{D5CDD505-2E9C-101B-9397-08002B2CF9AE}" pid="6" name="KSOTemplateDocerSaveRecord">
    <vt:lpwstr>eyJoZGlkIjoiNTFkNjljNGZmYTU5YzA5MzdmZWYyYzMxMGRkZjM1NGQiLCJ1c2VySWQiOiI0MTE4MjIwOTAifQ==</vt:lpwstr>
  </property>
</Properties>
</file>